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塔里木河流域执行委员会办公室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仿宋_GB2312" w:cs="Times New Roman"/>
          <w:b/>
          <w:bCs w:val="0"/>
          <w:color w:val="auto"/>
          <w:kern w:val="0"/>
          <w:sz w:val="36"/>
          <w:szCs w:val="36"/>
          <w:highlight w:val="none"/>
        </w:rPr>
        <w:sectPr>
          <w:pgSz w:w="11906" w:h="16838"/>
          <w:pgMar w:top="2098" w:right="1587" w:bottom="1984" w:left="1587"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pacing w:line="560" w:lineRule="exact"/>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sectPr>
          <w:footerReference r:id="rId3" w:type="default"/>
          <w:pgSz w:w="11906" w:h="16838"/>
          <w:pgMar w:top="2098" w:right="1587" w:bottom="1984" w:left="1587" w:header="851" w:footer="992" w:gutter="0"/>
          <w:pgNumType w:fmt="decimal" w:start="1"/>
          <w:cols w:space="0" w:num="1"/>
          <w:rtlGutter w:val="0"/>
          <w:docGrid w:type="lines" w:linePitch="312" w:charSpace="0"/>
        </w:sectPr>
      </w:pP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sectPr>
          <w:footerReference r:id="rId4" w:type="default"/>
          <w:pgSz w:w="11906" w:h="16838"/>
          <w:pgMar w:top="2098" w:right="1587" w:bottom="1984" w:left="1587" w:header="851" w:footer="992" w:gutter="0"/>
          <w:pgNumType w:fmt="decimal" w:start="1"/>
          <w:cols w:space="0" w:num="1"/>
          <w:rtlGutter w:val="0"/>
          <w:docGrid w:type="lines" w:linePitch="312" w:charSpace="0"/>
        </w:sectPr>
      </w:pPr>
      <w:bookmarkStart w:id="0" w:name="_Toc32314"/>
      <w:bookmarkStart w:id="1" w:name="_Toc24028"/>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bookmarkStart w:id="4" w:name="_Toc31238"/>
      <w:bookmarkStart w:id="5" w:name="_Toc2151"/>
      <w:r>
        <w:rPr>
          <w:rFonts w:hint="default" w:ascii="Times New Roman" w:hAnsi="Times New Roman" w:eastAsia="仿宋_GB2312" w:cs="Times New Roman"/>
          <w:color w:val="auto"/>
          <w:sz w:val="32"/>
          <w:szCs w:val="32"/>
          <w:highlight w:val="none"/>
          <w:lang w:val="en-US" w:eastAsia="zh-CN"/>
        </w:rPr>
        <w:t>塔里木流域水利委员会（以下简称塔委会）是自治区人民政府设立的负责统一监督管理塔里木流域水资源和河湖保护管理的机构。塔里木河流域执行委员会办公室（以下简称：塔执委办）是根据《自治区塔里木河流域水资源管理条例》，设立的塔里木河流域水利委员会办事机构，主要负责塔委会决策的实施和监督，负责执行委员会的日常工作，负责组织实施和监督塔里木河流域水法律、法规的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塔里木河流域执行委员会办公室</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4</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2</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2</w:t>
      </w:r>
      <w:r>
        <w:rPr>
          <w:rFonts w:hint="default" w:ascii="Times New Roman" w:hAnsi="Times New Roman" w:eastAsia="仿宋_GB2312" w:cs="Times New Roman"/>
          <w:color w:val="auto"/>
          <w:sz w:val="32"/>
          <w:szCs w:val="32"/>
          <w:highlight w:val="none"/>
        </w:rPr>
        <w:t>人。</w:t>
      </w:r>
    </w:p>
    <w:p>
      <w:pPr>
        <w:keepNext w:val="0"/>
        <w:keepLines w:val="0"/>
        <w:pageBreakBefore w:val="0"/>
        <w:kinsoku/>
        <w:wordWrap/>
        <w:overflowPunct/>
        <w:topLinePunct w:val="0"/>
        <w:bidi w:val="0"/>
        <w:adjustRightInd/>
        <w:spacing w:line="560" w:lineRule="exact"/>
        <w:ind w:left="34" w:firstLine="640" w:firstLineChars="200"/>
        <w:jc w:val="both"/>
        <w:textAlignment w:val="auto"/>
        <w:rPr>
          <w:rFonts w:hint="eastAsia" w:ascii="Times New Roman" w:hAnsi="Times New Roman" w:eastAsia="仿宋" w:cs="Times New Roman"/>
          <w:sz w:val="31"/>
          <w:szCs w:val="31"/>
          <w:lang w:val="en-US" w:eastAsia="zh-CN"/>
        </w:rPr>
      </w:pPr>
      <w:r>
        <w:rPr>
          <w:rFonts w:hint="default" w:ascii="Times New Roman" w:hAnsi="Times New Roman" w:eastAsia="仿宋_GB2312" w:cs="Times New Roman"/>
          <w:bCs/>
          <w:color w:val="auto"/>
          <w:kern w:val="0"/>
          <w:sz w:val="32"/>
          <w:szCs w:val="32"/>
          <w:highlight w:val="none"/>
        </w:rPr>
        <w:t>单位无下属预算单位</w:t>
      </w:r>
      <w:r>
        <w:rPr>
          <w:rFonts w:hint="default" w:ascii="Times New Roman" w:hAnsi="Times New Roman" w:eastAsia="仿宋" w:cs="Times New Roman"/>
          <w:spacing w:val="6"/>
          <w:sz w:val="31"/>
          <w:szCs w:val="31"/>
        </w:rPr>
        <w:t>。下设</w:t>
      </w:r>
      <w:r>
        <w:rPr>
          <w:rFonts w:hint="eastAsia" w:eastAsia="仿宋" w:cs="Times New Roman"/>
          <w:spacing w:val="6"/>
          <w:sz w:val="31"/>
          <w:szCs w:val="31"/>
          <w:lang w:val="en-US" w:eastAsia="zh-CN"/>
        </w:rPr>
        <w:t>1</w:t>
      </w:r>
      <w:r>
        <w:rPr>
          <w:rFonts w:hint="default" w:ascii="Times New Roman" w:hAnsi="Times New Roman" w:eastAsia="仿宋" w:cs="Times New Roman"/>
          <w:spacing w:val="6"/>
          <w:sz w:val="31"/>
          <w:szCs w:val="31"/>
        </w:rPr>
        <w:t>个</w:t>
      </w:r>
      <w:r>
        <w:rPr>
          <w:rFonts w:hint="eastAsia" w:eastAsia="仿宋" w:cs="Times New Roman"/>
          <w:spacing w:val="6"/>
          <w:sz w:val="31"/>
          <w:szCs w:val="31"/>
          <w:lang w:val="en-US" w:eastAsia="zh-CN"/>
        </w:rPr>
        <w:t>科</w:t>
      </w:r>
      <w:r>
        <w:rPr>
          <w:rFonts w:hint="default" w:ascii="Times New Roman" w:hAnsi="Times New Roman" w:eastAsia="仿宋" w:cs="Times New Roman"/>
          <w:spacing w:val="6"/>
          <w:sz w:val="31"/>
          <w:szCs w:val="31"/>
        </w:rPr>
        <w:t>室，分别是：</w:t>
      </w:r>
      <w:r>
        <w:rPr>
          <w:rFonts w:hint="eastAsia" w:eastAsia="仿宋" w:cs="Times New Roman"/>
          <w:spacing w:val="6"/>
          <w:sz w:val="31"/>
          <w:szCs w:val="31"/>
          <w:lang w:val="en-US" w:eastAsia="zh-CN"/>
        </w:rPr>
        <w:t>办公室。</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5" w:type="default"/>
          <w:pgSz w:w="11906" w:h="16838"/>
          <w:pgMar w:top="2098" w:right="1587" w:bottom="1984" w:left="1587" w:header="851" w:footer="992" w:gutter="0"/>
          <w:pgNumType w:fmt="decimal" w:start="1"/>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93.59万元，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90.74万元，使用非财政</w:t>
      </w:r>
      <w:r>
        <w:rPr>
          <w:rFonts w:hint="default" w:ascii="Times New Roman" w:hAnsi="Times New Roman" w:eastAsia="仿宋_GB2312" w:cs="Times New Roman"/>
          <w:color w:val="auto"/>
          <w:spacing w:val="0"/>
          <w:sz w:val="32"/>
          <w:szCs w:val="32"/>
          <w:highlight w:val="none"/>
          <w:lang w:val="zh-CN" w:eastAsia="zh-CN"/>
        </w:rPr>
        <w:t>拨款</w:t>
      </w:r>
      <w:r>
        <w:rPr>
          <w:rFonts w:hint="default" w:ascii="Times New Roman" w:hAnsi="Times New Roman" w:eastAsia="仿宋_GB2312" w:cs="Times New Roman"/>
          <w:color w:val="auto"/>
          <w:spacing w:val="0"/>
          <w:sz w:val="32"/>
          <w:szCs w:val="32"/>
          <w:highlight w:val="none"/>
          <w:lang w:eastAsia="zh-CN"/>
        </w:rPr>
        <w:t>结余0.00万元，年初结转和结余2.85万元。</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93.</w:t>
      </w:r>
      <w:r>
        <w:rPr>
          <w:rFonts w:hint="default" w:ascii="Times New Roman" w:hAnsi="Times New Roman" w:eastAsia="仿宋_GB2312" w:cs="Times New Roman"/>
          <w:color w:val="auto"/>
          <w:spacing w:val="0"/>
          <w:sz w:val="32"/>
          <w:szCs w:val="32"/>
          <w:highlight w:val="none"/>
          <w:lang w:val="zh-CN" w:eastAsia="zh-CN"/>
        </w:rPr>
        <w:t>59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77.80万元，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0.00万元，年末结转和结余15.79万元。</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减少27.21万元</w:t>
      </w:r>
      <w:r>
        <w:rPr>
          <w:rFonts w:hint="default" w:ascii="Times New Roman" w:hAnsi="Times New Roman" w:eastAsia="仿宋_GB2312" w:cs="Times New Roman"/>
          <w:color w:val="auto"/>
          <w:spacing w:val="0"/>
          <w:sz w:val="32"/>
          <w:szCs w:val="32"/>
          <w:highlight w:val="none"/>
          <w:lang w:eastAsia="zh-CN"/>
        </w:rPr>
        <w:t>，下降22.52%，主要原因是：</w:t>
      </w:r>
      <w:r>
        <w:rPr>
          <w:rFonts w:hint="default" w:ascii="Times New Roman" w:hAnsi="Times New Roman" w:eastAsia="仿宋_GB2312" w:cs="Times New Roman"/>
          <w:sz w:val="32"/>
          <w:szCs w:val="32"/>
          <w:lang w:val="en-US" w:eastAsia="zh-CN"/>
        </w:rPr>
        <w:t>本年度在职2人，较去年相比，有3名在职人员存在岗位调出问题，</w:t>
      </w:r>
      <w:r>
        <w:rPr>
          <w:rFonts w:hint="default" w:ascii="Times New Roman" w:hAnsi="Times New Roman" w:eastAsia="仿宋_GB2312" w:cs="Times New Roman"/>
          <w:sz w:val="32"/>
          <w:szCs w:val="32"/>
          <w:lang w:eastAsia="zh-CN"/>
        </w:rPr>
        <w:t>人员经费</w:t>
      </w:r>
      <w:r>
        <w:rPr>
          <w:rFonts w:hint="default" w:ascii="Times New Roman" w:hAnsi="Times New Roman" w:eastAsia="仿宋_GB2312" w:cs="Times New Roman"/>
          <w:sz w:val="32"/>
          <w:szCs w:val="32"/>
          <w:lang w:val="en-US" w:eastAsia="zh-CN"/>
        </w:rPr>
        <w:t xml:space="preserve">支出减少、结转较多。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90.74</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90.71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0.02</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本年支出77.80万元，其中：基本支出61.77万元，占79.39%；项目支出16.03万元，占20.61%</w:t>
      </w:r>
      <w:r>
        <w:rPr>
          <w:rFonts w:hint="eastAsia" w:eastAsia="仿宋_GB2312" w:cs="Times New Roman"/>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93.57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2.85</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90.71</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93.57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15.77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77.80</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减少17.35万元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下降15.64%,</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lang w:val="en-US" w:eastAsia="zh-CN"/>
        </w:rPr>
        <w:t>本年度在职2人，有3名在职人员存在岗位调出，较去年相比</w:t>
      </w:r>
      <w:r>
        <w:rPr>
          <w:rFonts w:hint="default" w:ascii="Times New Roman" w:hAnsi="Times New Roman" w:eastAsia="仿宋_GB2312" w:cs="Times New Roman"/>
          <w:sz w:val="32"/>
          <w:szCs w:val="32"/>
          <w:lang w:eastAsia="zh-CN"/>
        </w:rPr>
        <w:t>人员经费</w:t>
      </w:r>
      <w:r>
        <w:rPr>
          <w:rFonts w:hint="default" w:ascii="Times New Roman" w:hAnsi="Times New Roman" w:eastAsia="仿宋_GB2312" w:cs="Times New Roman"/>
          <w:sz w:val="32"/>
          <w:szCs w:val="32"/>
          <w:lang w:val="en-US" w:eastAsia="zh-CN"/>
        </w:rPr>
        <w:t xml:space="preserve">支出减少、结转较多。      </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117.78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93.57</w:t>
      </w:r>
      <w:r>
        <w:rPr>
          <w:rFonts w:hint="default" w:ascii="Times New Roman" w:hAnsi="Times New Roman" w:eastAsia="仿宋_GB2312" w:cs="Times New Roman"/>
          <w:color w:val="auto"/>
          <w:spacing w:val="0"/>
          <w:sz w:val="32"/>
          <w:szCs w:val="32"/>
          <w:highlight w:val="none"/>
          <w:lang w:eastAsia="zh-CN"/>
        </w:rPr>
        <w:t>万元，预决算差异率-20.56%，主要原因是：</w:t>
      </w:r>
      <w:r>
        <w:rPr>
          <w:rFonts w:hint="default" w:ascii="Times New Roman" w:hAnsi="Times New Roman" w:eastAsia="仿宋_GB2312" w:cs="Times New Roman"/>
          <w:sz w:val="32"/>
          <w:szCs w:val="32"/>
          <w:lang w:val="en-US" w:eastAsia="zh-CN"/>
        </w:rPr>
        <w:t>本年度在职2人，有3名在职人员存在岗位调出，</w:t>
      </w:r>
      <w:r>
        <w:rPr>
          <w:rFonts w:hint="eastAsia" w:eastAsia="仿宋_GB2312" w:cs="Times New Roman"/>
          <w:sz w:val="32"/>
          <w:szCs w:val="32"/>
          <w:lang w:val="en-US" w:eastAsia="zh-CN"/>
        </w:rPr>
        <w:t>相应决算数比预算数减少20.56%</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pacing w:val="0"/>
          <w:sz w:val="32"/>
          <w:szCs w:val="32"/>
          <w:highlight w:val="none"/>
          <w:lang w:eastAsia="zh-CN"/>
        </w:rPr>
        <w:t>2023年度一般公共预算财政拨款支出77.80万元，占本年支出合计的</w:t>
      </w:r>
      <w:r>
        <w:rPr>
          <w:rFonts w:hint="default" w:ascii="Times New Roman" w:hAnsi="Times New Roman" w:eastAsia="仿宋_GB2312" w:cs="Times New Roman"/>
          <w:color w:val="auto"/>
          <w:spacing w:val="0"/>
          <w:sz w:val="32"/>
          <w:szCs w:val="32"/>
          <w:highlight w:val="none"/>
          <w:lang w:val="zh-CN" w:eastAsia="zh-CN"/>
        </w:rPr>
        <w:t>100.00%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减少30.27万元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下降28.01%,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lang w:val="en-US" w:eastAsia="zh-CN"/>
        </w:rPr>
        <w:t>本年度在职2人，有3名在职人员存在岗位调出，相应决算数比预算数减少</w:t>
      </w:r>
      <w:r>
        <w:rPr>
          <w:rFonts w:hint="eastAsia" w:eastAsia="仿宋_GB2312" w:cs="Times New Roman"/>
          <w:sz w:val="32"/>
          <w:szCs w:val="32"/>
          <w:lang w:val="en-US" w:eastAsia="zh-CN"/>
        </w:rPr>
        <w:t>30.27万元，下降</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8.01</w:t>
      </w:r>
      <w:r>
        <w:rPr>
          <w:rFonts w:hint="default" w:ascii="Times New Roman" w:hAnsi="Times New Roman" w:eastAsia="仿宋_GB2312" w:cs="Times New Roman"/>
          <w:sz w:val="32"/>
          <w:szCs w:val="32"/>
          <w:lang w:val="en-US" w:eastAsia="zh-CN"/>
        </w:rPr>
        <w:t xml:space="preserve">%。           </w:t>
      </w:r>
    </w:p>
    <w:p>
      <w:pPr>
        <w:keepNext w:val="0"/>
        <w:keepLines w:val="0"/>
        <w:pageBreakBefore w:val="0"/>
        <w:kinsoku/>
        <w:wordWrap/>
        <w:overflowPunct/>
        <w:topLinePunct w:val="0"/>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117.78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77.80</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-33.95%</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lang w:val="en-US" w:eastAsia="zh-CN"/>
        </w:rPr>
        <w:t>本年度在职2人，有3名在职人员存在岗位调出，</w:t>
      </w:r>
      <w:r>
        <w:rPr>
          <w:rFonts w:hint="eastAsia" w:eastAsia="仿宋_GB2312" w:cs="Times New Roman"/>
          <w:sz w:val="32"/>
          <w:szCs w:val="32"/>
          <w:lang w:val="en-US" w:eastAsia="zh-CN"/>
        </w:rPr>
        <w:t>决算数相比年初预算产生差异</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社会保障和就业支出（类）8.10万元，占10.41%；</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卫生健康支出（类）4.48万元，占5.76%；</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农林水支出（类）61.50万元，占79.05%；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住房保障支出（类）3.72万元，占4.79%；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1.卫生健康支出（类）行政事业单位医疗（款）行政单位医疗（项）:支出决算数为2.43万元，比上年决算减少0.80万元，下降</w:t>
      </w:r>
      <w:r>
        <w:rPr>
          <w:rFonts w:hint="eastAsia" w:eastAsia="仿宋_GB2312" w:cs="Times New Roman"/>
          <w:color w:val="auto"/>
          <w:kern w:val="2"/>
          <w:sz w:val="32"/>
          <w:szCs w:val="32"/>
          <w:highlight w:val="none"/>
          <w:lang w:val="en-US" w:eastAsia="zh-CN" w:bidi="ar-SA"/>
        </w:rPr>
        <w:t>24.77</w:t>
      </w:r>
      <w:r>
        <w:rPr>
          <w:rFonts w:hint="default" w:ascii="Times New Roman" w:hAnsi="Times New Roman" w:eastAsia="仿宋_GB2312" w:cs="Times New Roman"/>
          <w:color w:val="auto"/>
          <w:kern w:val="2"/>
          <w:sz w:val="32"/>
          <w:szCs w:val="32"/>
          <w:highlight w:val="none"/>
          <w:lang w:val="en-US" w:eastAsia="zh-CN" w:bidi="ar-SA"/>
        </w:rPr>
        <w:t>%，主要原因是：在职人员较上年减少3人，基本医疗缴费支出相应减少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2.农林水支出（类）水利（款）行政运行（项）:支出决算数为45.46万元，比上年决算减少36.19万元，下降44.32%，主要原因是：在职人员较上年减少3人，基本支出人员经费及公用经费支出相应减少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3.农林水支出（类）水利（款）一般行政管理事务（项）:支出决算数为16.03万元，比上年决算增加11.63万元，增长264.3</w:t>
      </w:r>
      <w:r>
        <w:rPr>
          <w:rFonts w:hint="eastAsia"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%，主要原因是：增加一个人员经费项目</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4.卫生健康支出（类）行政事业单位医疗（款）公务员医疗补助（项）:支出决算数为2.05万元，比上年决算减少0.47万元，下降18.</w:t>
      </w:r>
      <w:r>
        <w:rPr>
          <w:rFonts w:hint="eastAsia" w:eastAsia="仿宋_GB2312" w:cs="Times New Roman"/>
          <w:color w:val="auto"/>
          <w:kern w:val="2"/>
          <w:sz w:val="32"/>
          <w:szCs w:val="32"/>
          <w:highlight w:val="none"/>
          <w:lang w:val="en-US" w:eastAsia="zh-CN" w:bidi="ar-SA"/>
        </w:rPr>
        <w:t>65</w:t>
      </w:r>
      <w:r>
        <w:rPr>
          <w:rFonts w:hint="default" w:ascii="Times New Roman" w:hAnsi="Times New Roman" w:eastAsia="仿宋_GB2312" w:cs="Times New Roman"/>
          <w:color w:val="auto"/>
          <w:kern w:val="2"/>
          <w:sz w:val="32"/>
          <w:szCs w:val="32"/>
          <w:highlight w:val="none"/>
          <w:lang w:val="en-US" w:eastAsia="zh-CN" w:bidi="ar-SA"/>
        </w:rPr>
        <w:t>%，主要原因是：在职人员较上年减少3人，公务员医疗补助缴费支出相应减少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5.住房保障支出（类）住房改革支出（款）住房公积金（项）:支出决算数为3.72万元，比上年决算减少0.76万元，下降1</w:t>
      </w:r>
      <w:r>
        <w:rPr>
          <w:rFonts w:hint="eastAsia" w:eastAsia="仿宋_GB2312" w:cs="Times New Roman"/>
          <w:color w:val="auto"/>
          <w:kern w:val="2"/>
          <w:sz w:val="32"/>
          <w:szCs w:val="32"/>
          <w:highlight w:val="none"/>
          <w:lang w:val="en-US" w:eastAsia="zh-CN" w:bidi="ar-SA"/>
        </w:rPr>
        <w:t>6.96</w:t>
      </w:r>
      <w:r>
        <w:rPr>
          <w:rFonts w:hint="default" w:ascii="Times New Roman" w:hAnsi="Times New Roman" w:eastAsia="仿宋_GB2312" w:cs="Times New Roman"/>
          <w:color w:val="auto"/>
          <w:kern w:val="2"/>
          <w:sz w:val="32"/>
          <w:szCs w:val="32"/>
          <w:highlight w:val="none"/>
          <w:lang w:val="en-US" w:eastAsia="zh-CN" w:bidi="ar-SA"/>
        </w:rPr>
        <w:t>%，主要原因是：在职人员较上年减少3人，基本住房公积金支出相应减少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6.社会保障和就业支出（类）行政事业单位养老支出（款）行政单位离退休（项）:支出决算数为3.77万元，比上年决算减少2.03万元，下降</w:t>
      </w:r>
      <w:r>
        <w:rPr>
          <w:rFonts w:hint="eastAsia" w:eastAsia="仿宋_GB2312" w:cs="Times New Roman"/>
          <w:color w:val="auto"/>
          <w:kern w:val="2"/>
          <w:sz w:val="32"/>
          <w:szCs w:val="32"/>
          <w:highlight w:val="none"/>
          <w:lang w:val="en-US" w:eastAsia="zh-CN" w:bidi="ar-SA"/>
        </w:rPr>
        <w:t>35.00</w:t>
      </w:r>
      <w:r>
        <w:rPr>
          <w:rFonts w:hint="default" w:ascii="Times New Roman" w:hAnsi="Times New Roman" w:eastAsia="仿宋_GB2312" w:cs="Times New Roman"/>
          <w:color w:val="auto"/>
          <w:kern w:val="2"/>
          <w:sz w:val="32"/>
          <w:szCs w:val="32"/>
          <w:highlight w:val="none"/>
          <w:lang w:val="en-US" w:eastAsia="zh-CN" w:bidi="ar-SA"/>
        </w:rPr>
        <w:t>%，主要原因是：退休人员已达缴费年限的不再缴纳医疗费补助</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7.社会保障和就业支出（类）行政事业单位养老支出（款）机关事业单位基本养老保险缴费支出（项）:支出决算数为4.33万元，比上年决算减少</w:t>
      </w:r>
      <w:bookmarkStart w:id="48" w:name="_GoBack"/>
      <w:r>
        <w:rPr>
          <w:rFonts w:hint="default" w:ascii="Times New Roman" w:hAnsi="Times New Roman" w:eastAsia="仿宋_GB2312" w:cs="Times New Roman"/>
          <w:color w:val="auto"/>
          <w:kern w:val="2"/>
          <w:sz w:val="32"/>
          <w:szCs w:val="32"/>
          <w:highlight w:val="none"/>
          <w:lang w:val="en-US" w:eastAsia="zh-CN" w:bidi="ar-SA"/>
        </w:rPr>
        <w:t>1.65</w:t>
      </w:r>
      <w:bookmarkEnd w:id="48"/>
      <w:r>
        <w:rPr>
          <w:rFonts w:hint="default" w:ascii="Times New Roman" w:hAnsi="Times New Roman" w:eastAsia="仿宋_GB2312" w:cs="Times New Roman"/>
          <w:color w:val="auto"/>
          <w:kern w:val="2"/>
          <w:sz w:val="32"/>
          <w:szCs w:val="32"/>
          <w:highlight w:val="none"/>
          <w:lang w:val="en-US" w:eastAsia="zh-CN" w:bidi="ar-SA"/>
        </w:rPr>
        <w:t>万元，下降27.</w:t>
      </w:r>
      <w:r>
        <w:rPr>
          <w:rFonts w:hint="eastAsia" w:eastAsia="仿宋_GB2312" w:cs="Times New Roman"/>
          <w:color w:val="auto"/>
          <w:kern w:val="2"/>
          <w:sz w:val="32"/>
          <w:szCs w:val="32"/>
          <w:highlight w:val="none"/>
          <w:lang w:val="en-US" w:eastAsia="zh-CN" w:bidi="ar-SA"/>
        </w:rPr>
        <w:t>59</w:t>
      </w:r>
      <w:r>
        <w:rPr>
          <w:rFonts w:hint="default" w:ascii="Times New Roman" w:hAnsi="Times New Roman" w:eastAsia="仿宋_GB2312" w:cs="Times New Roman"/>
          <w:color w:val="auto"/>
          <w:kern w:val="2"/>
          <w:sz w:val="32"/>
          <w:szCs w:val="32"/>
          <w:highlight w:val="none"/>
          <w:lang w:val="en-US" w:eastAsia="zh-CN" w:bidi="ar-SA"/>
        </w:rPr>
        <w:t>%，主要原因是：在职人员较上年减少3人，养老保险缴费支出相应减少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61.76</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53.29</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基本工资、津贴补贴、奖金、伙食补助费、绩效工资、机关事业单位基本养老保险缴费、职工基本医疗保险缴费、公务员医疗补助缴费、其他社会保障缴费、住房公积金、退休费。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8.47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办公费、水费、电费、差旅费、工会经费、福利费、其他商品和服务支出</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财政拨款“三公”经费支出0.00万元，比上年增加0.00万元，增长0.00%，主要原因是：我单位无“三公”经费支出。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中固定资产车辆0辆，与公务用车保有量差异原因是：与公务用车保有量无差异。</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公务接待费0.00万元，开支内容包括我单位无公务接待费支出。单位全年安排的国内公务接待0批次，0人次。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全年预算相比,财政拨款“三公”经费支出全年预算数0.00万元，决算数0.00万元，预决算差异率0.00%，主要原因是：我单位无“三公”经费支出。其中：因公出国（境）费全年预算数0.00万元，决算数0.00万元，预决算差异率0.00%，主要原因是：我单位无因公出国（境）费支出；公务用车购置费全年预算数0.00万元，决算数0.00万元，预决算差异率0.00%，主要原因是：我单位无公务用车购置费支出；公务用车运行费全年预算数0.00万元，决算数0.00万元，预决算差异率0.00%，主要原因是：我单位无公务用车运行维护费支出；公务接待费全年预算数0.00万元，决算数0.00万元，预决算差异率0.00%，主要原因是：我单位无公务接待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塔里木河流域执行委员会办公室（行政单位和参照公务员法管理事业单位）机关运行经费支出8.47万元，</w:t>
      </w:r>
      <w:r>
        <w:rPr>
          <w:rFonts w:hint="default" w:ascii="Times New Roman" w:hAnsi="Times New Roman" w:eastAsia="仿宋_GB2312" w:cs="Times New Roman"/>
          <w:color w:val="auto"/>
          <w:sz w:val="32"/>
          <w:szCs w:val="32"/>
          <w:highlight w:val="none"/>
          <w:lang w:val="zh-CN" w:eastAsia="zh-CN"/>
        </w:rPr>
        <w:t>比上年增加0.95万元，增长12.65%，主要原因是：</w:t>
      </w:r>
      <w:r>
        <w:rPr>
          <w:rFonts w:hint="default" w:ascii="Times New Roman" w:hAnsi="Times New Roman" w:eastAsia="仿宋_GB2312" w:cs="Times New Roman"/>
          <w:color w:val="auto"/>
          <w:sz w:val="32"/>
          <w:szCs w:val="32"/>
          <w:highlight w:val="none"/>
          <w:lang w:val="en-US" w:eastAsia="zh-CN"/>
        </w:rPr>
        <w:t>2022年受疫情影响，2023年业务正常开展，相应经费较上年有所增长。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bookmarkStart w:id="26" w:name="_Toc8391"/>
      <w:bookmarkStart w:id="27" w:name="_Toc4591"/>
      <w:r>
        <w:rPr>
          <w:rFonts w:hint="default" w:ascii="Times New Roman" w:hAnsi="Times New Roman" w:eastAsia="仿宋_GB2312" w:cs="Times New Roman"/>
          <w:color w:val="auto"/>
          <w:sz w:val="32"/>
          <w:szCs w:val="32"/>
          <w:highlight w:val="none"/>
          <w:lang w:val="zh-CN" w:eastAsia="zh-CN"/>
        </w:rPr>
        <w:t>2023年度政府采购支出总额0.00万元，其中：政府采购货物支出0.00万元、政府采购工程支出0.00万元、政府采购服务支出0.00万元。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授予中小企业合同金额0.00万元，占政府采购支出总额的0.00%，其中：授予小微企业合同金额0.00万元，占政府采购支出总额的0.00%。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年12月31日，固定资产原值2.44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w:t>
      </w:r>
      <w:r>
        <w:rPr>
          <w:rFonts w:hint="default" w:ascii="Times New Roman" w:hAnsi="Times New Roman"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全年预算数15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全年执行数15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w:t>
      </w:r>
      <w:r>
        <w:rPr>
          <w:rFonts w:hint="default" w:ascii="Times New Roman" w:hAnsi="Times New Roman" w:eastAsia="仿宋_GB2312" w:cs="Times New Roman"/>
          <w:sz w:val="32"/>
          <w:szCs w:val="32"/>
        </w:rPr>
        <w:t>组织开展了对塔里木河流域源流区节约用水、水资源监管、取用水管理，特别是生态输水成效及生态恢复治理工作进行检查调研，项目的产出指标、效益指标、满意度指标基本达到年度目标</w:t>
      </w:r>
      <w:r>
        <w:rPr>
          <w:rFonts w:hint="default" w:ascii="Times New Roman" w:hAnsi="Times New Roman" w:eastAsia="仿宋_GB2312" w:cs="Times New Roman"/>
          <w:color w:val="auto"/>
          <w:sz w:val="32"/>
          <w:szCs w:val="32"/>
          <w:highlight w:val="none"/>
          <w:lang w:eastAsia="zh-CN"/>
        </w:rPr>
        <w:t>；二是</w:t>
      </w:r>
      <w:r>
        <w:rPr>
          <w:rFonts w:hint="default" w:ascii="Times New Roman" w:hAnsi="Times New Roman" w:eastAsia="仿宋_GB2312" w:cs="Times New Roman"/>
          <w:sz w:val="32"/>
          <w:szCs w:val="32"/>
        </w:rPr>
        <w:t>按期</w:t>
      </w:r>
      <w:r>
        <w:rPr>
          <w:rFonts w:hint="default" w:ascii="Times New Roman" w:hAnsi="Times New Roman" w:eastAsia="仿宋_GB2312" w:cs="Times New Roman"/>
          <w:sz w:val="32"/>
          <w:szCs w:val="32"/>
          <w:lang w:val="en-US" w:eastAsia="zh-CN"/>
        </w:rPr>
        <w:t>完成</w:t>
      </w:r>
      <w:r>
        <w:rPr>
          <w:rFonts w:hint="default" w:ascii="Times New Roman" w:hAnsi="Times New Roman" w:eastAsia="仿宋_GB2312" w:cs="Times New Roman"/>
          <w:sz w:val="32"/>
          <w:szCs w:val="32"/>
        </w:rPr>
        <w:t>全部检查调研，项目资金</w:t>
      </w:r>
      <w:r>
        <w:rPr>
          <w:rFonts w:hint="default" w:ascii="Times New Roman" w:hAnsi="Times New Roman" w:eastAsia="仿宋_GB2312" w:cs="Times New Roman"/>
          <w:sz w:val="32"/>
          <w:szCs w:val="32"/>
          <w:lang w:val="en-US" w:eastAsia="zh-CN"/>
        </w:rPr>
        <w:t>全部</w:t>
      </w:r>
      <w:r>
        <w:rPr>
          <w:rFonts w:hint="default" w:ascii="Times New Roman" w:hAnsi="Times New Roman" w:eastAsia="仿宋_GB2312" w:cs="Times New Roman"/>
          <w:sz w:val="32"/>
          <w:szCs w:val="32"/>
        </w:rPr>
        <w:t>执行</w:t>
      </w:r>
      <w:r>
        <w:rPr>
          <w:rFonts w:hint="default" w:ascii="Times New Roman" w:hAnsi="Times New Roman" w:eastAsia="仿宋_GB2312" w:cs="Times New Roman"/>
          <w:sz w:val="32"/>
          <w:szCs w:val="32"/>
          <w:lang w:val="en-US" w:eastAsia="zh-CN"/>
        </w:rPr>
        <w:t>完毕</w:t>
      </w:r>
      <w:r>
        <w:rPr>
          <w:rFonts w:hint="default" w:ascii="Times New Roman" w:hAnsi="Times New Roman" w:eastAsia="仿宋_GB2312" w:cs="Times New Roman"/>
          <w:color w:val="auto"/>
          <w:sz w:val="32"/>
          <w:szCs w:val="32"/>
          <w:highlight w:val="none"/>
          <w:lang w:eastAsia="zh-CN"/>
        </w:rPr>
        <w:t>。发现的问题及原因：一是</w:t>
      </w:r>
      <w:r>
        <w:rPr>
          <w:rFonts w:hint="default" w:ascii="Times New Roman" w:hAnsi="Times New Roman" w:eastAsia="仿宋" w:cs="Times New Roman"/>
          <w:sz w:val="32"/>
          <w:szCs w:val="32"/>
        </w:rPr>
        <w:t>单位在岗人员少，工作任务重</w:t>
      </w:r>
      <w:r>
        <w:rPr>
          <w:rFonts w:hint="default" w:ascii="Times New Roman" w:hAnsi="Times New Roman" w:eastAsia="仿宋_GB2312" w:cs="Times New Roman"/>
          <w:color w:val="auto"/>
          <w:sz w:val="32"/>
          <w:szCs w:val="32"/>
          <w:highlight w:val="none"/>
          <w:lang w:eastAsia="zh-CN"/>
        </w:rPr>
        <w:t>；二是</w:t>
      </w:r>
      <w:r>
        <w:rPr>
          <w:rFonts w:hint="default" w:ascii="Times New Roman" w:hAnsi="Times New Roman" w:eastAsia="仿宋" w:cs="Times New Roman"/>
          <w:sz w:val="32"/>
          <w:szCs w:val="32"/>
        </w:rPr>
        <w:t>本单位</w:t>
      </w:r>
      <w:r>
        <w:rPr>
          <w:rFonts w:hint="default" w:ascii="Times New Roman" w:hAnsi="Times New Roman" w:eastAsia="仿宋" w:cs="Times New Roman"/>
          <w:sz w:val="32"/>
          <w:szCs w:val="32"/>
          <w:lang w:eastAsia="zh-CN"/>
        </w:rPr>
        <w:t>编制</w:t>
      </w:r>
      <w:r>
        <w:rPr>
          <w:rFonts w:hint="default" w:ascii="Times New Roman" w:hAnsi="Times New Roman" w:eastAsia="仿宋" w:cs="Times New Roman"/>
          <w:sz w:val="32"/>
          <w:szCs w:val="32"/>
        </w:rPr>
        <w:t>5人，</w:t>
      </w:r>
      <w:r>
        <w:rPr>
          <w:rFonts w:hint="default" w:ascii="Times New Roman" w:hAnsi="Times New Roman" w:eastAsia="仿宋" w:cs="Times New Roman"/>
          <w:sz w:val="32"/>
          <w:szCs w:val="32"/>
          <w:lang w:eastAsia="zh-CN"/>
        </w:rPr>
        <w:t>实有人数</w:t>
      </w:r>
      <w:r>
        <w:rPr>
          <w:rFonts w:hint="default"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名</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sz w:val="32"/>
          <w:szCs w:val="32"/>
          <w:lang w:val="en-US" w:eastAsia="zh-CN"/>
        </w:rPr>
        <w:t>有3名在职人员存在岗位调出问题</w:t>
      </w:r>
      <w:r>
        <w:rPr>
          <w:rFonts w:hint="default" w:ascii="Times New Roman" w:hAnsi="Times New Roman" w:eastAsia="仿宋" w:cs="Times New Roman"/>
          <w:sz w:val="32"/>
          <w:szCs w:val="32"/>
          <w:lang w:eastAsia="zh-CN"/>
        </w:rPr>
        <w:t>，致使人员经费结转</w:t>
      </w: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 w:cs="Times New Roman"/>
          <w:sz w:val="32"/>
          <w:szCs w:val="32"/>
        </w:rPr>
        <w:t>克服人员缺乏的困难，积极协调，依托相关技术单位，以问题为导向，及时组织相关专家、单位开展检查调研活动</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eastAsia" w:ascii="仿宋_GB2312" w:hAnsi="仿宋_GB2312" w:eastAsia="仿宋_GB2312" w:cs="仿宋_GB2312"/>
          <w:b w:val="0"/>
          <w:bCs w:val="0"/>
          <w:sz w:val="32"/>
          <w:szCs w:val="32"/>
          <w:lang w:val="en-US" w:eastAsia="zh-CN"/>
        </w:rPr>
        <w:t>我单位无政府采购支出。</w:t>
      </w:r>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2098" w:right="1587"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36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tjwut4BAAC+AwAADgAAAGRycy9lMm9Eb2MueG1srVPNjtMwEL4j8Q6W&#10;7zTZaoW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2PC63gEAAL4DAAAOAAAAAAAA&#10;AAEAIAAAAB4BAABkcnMvZTJvRG9jLnhtbFBLBQYAAAAABgAGAFkBAABu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56238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A41EF2"/>
    <w:rsid w:val="05EF4B48"/>
    <w:rsid w:val="05F76ECA"/>
    <w:rsid w:val="06792773"/>
    <w:rsid w:val="07093795"/>
    <w:rsid w:val="07804730"/>
    <w:rsid w:val="079052BE"/>
    <w:rsid w:val="08145C21"/>
    <w:rsid w:val="08422688"/>
    <w:rsid w:val="085854ED"/>
    <w:rsid w:val="0879188F"/>
    <w:rsid w:val="08A0354D"/>
    <w:rsid w:val="08CD4C49"/>
    <w:rsid w:val="08DC0CD3"/>
    <w:rsid w:val="09114954"/>
    <w:rsid w:val="091E262B"/>
    <w:rsid w:val="095A5B83"/>
    <w:rsid w:val="096466E3"/>
    <w:rsid w:val="0968304D"/>
    <w:rsid w:val="09AF3D17"/>
    <w:rsid w:val="0A7809B7"/>
    <w:rsid w:val="0A7B4867"/>
    <w:rsid w:val="0A840954"/>
    <w:rsid w:val="0A9928ED"/>
    <w:rsid w:val="0B4D1E43"/>
    <w:rsid w:val="0B61769D"/>
    <w:rsid w:val="0B75134C"/>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B20B1A"/>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B95116"/>
    <w:rsid w:val="1E086ACE"/>
    <w:rsid w:val="1E62130A"/>
    <w:rsid w:val="1E97358B"/>
    <w:rsid w:val="1EAA4A5F"/>
    <w:rsid w:val="1EE869A7"/>
    <w:rsid w:val="1FA15E62"/>
    <w:rsid w:val="1FED69B6"/>
    <w:rsid w:val="2064678E"/>
    <w:rsid w:val="20DC1AB9"/>
    <w:rsid w:val="20DD6197"/>
    <w:rsid w:val="212631E0"/>
    <w:rsid w:val="21A53757"/>
    <w:rsid w:val="221236C6"/>
    <w:rsid w:val="221A09D5"/>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B14E3"/>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EE4EC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633AA2"/>
    <w:rsid w:val="434E6957"/>
    <w:rsid w:val="43BA0E31"/>
    <w:rsid w:val="43C15147"/>
    <w:rsid w:val="43E14DD2"/>
    <w:rsid w:val="43F800E9"/>
    <w:rsid w:val="44181BA1"/>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52B82"/>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372E9C"/>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9930DA"/>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 w:val="B7E2DC2B"/>
    <w:rsid w:val="FE33BE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5177</Words>
  <Characters>5749</Characters>
  <Lines>0</Lines>
  <Paragraphs>0</Paragraphs>
  <TotalTime>24</TotalTime>
  <ScaleCrop>false</ScaleCrop>
  <LinksUpToDate>false</LinksUpToDate>
  <CharactersWithSpaces>5794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Administrator</cp:lastModifiedBy>
  <dcterms:modified xsi:type="dcterms:W3CDTF">2024-09-11T13:32:48Z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76981D7CF5C440C89AE6803D02CBBA68_13</vt:lpwstr>
  </property>
</Properties>
</file>