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塔城水文勘测局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塔城水文勘测局属全额拔款事业单位，从事研究塔城地区各河流水文要素变化规律和三水转化规律的国家科研部门。我局认真贯彻和落实自治区水文局确立的“水文勘测—水文研究—水文服务”三位一体的以水文信息化为标志的现代化水文发展战略和“以需求为动力、以发展为核心、以创新为手段、以服务为宗旨”的新时期水文发展方针，紧紧围绕地区防洪、抗旱、减灾、水资源开发与利用、水资源管理与保护、水利水电工程建设和国民经济发展，进一步解放思想、求真务实、与时俱进、开拓创新，推动塔城水文事业快速转向以水文信息化服务为标志的现代化水文的发展道路。我局现有常驻水文测站6处，观测（或测验）本区域主要河流的水位、流量、泥沙、降水、蒸发、气温、水温等,以及进行水文调查等工作。塔城水环境监测分中心完成塔城地区额敏河、卡琅古尔河、哈拉依灭勒河、哈拉布拉河、马拉苏河、乌拉斯台河、奎屯河、四棵树河、八音沟河、古尔图河、白杨河等10条主要河流，18个水质监测河段全年111次取样监测与评价，地表水监测项目可达47项，并对观测的水文测验成果及水质分析成果进行、整编、刊印，为当地经济社会发展提供基础保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塔城水文勘测局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37</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单位</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8</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室，分别是：奎屯巡测中心、行政办公室、测验整编科、水情科、技术科、信息科、党建科</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水环境监测分中心。</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1,982.24万元，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1,844.01万元，使用非财政拨款结余0.00万元，年初结转和结余138.24万元。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1,982.24万元，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1,871.50万元，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0.09万元，年末结转和结余110.65万元。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增加629.83万元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增长46.57%</w:t>
      </w:r>
      <w:r>
        <w:rPr>
          <w:rFonts w:hint="eastAsia" w:ascii="仿宋_GB2312" w:eastAsia="仿宋_GB2312"/>
          <w:color w:val="auto"/>
          <w:spacing w:val="0"/>
          <w:sz w:val="32"/>
          <w:szCs w:val="32"/>
          <w:highlight w:val="none"/>
          <w:lang w:eastAsia="zh-CN"/>
        </w:rPr>
        <w:t>，主要原因是：一是人员的新增、退休等变动调整导致人员增加；二是财政拨款项目中自治区转移支付项目资金增加且</w:t>
      </w:r>
      <w:r>
        <w:rPr>
          <w:rFonts w:hint="eastAsia" w:ascii="仿宋_GB2312" w:hAnsi="仿宋_GB2312" w:eastAsia="仿宋_GB2312" w:cs="仿宋_GB2312"/>
          <w:bCs/>
          <w:sz w:val="32"/>
          <w:szCs w:val="32"/>
          <w:lang w:val="en-US" w:eastAsia="zh-CN"/>
        </w:rPr>
        <w:t>2023年新增</w:t>
      </w:r>
      <w:r>
        <w:rPr>
          <w:rFonts w:hint="eastAsia" w:ascii="仿宋_GB2312" w:hAnsi="仿宋_GB2312" w:eastAsia="仿宋_GB2312" w:cs="仿宋_GB2312"/>
          <w:bCs/>
          <w:sz w:val="32"/>
          <w:szCs w:val="32"/>
          <w:lang w:eastAsia="zh-CN"/>
        </w:rPr>
        <w:t>新疆国家基本水文测站提档升级建设工程</w:t>
      </w:r>
      <w:r>
        <w:rPr>
          <w:rFonts w:hint="eastAsia" w:ascii="仿宋_GB2312" w:eastAsia="仿宋_GB2312"/>
          <w:color w:val="auto"/>
          <w:spacing w:val="0"/>
          <w:sz w:val="32"/>
          <w:szCs w:val="32"/>
          <w:highlight w:val="none"/>
          <w:lang w:eastAsia="zh-CN"/>
        </w:rPr>
        <w:t>；三是经营收入较上年增加。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1,844.01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1,697.25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92.04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146.29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7.93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0.47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本年支出1,871.50万元，其中：基本支出949.42万元，占50.73%；项目支出775.89万元，占41.46%；上缴上级支出0.00万元，占0.00%；经营支出146.20万元，占7.81%；对附属单位补助支出0.00万元，占0.00%。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1,826.83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129.58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1,697.25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1,826.83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101.99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1,724.84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增加613.72万元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增长50.59%，</w:t>
      </w:r>
      <w:r>
        <w:rPr>
          <w:rFonts w:hint="eastAsia" w:ascii="仿宋_GB2312" w:eastAsia="仿宋_GB2312"/>
          <w:color w:val="auto"/>
          <w:spacing w:val="0"/>
          <w:sz w:val="32"/>
          <w:szCs w:val="32"/>
          <w:highlight w:val="none"/>
          <w:lang w:eastAsia="zh-CN"/>
        </w:rPr>
        <w:t>主要原因是：一是202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w:t>
      </w:r>
      <w:r>
        <w:rPr>
          <w:rFonts w:hint="eastAsia" w:ascii="仿宋_GB2312" w:hAnsi="仿宋_GB2312" w:eastAsia="仿宋_GB2312" w:cs="仿宋_GB2312"/>
          <w:b w:val="0"/>
          <w:bCs/>
          <w:sz w:val="32"/>
          <w:szCs w:val="32"/>
          <w:lang w:val="en-US" w:eastAsia="zh-CN"/>
        </w:rPr>
        <w:t>发放提高</w:t>
      </w:r>
      <w:r>
        <w:rPr>
          <w:rFonts w:hint="eastAsia" w:ascii="仿宋_GB2312" w:hAnsi="仿宋_GB2312" w:eastAsia="仿宋_GB2312" w:cs="仿宋_GB2312"/>
          <w:sz w:val="32"/>
          <w:szCs w:val="32"/>
          <w:lang w:eastAsia="zh-CN"/>
        </w:rPr>
        <w:t>基础绩效奖</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bCs/>
          <w:sz w:val="32"/>
          <w:szCs w:val="32"/>
          <w:lang w:val="en-US" w:eastAsia="zh-CN"/>
        </w:rPr>
        <w:t>2022-2023年调增艰边贴，</w:t>
      </w:r>
      <w:r>
        <w:rPr>
          <w:rFonts w:hint="eastAsia" w:ascii="仿宋_GB2312" w:eastAsia="仿宋_GB2312"/>
          <w:color w:val="auto"/>
          <w:spacing w:val="0"/>
          <w:sz w:val="32"/>
          <w:szCs w:val="32"/>
          <w:highlight w:val="none"/>
          <w:lang w:eastAsia="zh-CN"/>
        </w:rPr>
        <w:t>同时人员增减变动、 职级等调整，导致人员经费拨款增加；二是财政拨款项目与</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年相比，自治区转移支付项目资金增加且当年</w:t>
      </w:r>
      <w:r>
        <w:rPr>
          <w:rFonts w:hint="eastAsia" w:ascii="仿宋_GB2312" w:hAnsi="仿宋_GB2312" w:eastAsia="仿宋_GB2312" w:cs="仿宋_GB2312"/>
          <w:b w:val="0"/>
          <w:bCs/>
          <w:sz w:val="32"/>
          <w:szCs w:val="32"/>
          <w:lang w:val="en-US" w:eastAsia="zh-CN"/>
        </w:rPr>
        <w:t>新增水文测站基础</w:t>
      </w:r>
      <w:r>
        <w:rPr>
          <w:rFonts w:hint="eastAsia" w:ascii="仿宋_GB2312" w:hAnsi="仿宋_GB2312" w:eastAsia="仿宋_GB2312" w:cs="仿宋_GB2312"/>
          <w:b w:val="0"/>
          <w:bCs/>
          <w:sz w:val="32"/>
          <w:szCs w:val="32"/>
          <w:lang w:eastAsia="zh-CN"/>
        </w:rPr>
        <w:t>建项目工程</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973.59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1,826.83</w:t>
      </w:r>
      <w:r>
        <w:rPr>
          <w:rFonts w:hint="eastAsia" w:ascii="仿宋_GB2312" w:eastAsia="仿宋_GB2312"/>
          <w:color w:val="auto"/>
          <w:spacing w:val="0"/>
          <w:sz w:val="32"/>
          <w:szCs w:val="32"/>
          <w:highlight w:val="none"/>
          <w:lang w:eastAsia="zh-CN"/>
        </w:rPr>
        <w:t>万元，预决算差异率87.64%，主要原因是：一是年中追加人员经费，</w:t>
      </w:r>
      <w:r>
        <w:rPr>
          <w:rFonts w:hint="eastAsia" w:ascii="仿宋_GB2312" w:eastAsia="仿宋_GB2312"/>
          <w:color w:val="auto"/>
          <w:spacing w:val="0"/>
          <w:sz w:val="32"/>
          <w:szCs w:val="32"/>
          <w:highlight w:val="none"/>
          <w:lang w:val="en-US" w:eastAsia="zh-CN"/>
        </w:rPr>
        <w:t>其中：</w:t>
      </w:r>
      <w:r>
        <w:rPr>
          <w:rFonts w:hint="eastAsia" w:ascii="仿宋_GB2312" w:eastAsia="仿宋_GB2312"/>
          <w:color w:val="auto"/>
          <w:spacing w:val="0"/>
          <w:sz w:val="32"/>
          <w:szCs w:val="32"/>
          <w:highlight w:val="none"/>
          <w:lang w:eastAsia="zh-CN"/>
        </w:rPr>
        <w:t xml:space="preserve">年度考核奖 </w:t>
      </w:r>
      <w:r>
        <w:rPr>
          <w:rFonts w:hint="eastAsia" w:ascii="仿宋_GB2312" w:eastAsia="仿宋_GB2312"/>
          <w:color w:val="auto"/>
          <w:spacing w:val="0"/>
          <w:sz w:val="32"/>
          <w:szCs w:val="32"/>
          <w:highlight w:val="none"/>
          <w:lang w:val="en-US" w:eastAsia="zh-CN"/>
        </w:rPr>
        <w:t>36.2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提高</w:t>
      </w:r>
      <w:r>
        <w:rPr>
          <w:rFonts w:hint="eastAsia" w:ascii="仿宋_GB2312" w:eastAsia="仿宋_GB2312"/>
          <w:color w:val="auto"/>
          <w:spacing w:val="0"/>
          <w:sz w:val="32"/>
          <w:szCs w:val="32"/>
          <w:highlight w:val="none"/>
          <w:lang w:eastAsia="zh-CN"/>
        </w:rPr>
        <w:t>基础绩效奖</w:t>
      </w:r>
      <w:r>
        <w:rPr>
          <w:rFonts w:hint="eastAsia" w:ascii="仿宋_GB2312" w:eastAsia="仿宋_GB2312"/>
          <w:color w:val="auto"/>
          <w:spacing w:val="0"/>
          <w:sz w:val="32"/>
          <w:szCs w:val="32"/>
          <w:highlight w:val="none"/>
          <w:lang w:val="en-US" w:eastAsia="zh-CN"/>
        </w:rPr>
        <w:t>48.9万元；2022年-2023年调增艰边贴9.89万元及2022年新入职人员经费追加22.9万元。二是与2023年年初预算相比，年中新增</w:t>
      </w:r>
      <w:r>
        <w:rPr>
          <w:rFonts w:hint="eastAsia" w:ascii="仿宋_GB2312" w:eastAsia="仿宋_GB2312"/>
          <w:color w:val="auto"/>
          <w:spacing w:val="0"/>
          <w:sz w:val="32"/>
          <w:szCs w:val="32"/>
          <w:highlight w:val="none"/>
          <w:lang w:eastAsia="zh-CN"/>
        </w:rPr>
        <w:t>新疆国家基本水文测站提档升级建设工程（二期）</w:t>
      </w:r>
      <w:r>
        <w:rPr>
          <w:rFonts w:hint="eastAsia" w:ascii="仿宋_GB2312" w:eastAsia="仿宋_GB2312"/>
          <w:color w:val="auto"/>
          <w:spacing w:val="0"/>
          <w:sz w:val="32"/>
          <w:szCs w:val="32"/>
          <w:highlight w:val="none"/>
          <w:lang w:val="en-US" w:eastAsia="zh-CN"/>
        </w:rPr>
        <w:t>；基建支出-新财建〔2023〕及自治区水利发展资金专项（</w:t>
      </w:r>
      <w:r>
        <w:rPr>
          <w:rFonts w:hint="eastAsia" w:ascii="仿宋_GB2312" w:eastAsia="仿宋_GB2312"/>
          <w:color w:val="auto"/>
          <w:spacing w:val="0"/>
          <w:sz w:val="32"/>
          <w:szCs w:val="32"/>
          <w:highlight w:val="none"/>
          <w:lang w:eastAsia="zh-CN"/>
        </w:rPr>
        <w:t>自治区转移支付</w:t>
      </w:r>
      <w:r>
        <w:rPr>
          <w:rFonts w:hint="eastAsia" w:ascii="仿宋_GB2312" w:eastAsia="仿宋_GB2312"/>
          <w:color w:val="auto"/>
          <w:spacing w:val="0"/>
          <w:sz w:val="32"/>
          <w:szCs w:val="32"/>
          <w:highlight w:val="none"/>
          <w:lang w:val="en-US" w:eastAsia="zh-CN"/>
        </w:rPr>
        <w:t>）资金。三是年底按照相关文件要求，对退休人员医疗费进行退回，并上交国库50.99万元。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2023年度一般公共预算财政拨款支出1,724.84万元，占本年支出合计的</w:t>
      </w:r>
      <w:r>
        <w:rPr>
          <w:rFonts w:hint="eastAsia" w:ascii="仿宋_GB2312" w:eastAsia="仿宋_GB2312"/>
          <w:color w:val="auto"/>
          <w:spacing w:val="0"/>
          <w:sz w:val="32"/>
          <w:szCs w:val="32"/>
          <w:highlight w:val="none"/>
          <w:lang w:val="zh-CN" w:eastAsia="zh-CN"/>
        </w:rPr>
        <w:t>92.16%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增加641.31万元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增长59.19%，</w:t>
      </w:r>
      <w:r>
        <w:rPr>
          <w:rFonts w:hint="eastAsia" w:ascii="仿宋_GB2312" w:eastAsia="仿宋_GB2312"/>
          <w:color w:val="auto"/>
          <w:spacing w:val="0"/>
          <w:sz w:val="32"/>
          <w:szCs w:val="32"/>
          <w:highlight w:val="none"/>
          <w:lang w:eastAsia="zh-CN"/>
        </w:rPr>
        <w:t>主要原因是：一是人员工资结构变化导致人员经费支出的增加，二是财政拨款项目支出增加。与年初预算相比，年初预算数</w:t>
      </w:r>
      <w:r>
        <w:rPr>
          <w:rFonts w:hint="eastAsia" w:ascii="仿宋_GB2312" w:eastAsia="仿宋_GB2312"/>
          <w:color w:val="auto"/>
          <w:spacing w:val="0"/>
          <w:sz w:val="32"/>
          <w:szCs w:val="32"/>
          <w:highlight w:val="none"/>
          <w:lang w:val="zh-CN" w:eastAsia="zh-CN"/>
        </w:rPr>
        <w:t>973.59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1,724.84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77.16%</w:t>
      </w:r>
      <w:r>
        <w:rPr>
          <w:rFonts w:hint="eastAsia" w:ascii="仿宋_GB2312" w:eastAsia="仿宋_GB2312"/>
          <w:color w:val="auto"/>
          <w:spacing w:val="0"/>
          <w:sz w:val="32"/>
          <w:szCs w:val="32"/>
          <w:highlight w:val="none"/>
          <w:lang w:eastAsia="zh-CN"/>
        </w:rPr>
        <w:t>，主要原因是：一是年中追加</w:t>
      </w:r>
      <w:r>
        <w:rPr>
          <w:rFonts w:hint="eastAsia" w:ascii="仿宋_GB2312" w:hAnsi="仿宋_GB2312" w:eastAsia="仿宋_GB2312" w:cs="仿宋_GB2312"/>
          <w:b w:val="0"/>
          <w:bCs/>
          <w:sz w:val="32"/>
          <w:szCs w:val="32"/>
          <w:lang w:val="en-US" w:eastAsia="zh-CN"/>
        </w:rPr>
        <w:t>发放提高</w:t>
      </w:r>
      <w:r>
        <w:rPr>
          <w:rFonts w:hint="eastAsia" w:ascii="仿宋_GB2312" w:hAnsi="仿宋_GB2312" w:eastAsia="仿宋_GB2312" w:cs="仿宋_GB2312"/>
          <w:sz w:val="32"/>
          <w:szCs w:val="32"/>
          <w:lang w:eastAsia="zh-CN"/>
        </w:rPr>
        <w:t>基础绩效奖</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bCs/>
          <w:sz w:val="32"/>
          <w:szCs w:val="32"/>
          <w:lang w:val="en-US" w:eastAsia="zh-CN"/>
        </w:rPr>
        <w:t>2022-2023年调增艰边贴</w:t>
      </w:r>
      <w:r>
        <w:rPr>
          <w:rFonts w:hint="eastAsia" w:ascii="仿宋_GB2312" w:eastAsia="仿宋_GB2312"/>
          <w:color w:val="auto"/>
          <w:spacing w:val="0"/>
          <w:sz w:val="32"/>
          <w:szCs w:val="32"/>
          <w:highlight w:val="none"/>
          <w:lang w:eastAsia="zh-CN"/>
        </w:rPr>
        <w:t>，二是项目支出较</w:t>
      </w:r>
      <w:r>
        <w:rPr>
          <w:rFonts w:hint="eastAsia" w:ascii="仿宋_GB2312" w:eastAsia="仿宋_GB2312"/>
          <w:color w:val="auto"/>
          <w:spacing w:val="0"/>
          <w:sz w:val="32"/>
          <w:szCs w:val="32"/>
          <w:highlight w:val="none"/>
          <w:lang w:val="en-US" w:eastAsia="zh-CN"/>
        </w:rPr>
        <w:t>2022年项目比增加，三是</w:t>
      </w:r>
      <w:r>
        <w:rPr>
          <w:rFonts w:hint="eastAsia" w:ascii="仿宋_GB2312" w:eastAsia="仿宋_GB2312"/>
          <w:color w:val="auto"/>
          <w:spacing w:val="0"/>
          <w:sz w:val="32"/>
          <w:szCs w:val="32"/>
          <w:highlight w:val="none"/>
          <w:lang w:eastAsia="zh-CN"/>
        </w:rPr>
        <w:t xml:space="preserve">年初预算 </w:t>
      </w:r>
      <w:r>
        <w:rPr>
          <w:rFonts w:hint="eastAsia" w:ascii="仿宋_GB2312" w:eastAsia="仿宋_GB2312"/>
          <w:color w:val="auto"/>
          <w:spacing w:val="0"/>
          <w:sz w:val="32"/>
          <w:szCs w:val="32"/>
          <w:highlight w:val="none"/>
          <w:lang w:val="en-US" w:eastAsia="zh-CN"/>
        </w:rPr>
        <w:t>973.59</w:t>
      </w:r>
      <w:r>
        <w:rPr>
          <w:rFonts w:hint="eastAsia" w:ascii="仿宋_GB2312" w:eastAsia="仿宋_GB2312"/>
          <w:color w:val="auto"/>
          <w:spacing w:val="0"/>
          <w:sz w:val="32"/>
          <w:szCs w:val="32"/>
          <w:highlight w:val="none"/>
          <w:lang w:eastAsia="zh-CN"/>
        </w:rPr>
        <w:t>万元不含财政拨款结转结余；决算</w:t>
      </w:r>
      <w:r>
        <w:rPr>
          <w:rFonts w:hint="eastAsia" w:ascii="仿宋_GB2312" w:eastAsia="仿宋_GB2312"/>
          <w:color w:val="auto"/>
          <w:spacing w:val="0"/>
          <w:sz w:val="32"/>
          <w:szCs w:val="32"/>
          <w:highlight w:val="none"/>
          <w:lang w:val="en-US" w:eastAsia="zh-CN"/>
        </w:rPr>
        <w:t>1724.84</w:t>
      </w:r>
      <w:r>
        <w:rPr>
          <w:rFonts w:hint="eastAsia" w:ascii="仿宋_GB2312" w:eastAsia="仿宋_GB2312"/>
          <w:color w:val="auto"/>
          <w:spacing w:val="0"/>
          <w:sz w:val="32"/>
          <w:szCs w:val="32"/>
          <w:highlight w:val="none"/>
          <w:lang w:eastAsia="zh-CN"/>
        </w:rPr>
        <w:t xml:space="preserve"> 万元中含财政拨款结转结余数，导致预算与决算产生差异。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145.83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69.16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1,452.62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1.卫生健康支出（类）行政事业单位医疗（款）事业单位医疗（项）:支出决算数为35.77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0.71%，主要原因是：</w:t>
      </w:r>
      <w:r>
        <w:rPr>
          <w:rFonts w:hint="eastAsia" w:eastAsia="仿宋_GB2312" w:cs="Times New Roman"/>
          <w:color w:val="auto"/>
          <w:kern w:val="2"/>
          <w:sz w:val="32"/>
          <w:szCs w:val="32"/>
          <w:highlight w:val="none"/>
          <w:lang w:val="en-US" w:eastAsia="zh-CN" w:bidi="ar-SA"/>
        </w:rPr>
        <w:t>一是在职</w:t>
      </w:r>
      <w:r>
        <w:rPr>
          <w:rFonts w:hint="eastAsia" w:ascii="Times New Roman" w:hAnsi="Times New Roman" w:eastAsia="仿宋_GB2312" w:cs="Times New Roman"/>
          <w:color w:val="auto"/>
          <w:kern w:val="2"/>
          <w:sz w:val="32"/>
          <w:szCs w:val="32"/>
          <w:highlight w:val="none"/>
          <w:lang w:val="en-US" w:eastAsia="zh-CN" w:bidi="ar-SA"/>
        </w:rPr>
        <w:t>人员工资调整变动，缴纳基数调整上涨，导致本年较上年决算金额增加。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2.农林水支出（类）水利（款）水文测报（项）:支出决算数为1,069.31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299.50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38.91%，主要原因是：一</w:t>
      </w:r>
      <w:r>
        <w:rPr>
          <w:rFonts w:hint="eastAsia" w:eastAsia="仿宋_GB2312" w:cs="Times New Roman"/>
          <w:color w:val="auto"/>
          <w:kern w:val="2"/>
          <w:sz w:val="32"/>
          <w:szCs w:val="32"/>
          <w:highlight w:val="none"/>
          <w:lang w:val="en-US" w:eastAsia="zh-CN" w:bidi="ar-SA"/>
        </w:rPr>
        <w:t>是</w:t>
      </w:r>
      <w:r>
        <w:rPr>
          <w:rFonts w:hint="eastAsia" w:ascii="Times New Roman" w:hAnsi="Times New Roman" w:eastAsia="仿宋_GB2312" w:cs="Times New Roman"/>
          <w:color w:val="auto"/>
          <w:kern w:val="2"/>
          <w:sz w:val="32"/>
          <w:szCs w:val="32"/>
          <w:highlight w:val="none"/>
          <w:lang w:val="en-US" w:eastAsia="zh-CN" w:bidi="ar-SA"/>
        </w:rPr>
        <w:t>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年人员工资结构及人员增减变动，导致人员经费支出增加；二</w:t>
      </w:r>
      <w:r>
        <w:rPr>
          <w:rFonts w:hint="eastAsia" w:eastAsia="仿宋_GB2312" w:cs="Times New Roman"/>
          <w:color w:val="auto"/>
          <w:kern w:val="2"/>
          <w:sz w:val="32"/>
          <w:szCs w:val="32"/>
          <w:highlight w:val="none"/>
          <w:lang w:val="en-US" w:eastAsia="zh-CN" w:bidi="ar-SA"/>
        </w:rPr>
        <w:t>是</w:t>
      </w:r>
      <w:r>
        <w:rPr>
          <w:rFonts w:hint="eastAsia" w:ascii="Times New Roman" w:hAnsi="Times New Roman" w:eastAsia="仿宋_GB2312" w:cs="Times New Roman"/>
          <w:color w:val="auto"/>
          <w:kern w:val="2"/>
          <w:sz w:val="32"/>
          <w:szCs w:val="32"/>
          <w:highlight w:val="none"/>
          <w:lang w:val="en-US" w:eastAsia="zh-CN" w:bidi="ar-SA"/>
        </w:rPr>
        <w:t>财政拨款项目</w:t>
      </w:r>
      <w:r>
        <w:rPr>
          <w:rFonts w:hint="eastAsia" w:eastAsia="仿宋_GB2312" w:cs="Times New Roman"/>
          <w:color w:val="auto"/>
          <w:kern w:val="2"/>
          <w:sz w:val="32"/>
          <w:szCs w:val="32"/>
          <w:highlight w:val="none"/>
          <w:lang w:val="en-US" w:eastAsia="zh-CN" w:bidi="ar-SA"/>
        </w:rPr>
        <w:t>新增新疆国家基本水文测站提档升级建设工程（二期）项目</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三是使用结转结余项目。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3.卫生健康支出（类）行政事业单位医疗（款）公务员医疗补助（项）:支出决算数为33.39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20.86%，主要原因是：在职人员工资调整变动，缴纳基数调整上涨，导致本年较上年决算金额增加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4.农林水支出（类）水利（款）水利工程建设（项）:支出决算数为272.31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272.31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zh-CN" w:eastAsia="zh-CN" w:bidi="ar-SA"/>
        </w:rPr>
        <w:t>新疆维吾尔自治区“十四五”KJHL水文站网建设工程</w:t>
      </w:r>
      <w:r>
        <w:rPr>
          <w:rFonts w:hint="eastAsia" w:eastAsia="仿宋_GB2312" w:cs="Times New Roman"/>
          <w:color w:val="auto"/>
          <w:kern w:val="2"/>
          <w:sz w:val="32"/>
          <w:szCs w:val="32"/>
          <w:highlight w:val="none"/>
          <w:lang w:val="zh-CN" w:eastAsia="zh-CN" w:bidi="ar-SA"/>
        </w:rPr>
        <w:t>及使用</w:t>
      </w:r>
      <w:r>
        <w:rPr>
          <w:rFonts w:hint="eastAsia" w:eastAsia="仿宋_GB2312" w:cs="Times New Roman"/>
          <w:color w:val="auto"/>
          <w:kern w:val="2"/>
          <w:sz w:val="32"/>
          <w:szCs w:val="32"/>
          <w:highlight w:val="none"/>
          <w:lang w:val="en-US" w:eastAsia="zh-CN" w:bidi="ar-SA"/>
        </w:rPr>
        <w:t>结转结余项目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5.住房保障支出（类）住房改革支出（款）住房公积金（项）:支出决算数为57.23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15.91%，主要原因是：在职人员工资调整变动，缴纳基数 调整上涨，导致本年较上年决算金额增加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6.社会保障和就业支出（类）行政事业单位养老支出（款）事业单位离退休（项）:支出决算数为69.52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45.27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39.44%，主要原因是：</w:t>
      </w:r>
      <w:r>
        <w:rPr>
          <w:rFonts w:hint="eastAsia" w:ascii="仿宋_GB2312" w:eastAsia="仿宋_GB2312"/>
          <w:color w:val="auto"/>
          <w:spacing w:val="0"/>
          <w:sz w:val="32"/>
          <w:szCs w:val="32"/>
          <w:highlight w:val="none"/>
          <w:lang w:val="en-US" w:eastAsia="zh-CN"/>
        </w:rPr>
        <w:t>年底按照相关文件要求，对退休人员医疗费进行退回。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7.农林水支出（类）水利（款）水资源节约管理与保护（项）:支出决算数为111.00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该项目为本年新增项目。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8.社会保障和就业支出（类）行政事业单位养老支出（款）机关事业单位基本养老保险缴费支出（项）:支出决算数为76.31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15.91%，主要原因是：在职人员工资调整变动，缴纳基数调整上涨，导致本年较上年决算金额增加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2023年无新增退休人员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10.农林水支出（类）水利（款）抗旱（项）:支出决算数为0.00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2023年无该项目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948.95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891.02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57.93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办公费、水费、电费、邮电费、取暖费、差旅费、公务接待费、工会经费、福利费、公务用车运行维护费、其他交通费用、其他商品和服务支出。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“三公”经费支出8.03万元，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bookmarkStart w:id="51" w:name="_GoBack"/>
      <w:r>
        <w:rPr>
          <w:rFonts w:hint="eastAsia" w:ascii="仿宋_GB2312" w:eastAsia="仿宋_GB2312"/>
          <w:color w:val="auto"/>
          <w:sz w:val="32"/>
          <w:szCs w:val="32"/>
          <w:highlight w:val="none"/>
          <w:lang w:val="zh-CN" w:eastAsia="zh-CN"/>
        </w:rPr>
        <w:t>0.1</w:t>
      </w:r>
      <w:r>
        <w:rPr>
          <w:rFonts w:hint="eastAsia" w:ascii="仿宋_GB2312" w:eastAsia="仿宋_GB2312"/>
          <w:color w:val="auto"/>
          <w:sz w:val="32"/>
          <w:szCs w:val="32"/>
          <w:highlight w:val="none"/>
          <w:lang w:val="en-US" w:eastAsia="zh-CN"/>
        </w:rPr>
        <w:t>0</w:t>
      </w:r>
      <w:bookmarkEnd w:id="51"/>
      <w:r>
        <w:rPr>
          <w:rFonts w:hint="eastAsia" w:ascii="仿宋_GB2312" w:eastAsia="仿宋_GB2312"/>
          <w:color w:val="auto"/>
          <w:sz w:val="32"/>
          <w:szCs w:val="32"/>
          <w:highlight w:val="none"/>
          <w:lang w:val="zh-CN" w:eastAsia="zh-CN"/>
        </w:rPr>
        <w:t>万元，增长1.26%，主要原因是：</w:t>
      </w:r>
      <w:r>
        <w:rPr>
          <w:rFonts w:hint="eastAsia" w:ascii="仿宋_GB2312" w:eastAsia="仿宋_GB2312"/>
          <w:color w:val="auto"/>
          <w:sz w:val="32"/>
          <w:szCs w:val="32"/>
          <w:highlight w:val="none"/>
          <w:lang w:val="en-US" w:eastAsia="zh-CN"/>
        </w:rPr>
        <w:t>2023年新增水文巡测任务，车辆运行维护支出增加</w:t>
      </w:r>
      <w:r>
        <w:rPr>
          <w:rFonts w:hint="eastAsia" w:ascii="仿宋_GB2312" w:eastAsia="仿宋_GB2312"/>
          <w:color w:val="auto"/>
          <w:sz w:val="32"/>
          <w:szCs w:val="32"/>
          <w:highlight w:val="none"/>
          <w:lang w:val="zh-CN" w:eastAsia="zh-CN"/>
        </w:rPr>
        <w:t>。其中：因公出国（境）费支出0.00万元，占0.00%，比上年增加0.00万元，增长0.00%，主要原因是：我单位无因公出国（境）；公务用车购置及运行维护费支出7.65万元，占95.27%，比上年增加0.08万元，增长1.06%，主要原因是：本年增加无水文站巡测等相关任务，同时对E2598及16793车况安全性能进行维修，加上油价上涨，</w:t>
      </w:r>
      <w:r>
        <w:rPr>
          <w:rFonts w:hint="eastAsia" w:ascii="仿宋_GB2312" w:eastAsia="仿宋_GB2312"/>
          <w:color w:val="auto"/>
          <w:sz w:val="32"/>
          <w:szCs w:val="32"/>
          <w:highlight w:val="none"/>
          <w:lang w:val="en-US" w:eastAsia="zh-CN"/>
        </w:rPr>
        <w:t>故车辆运行维护支出增加</w:t>
      </w:r>
      <w:r>
        <w:rPr>
          <w:rFonts w:hint="eastAsia" w:ascii="仿宋_GB2312" w:eastAsia="仿宋_GB2312"/>
          <w:color w:val="auto"/>
          <w:sz w:val="32"/>
          <w:szCs w:val="32"/>
          <w:highlight w:val="none"/>
          <w:lang w:val="zh-CN" w:eastAsia="zh-CN"/>
        </w:rPr>
        <w:t>；公务接待费支出0.37万元，占4.61%，比上年增加0.02万元，增长5.71%，主要原因是：</w:t>
      </w:r>
      <w:r>
        <w:rPr>
          <w:rFonts w:hint="eastAsia" w:ascii="仿宋_GB2312" w:eastAsia="仿宋_GB2312"/>
          <w:color w:val="auto"/>
          <w:sz w:val="32"/>
          <w:szCs w:val="32"/>
          <w:highlight w:val="none"/>
          <w:lang w:val="en-US" w:eastAsia="zh-CN"/>
        </w:rPr>
        <w:t>2023年接待次数较2022年增加，导致该费用增加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公务用车购置及运行维护费7.65万元，其中：公务用车购置费0.00万元，公务用车运行维护费7.65万元。公务用车运行维护费开支内容包括车辆加油、过路费及停车费、 车辆保险及维修。公务用车购置数0辆，公务用车保有量7辆。国有资产占用情况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公务接待费0.37万元，开支内容包括接待各项检查、调研等。单位全年安排的国内公务接待8批次，32人次。</w:t>
      </w:r>
    </w:p>
    <w:p>
      <w:pPr>
        <w:pStyle w:val="3"/>
        <w:keepNext w:val="0"/>
        <w:keepLines w:val="0"/>
        <w:pageBreakBefore w:val="0"/>
        <w:widowControl w:val="0"/>
        <w:kinsoku/>
        <w:wordWrap/>
        <w:overflowPunct/>
        <w:topLinePunct w:val="0"/>
        <w:autoSpaceDE/>
        <w:autoSpaceDN/>
        <w:bidi w:val="0"/>
        <w:adjustRightInd/>
        <w:snapToGrid/>
        <w:spacing w:before="60" w:line="560" w:lineRule="exact"/>
        <w:ind w:left="21" w:right="13" w:firstLine="663"/>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预算数9.60万元，决算数8.03万元，预决算差异率-16.36%，主要原因是：我单位严格落实过“ 紧日子”要求，力争三公经费 在不超预算的提前下，严控支出。其中：因公出国（境）费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预算数9.00万元，决算数7.65万元，预决算差异率-</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val="zh-CN" w:eastAsia="zh-CN"/>
        </w:rPr>
        <w:t>%，主要原因是：我单位严格落实过“ 紧 日子”要求，力争公务用运行费在不超预算的提前下，严控公务用车运行支出；公务接待费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预算数0.60万元，决算数0.37万元，预决算差异率-3</w:t>
      </w:r>
      <w:r>
        <w:rPr>
          <w:rFonts w:hint="eastAsia" w:ascii="仿宋_GB2312" w:eastAsia="仿宋_GB2312"/>
          <w:color w:val="auto"/>
          <w:sz w:val="32"/>
          <w:szCs w:val="32"/>
          <w:highlight w:val="none"/>
          <w:lang w:val="en-US" w:eastAsia="zh-CN"/>
        </w:rPr>
        <w:t>8.33</w:t>
      </w:r>
      <w:r>
        <w:rPr>
          <w:rFonts w:hint="eastAsia" w:ascii="仿宋_GB2312" w:eastAsia="仿宋_GB2312"/>
          <w:color w:val="auto"/>
          <w:sz w:val="32"/>
          <w:szCs w:val="32"/>
          <w:highlight w:val="none"/>
          <w:lang w:val="zh-CN" w:eastAsia="zh-CN"/>
        </w:rPr>
        <w:t>%，主要原因是：</w:t>
      </w:r>
      <w:r>
        <w:rPr>
          <w:spacing w:val="5"/>
        </w:rPr>
        <w:t>我单</w:t>
      </w:r>
      <w:r>
        <w:rPr>
          <w:spacing w:val="8"/>
        </w:rPr>
        <w:t>位严格落实过“</w:t>
      </w:r>
      <w:r>
        <w:rPr>
          <w:spacing w:val="-119"/>
        </w:rPr>
        <w:t xml:space="preserve"> </w:t>
      </w:r>
      <w:r>
        <w:rPr>
          <w:spacing w:val="8"/>
        </w:rPr>
        <w:t>紧日子”要求，力争公务接</w:t>
      </w:r>
      <w:r>
        <w:rPr>
          <w:spacing w:val="7"/>
        </w:rPr>
        <w:t>待费在不超预算</w:t>
      </w:r>
      <w:bookmarkStart w:id="18" w:name="bookmark27"/>
      <w:bookmarkEnd w:id="18"/>
      <w:bookmarkStart w:id="19" w:name="bookmark25"/>
      <w:bookmarkEnd w:id="19"/>
      <w:r>
        <w:rPr>
          <w:spacing w:val="8"/>
        </w:rPr>
        <w:t>的提前下，严控接待支出。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7314"/>
      <w:bookmarkStart w:id="23"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zh-CN" w:eastAsia="zh-CN"/>
        </w:rPr>
      </w:pPr>
      <w:bookmarkStart w:id="26" w:name="_Toc26704"/>
      <w:bookmarkStart w:id="27"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塔城水文勘测局</w:t>
      </w:r>
      <w:r>
        <w:rPr>
          <w:rFonts w:hint="eastAsia" w:ascii="Times New Roman" w:hAnsi="Times New Roman" w:eastAsia="仿宋_GB2312" w:cs="Times New Roman"/>
          <w:color w:val="auto"/>
          <w:sz w:val="32"/>
          <w:szCs w:val="32"/>
          <w:highlight w:val="none"/>
          <w:lang w:val="zh-CN" w:eastAsia="zh-CN"/>
        </w:rPr>
        <w:t>（事业单位）公用经费支出57.93万元，比上年减少6.37万元，下降9.90%，主要原因是：</w:t>
      </w:r>
      <w:r>
        <w:rPr>
          <w:rFonts w:hint="eastAsia" w:eastAsia="仿宋_GB2312" w:cs="Times New Roman"/>
          <w:color w:val="auto"/>
          <w:sz w:val="32"/>
          <w:szCs w:val="32"/>
          <w:highlight w:val="none"/>
          <w:lang w:val="en-US" w:eastAsia="zh-CN"/>
        </w:rPr>
        <w:t>2023</w:t>
      </w:r>
      <w:r>
        <w:rPr>
          <w:rFonts w:hint="eastAsia" w:ascii="Times New Roman" w:hAnsi="Times New Roman" w:eastAsia="仿宋_GB2312" w:cs="Times New Roman"/>
          <w:color w:val="auto"/>
          <w:sz w:val="32"/>
          <w:szCs w:val="32"/>
          <w:highlight w:val="none"/>
          <w:lang w:val="zh-CN" w:eastAsia="zh-CN"/>
        </w:rPr>
        <w:t>年末在职43人</w:t>
      </w:r>
      <w:r>
        <w:rPr>
          <w:rFonts w:hint="eastAsia"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新增2人、调出1人、辞职1人；人均公用经费为1.36万元，较上年减少</w:t>
      </w:r>
      <w:r>
        <w:rPr>
          <w:rFonts w:hint="eastAsia" w:eastAsia="仿宋_GB2312" w:cs="Times New Roman"/>
          <w:color w:val="auto"/>
          <w:sz w:val="32"/>
          <w:szCs w:val="32"/>
          <w:highlight w:val="none"/>
          <w:lang w:val="zh-CN" w:eastAsia="zh-CN"/>
        </w:rPr>
        <w:t>，故公用经费减少。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66.89万元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其中：政府采购货物支出55.75万元、政府采购工程支出0.00万元、政府采购服务支出11.14万元。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授予中小企业合同金额60.48万元，占政府采购支出总额的90.43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，其中：授予小微企业合同金额30.69万元，占政府采购支出总额的45.89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8" w:name="_Toc4591"/>
      <w:bookmarkStart w:id="29" w:name="_Toc8391"/>
      <w:r>
        <w:rPr>
          <w:rFonts w:hint="eastAsia" w:ascii="Times New Roman" w:hAnsi="Times New Roman" w:eastAsia="黑体" w:cs="Times New Roman"/>
          <w:color w:val="auto"/>
          <w:sz w:val="32"/>
          <w:szCs w:val="30"/>
          <w:highlight w:val="none"/>
          <w:lang w:val="zh-CN" w:eastAsia="zh-CN"/>
        </w:rPr>
        <w:t>（三）国有资产占用情况说明</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3,387.72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屋8460.1平方米，价值1,138.13万元。车辆7辆，价值212.61万元，其中：副部（省）级及以上领导用车0辆、主要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用车0辆、其他用车7辆，其他用车主要是：一般公务用车；单价100万元（含）以上设备（不含车辆）0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根据预算绩效管理要求，我单位 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191.91</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191.91</w:t>
      </w:r>
      <w:r>
        <w:rPr>
          <w:rFonts w:hint="eastAsia" w:ascii="仿宋_GB2312" w:eastAsia="仿宋_GB2312"/>
          <w:color w:val="auto"/>
          <w:sz w:val="32"/>
          <w:szCs w:val="32"/>
          <w:highlight w:val="none"/>
          <w:lang w:eastAsia="zh-CN"/>
        </w:rPr>
        <w:t xml:space="preserve"> 万元。预算绩效管理取得的成效：一、加强预算绩效目标的审核，增强了绩效目标的约束力。202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年我单位对所有纳入预算的</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个项目，开展项目支出绩效自评编报工作，实现绩效了目标管理全覆盖，从机制上增强绩效目标编制的约束力。二、做好中期绩效监控。我单位求按照上级要求， 对项目预算执行进度和绩效目标完成情况进行“双监控”，对未达到支出进度和偏离绩效目标的项目资金实行预警，防止资金闲置、沉淀。发现的问题及原因：一、受评价体系科学性、评价机制合理性的限制，形成的项目绩效评价报告质量不高。二、技术支撑乏力，预算绩效评价的很多内容难以量化。下一步改进措施：一、加强制度体系的建设。二、对相</w:t>
      </w:r>
      <w:bookmarkStart w:id="32" w:name="bookmark31"/>
      <w:bookmarkEnd w:id="32"/>
      <w:r>
        <w:rPr>
          <w:rFonts w:hint="eastAsia" w:ascii="仿宋_GB2312" w:eastAsia="仿宋_GB2312"/>
          <w:color w:val="auto"/>
          <w:sz w:val="32"/>
          <w:szCs w:val="32"/>
          <w:highlight w:val="none"/>
          <w:lang w:eastAsia="zh-CN"/>
        </w:rPr>
        <w:t>关人员加强培训。</w:t>
      </w:r>
      <w:r>
        <w:rPr>
          <w:rFonts w:hint="eastAsia" w:ascii="仿宋_GB2312" w:eastAsia="仿宋_GB2312"/>
          <w:color w:val="auto"/>
          <w:sz w:val="32"/>
          <w:szCs w:val="32"/>
          <w:highlight w:val="none"/>
          <w:lang w:val="en-US" w:eastAsia="zh-CN"/>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color w:val="auto"/>
          <w:sz w:val="32"/>
          <w:szCs w:val="32"/>
          <w:highlight w:val="none"/>
          <w:lang w:val="en-US" w:eastAsia="zh-CN"/>
        </w:rPr>
      </w:pPr>
      <w:bookmarkStart w:id="33" w:name="_Toc3250"/>
      <w:bookmarkStart w:id="34" w:name="_Toc24143"/>
      <w:r>
        <w:rPr>
          <w:rFonts w:hint="eastAsia" w:ascii="仿宋_GB2312" w:eastAsia="仿宋_GB2312"/>
          <w:color w:val="auto"/>
          <w:sz w:val="32"/>
          <w:szCs w:val="32"/>
          <w:highlight w:val="none"/>
          <w:lang w:val="en-US" w:eastAsia="zh-CN"/>
        </w:rPr>
        <w:t>我单位没有其他需说明的事项。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3"/>
      <w:bookmarkEnd w:id="34"/>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6062"/>
      <w:bookmarkStart w:id="36" w:name="_Toc2183"/>
      <w:r>
        <w:rPr>
          <w:rFonts w:hint="eastAsia" w:ascii="黑体" w:hAnsi="黑体" w:eastAsia="仿宋_GB2312" w:cs="宋体"/>
          <w:bCs/>
          <w:color w:val="auto"/>
          <w:kern w:val="0"/>
          <w:sz w:val="32"/>
          <w:szCs w:val="32"/>
          <w:highlight w:val="none"/>
        </w:rPr>
        <w:t>一、《收入支出决算总表》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4532"/>
      <w:bookmarkStart w:id="38" w:name="_Toc30364"/>
      <w:r>
        <w:rPr>
          <w:rFonts w:hint="eastAsia" w:ascii="黑体" w:hAnsi="黑体" w:eastAsia="仿宋_GB2312" w:cs="宋体"/>
          <w:bCs/>
          <w:color w:val="auto"/>
          <w:kern w:val="0"/>
          <w:sz w:val="32"/>
          <w:szCs w:val="32"/>
          <w:highlight w:val="none"/>
        </w:rPr>
        <w:t>二、《收入决算表》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1304"/>
      <w:bookmarkStart w:id="40" w:name="_Toc32434"/>
      <w:r>
        <w:rPr>
          <w:rFonts w:hint="eastAsia" w:ascii="黑体" w:hAnsi="黑体" w:eastAsia="仿宋_GB2312" w:cs="宋体"/>
          <w:bCs/>
          <w:color w:val="auto"/>
          <w:kern w:val="0"/>
          <w:sz w:val="32"/>
          <w:szCs w:val="32"/>
          <w:highlight w:val="none"/>
        </w:rPr>
        <w:t>三、《支出决算表》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4238"/>
      <w:bookmarkStart w:id="42" w:name="_Toc28786"/>
      <w:r>
        <w:rPr>
          <w:rFonts w:hint="eastAsia" w:ascii="黑体" w:hAnsi="黑体" w:eastAsia="仿宋_GB2312" w:cs="宋体"/>
          <w:bCs/>
          <w:color w:val="auto"/>
          <w:kern w:val="0"/>
          <w:sz w:val="32"/>
          <w:szCs w:val="32"/>
          <w:highlight w:val="none"/>
        </w:rPr>
        <w:t>四、《财政拨款收入支出决算总表》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10347"/>
      <w:bookmarkStart w:id="44" w:name="_Toc14869"/>
      <w:r>
        <w:rPr>
          <w:rFonts w:hint="eastAsia" w:ascii="黑体" w:hAnsi="黑体" w:eastAsia="仿宋_GB2312" w:cs="宋体"/>
          <w:bCs/>
          <w:color w:val="auto"/>
          <w:kern w:val="0"/>
          <w:sz w:val="32"/>
          <w:szCs w:val="32"/>
          <w:highlight w:val="none"/>
        </w:rPr>
        <w:t>五、《一般公共预算财政拨款支出决算表》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8884"/>
      <w:bookmarkStart w:id="46" w:name="_Toc5626"/>
      <w:r>
        <w:rPr>
          <w:rFonts w:hint="eastAsia" w:ascii="黑体" w:hAnsi="黑体" w:eastAsia="仿宋_GB2312" w:cs="宋体"/>
          <w:bCs/>
          <w:color w:val="auto"/>
          <w:kern w:val="0"/>
          <w:sz w:val="32"/>
          <w:szCs w:val="32"/>
          <w:highlight w:val="none"/>
        </w:rPr>
        <w:t>六、《一般公共预算财政拨款基本支出决算表》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7" w:name="_Toc29106"/>
      <w:bookmarkStart w:id="48" w:name="_Toc32663"/>
      <w:r>
        <w:rPr>
          <w:rFonts w:hint="eastAsia" w:ascii="黑体" w:hAnsi="黑体" w:eastAsia="仿宋_GB2312" w:cs="宋体"/>
          <w:bCs/>
          <w:color w:val="auto"/>
          <w:kern w:val="0"/>
          <w:sz w:val="32"/>
          <w:szCs w:val="32"/>
          <w:highlight w:val="none"/>
        </w:rPr>
        <w:t>《财政拨款“三公”经费支出决算表》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7643"/>
      <w:bookmarkStart w:id="50" w:name="_Toc5453"/>
      <w:r>
        <w:rPr>
          <w:rFonts w:hint="eastAsia" w:ascii="黑体" w:hAnsi="黑体" w:eastAsia="仿宋_GB2312" w:cs="宋体"/>
          <w:bCs/>
          <w:color w:val="auto"/>
          <w:kern w:val="0"/>
          <w:sz w:val="32"/>
          <w:szCs w:val="32"/>
          <w:highlight w:val="none"/>
        </w:rPr>
        <w:t>八、《政府性基金预算财政拨款收入支出决算表》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0000000000000000000"/>
    <w:charset w:val="00"/>
    <w:family w:val="auto"/>
    <w:pitch w:val="default"/>
    <w:sig w:usb0="00000000" w:usb1="00000000" w:usb2="00000000" w:usb3="00000000" w:csb0="00000000"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7D51DD"/>
    <w:rsid w:val="00B70D59"/>
    <w:rsid w:val="00F52A8D"/>
    <w:rsid w:val="019404F8"/>
    <w:rsid w:val="02BD3108"/>
    <w:rsid w:val="02F73D26"/>
    <w:rsid w:val="034D4FEF"/>
    <w:rsid w:val="035D1785"/>
    <w:rsid w:val="038967DB"/>
    <w:rsid w:val="039F47CE"/>
    <w:rsid w:val="03E05CE8"/>
    <w:rsid w:val="03F973EE"/>
    <w:rsid w:val="043E5B56"/>
    <w:rsid w:val="04C04386"/>
    <w:rsid w:val="04FA68C4"/>
    <w:rsid w:val="053F5AE6"/>
    <w:rsid w:val="057C0B0F"/>
    <w:rsid w:val="05EF4B48"/>
    <w:rsid w:val="05F76ECA"/>
    <w:rsid w:val="06792773"/>
    <w:rsid w:val="07093795"/>
    <w:rsid w:val="072C325E"/>
    <w:rsid w:val="072D0D7D"/>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FA2607"/>
    <w:rsid w:val="105B0B5E"/>
    <w:rsid w:val="108A2688"/>
    <w:rsid w:val="112E58D0"/>
    <w:rsid w:val="11731CAC"/>
    <w:rsid w:val="119500A0"/>
    <w:rsid w:val="11C0733B"/>
    <w:rsid w:val="11D50D17"/>
    <w:rsid w:val="120E0809"/>
    <w:rsid w:val="127F665A"/>
    <w:rsid w:val="12F7068C"/>
    <w:rsid w:val="133C2179"/>
    <w:rsid w:val="13A07B41"/>
    <w:rsid w:val="1413230B"/>
    <w:rsid w:val="14207DC0"/>
    <w:rsid w:val="146E7994"/>
    <w:rsid w:val="1470654C"/>
    <w:rsid w:val="14B932DA"/>
    <w:rsid w:val="150A66AF"/>
    <w:rsid w:val="154C1139"/>
    <w:rsid w:val="15744C76"/>
    <w:rsid w:val="158C5B77"/>
    <w:rsid w:val="15AB3365"/>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61503F"/>
    <w:rsid w:val="1BFB2A1F"/>
    <w:rsid w:val="1C015D4A"/>
    <w:rsid w:val="1C290ED5"/>
    <w:rsid w:val="1C317E4F"/>
    <w:rsid w:val="1C472464"/>
    <w:rsid w:val="1D22799A"/>
    <w:rsid w:val="1D554EA2"/>
    <w:rsid w:val="1D5C1A72"/>
    <w:rsid w:val="1DAF458D"/>
    <w:rsid w:val="1E086ACE"/>
    <w:rsid w:val="1E573FEA"/>
    <w:rsid w:val="1E62130A"/>
    <w:rsid w:val="1E97358B"/>
    <w:rsid w:val="1EAA4A5F"/>
    <w:rsid w:val="1EE869A7"/>
    <w:rsid w:val="1F387748"/>
    <w:rsid w:val="1FA15E62"/>
    <w:rsid w:val="1FED69B6"/>
    <w:rsid w:val="2064678E"/>
    <w:rsid w:val="20DC1AB9"/>
    <w:rsid w:val="20DD6197"/>
    <w:rsid w:val="212631E0"/>
    <w:rsid w:val="21A26FDC"/>
    <w:rsid w:val="21A53757"/>
    <w:rsid w:val="221236C6"/>
    <w:rsid w:val="22675877"/>
    <w:rsid w:val="22D7662C"/>
    <w:rsid w:val="23326B7F"/>
    <w:rsid w:val="2380045B"/>
    <w:rsid w:val="23B97069"/>
    <w:rsid w:val="23BC04D2"/>
    <w:rsid w:val="23EF1892"/>
    <w:rsid w:val="24163AAE"/>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6A7F9E"/>
    <w:rsid w:val="28DF2665"/>
    <w:rsid w:val="29072599"/>
    <w:rsid w:val="291029F3"/>
    <w:rsid w:val="29751CF1"/>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8272CA"/>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965A3C"/>
    <w:rsid w:val="38B75FF0"/>
    <w:rsid w:val="38D45016"/>
    <w:rsid w:val="38D90432"/>
    <w:rsid w:val="38E7266A"/>
    <w:rsid w:val="3914510A"/>
    <w:rsid w:val="3926770B"/>
    <w:rsid w:val="398D3668"/>
    <w:rsid w:val="39DA0497"/>
    <w:rsid w:val="3A893816"/>
    <w:rsid w:val="3A893B6D"/>
    <w:rsid w:val="3AD1763A"/>
    <w:rsid w:val="3B6716E3"/>
    <w:rsid w:val="3B6C6B2D"/>
    <w:rsid w:val="3C242659"/>
    <w:rsid w:val="3C96719C"/>
    <w:rsid w:val="3CA72BE8"/>
    <w:rsid w:val="3CD1605B"/>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3C2EA5"/>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3943E5"/>
    <w:rsid w:val="454E7FD2"/>
    <w:rsid w:val="458A0244"/>
    <w:rsid w:val="45D316AB"/>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CF79C8"/>
    <w:rsid w:val="4CEE3180"/>
    <w:rsid w:val="4CF211E1"/>
    <w:rsid w:val="4D0F4AF6"/>
    <w:rsid w:val="4DF94F37"/>
    <w:rsid w:val="4E0A1DD5"/>
    <w:rsid w:val="4E3160E5"/>
    <w:rsid w:val="4E4D37AF"/>
    <w:rsid w:val="4E7B41D8"/>
    <w:rsid w:val="4E8C6496"/>
    <w:rsid w:val="4EFD18DE"/>
    <w:rsid w:val="4F144236"/>
    <w:rsid w:val="4F3F7F0F"/>
    <w:rsid w:val="4F4577EC"/>
    <w:rsid w:val="4F663C87"/>
    <w:rsid w:val="4F7E29A8"/>
    <w:rsid w:val="4F9E1FFC"/>
    <w:rsid w:val="50167375"/>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4D6E0E"/>
    <w:rsid w:val="54C811C0"/>
    <w:rsid w:val="54DF55C4"/>
    <w:rsid w:val="556A442D"/>
    <w:rsid w:val="55DA564E"/>
    <w:rsid w:val="5604127D"/>
    <w:rsid w:val="56166703"/>
    <w:rsid w:val="56510474"/>
    <w:rsid w:val="56861525"/>
    <w:rsid w:val="56A93273"/>
    <w:rsid w:val="56BD550C"/>
    <w:rsid w:val="56E07045"/>
    <w:rsid w:val="56FF28AF"/>
    <w:rsid w:val="570C29FF"/>
    <w:rsid w:val="57540E7D"/>
    <w:rsid w:val="577B4878"/>
    <w:rsid w:val="57926973"/>
    <w:rsid w:val="58175352"/>
    <w:rsid w:val="581F2200"/>
    <w:rsid w:val="583059FA"/>
    <w:rsid w:val="584A0929"/>
    <w:rsid w:val="58CD2491"/>
    <w:rsid w:val="58D872C2"/>
    <w:rsid w:val="591B41B2"/>
    <w:rsid w:val="59254A26"/>
    <w:rsid w:val="59326325"/>
    <w:rsid w:val="595C505B"/>
    <w:rsid w:val="595E55C3"/>
    <w:rsid w:val="596E7E20"/>
    <w:rsid w:val="5A60780B"/>
    <w:rsid w:val="5AB34579"/>
    <w:rsid w:val="5AFC6609"/>
    <w:rsid w:val="5B0345CC"/>
    <w:rsid w:val="5B113480"/>
    <w:rsid w:val="5BD456CE"/>
    <w:rsid w:val="5C0D1F49"/>
    <w:rsid w:val="5CBB0CE2"/>
    <w:rsid w:val="5CC17177"/>
    <w:rsid w:val="5CF306BC"/>
    <w:rsid w:val="5D3F3D64"/>
    <w:rsid w:val="5D833043"/>
    <w:rsid w:val="5DD92690"/>
    <w:rsid w:val="5DDB1CFD"/>
    <w:rsid w:val="5E7E6D93"/>
    <w:rsid w:val="5ED44800"/>
    <w:rsid w:val="5F2B3F33"/>
    <w:rsid w:val="5F350BDE"/>
    <w:rsid w:val="5F61632C"/>
    <w:rsid w:val="5FA17648"/>
    <w:rsid w:val="5FE705CB"/>
    <w:rsid w:val="60161289"/>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542F7A"/>
    <w:rsid w:val="67C304AB"/>
    <w:rsid w:val="67E932BB"/>
    <w:rsid w:val="683F0658"/>
    <w:rsid w:val="689C6793"/>
    <w:rsid w:val="68DB0208"/>
    <w:rsid w:val="68FB170C"/>
    <w:rsid w:val="691B3D98"/>
    <w:rsid w:val="693748F0"/>
    <w:rsid w:val="695A2235"/>
    <w:rsid w:val="69846A0E"/>
    <w:rsid w:val="69AD798C"/>
    <w:rsid w:val="69D005C0"/>
    <w:rsid w:val="69D80B96"/>
    <w:rsid w:val="6A5C7E72"/>
    <w:rsid w:val="6AA75A2C"/>
    <w:rsid w:val="6AF656A8"/>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6FED174A"/>
    <w:rsid w:val="702B4D16"/>
    <w:rsid w:val="70AA6621"/>
    <w:rsid w:val="7111480F"/>
    <w:rsid w:val="71261F49"/>
    <w:rsid w:val="712E6956"/>
    <w:rsid w:val="71473612"/>
    <w:rsid w:val="71504F32"/>
    <w:rsid w:val="7152309F"/>
    <w:rsid w:val="718F7F65"/>
    <w:rsid w:val="727B234E"/>
    <w:rsid w:val="72D068C7"/>
    <w:rsid w:val="72E42ED8"/>
    <w:rsid w:val="731C527D"/>
    <w:rsid w:val="735F4CB9"/>
    <w:rsid w:val="73674C62"/>
    <w:rsid w:val="73845865"/>
    <w:rsid w:val="739B6D9E"/>
    <w:rsid w:val="73BC1D76"/>
    <w:rsid w:val="73FB6630"/>
    <w:rsid w:val="74416940"/>
    <w:rsid w:val="748D790E"/>
    <w:rsid w:val="749820CC"/>
    <w:rsid w:val="74CE04EC"/>
    <w:rsid w:val="74E76DCD"/>
    <w:rsid w:val="75145B84"/>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7E34C6"/>
    <w:rsid w:val="790A6425"/>
    <w:rsid w:val="790E2D96"/>
    <w:rsid w:val="791B54B2"/>
    <w:rsid w:val="795A0A34"/>
    <w:rsid w:val="797339C3"/>
    <w:rsid w:val="79D57D57"/>
    <w:rsid w:val="79F00650"/>
    <w:rsid w:val="7A6242BF"/>
    <w:rsid w:val="7A794513"/>
    <w:rsid w:val="7AE952D2"/>
    <w:rsid w:val="7AF72565"/>
    <w:rsid w:val="7B7E14F5"/>
    <w:rsid w:val="7C976D69"/>
    <w:rsid w:val="7CD752DA"/>
    <w:rsid w:val="7CDE40AB"/>
    <w:rsid w:val="7CF057E2"/>
    <w:rsid w:val="7D1548B5"/>
    <w:rsid w:val="7D1F5561"/>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4</TotalTime>
  <ScaleCrop>false</ScaleCrop>
  <LinksUpToDate>false</LinksUpToDate>
  <CharactersWithSpaces>20940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2024-09-11T16:37:12Z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