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吐鲁番水文勘测局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firstLine="880" w:firstLineChars="200"/>
        <w:jc w:val="left"/>
        <w:textAlignment w:val="auto"/>
        <w:outlineLvl w:val="1"/>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1"/>
        <w:rPr>
          <w:rFonts w:hint="eastAsia" w:ascii="黑体" w:hAnsi="黑体" w:eastAsia="黑体" w:cs="宋体"/>
          <w:bCs/>
          <w:color w:val="auto"/>
          <w:kern w:val="0"/>
          <w:sz w:val="32"/>
          <w:szCs w:val="32"/>
          <w:highlight w:val="none"/>
          <w:lang w:val="en-US" w:eastAsia="zh-CN"/>
        </w:rPr>
      </w:pPr>
      <w:bookmarkStart w:id="0" w:name="_Toc32314"/>
      <w:bookmarkStart w:id="1" w:name="_Toc24028"/>
      <w:r>
        <w:rPr>
          <w:rFonts w:hint="eastAsia" w:ascii="黑体" w:hAnsi="黑体" w:eastAsia="黑体" w:cs="宋体"/>
          <w:bCs/>
          <w:color w:val="auto"/>
          <w:kern w:val="0"/>
          <w:sz w:val="32"/>
          <w:szCs w:val="32"/>
          <w:highlight w:val="none"/>
          <w:lang w:val="en-US" w:eastAsia="zh-CN"/>
        </w:rPr>
        <w:t>第一部分 单位概况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val="en-US" w:eastAsia="zh-CN"/>
        </w:rPr>
      </w:pPr>
      <w:bookmarkStart w:id="2" w:name="_Toc30567"/>
      <w:bookmarkStart w:id="3" w:name="_Toc30738"/>
      <w:r>
        <w:rPr>
          <w:rFonts w:hint="eastAsia" w:ascii="黑体" w:hAnsi="黑体" w:eastAsia="黑体" w:cs="宋体"/>
          <w:bCs/>
          <w:color w:val="auto"/>
          <w:kern w:val="0"/>
          <w:sz w:val="32"/>
          <w:szCs w:val="32"/>
          <w:highlight w:val="none"/>
          <w:lang w:val="en-US" w:eastAsia="zh-CN"/>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outlineLvl w:val="1"/>
        <w:rPr>
          <w:rFonts w:hint="eastAsia" w:ascii="仿宋_GB2312" w:hAnsi="宋体" w:eastAsia="仿宋_GB2312" w:cs="仿宋_GB2312"/>
          <w:i w:val="0"/>
          <w:caps w:val="0"/>
          <w:color w:val="000000"/>
          <w:spacing w:val="0"/>
          <w:sz w:val="31"/>
          <w:szCs w:val="31"/>
          <w:shd w:val="clear" w:fill="FFFFFF"/>
        </w:rPr>
      </w:pPr>
      <w:bookmarkStart w:id="4" w:name="_Toc31238"/>
      <w:bookmarkStart w:id="5" w:name="_Toc2151"/>
      <w:r>
        <w:rPr>
          <w:rFonts w:ascii="仿宋_GB2312" w:hAnsi="宋体" w:eastAsia="仿宋_GB2312" w:cs="仿宋_GB2312"/>
          <w:i w:val="0"/>
          <w:caps w:val="0"/>
          <w:color w:val="000000"/>
          <w:spacing w:val="0"/>
          <w:sz w:val="31"/>
          <w:szCs w:val="31"/>
          <w:shd w:val="clear" w:fill="FFFFFF"/>
        </w:rPr>
        <w:t>吐鲁番水文勘测局属全额拨款事业单位，主要从事吐</w:t>
      </w:r>
      <w:r>
        <w:rPr>
          <w:rFonts w:hint="eastAsia" w:ascii="仿宋_GB2312" w:hAnsi="宋体" w:eastAsia="仿宋_GB2312" w:cs="仿宋_GB2312"/>
          <w:i w:val="0"/>
          <w:caps w:val="0"/>
          <w:color w:val="000000"/>
          <w:spacing w:val="0"/>
          <w:sz w:val="31"/>
          <w:szCs w:val="31"/>
          <w:shd w:val="clear" w:fill="FFFFFF"/>
        </w:rPr>
        <w:t>鲁番市两县一区各河流水文水资源要素变化规律的研究，担负着本市的水文水资源调查评价、建设项目水资源论证、水环境监测评价、防洪抗旱、水利水电建设和为其他国民经济发展提供准确可靠的科学依据的重任。</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val="en-US" w:eastAsia="zh-CN"/>
        </w:rPr>
      </w:pPr>
      <w:r>
        <w:rPr>
          <w:rFonts w:hint="eastAsia" w:ascii="黑体" w:hAnsi="黑体" w:eastAsia="黑体" w:cs="宋体"/>
          <w:bCs/>
          <w:color w:val="auto"/>
          <w:kern w:val="0"/>
          <w:sz w:val="32"/>
          <w:szCs w:val="32"/>
          <w:highlight w:val="none"/>
          <w:lang w:val="en-US" w:eastAsia="zh-CN"/>
        </w:rPr>
        <w:t>二、机构设置及</w:t>
      </w:r>
      <w:bookmarkEnd w:id="4"/>
      <w:r>
        <w:rPr>
          <w:rFonts w:hint="eastAsia" w:ascii="黑体" w:hAnsi="黑体" w:eastAsia="黑体" w:cs="宋体"/>
          <w:bCs/>
          <w:color w:val="auto"/>
          <w:kern w:val="0"/>
          <w:sz w:val="32"/>
          <w:szCs w:val="32"/>
          <w:highlight w:val="none"/>
          <w:lang w:val="en-US" w:eastAsia="zh-CN"/>
        </w:rPr>
        <w:t>人员情况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吐鲁番水文勘测局2023年度，实有人数</w:t>
      </w:r>
      <w:r>
        <w:rPr>
          <w:rFonts w:hint="eastAsia" w:ascii="仿宋_GB2312" w:hAnsi="仿宋_GB2312" w:eastAsia="仿宋_GB2312" w:cs="仿宋_GB2312"/>
          <w:bCs/>
          <w:color w:val="auto"/>
          <w:kern w:val="0"/>
          <w:sz w:val="32"/>
          <w:szCs w:val="32"/>
          <w:highlight w:val="none"/>
          <w:lang w:val="zh-CN" w:eastAsia="zh-CN" w:bidi="ar-SA"/>
        </w:rPr>
        <w:t>51</w:t>
      </w:r>
      <w:r>
        <w:rPr>
          <w:rFonts w:hint="eastAsia" w:ascii="仿宋_GB2312" w:hAnsi="仿宋_GB2312" w:eastAsia="仿宋_GB2312" w:cs="仿宋_GB2312"/>
          <w:bCs/>
          <w:color w:val="auto"/>
          <w:kern w:val="0"/>
          <w:sz w:val="32"/>
          <w:szCs w:val="32"/>
          <w:highlight w:val="none"/>
          <w:lang w:val="en-US" w:eastAsia="zh-CN" w:bidi="ar-SA"/>
        </w:rPr>
        <w:t>人，其中：在职人员</w:t>
      </w:r>
      <w:r>
        <w:rPr>
          <w:rFonts w:hint="eastAsia" w:ascii="仿宋_GB2312" w:hAnsi="仿宋_GB2312" w:eastAsia="仿宋_GB2312" w:cs="仿宋_GB2312"/>
          <w:bCs/>
          <w:color w:val="auto"/>
          <w:kern w:val="0"/>
          <w:sz w:val="32"/>
          <w:szCs w:val="32"/>
          <w:highlight w:val="none"/>
          <w:lang w:val="zh-CN" w:eastAsia="zh-CN" w:bidi="ar-SA"/>
        </w:rPr>
        <w:t>24</w:t>
      </w:r>
      <w:r>
        <w:rPr>
          <w:rFonts w:hint="eastAsia" w:ascii="仿宋_GB2312" w:hAnsi="仿宋_GB2312" w:eastAsia="仿宋_GB2312" w:cs="仿宋_GB2312"/>
          <w:bCs/>
          <w:color w:val="auto"/>
          <w:kern w:val="0"/>
          <w:sz w:val="32"/>
          <w:szCs w:val="32"/>
          <w:highlight w:val="none"/>
          <w:lang w:val="en-US" w:eastAsia="zh-CN" w:bidi="ar-SA"/>
        </w:rPr>
        <w:t>人，离休人员</w:t>
      </w:r>
      <w:r>
        <w:rPr>
          <w:rFonts w:hint="eastAsia" w:ascii="仿宋_GB2312" w:hAnsi="仿宋_GB2312" w:eastAsia="仿宋_GB2312" w:cs="仿宋_GB2312"/>
          <w:bCs/>
          <w:color w:val="auto"/>
          <w:kern w:val="0"/>
          <w:sz w:val="32"/>
          <w:szCs w:val="32"/>
          <w:highlight w:val="none"/>
          <w:lang w:val="zh-CN" w:eastAsia="zh-CN" w:bidi="ar-SA"/>
        </w:rPr>
        <w:t>0</w:t>
      </w:r>
      <w:r>
        <w:rPr>
          <w:rFonts w:hint="eastAsia" w:ascii="仿宋_GB2312" w:hAnsi="仿宋_GB2312" w:eastAsia="仿宋_GB2312" w:cs="仿宋_GB2312"/>
          <w:bCs/>
          <w:color w:val="auto"/>
          <w:kern w:val="0"/>
          <w:sz w:val="32"/>
          <w:szCs w:val="32"/>
          <w:highlight w:val="none"/>
          <w:lang w:val="en-US" w:eastAsia="zh-CN" w:bidi="ar-SA"/>
        </w:rPr>
        <w:t>人，退休人员</w:t>
      </w:r>
      <w:r>
        <w:rPr>
          <w:rFonts w:hint="eastAsia" w:ascii="仿宋_GB2312" w:hAnsi="仿宋_GB2312" w:eastAsia="仿宋_GB2312" w:cs="仿宋_GB2312"/>
          <w:bCs/>
          <w:color w:val="auto"/>
          <w:kern w:val="0"/>
          <w:sz w:val="32"/>
          <w:szCs w:val="32"/>
          <w:highlight w:val="none"/>
          <w:lang w:val="zh-CN" w:eastAsia="zh-CN" w:bidi="ar-SA"/>
        </w:rPr>
        <w:t>27</w:t>
      </w:r>
      <w:r>
        <w:rPr>
          <w:rFonts w:hint="eastAsia" w:ascii="仿宋_GB2312" w:hAnsi="仿宋_GB2312" w:eastAsia="仿宋_GB2312" w:cs="仿宋_GB2312"/>
          <w:bCs/>
          <w:color w:val="auto"/>
          <w:kern w:val="0"/>
          <w:sz w:val="32"/>
          <w:szCs w:val="32"/>
          <w:highlight w:val="none"/>
          <w:lang w:val="en-US" w:eastAsia="zh-CN" w:bidi="ar-SA"/>
        </w:rPr>
        <w:t>人。</w:t>
      </w:r>
    </w:p>
    <w:p>
      <w:pPr>
        <w:spacing w:before="254" w:line="372" w:lineRule="auto"/>
        <w:ind w:left="36" w:firstLine="638"/>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单位无下属预算单位,下设4个科室，分别是：办公室（党建科）、技术科、水情</w:t>
      </w:r>
      <w:bookmarkStart w:id="6" w:name="bookmark4"/>
      <w:bookmarkEnd w:id="6"/>
      <w:r>
        <w:rPr>
          <w:rFonts w:hint="eastAsia" w:ascii="仿宋_GB2312" w:hAnsi="仿宋_GB2312" w:eastAsia="仿宋_GB2312" w:cs="仿宋_GB2312"/>
          <w:bCs/>
          <w:color w:val="auto"/>
          <w:kern w:val="0"/>
          <w:sz w:val="32"/>
          <w:szCs w:val="32"/>
          <w:highlight w:val="none"/>
          <w:lang w:val="en-US" w:eastAsia="zh-CN" w:bidi="ar-SA"/>
        </w:rPr>
        <w:t>科（信息科）、测验整编科。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1"/>
        <w:rPr>
          <w:rFonts w:hint="eastAsia" w:ascii="黑体" w:hAnsi="黑体" w:eastAsia="黑体" w:cs="宋体"/>
          <w:bCs/>
          <w:color w:val="auto"/>
          <w:kern w:val="0"/>
          <w:sz w:val="32"/>
          <w:szCs w:val="32"/>
          <w:highlight w:val="none"/>
          <w:lang w:val="en-US" w:eastAsia="zh-CN"/>
        </w:rPr>
      </w:pPr>
      <w:bookmarkStart w:id="7" w:name="_Toc29374"/>
      <w:bookmarkStart w:id="8" w:name="_Toc3092"/>
      <w:r>
        <w:rPr>
          <w:rFonts w:hint="eastAsia" w:ascii="黑体" w:hAnsi="黑体" w:eastAsia="黑体" w:cs="宋体"/>
          <w:bCs/>
          <w:color w:val="auto"/>
          <w:kern w:val="0"/>
          <w:sz w:val="32"/>
          <w:szCs w:val="32"/>
          <w:highlight w:val="none"/>
          <w:lang w:val="en-US" w:eastAsia="zh-CN"/>
        </w:rPr>
        <w:t>第二部分 部门决算情况说明</w:t>
      </w:r>
      <w:bookmarkEnd w:id="7"/>
      <w:bookmarkEnd w:id="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val="en-US" w:eastAsia="zh-CN"/>
        </w:rPr>
      </w:pPr>
      <w:bookmarkStart w:id="9" w:name="_Toc12566"/>
      <w:bookmarkStart w:id="10" w:name="_Toc25314"/>
      <w:r>
        <w:rPr>
          <w:rFonts w:hint="eastAsia" w:ascii="黑体" w:hAnsi="黑体" w:eastAsia="黑体" w:cs="宋体"/>
          <w:bCs/>
          <w:color w:val="auto"/>
          <w:kern w:val="0"/>
          <w:sz w:val="32"/>
          <w:szCs w:val="32"/>
          <w:highlight w:val="none"/>
          <w:lang w:val="en-US" w:eastAsia="zh-CN"/>
        </w:rPr>
        <w:t>一、收入支出决算总体情况说明</w:t>
      </w:r>
      <w:bookmarkEnd w:id="9"/>
      <w:bookmarkEnd w:id="1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769.61万元，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700.03万元，使用非财政拨款结余0.00万元，年初结转和结余69.59万元。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769.61万元，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759.45万元，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6.53万元，年末结转和结余</w:t>
      </w:r>
      <w:r>
        <w:rPr>
          <w:rFonts w:hint="eastAsia" w:ascii="仿宋_GB2312" w:eastAsia="仿宋_GB2312"/>
          <w:b w:val="0"/>
          <w:bCs w:val="0"/>
          <w:color w:val="auto"/>
          <w:spacing w:val="0"/>
          <w:sz w:val="32"/>
          <w:szCs w:val="32"/>
          <w:highlight w:val="none"/>
          <w:lang w:eastAsia="zh-CN"/>
        </w:rPr>
        <w:t>3.63</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减少64.57万元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下降7.74%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2023年较上年收入减少。1.主要是使用了上年的结转结余（财政资金）69.58万元。故本年实际财政收入较上年减少。2.2023年经营收入较上年减少。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1" w:name="_Toc1979"/>
      <w:bookmarkStart w:id="12"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1"/>
      <w:bookmarkEnd w:id="1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700.03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551.22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78.74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148.46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21.21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0.34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3" w:name="_Toc13201"/>
      <w:bookmarkStart w:id="14" w:name="_Toc27961"/>
      <w:r>
        <w:rPr>
          <w:rFonts w:hint="eastAsia" w:ascii="黑体" w:hAnsi="黑体" w:eastAsia="黑体" w:cs="宋体"/>
          <w:bCs/>
          <w:color w:val="auto"/>
          <w:kern w:val="0"/>
          <w:sz w:val="32"/>
          <w:szCs w:val="32"/>
          <w:highlight w:val="none"/>
          <w:lang w:eastAsia="zh-CN"/>
        </w:rPr>
        <w:t>三、支出决算情况说明</w:t>
      </w:r>
      <w:bookmarkEnd w:id="13"/>
      <w:bookmarkEnd w:id="1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本年支出759.45万元，其中：基本支出571.02万元，占75.19%；项目支出46.50万元，占6.12%；上缴上级支出0.00万元，占0.00%；经营支出141.93万元，占18.69%；对附属单位补助支出0.00万元，占0.00%。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5" w:name="_Toc26564"/>
      <w:bookmarkStart w:id="16" w:name="_Toc4393"/>
      <w:r>
        <w:rPr>
          <w:rFonts w:hint="eastAsia" w:ascii="黑体" w:hAnsi="黑体" w:eastAsia="黑体" w:cs="宋体"/>
          <w:bCs/>
          <w:color w:val="auto"/>
          <w:kern w:val="0"/>
          <w:sz w:val="32"/>
          <w:szCs w:val="32"/>
          <w:highlight w:val="none"/>
          <w:lang w:eastAsia="zh-CN"/>
        </w:rPr>
        <w:t>四、财政拨款收入支出决算总体情况说明</w:t>
      </w:r>
      <w:bookmarkEnd w:id="15"/>
      <w:bookmarkEnd w:id="1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620.81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69.59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551.22</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620.81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3.63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617.17</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Times New Roman" w:eastAsia="仿宋_GB2312" w:cs="Times New Roman"/>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减少62.80万元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下降9.19%，</w:t>
      </w:r>
      <w:r>
        <w:rPr>
          <w:rFonts w:hint="eastAsia" w:ascii="仿宋_GB2312" w:eastAsia="仿宋_GB2312"/>
          <w:color w:val="auto"/>
          <w:spacing w:val="0"/>
          <w:sz w:val="32"/>
          <w:szCs w:val="32"/>
          <w:highlight w:val="none"/>
          <w:lang w:eastAsia="zh-CN"/>
        </w:rPr>
        <w:t>主要原因是：</w:t>
      </w:r>
      <w:r>
        <w:rPr>
          <w:rFonts w:hint="eastAsia" w:ascii="仿宋_GB2312" w:hAnsi="Times New Roman" w:eastAsia="仿宋_GB2312" w:cs="Times New Roman"/>
          <w:color w:val="auto"/>
          <w:spacing w:val="0"/>
          <w:sz w:val="32"/>
          <w:szCs w:val="32"/>
          <w:highlight w:val="none"/>
          <w:lang w:val="en-US" w:eastAsia="zh-CN"/>
        </w:rPr>
        <w:t>主要是使用了上年财政的结转结余资金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543.94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620.81</w:t>
      </w:r>
      <w:r>
        <w:rPr>
          <w:rFonts w:hint="eastAsia" w:ascii="仿宋_GB2312" w:eastAsia="仿宋_GB2312"/>
          <w:color w:val="auto"/>
          <w:spacing w:val="0"/>
          <w:sz w:val="32"/>
          <w:szCs w:val="32"/>
          <w:highlight w:val="none"/>
          <w:lang w:eastAsia="zh-CN"/>
        </w:rPr>
        <w:t>万元，预决算差异率14.13%，主要原因是：</w:t>
      </w:r>
      <w:r>
        <w:rPr>
          <w:rFonts w:hint="eastAsia" w:ascii="仿宋_GB2312" w:hAnsi="Times New Roman" w:eastAsia="仿宋_GB2312" w:cs="Times New Roman"/>
          <w:color w:val="auto"/>
          <w:spacing w:val="0"/>
          <w:sz w:val="32"/>
          <w:szCs w:val="32"/>
          <w:highlight w:val="none"/>
          <w:lang w:val="en-US" w:eastAsia="zh-CN"/>
        </w:rPr>
        <w:t>2023年初财政拨款结转结余69.58万元，为了消化财政结转资金，2023年人员经费中使用了结转资金。故2023年财政拨款预决算数有差异。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7" w:name="_Toc13833"/>
      <w:bookmarkStart w:id="18"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7"/>
      <w:bookmarkEnd w:id="1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2023年度一般公共预算财政拨款支出617.17万元，占本年支出合计的</w:t>
      </w:r>
      <w:r>
        <w:rPr>
          <w:rFonts w:hint="eastAsia" w:ascii="仿宋_GB2312" w:eastAsia="仿宋_GB2312"/>
          <w:color w:val="auto"/>
          <w:spacing w:val="0"/>
          <w:sz w:val="32"/>
          <w:szCs w:val="32"/>
          <w:highlight w:val="none"/>
          <w:lang w:val="zh-CN" w:eastAsia="zh-CN"/>
        </w:rPr>
        <w:t>81.27%</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增加3.15万元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增长0.51%，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2023年财政项目资金增加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543.94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617.17</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13.46%</w:t>
      </w:r>
      <w:r>
        <w:rPr>
          <w:rFonts w:hint="eastAsia" w:ascii="仿宋_GB2312" w:eastAsia="仿宋_GB2312"/>
          <w:color w:val="auto"/>
          <w:spacing w:val="0"/>
          <w:sz w:val="32"/>
          <w:szCs w:val="32"/>
          <w:highlight w:val="none"/>
          <w:lang w:eastAsia="zh-CN"/>
        </w:rPr>
        <w:t>，主要原因是：当年</w:t>
      </w:r>
      <w:r>
        <w:rPr>
          <w:rFonts w:hint="eastAsia" w:ascii="仿宋_GB2312" w:hAnsi="Times New Roman" w:eastAsia="仿宋_GB2312" w:cs="Times New Roman"/>
          <w:color w:val="auto"/>
          <w:spacing w:val="0"/>
          <w:sz w:val="32"/>
          <w:szCs w:val="32"/>
          <w:highlight w:val="none"/>
          <w:lang w:val="en-US" w:eastAsia="zh-CN"/>
        </w:rPr>
        <w:t>使用了上年的</w:t>
      </w:r>
      <w:r>
        <w:rPr>
          <w:rFonts w:hint="eastAsia" w:ascii="仿宋_GB2312" w:eastAsia="仿宋_GB2312" w:cs="Times New Roman"/>
          <w:color w:val="auto"/>
          <w:spacing w:val="0"/>
          <w:sz w:val="32"/>
          <w:szCs w:val="32"/>
          <w:highlight w:val="none"/>
          <w:lang w:val="en-US" w:eastAsia="zh-CN"/>
        </w:rPr>
        <w:t>财政</w:t>
      </w:r>
      <w:r>
        <w:rPr>
          <w:rFonts w:hint="eastAsia" w:ascii="仿宋_GB2312" w:hAnsi="Times New Roman" w:eastAsia="仿宋_GB2312" w:cs="Times New Roman"/>
          <w:color w:val="auto"/>
          <w:spacing w:val="0"/>
          <w:sz w:val="32"/>
          <w:szCs w:val="32"/>
          <w:highlight w:val="none"/>
          <w:lang w:val="en-US" w:eastAsia="zh-CN"/>
        </w:rPr>
        <w:t>结转结余资金</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139.34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22.58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42.51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6.89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401.76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65.10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33.56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5.44</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ascii="仿宋" w:hAnsi="仿宋" w:eastAsia="仿宋" w:cs="仿宋"/>
          <w:i w:val="0"/>
          <w:caps w:val="0"/>
          <w:color w:val="000000"/>
          <w:spacing w:val="0"/>
          <w:sz w:val="31"/>
          <w:szCs w:val="31"/>
        </w:rPr>
      </w:pPr>
      <w:r>
        <w:rPr>
          <w:rFonts w:ascii="仿宋_GB2312" w:hAnsi="仿宋" w:eastAsia="仿宋_GB2312" w:cs="仿宋_GB2312"/>
          <w:i w:val="0"/>
          <w:caps w:val="0"/>
          <w:color w:val="000000"/>
          <w:spacing w:val="0"/>
          <w:sz w:val="31"/>
          <w:szCs w:val="31"/>
        </w:rPr>
        <w:t>1.</w:t>
      </w:r>
      <w:r>
        <w:rPr>
          <w:rFonts w:hint="eastAsia" w:ascii="仿宋_GB2312" w:hAnsi="仿宋" w:eastAsia="仿宋_GB2312" w:cs="仿宋_GB2312"/>
          <w:i w:val="0"/>
          <w:caps w:val="0"/>
          <w:color w:val="000000"/>
          <w:spacing w:val="0"/>
          <w:sz w:val="31"/>
          <w:szCs w:val="31"/>
        </w:rPr>
        <w:t>卫生健康支出（类）行政事业单位医疗（款）事业单位医疗（项）</w:t>
      </w:r>
      <w:r>
        <w:rPr>
          <w:rFonts w:hint="default" w:ascii="Times New Roman" w:hAnsi="Times New Roman" w:eastAsia="仿宋_GB2312" w:cs="Times New Roman"/>
          <w:i w:val="0"/>
          <w:caps w:val="0"/>
          <w:color w:val="000000"/>
          <w:spacing w:val="0"/>
          <w:sz w:val="31"/>
          <w:szCs w:val="31"/>
        </w:rPr>
        <w:t>:</w:t>
      </w:r>
      <w:r>
        <w:rPr>
          <w:rFonts w:hint="eastAsia" w:ascii="仿宋_GB2312" w:hAnsi="仿宋" w:eastAsia="仿宋_GB2312" w:cs="仿宋_GB2312"/>
          <w:i w:val="0"/>
          <w:caps w:val="0"/>
          <w:color w:val="000000"/>
          <w:spacing w:val="0"/>
          <w:sz w:val="31"/>
          <w:szCs w:val="31"/>
        </w:rPr>
        <w:t>支出决算数为</w:t>
      </w:r>
      <w:r>
        <w:rPr>
          <w:rFonts w:hint="default" w:ascii="Times New Roman" w:hAnsi="Times New Roman" w:eastAsia="仿宋_GB2312" w:cs="Times New Roman"/>
          <w:i w:val="0"/>
          <w:caps w:val="0"/>
          <w:color w:val="000000"/>
          <w:spacing w:val="0"/>
          <w:sz w:val="31"/>
          <w:szCs w:val="31"/>
        </w:rPr>
        <w:t>27.90</w:t>
      </w:r>
      <w:r>
        <w:rPr>
          <w:rFonts w:hint="eastAsia" w:ascii="仿宋_GB2312" w:hAnsi="仿宋" w:eastAsia="仿宋_GB2312" w:cs="仿宋_GB2312"/>
          <w:i w:val="0"/>
          <w:caps w:val="0"/>
          <w:color w:val="000000"/>
          <w:spacing w:val="0"/>
          <w:sz w:val="31"/>
          <w:szCs w:val="31"/>
        </w:rPr>
        <w:t>万元，比上年决算减少5.84万元，下降17.31%，主要原因是：</w:t>
      </w:r>
      <w:r>
        <w:rPr>
          <w:rFonts w:hint="default" w:ascii="Times New Roman" w:hAnsi="Times New Roman" w:eastAsia="仿宋_GB2312" w:cs="Times New Roman"/>
          <w:i w:val="0"/>
          <w:caps w:val="0"/>
          <w:color w:val="000000"/>
          <w:spacing w:val="0"/>
          <w:sz w:val="31"/>
          <w:szCs w:val="31"/>
        </w:rPr>
        <w:t>2023</w:t>
      </w:r>
      <w:r>
        <w:rPr>
          <w:rFonts w:hint="eastAsia" w:ascii="仿宋_GB2312" w:hAnsi="仿宋" w:eastAsia="仿宋_GB2312" w:cs="仿宋_GB2312"/>
          <w:i w:val="0"/>
          <w:caps w:val="0"/>
          <w:color w:val="000000"/>
          <w:spacing w:val="0"/>
          <w:sz w:val="31"/>
          <w:szCs w:val="31"/>
        </w:rPr>
        <w:t>年</w:t>
      </w:r>
      <w:r>
        <w:rPr>
          <w:rFonts w:hint="default" w:ascii="Times New Roman" w:hAnsi="Times New Roman" w:eastAsia="仿宋_GB2312" w:cs="Times New Roman"/>
          <w:i w:val="0"/>
          <w:caps w:val="0"/>
          <w:color w:val="000000"/>
          <w:spacing w:val="0"/>
          <w:sz w:val="31"/>
          <w:szCs w:val="31"/>
        </w:rPr>
        <w:t>11</w:t>
      </w:r>
      <w:r>
        <w:rPr>
          <w:rFonts w:hint="eastAsia" w:ascii="仿宋_GB2312" w:hAnsi="仿宋" w:eastAsia="仿宋_GB2312" w:cs="仿宋_GB2312"/>
          <w:i w:val="0"/>
          <w:caps w:val="0"/>
          <w:color w:val="000000"/>
          <w:spacing w:val="0"/>
          <w:sz w:val="31"/>
          <w:szCs w:val="31"/>
        </w:rPr>
        <w:t>月</w:t>
      </w:r>
      <w:r>
        <w:rPr>
          <w:rFonts w:hint="default" w:ascii="Times New Roman" w:hAnsi="Times New Roman" w:eastAsia="仿宋_GB2312" w:cs="Times New Roman"/>
          <w:i w:val="0"/>
          <w:caps w:val="0"/>
          <w:color w:val="000000"/>
          <w:spacing w:val="0"/>
          <w:sz w:val="31"/>
          <w:szCs w:val="31"/>
        </w:rPr>
        <w:t>31</w:t>
      </w:r>
      <w:r>
        <w:rPr>
          <w:rFonts w:hint="eastAsia" w:ascii="仿宋_GB2312" w:hAnsi="仿宋" w:eastAsia="仿宋_GB2312" w:cs="仿宋_GB2312"/>
          <w:i w:val="0"/>
          <w:caps w:val="0"/>
          <w:color w:val="000000"/>
          <w:spacing w:val="0"/>
          <w:sz w:val="31"/>
          <w:szCs w:val="31"/>
        </w:rPr>
        <w:t>日吐鲁番医保局退回了退休人员医疗，退休人员医疗不再缴纳。财政收回了年初退休人员医疗补助</w:t>
      </w:r>
      <w:r>
        <w:rPr>
          <w:rFonts w:hint="default" w:ascii="Times New Roman" w:hAnsi="Times New Roman" w:eastAsia="仿宋_GB2312" w:cs="Times New Roman"/>
          <w:i w:val="0"/>
          <w:caps w:val="0"/>
          <w:color w:val="000000"/>
          <w:spacing w:val="0"/>
          <w:sz w:val="31"/>
          <w:szCs w:val="31"/>
        </w:rPr>
        <w:t>33.80</w:t>
      </w:r>
      <w:r>
        <w:rPr>
          <w:rFonts w:hint="eastAsia" w:ascii="仿宋_GB2312" w:hAnsi="仿宋" w:eastAsia="仿宋_GB2312" w:cs="仿宋_GB2312"/>
          <w:i w:val="0"/>
          <w:caps w:val="0"/>
          <w:color w:val="000000"/>
          <w:spacing w:val="0"/>
          <w:sz w:val="31"/>
          <w:szCs w:val="31"/>
        </w:rPr>
        <w:t>万元。财政已收回。</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2.农林水支出（类）水利（款）水文测报（项）</w:t>
      </w:r>
      <w:r>
        <w:rPr>
          <w:rFonts w:hint="default" w:ascii="Times New Roman" w:hAnsi="Times New Roman" w:eastAsia="仿宋_GB2312" w:cs="Times New Roman"/>
          <w:i w:val="0"/>
          <w:caps w:val="0"/>
          <w:color w:val="000000"/>
          <w:spacing w:val="0"/>
          <w:sz w:val="31"/>
          <w:szCs w:val="31"/>
        </w:rPr>
        <w:t>:</w:t>
      </w:r>
      <w:r>
        <w:rPr>
          <w:rFonts w:hint="eastAsia" w:ascii="仿宋_GB2312" w:hAnsi="仿宋" w:eastAsia="仿宋_GB2312" w:cs="仿宋_GB2312"/>
          <w:i w:val="0"/>
          <w:caps w:val="0"/>
          <w:color w:val="000000"/>
          <w:spacing w:val="0"/>
          <w:sz w:val="31"/>
          <w:szCs w:val="31"/>
        </w:rPr>
        <w:t>支出决算数为</w:t>
      </w:r>
      <w:r>
        <w:rPr>
          <w:rFonts w:hint="default" w:ascii="Times New Roman" w:hAnsi="Times New Roman" w:eastAsia="仿宋_GB2312" w:cs="Times New Roman"/>
          <w:i w:val="0"/>
          <w:caps w:val="0"/>
          <w:color w:val="000000"/>
          <w:spacing w:val="0"/>
          <w:sz w:val="31"/>
          <w:szCs w:val="31"/>
        </w:rPr>
        <w:t>374.76</w:t>
      </w:r>
      <w:r>
        <w:rPr>
          <w:rFonts w:hint="eastAsia" w:ascii="仿宋_GB2312" w:hAnsi="仿宋" w:eastAsia="仿宋_GB2312" w:cs="仿宋_GB2312"/>
          <w:i w:val="0"/>
          <w:caps w:val="0"/>
          <w:color w:val="000000"/>
          <w:spacing w:val="0"/>
          <w:sz w:val="31"/>
          <w:szCs w:val="31"/>
        </w:rPr>
        <w:t>万元，比上年决算减少34.71万元，下降8.48%，主要原因是：2023年财政项目支出较上年度有所减少。</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255" w:beforeAutospacing="0" w:after="0" w:afterAutospacing="0" w:line="488" w:lineRule="atLeast"/>
        <w:ind w:left="0" w:right="315" w:firstLine="645"/>
        <w:jc w:val="both"/>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3.卫生健康支出（类）行政事业单位医疗（款）公务员医疗补助（项）</w:t>
      </w:r>
      <w:r>
        <w:rPr>
          <w:rFonts w:hint="default" w:ascii="Times New Roman" w:hAnsi="Times New Roman" w:eastAsia="仿宋_GB2312" w:cs="Times New Roman"/>
          <w:i w:val="0"/>
          <w:caps w:val="0"/>
          <w:color w:val="000000"/>
          <w:spacing w:val="0"/>
          <w:sz w:val="31"/>
          <w:szCs w:val="31"/>
        </w:rPr>
        <w:t>:</w:t>
      </w:r>
      <w:r>
        <w:rPr>
          <w:rFonts w:hint="eastAsia" w:ascii="仿宋_GB2312" w:hAnsi="仿宋" w:eastAsia="仿宋_GB2312" w:cs="仿宋_GB2312"/>
          <w:i w:val="0"/>
          <w:caps w:val="0"/>
          <w:color w:val="000000"/>
          <w:spacing w:val="0"/>
          <w:sz w:val="31"/>
          <w:szCs w:val="31"/>
        </w:rPr>
        <w:t>支出决算数为</w:t>
      </w:r>
      <w:r>
        <w:rPr>
          <w:rFonts w:hint="default" w:ascii="Times New Roman" w:hAnsi="Times New Roman" w:eastAsia="仿宋_GB2312" w:cs="Times New Roman"/>
          <w:i w:val="0"/>
          <w:caps w:val="0"/>
          <w:color w:val="000000"/>
          <w:spacing w:val="0"/>
          <w:sz w:val="31"/>
          <w:szCs w:val="31"/>
        </w:rPr>
        <w:t>14.61</w:t>
      </w:r>
      <w:r>
        <w:rPr>
          <w:rFonts w:hint="eastAsia" w:ascii="仿宋_GB2312" w:hAnsi="仿宋" w:eastAsia="仿宋_GB2312" w:cs="仿宋_GB2312"/>
          <w:i w:val="0"/>
          <w:caps w:val="0"/>
          <w:color w:val="000000"/>
          <w:spacing w:val="0"/>
          <w:sz w:val="31"/>
          <w:szCs w:val="31"/>
        </w:rPr>
        <w:t>万元，比上年决算增加14.61万元，增长100%，主要原因是：</w:t>
      </w:r>
      <w:r>
        <w:rPr>
          <w:rFonts w:hint="default" w:ascii="Times New Roman" w:hAnsi="Times New Roman" w:eastAsia="仿宋_GB2312" w:cs="Times New Roman"/>
          <w:i w:val="0"/>
          <w:caps w:val="0"/>
          <w:color w:val="000000"/>
          <w:spacing w:val="0"/>
          <w:sz w:val="31"/>
          <w:szCs w:val="31"/>
        </w:rPr>
        <w:t>2022</w:t>
      </w:r>
      <w:r>
        <w:rPr>
          <w:rFonts w:hint="eastAsia" w:ascii="仿宋_GB2312" w:hAnsi="仿宋" w:eastAsia="仿宋_GB2312" w:cs="仿宋_GB2312"/>
          <w:i w:val="0"/>
          <w:caps w:val="0"/>
          <w:color w:val="000000"/>
          <w:spacing w:val="0"/>
          <w:sz w:val="31"/>
          <w:szCs w:val="31"/>
        </w:rPr>
        <w:t>年年初预算时把公务员医疗补助经济科目误列入职工基本医疗缴费经济科目，故</w:t>
      </w:r>
      <w:r>
        <w:rPr>
          <w:rFonts w:hint="default" w:ascii="Times New Roman" w:hAnsi="Times New Roman" w:eastAsia="仿宋_GB2312" w:cs="Times New Roman"/>
          <w:i w:val="0"/>
          <w:caps w:val="0"/>
          <w:color w:val="000000"/>
          <w:spacing w:val="0"/>
          <w:sz w:val="31"/>
          <w:szCs w:val="31"/>
        </w:rPr>
        <w:t>2022</w:t>
      </w:r>
      <w:r>
        <w:rPr>
          <w:rFonts w:hint="eastAsia" w:ascii="仿宋_GB2312" w:hAnsi="仿宋" w:eastAsia="仿宋_GB2312" w:cs="仿宋_GB2312"/>
          <w:i w:val="0"/>
          <w:caps w:val="0"/>
          <w:color w:val="000000"/>
          <w:spacing w:val="0"/>
          <w:sz w:val="31"/>
          <w:szCs w:val="31"/>
        </w:rPr>
        <w:t>年决算数为</w:t>
      </w:r>
      <w:r>
        <w:rPr>
          <w:rFonts w:hint="default" w:ascii="Times New Roman" w:hAnsi="Times New Roman" w:eastAsia="仿宋_GB2312" w:cs="Times New Roman"/>
          <w:i w:val="0"/>
          <w:caps w:val="0"/>
          <w:color w:val="000000"/>
          <w:spacing w:val="0"/>
          <w:sz w:val="31"/>
          <w:szCs w:val="31"/>
        </w:rPr>
        <w:t>0</w:t>
      </w:r>
      <w:r>
        <w:rPr>
          <w:rFonts w:hint="eastAsia" w:ascii="仿宋_GB2312" w:hAnsi="仿宋" w:eastAsia="仿宋_GB2312" w:cs="仿宋_GB2312"/>
          <w:i w:val="0"/>
          <w:caps w:val="0"/>
          <w:color w:val="000000"/>
          <w:spacing w:val="0"/>
          <w:sz w:val="31"/>
          <w:szCs w:val="31"/>
        </w:rPr>
        <w:t>；而</w:t>
      </w:r>
      <w:r>
        <w:rPr>
          <w:rFonts w:hint="default" w:ascii="Times New Roman" w:hAnsi="Times New Roman" w:eastAsia="仿宋_GB2312" w:cs="Times New Roman"/>
          <w:i w:val="0"/>
          <w:caps w:val="0"/>
          <w:color w:val="000000"/>
          <w:spacing w:val="0"/>
          <w:sz w:val="31"/>
          <w:szCs w:val="31"/>
        </w:rPr>
        <w:t>2023</w:t>
      </w:r>
      <w:r>
        <w:rPr>
          <w:rFonts w:hint="eastAsia" w:ascii="仿宋_GB2312" w:hAnsi="仿宋" w:eastAsia="仿宋_GB2312" w:cs="仿宋_GB2312"/>
          <w:i w:val="0"/>
          <w:caps w:val="0"/>
          <w:color w:val="000000"/>
          <w:spacing w:val="0"/>
          <w:sz w:val="31"/>
          <w:szCs w:val="31"/>
        </w:rPr>
        <w:t>年年初预算按正确的经济科目计算，故造成</w:t>
      </w:r>
      <w:r>
        <w:rPr>
          <w:rFonts w:hint="default" w:ascii="Times New Roman" w:hAnsi="Times New Roman" w:eastAsia="仿宋_GB2312" w:cs="Times New Roman"/>
          <w:i w:val="0"/>
          <w:caps w:val="0"/>
          <w:color w:val="000000"/>
          <w:spacing w:val="0"/>
          <w:sz w:val="31"/>
          <w:szCs w:val="31"/>
        </w:rPr>
        <w:t>2023</w:t>
      </w:r>
      <w:r>
        <w:rPr>
          <w:rFonts w:hint="eastAsia" w:ascii="仿宋_GB2312" w:hAnsi="仿宋" w:eastAsia="仿宋_GB2312" w:cs="仿宋_GB2312"/>
          <w:i w:val="0"/>
          <w:caps w:val="0"/>
          <w:color w:val="000000"/>
          <w:spacing w:val="0"/>
          <w:sz w:val="31"/>
          <w:szCs w:val="31"/>
        </w:rPr>
        <w:t>年决算较</w:t>
      </w:r>
      <w:r>
        <w:rPr>
          <w:rFonts w:hint="default" w:ascii="Times New Roman" w:hAnsi="Times New Roman" w:eastAsia="仿宋_GB2312" w:cs="Times New Roman"/>
          <w:i w:val="0"/>
          <w:caps w:val="0"/>
          <w:color w:val="000000"/>
          <w:spacing w:val="0"/>
          <w:sz w:val="31"/>
          <w:szCs w:val="31"/>
        </w:rPr>
        <w:t>2022</w:t>
      </w:r>
      <w:r>
        <w:rPr>
          <w:rFonts w:hint="eastAsia" w:ascii="仿宋_GB2312" w:hAnsi="仿宋" w:eastAsia="仿宋_GB2312" w:cs="仿宋_GB2312"/>
          <w:i w:val="0"/>
          <w:caps w:val="0"/>
          <w:color w:val="000000"/>
          <w:spacing w:val="0"/>
          <w:sz w:val="31"/>
          <w:szCs w:val="31"/>
        </w:rPr>
        <w:t>年增加</w:t>
      </w:r>
      <w:r>
        <w:rPr>
          <w:rFonts w:hint="default" w:ascii="Times New Roman" w:hAnsi="Times New Roman" w:eastAsia="仿宋_GB2312" w:cs="Times New Roman"/>
          <w:i w:val="0"/>
          <w:caps w:val="0"/>
          <w:color w:val="000000"/>
          <w:spacing w:val="0"/>
          <w:sz w:val="31"/>
          <w:szCs w:val="31"/>
        </w:rPr>
        <w:t>100%</w:t>
      </w:r>
      <w:r>
        <w:rPr>
          <w:rFonts w:hint="eastAsia" w:ascii="仿宋_GB2312" w:hAnsi="仿宋" w:eastAsia="仿宋_GB2312" w:cs="仿宋_GB2312"/>
          <w:i w:val="0"/>
          <w:caps w:val="0"/>
          <w:color w:val="000000"/>
          <w:spacing w:val="0"/>
          <w:sz w:val="31"/>
          <w:szCs w:val="31"/>
        </w:rPr>
        <w:t>。</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4.住房保障支出（类）住房改革支出（款）住房公积金（项）</w:t>
      </w:r>
      <w:r>
        <w:rPr>
          <w:rFonts w:hint="default" w:ascii="Times New Roman" w:hAnsi="Times New Roman" w:eastAsia="仿宋_GB2312" w:cs="Times New Roman"/>
          <w:i w:val="0"/>
          <w:caps w:val="0"/>
          <w:color w:val="000000"/>
          <w:spacing w:val="0"/>
          <w:sz w:val="31"/>
          <w:szCs w:val="31"/>
        </w:rPr>
        <w:t>:</w:t>
      </w:r>
      <w:r>
        <w:rPr>
          <w:rFonts w:hint="eastAsia" w:ascii="仿宋_GB2312" w:hAnsi="仿宋" w:eastAsia="仿宋_GB2312" w:cs="仿宋_GB2312"/>
          <w:i w:val="0"/>
          <w:caps w:val="0"/>
          <w:color w:val="000000"/>
          <w:spacing w:val="0"/>
          <w:sz w:val="31"/>
          <w:szCs w:val="31"/>
        </w:rPr>
        <w:t>支出决算数为</w:t>
      </w:r>
      <w:r>
        <w:rPr>
          <w:rFonts w:hint="default" w:ascii="Times New Roman" w:hAnsi="Times New Roman" w:eastAsia="仿宋_GB2312" w:cs="Times New Roman"/>
          <w:i w:val="0"/>
          <w:caps w:val="0"/>
          <w:color w:val="000000"/>
          <w:spacing w:val="0"/>
          <w:sz w:val="31"/>
          <w:szCs w:val="31"/>
        </w:rPr>
        <w:t>33.56</w:t>
      </w:r>
      <w:r>
        <w:rPr>
          <w:rFonts w:hint="eastAsia" w:ascii="仿宋_GB2312" w:hAnsi="仿宋" w:eastAsia="仿宋_GB2312" w:cs="仿宋_GB2312"/>
          <w:i w:val="0"/>
          <w:caps w:val="0"/>
          <w:color w:val="000000"/>
          <w:spacing w:val="0"/>
          <w:sz w:val="31"/>
          <w:szCs w:val="31"/>
        </w:rPr>
        <w:t>万元，比上年决算增加3.30万元，增长10.92%，主要原因是：</w:t>
      </w:r>
      <w:r>
        <w:rPr>
          <w:rFonts w:ascii="仿宋" w:hAnsi="仿宋" w:eastAsia="仿宋" w:cs="仿宋"/>
          <w:i w:val="0"/>
          <w:caps w:val="0"/>
          <w:color w:val="000000"/>
          <w:spacing w:val="0"/>
          <w:sz w:val="31"/>
          <w:szCs w:val="31"/>
        </w:rPr>
        <w:t>2</w:t>
      </w:r>
      <w:r>
        <w:rPr>
          <w:rFonts w:hint="eastAsia" w:ascii="仿宋_GB2312" w:hAnsi="仿宋" w:eastAsia="仿宋_GB2312" w:cs="仿宋_GB2312"/>
          <w:i w:val="0"/>
          <w:caps w:val="0"/>
          <w:color w:val="000000"/>
          <w:spacing w:val="0"/>
          <w:sz w:val="31"/>
          <w:szCs w:val="31"/>
        </w:rPr>
        <w:t>023年人员工资增加，住房公积金基数增加，故住房公积金支出增加。</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255" w:beforeAutospacing="0" w:after="0" w:afterAutospacing="0" w:line="488" w:lineRule="atLeast"/>
        <w:ind w:left="30" w:right="75" w:firstLine="645"/>
        <w:jc w:val="both"/>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5.社会保障和就业支出（类）行政事业单位养老支出（款）事业单位离退休（项）</w:t>
      </w:r>
      <w:r>
        <w:rPr>
          <w:rFonts w:hint="default" w:ascii="Times New Roman" w:hAnsi="Times New Roman" w:eastAsia="仿宋_GB2312" w:cs="Times New Roman"/>
          <w:i w:val="0"/>
          <w:caps w:val="0"/>
          <w:color w:val="000000"/>
          <w:spacing w:val="0"/>
          <w:sz w:val="31"/>
          <w:szCs w:val="31"/>
        </w:rPr>
        <w:t>:</w:t>
      </w:r>
      <w:r>
        <w:rPr>
          <w:rFonts w:hint="eastAsia" w:ascii="仿宋_GB2312" w:hAnsi="仿宋" w:eastAsia="仿宋_GB2312" w:cs="仿宋_GB2312"/>
          <w:i w:val="0"/>
          <w:caps w:val="0"/>
          <w:color w:val="000000"/>
          <w:spacing w:val="0"/>
          <w:sz w:val="31"/>
          <w:szCs w:val="31"/>
        </w:rPr>
        <w:t>支出决算数为</w:t>
      </w:r>
      <w:r>
        <w:rPr>
          <w:rFonts w:hint="default" w:ascii="Times New Roman" w:hAnsi="Times New Roman" w:eastAsia="仿宋_GB2312" w:cs="Times New Roman"/>
          <w:i w:val="0"/>
          <w:caps w:val="0"/>
          <w:color w:val="000000"/>
          <w:spacing w:val="0"/>
          <w:sz w:val="31"/>
          <w:szCs w:val="31"/>
        </w:rPr>
        <w:t>79.52</w:t>
      </w:r>
      <w:r>
        <w:rPr>
          <w:rFonts w:hint="eastAsia" w:ascii="仿宋_GB2312" w:hAnsi="仿宋" w:eastAsia="仿宋_GB2312" w:cs="仿宋_GB2312"/>
          <w:i w:val="0"/>
          <w:caps w:val="0"/>
          <w:color w:val="000000"/>
          <w:spacing w:val="0"/>
          <w:sz w:val="31"/>
          <w:szCs w:val="31"/>
        </w:rPr>
        <w:t>万元，比上年决算增加</w:t>
      </w:r>
      <w:r>
        <w:rPr>
          <w:rFonts w:hint="default" w:ascii="Times New Roman" w:hAnsi="Times New Roman" w:eastAsia="仿宋_GB2312" w:cs="Times New Roman"/>
          <w:i w:val="0"/>
          <w:caps w:val="0"/>
          <w:color w:val="000000"/>
          <w:spacing w:val="0"/>
          <w:sz w:val="31"/>
          <w:szCs w:val="31"/>
        </w:rPr>
        <w:t>27.76</w:t>
      </w:r>
      <w:r>
        <w:rPr>
          <w:rFonts w:hint="eastAsia" w:ascii="仿宋_GB2312" w:hAnsi="仿宋" w:eastAsia="仿宋_GB2312" w:cs="仿宋_GB2312"/>
          <w:i w:val="0"/>
          <w:caps w:val="0"/>
          <w:color w:val="000000"/>
          <w:spacing w:val="0"/>
          <w:sz w:val="31"/>
          <w:szCs w:val="31"/>
        </w:rPr>
        <w:t>万元，增长</w:t>
      </w:r>
      <w:r>
        <w:rPr>
          <w:rFonts w:hint="default" w:ascii="Times New Roman" w:hAnsi="Times New Roman" w:eastAsia="仿宋_GB2312" w:cs="Times New Roman"/>
          <w:i w:val="0"/>
          <w:caps w:val="0"/>
          <w:color w:val="000000"/>
          <w:spacing w:val="0"/>
          <w:sz w:val="31"/>
          <w:szCs w:val="31"/>
        </w:rPr>
        <w:t>53.64%</w:t>
      </w:r>
      <w:r>
        <w:rPr>
          <w:rFonts w:hint="eastAsia" w:ascii="仿宋_GB2312" w:hAnsi="仿宋" w:eastAsia="仿宋_GB2312" w:cs="仿宋_GB2312"/>
          <w:i w:val="0"/>
          <w:caps w:val="0"/>
          <w:color w:val="000000"/>
          <w:spacing w:val="0"/>
          <w:sz w:val="31"/>
          <w:szCs w:val="31"/>
        </w:rPr>
        <w:t>，主要原因是：退休人员增加;2023年有抚恤金支出，2022年没有此项支出。</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6.农林水支出（类）水利（款）水资源节约管理与保护（项）</w:t>
      </w:r>
      <w:r>
        <w:rPr>
          <w:rFonts w:hint="default" w:ascii="Times New Roman" w:hAnsi="Times New Roman" w:eastAsia="仿宋_GB2312" w:cs="Times New Roman"/>
          <w:i w:val="0"/>
          <w:caps w:val="0"/>
          <w:color w:val="000000"/>
          <w:spacing w:val="0"/>
          <w:sz w:val="31"/>
          <w:szCs w:val="31"/>
        </w:rPr>
        <w:t>:</w:t>
      </w:r>
      <w:r>
        <w:rPr>
          <w:rFonts w:hint="eastAsia" w:ascii="仿宋_GB2312" w:hAnsi="仿宋" w:eastAsia="仿宋_GB2312" w:cs="仿宋_GB2312"/>
          <w:i w:val="0"/>
          <w:caps w:val="0"/>
          <w:color w:val="000000"/>
          <w:spacing w:val="0"/>
          <w:sz w:val="31"/>
          <w:szCs w:val="31"/>
        </w:rPr>
        <w:t>支出决算数为</w:t>
      </w:r>
      <w:r>
        <w:rPr>
          <w:rFonts w:hint="default" w:ascii="Times New Roman" w:hAnsi="Times New Roman" w:eastAsia="仿宋_GB2312" w:cs="Times New Roman"/>
          <w:i w:val="0"/>
          <w:caps w:val="0"/>
          <w:color w:val="000000"/>
          <w:spacing w:val="0"/>
          <w:sz w:val="31"/>
          <w:szCs w:val="31"/>
        </w:rPr>
        <w:t>27.00</w:t>
      </w:r>
      <w:r>
        <w:rPr>
          <w:rFonts w:hint="eastAsia" w:ascii="仿宋_GB2312" w:hAnsi="仿宋" w:eastAsia="仿宋_GB2312" w:cs="仿宋_GB2312"/>
          <w:i w:val="0"/>
          <w:caps w:val="0"/>
          <w:color w:val="000000"/>
          <w:spacing w:val="0"/>
          <w:sz w:val="31"/>
          <w:szCs w:val="31"/>
        </w:rPr>
        <w:t>万元，比上年决算增加15.00万元，增长125.00%，主要原因是：2023年工作任务加大，水资源节约管理与保护项目较上年增加15万元，实际为</w:t>
      </w:r>
      <w:r>
        <w:rPr>
          <w:rFonts w:hint="default" w:ascii="Times New Roman" w:hAnsi="Times New Roman" w:eastAsia="仿宋_GB2312" w:cs="Times New Roman"/>
          <w:i w:val="0"/>
          <w:caps w:val="0"/>
          <w:color w:val="000000"/>
          <w:spacing w:val="0"/>
          <w:sz w:val="31"/>
          <w:szCs w:val="31"/>
        </w:rPr>
        <w:t>27</w:t>
      </w:r>
      <w:r>
        <w:rPr>
          <w:rFonts w:hint="eastAsia" w:ascii="仿宋_GB2312" w:hAnsi="仿宋" w:eastAsia="仿宋_GB2312" w:cs="仿宋_GB2312"/>
          <w:i w:val="0"/>
          <w:caps w:val="0"/>
          <w:color w:val="000000"/>
          <w:spacing w:val="0"/>
          <w:sz w:val="31"/>
          <w:szCs w:val="31"/>
        </w:rPr>
        <w:t>万元，故较上年增加。</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7.社会保障和就业支出（类）行政事业单位养老支出（款）机关事业单位职业年金缴费支出（项）</w:t>
      </w:r>
      <w:r>
        <w:rPr>
          <w:rFonts w:hint="default" w:ascii="Times New Roman" w:hAnsi="Times New Roman" w:eastAsia="仿宋_GB2312" w:cs="Times New Roman"/>
          <w:i w:val="0"/>
          <w:caps w:val="0"/>
          <w:color w:val="000000"/>
          <w:spacing w:val="0"/>
          <w:sz w:val="31"/>
          <w:szCs w:val="31"/>
        </w:rPr>
        <w:t>:</w:t>
      </w:r>
      <w:r>
        <w:rPr>
          <w:rFonts w:hint="eastAsia" w:ascii="仿宋_GB2312" w:hAnsi="仿宋" w:eastAsia="仿宋_GB2312" w:cs="仿宋_GB2312"/>
          <w:i w:val="0"/>
          <w:caps w:val="0"/>
          <w:color w:val="000000"/>
          <w:spacing w:val="0"/>
          <w:sz w:val="31"/>
          <w:szCs w:val="31"/>
        </w:rPr>
        <w:t>支出决算数为</w:t>
      </w:r>
      <w:r>
        <w:rPr>
          <w:rFonts w:hint="default" w:ascii="Times New Roman" w:hAnsi="Times New Roman" w:eastAsia="仿宋_GB2312" w:cs="Times New Roman"/>
          <w:i w:val="0"/>
          <w:caps w:val="0"/>
          <w:color w:val="000000"/>
          <w:spacing w:val="0"/>
          <w:sz w:val="31"/>
          <w:szCs w:val="31"/>
        </w:rPr>
        <w:t>16.53</w:t>
      </w:r>
      <w:r>
        <w:rPr>
          <w:rFonts w:hint="eastAsia" w:ascii="仿宋_GB2312" w:hAnsi="仿宋" w:eastAsia="仿宋_GB2312" w:cs="仿宋_GB2312"/>
          <w:i w:val="0"/>
          <w:caps w:val="0"/>
          <w:color w:val="000000"/>
          <w:spacing w:val="0"/>
          <w:sz w:val="31"/>
          <w:szCs w:val="31"/>
        </w:rPr>
        <w:t>万元，比上年决算增加10.99万元，增长198.28%，主要原因是：2023年缴纳了</w:t>
      </w:r>
      <w:r>
        <w:rPr>
          <w:rFonts w:hint="default" w:ascii="Times New Roman" w:hAnsi="Times New Roman" w:eastAsia="仿宋_GB2312" w:cs="Times New Roman"/>
          <w:i w:val="0"/>
          <w:caps w:val="0"/>
          <w:color w:val="000000"/>
          <w:spacing w:val="0"/>
          <w:sz w:val="31"/>
          <w:szCs w:val="31"/>
        </w:rPr>
        <w:t>2</w:t>
      </w:r>
      <w:r>
        <w:rPr>
          <w:rFonts w:hint="eastAsia" w:ascii="仿宋_GB2312" w:hAnsi="仿宋" w:eastAsia="仿宋_GB2312" w:cs="仿宋_GB2312"/>
          <w:i w:val="0"/>
          <w:caps w:val="0"/>
          <w:color w:val="000000"/>
          <w:spacing w:val="0"/>
          <w:sz w:val="31"/>
          <w:szCs w:val="31"/>
        </w:rPr>
        <w:t>名退休人员的职业年金，而</w:t>
      </w:r>
      <w:r>
        <w:rPr>
          <w:rFonts w:hint="default" w:ascii="Times New Roman" w:hAnsi="Times New Roman" w:eastAsia="仿宋_GB2312" w:cs="Times New Roman"/>
          <w:i w:val="0"/>
          <w:caps w:val="0"/>
          <w:color w:val="000000"/>
          <w:spacing w:val="0"/>
          <w:sz w:val="31"/>
          <w:szCs w:val="31"/>
        </w:rPr>
        <w:t>2022</w:t>
      </w:r>
      <w:r>
        <w:rPr>
          <w:rFonts w:hint="eastAsia" w:ascii="仿宋_GB2312" w:hAnsi="仿宋" w:eastAsia="仿宋_GB2312" w:cs="仿宋_GB2312"/>
          <w:i w:val="0"/>
          <w:caps w:val="0"/>
          <w:color w:val="000000"/>
          <w:spacing w:val="0"/>
          <w:sz w:val="31"/>
          <w:szCs w:val="31"/>
        </w:rPr>
        <w:t>年缴纳了一个人的职业年金。</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8.社会保障和就业支出（类）行政事业单位养老支出（款）机关事业单位基本养老保险缴费支出（项）</w:t>
      </w:r>
      <w:r>
        <w:rPr>
          <w:rFonts w:hint="default" w:ascii="Times New Roman" w:hAnsi="Times New Roman" w:eastAsia="仿宋_GB2312" w:cs="Times New Roman"/>
          <w:i w:val="0"/>
          <w:caps w:val="0"/>
          <w:color w:val="000000"/>
          <w:spacing w:val="0"/>
          <w:sz w:val="31"/>
          <w:szCs w:val="31"/>
        </w:rPr>
        <w:t>:</w:t>
      </w:r>
      <w:r>
        <w:rPr>
          <w:rFonts w:hint="eastAsia" w:ascii="仿宋_GB2312" w:hAnsi="仿宋" w:eastAsia="仿宋_GB2312" w:cs="仿宋_GB2312"/>
          <w:i w:val="0"/>
          <w:caps w:val="0"/>
          <w:color w:val="000000"/>
          <w:spacing w:val="0"/>
          <w:sz w:val="31"/>
          <w:szCs w:val="31"/>
        </w:rPr>
        <w:t>支出决算数为</w:t>
      </w:r>
      <w:r>
        <w:rPr>
          <w:rFonts w:hint="default" w:ascii="Times New Roman" w:hAnsi="Times New Roman" w:eastAsia="仿宋_GB2312" w:cs="Times New Roman"/>
          <w:i w:val="0"/>
          <w:caps w:val="0"/>
          <w:color w:val="000000"/>
          <w:spacing w:val="0"/>
          <w:sz w:val="31"/>
          <w:szCs w:val="31"/>
        </w:rPr>
        <w:t>43.29</w:t>
      </w:r>
      <w:r>
        <w:rPr>
          <w:rFonts w:hint="eastAsia" w:ascii="仿宋_GB2312" w:hAnsi="仿宋" w:eastAsia="仿宋_GB2312" w:cs="仿宋_GB2312"/>
          <w:i w:val="0"/>
          <w:caps w:val="0"/>
          <w:color w:val="000000"/>
          <w:spacing w:val="0"/>
          <w:sz w:val="31"/>
          <w:szCs w:val="31"/>
        </w:rPr>
        <w:t>万元，比上年决算增加2.05万元，增长4.96%，主要原因是：</w:t>
      </w:r>
      <w:r>
        <w:rPr>
          <w:rFonts w:hint="default" w:ascii="Times New Roman" w:hAnsi="Times New Roman" w:eastAsia="仿宋_GB2312" w:cs="Times New Roman"/>
          <w:i w:val="0"/>
          <w:caps w:val="0"/>
          <w:color w:val="000000"/>
          <w:spacing w:val="0"/>
          <w:sz w:val="31"/>
          <w:szCs w:val="31"/>
        </w:rPr>
        <w:t>2023</w:t>
      </w:r>
      <w:r>
        <w:rPr>
          <w:rFonts w:hint="eastAsia" w:ascii="仿宋_GB2312" w:hAnsi="仿宋" w:eastAsia="仿宋_GB2312" w:cs="仿宋_GB2312"/>
          <w:i w:val="0"/>
          <w:caps w:val="0"/>
          <w:color w:val="000000"/>
          <w:spacing w:val="0"/>
          <w:sz w:val="31"/>
          <w:szCs w:val="31"/>
        </w:rPr>
        <w:t>年人员工资增加，事业单位养老基数增加，故事业单位养老支出增加。</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9.农林水支出（类）水利（款）抗旱（项）</w:t>
      </w:r>
      <w:r>
        <w:rPr>
          <w:rFonts w:hint="default" w:ascii="Times New Roman" w:hAnsi="Times New Roman" w:eastAsia="仿宋_GB2312" w:cs="Times New Roman"/>
          <w:i w:val="0"/>
          <w:caps w:val="0"/>
          <w:color w:val="000000"/>
          <w:spacing w:val="0"/>
          <w:sz w:val="31"/>
          <w:szCs w:val="31"/>
        </w:rPr>
        <w:t>:</w:t>
      </w:r>
      <w:r>
        <w:rPr>
          <w:rFonts w:hint="eastAsia" w:ascii="仿宋_GB2312" w:hAnsi="仿宋" w:eastAsia="仿宋_GB2312" w:cs="仿宋_GB2312"/>
          <w:i w:val="0"/>
          <w:caps w:val="0"/>
          <w:color w:val="000000"/>
          <w:spacing w:val="0"/>
          <w:sz w:val="31"/>
          <w:szCs w:val="31"/>
        </w:rPr>
        <w:t>支出决算数为</w:t>
      </w:r>
      <w:r>
        <w:rPr>
          <w:rFonts w:hint="default" w:ascii="Times New Roman" w:hAnsi="Times New Roman" w:eastAsia="仿宋_GB2312" w:cs="Times New Roman"/>
          <w:i w:val="0"/>
          <w:caps w:val="0"/>
          <w:color w:val="000000"/>
          <w:spacing w:val="0"/>
          <w:sz w:val="31"/>
          <w:szCs w:val="31"/>
        </w:rPr>
        <w:t>0.00</w:t>
      </w:r>
      <w:r>
        <w:rPr>
          <w:rFonts w:hint="eastAsia" w:ascii="仿宋_GB2312" w:hAnsi="仿宋" w:eastAsia="仿宋_GB2312" w:cs="仿宋_GB2312"/>
          <w:i w:val="0"/>
          <w:caps w:val="0"/>
          <w:color w:val="000000"/>
          <w:spacing w:val="0"/>
          <w:sz w:val="31"/>
          <w:szCs w:val="31"/>
        </w:rPr>
        <w:t>万元，比上年决算减少30.00万元，下降100%，主要原因是：2023年财政未安排水利抗旱项目。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570.67</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542.38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抚恤金、医疗费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28.29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办公费、水费、电费、邮电费、取暖费、差旅费、公务接待费、工会经费、福利费、公务用车运行维护费、其他交通费用、其他商品和服务支出。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“三公”经费支出1.40万元，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减少0.14万元，下降9.03%，主要原因是：“三公”经费遵循只减不增的原则，</w:t>
      </w:r>
      <w:r>
        <w:rPr>
          <w:rFonts w:hint="eastAsia" w:ascii="仿宋_GB2312" w:eastAsia="仿宋_GB2312"/>
          <w:color w:val="auto"/>
          <w:sz w:val="32"/>
          <w:szCs w:val="32"/>
          <w:highlight w:val="none"/>
          <w:lang w:val="en-US" w:eastAsia="zh-CN"/>
        </w:rPr>
        <w:t>2023年</w:t>
      </w:r>
      <w:r>
        <w:rPr>
          <w:rFonts w:hint="eastAsia" w:ascii="仿宋_GB2312" w:eastAsia="仿宋_GB2312"/>
          <w:color w:val="auto"/>
          <w:sz w:val="32"/>
          <w:szCs w:val="32"/>
          <w:highlight w:val="none"/>
          <w:lang w:val="zh-CN" w:eastAsia="zh-CN"/>
        </w:rPr>
        <w:t>减少财政项目公务用车运行维护费。其中：因公出国（境）费支出0.00万元，占0.00%，比上年增加0.00万元，增长0.00%，主要原因是：我单位无因公出国（境）费；公务用车购置及运行维护费支出1.30万元，占92.86%，比上年减少0.20万元，下降13.33%，主要原因是：</w:t>
      </w:r>
      <w:r>
        <w:rPr>
          <w:rFonts w:hint="eastAsia" w:ascii="仿宋_GB2312" w:eastAsia="仿宋_GB2312"/>
          <w:color w:val="auto"/>
          <w:sz w:val="32"/>
          <w:szCs w:val="32"/>
          <w:highlight w:val="none"/>
          <w:lang w:val="en-US" w:eastAsia="zh-CN"/>
        </w:rPr>
        <w:t>2023年</w:t>
      </w:r>
      <w:r>
        <w:rPr>
          <w:rFonts w:hint="eastAsia" w:ascii="仿宋_GB2312" w:eastAsia="仿宋_GB2312"/>
          <w:color w:val="auto"/>
          <w:sz w:val="32"/>
          <w:szCs w:val="32"/>
          <w:highlight w:val="none"/>
          <w:lang w:val="zh-CN" w:eastAsia="zh-CN"/>
        </w:rPr>
        <w:t>遵循“三公经费”只减不增原则，减少财政项目公务用车运行维护费；公务接待费支出0.10万元，占7.14%，比上年增加0.06万元，增长15</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2022年因静默原因，业务招待人员减少，业务招待支出也相应减少,2023年招待人员和次数增加，故2023年实际支出数较上年增加。</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rPr>
          <w:rFonts w:hint="eastAsia" w:ascii="仿宋" w:hAnsi="仿宋" w:eastAsia="仿宋" w:cs="仿宋"/>
          <w:i w:val="0"/>
          <w:caps w:val="0"/>
          <w:color w:val="000000"/>
          <w:spacing w:val="0"/>
          <w:sz w:val="31"/>
          <w:szCs w:val="31"/>
        </w:rPr>
      </w:pPr>
      <w:r>
        <w:rPr>
          <w:rFonts w:hint="eastAsia" w:ascii="仿宋_GB2312" w:eastAsia="仿宋_GB2312"/>
          <w:color w:val="auto"/>
          <w:sz w:val="32"/>
          <w:szCs w:val="32"/>
          <w:highlight w:val="none"/>
          <w:lang w:val="zh-CN" w:eastAsia="zh-CN"/>
        </w:rPr>
        <w:t>因公出国（境）费支出0.00万元，</w:t>
      </w:r>
      <w:r>
        <w:rPr>
          <w:rFonts w:hint="eastAsia" w:ascii="仿宋_GB2312" w:hAnsi="仿宋" w:eastAsia="仿宋_GB2312" w:cs="仿宋_GB2312"/>
          <w:i w:val="0"/>
          <w:caps w:val="0"/>
          <w:color w:val="000000"/>
          <w:spacing w:val="0"/>
          <w:sz w:val="31"/>
          <w:szCs w:val="31"/>
        </w:rPr>
        <w:t>开支内容包括我单位无因公出国（境）费。单位全年安排的因公出国（境）团组0个，因公出国（境）0人次。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公务用车购置及运行维护费1.30万元，其中：公务用车购置费0.00万元，公务用车运行维护费1.30万元。公务用车运行维护费开支内容包括保险费、维修费、燃油费</w:t>
      </w:r>
      <w:r>
        <w:rPr>
          <w:rFonts w:hint="eastAsia" w:ascii="仿宋_GB2312" w:eastAsia="仿宋_GB2312"/>
          <w:color w:val="auto"/>
          <w:sz w:val="32"/>
          <w:szCs w:val="32"/>
          <w:highlight w:val="none"/>
          <w:lang w:val="en-US" w:eastAsia="zh-CN"/>
        </w:rPr>
        <w:t>等</w:t>
      </w:r>
      <w:r>
        <w:rPr>
          <w:rFonts w:hint="eastAsia" w:ascii="仿宋_GB2312" w:eastAsia="仿宋_GB2312"/>
          <w:color w:val="auto"/>
          <w:sz w:val="32"/>
          <w:szCs w:val="32"/>
          <w:highlight w:val="none"/>
          <w:lang w:val="zh-CN" w:eastAsia="zh-CN"/>
        </w:rPr>
        <w:t>。公务用车购置数0辆，公务用车保有量4辆。国有资产占用情况</w:t>
      </w:r>
      <w:r>
        <w:rPr>
          <w:rFonts w:hint="eastAsia" w:ascii="仿宋_GB2312" w:eastAsia="仿宋_GB2312"/>
          <w:color w:val="auto"/>
          <w:sz w:val="32"/>
          <w:szCs w:val="32"/>
          <w:highlight w:val="none"/>
          <w:lang w:val="en-US" w:eastAsia="zh-CN"/>
        </w:rPr>
        <w:t>中固定资产车辆4</w:t>
      </w:r>
      <w:r>
        <w:rPr>
          <w:rFonts w:hint="eastAsia" w:ascii="仿宋_GB2312" w:eastAsia="仿宋_GB2312"/>
          <w:color w:val="auto"/>
          <w:sz w:val="32"/>
          <w:szCs w:val="32"/>
          <w:highlight w:val="none"/>
          <w:lang w:val="zh-CN" w:eastAsia="zh-CN"/>
        </w:rPr>
        <w:t>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保有量差异原因：固定资产车辆与公务用车保有量无差异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公务接待费0.10万元，开支内容包括接待外来人员的接待费。单位全年安排的国内公务接待</w:t>
      </w:r>
      <w:r>
        <w:rPr>
          <w:rFonts w:hint="eastAsia" w:ascii="仿宋_GB2312" w:eastAsia="仿宋_GB2312"/>
          <w:color w:val="auto"/>
          <w:sz w:val="32"/>
          <w:szCs w:val="32"/>
          <w:highlight w:val="none"/>
          <w:lang w:val="en-US" w:eastAsia="zh-CN"/>
        </w:rPr>
        <w:t>共</w:t>
      </w:r>
      <w:r>
        <w:rPr>
          <w:rFonts w:hint="eastAsia" w:ascii="仿宋_GB2312" w:eastAsia="仿宋_GB2312"/>
          <w:color w:val="auto"/>
          <w:sz w:val="32"/>
          <w:szCs w:val="32"/>
          <w:highlight w:val="none"/>
          <w:lang w:val="zh-CN" w:eastAsia="zh-CN"/>
        </w:rPr>
        <w:t>2批次，12人次。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预算数1.40万元，决算数1.40万元，预决算差异率0.00%，主要原因是：严格按年初预算执行。其中：因公出国（境）费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预算数1.30万元，决算数1.30万元，预决算差异率0.00%，主要原因是：严格按年初预算执行；公务接待费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预算数0.10万元，决算数0.10万元，预决算差异率0.00%，主要原因是：严格按年初预算执行。</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9" w:name="_Toc7927"/>
      <w:bookmarkStart w:id="20"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9"/>
      <w:bookmarkEnd w:id="20"/>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1" w:name="_Toc7314"/>
      <w:bookmarkStart w:id="22"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1"/>
      <w:bookmarkEnd w:id="2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3" w:name="_Toc14519"/>
      <w:bookmarkStart w:id="24"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3"/>
      <w:bookmarkEnd w:id="24"/>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bookmarkStart w:id="25" w:name="_Toc227"/>
      <w:bookmarkStart w:id="26" w:name="_Toc26704"/>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吐鲁番水文勘测局</w:t>
      </w:r>
      <w:r>
        <w:rPr>
          <w:rFonts w:hint="eastAsia" w:ascii="仿宋_GB2312" w:eastAsia="仿宋_GB2312"/>
          <w:color w:val="auto"/>
          <w:sz w:val="32"/>
          <w:szCs w:val="32"/>
          <w:highlight w:val="none"/>
          <w:lang w:val="zh-CN" w:eastAsia="zh-CN"/>
        </w:rPr>
        <w:t>（事业单位）公用经费支出28.29万元，比上年减少3.66万元，下降11.45%，主要原因是：在职人员减少，公用经费减少</w:t>
      </w:r>
      <w:bookmarkStart w:id="49" w:name="_GoBack"/>
      <w:bookmarkEnd w:id="49"/>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5"/>
      <w:bookmarkEnd w:id="26"/>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2023年度政府采购支出总额48.52万元，其中：政府采购货物支出28.47万元、政府采购工程支出0.00万元、政府采购服务支出20.05万元。</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授予中小企业合同金额48.52万元，占政府采购支出总额的100.00</w:t>
      </w:r>
      <w:r>
        <w:rPr>
          <w:rFonts w:hint="default"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zh-CN" w:eastAsia="zh-CN"/>
        </w:rPr>
        <w:t>，其中：授予小微企业合同金额48.28万元，占政府采购支出总额的99.52</w:t>
      </w:r>
      <w:r>
        <w:rPr>
          <w:rFonts w:hint="default"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7" w:name="_Toc8391"/>
      <w:bookmarkStart w:id="28" w:name="_Toc4591"/>
      <w:r>
        <w:rPr>
          <w:rFonts w:hint="eastAsia" w:ascii="Times New Roman" w:hAnsi="Times New Roman" w:eastAsia="黑体" w:cs="Times New Roman"/>
          <w:color w:val="auto"/>
          <w:sz w:val="32"/>
          <w:szCs w:val="30"/>
          <w:highlight w:val="none"/>
          <w:lang w:val="zh-CN" w:eastAsia="zh-CN"/>
        </w:rPr>
        <w:t>（三）国有资产占用情况说明</w:t>
      </w:r>
      <w:bookmarkEnd w:id="27"/>
      <w:bookmarkEnd w:id="28"/>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截至2023</w:t>
      </w:r>
      <w:r>
        <w:rPr>
          <w:rFonts w:hint="eastAsia" w:ascii="仿宋_GB2312" w:eastAsia="仿宋_GB2312"/>
          <w:color w:val="auto"/>
          <w:sz w:val="32"/>
          <w:szCs w:val="32"/>
          <w:highlight w:val="none"/>
          <w:lang w:val="zh-CN" w:eastAsia="zh-CN"/>
        </w:rPr>
        <w:t>年</w:t>
      </w:r>
      <w:r>
        <w:rPr>
          <w:rFonts w:hint="eastAsia" w:ascii="仿宋_GB2312" w:eastAsia="仿宋_GB2312"/>
          <w:color w:val="auto"/>
          <w:sz w:val="32"/>
          <w:szCs w:val="32"/>
          <w:highlight w:val="none"/>
          <w:lang w:val="en-US" w:eastAsia="zh-CN"/>
        </w:rPr>
        <w:t>12月31日</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固定资产原值</w:t>
      </w:r>
      <w:r>
        <w:rPr>
          <w:rFonts w:hint="eastAsia" w:ascii="仿宋_GB2312" w:eastAsia="仿宋_GB2312"/>
          <w:color w:val="auto"/>
          <w:sz w:val="32"/>
          <w:szCs w:val="32"/>
          <w:highlight w:val="none"/>
          <w:lang w:val="zh-CN" w:eastAsia="zh-CN"/>
        </w:rPr>
        <w:t>1,285.17</w:t>
      </w:r>
      <w:r>
        <w:rPr>
          <w:rFonts w:hint="eastAsia" w:ascii="仿宋_GB2312" w:eastAsia="仿宋_GB2312"/>
          <w:color w:val="auto"/>
          <w:sz w:val="32"/>
          <w:szCs w:val="32"/>
          <w:highlight w:val="none"/>
          <w:lang w:val="en-US" w:eastAsia="zh-CN"/>
        </w:rPr>
        <w:t>万元，房</w:t>
      </w:r>
      <w:r>
        <w:rPr>
          <w:rFonts w:hint="eastAsia" w:ascii="仿宋_GB2312" w:eastAsia="仿宋_GB2312"/>
          <w:color w:val="auto"/>
          <w:sz w:val="32"/>
          <w:szCs w:val="32"/>
          <w:highlight w:val="none"/>
          <w:lang w:val="zh-CN" w:eastAsia="zh-CN"/>
        </w:rPr>
        <w:t>屋5415.5平方米，价值522.92万元。车辆4辆，价值85.66万元，其中：副部（省）级及以上领导用车0辆、主要</w:t>
      </w:r>
      <w:r>
        <w:rPr>
          <w:rFonts w:hint="eastAsia" w:ascii="仿宋_GB2312" w:eastAsia="仿宋_GB2312"/>
          <w:color w:val="auto"/>
          <w:sz w:val="32"/>
          <w:szCs w:val="32"/>
          <w:highlight w:val="none"/>
          <w:lang w:val="en-US" w:eastAsia="zh-CN"/>
        </w:rPr>
        <w:t>负责人</w:t>
      </w:r>
      <w:r>
        <w:rPr>
          <w:rFonts w:hint="eastAsia" w:ascii="仿宋_GB2312" w:eastAsia="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eastAsia="仿宋_GB2312"/>
          <w:color w:val="auto"/>
          <w:sz w:val="32"/>
          <w:szCs w:val="32"/>
          <w:highlight w:val="none"/>
          <w:lang w:val="en-US" w:eastAsia="zh-CN"/>
        </w:rPr>
        <w:t>服务</w:t>
      </w:r>
      <w:r>
        <w:rPr>
          <w:rFonts w:hint="eastAsia" w:ascii="仿宋_GB2312" w:eastAsia="仿宋_GB2312"/>
          <w:color w:val="auto"/>
          <w:sz w:val="32"/>
          <w:szCs w:val="32"/>
          <w:highlight w:val="none"/>
          <w:lang w:val="zh-CN" w:eastAsia="zh-CN"/>
        </w:rPr>
        <w:t>用车0辆、其他用车4辆，其他用车主要是：一般公务用车；单价100万元（含）以上设备（不含车辆）0</w:t>
      </w:r>
      <w:r>
        <w:rPr>
          <w:rFonts w:hint="eastAsia" w:ascii="仿宋_GB2312" w:eastAsia="仿宋_GB2312"/>
          <w:color w:val="auto"/>
          <w:sz w:val="32"/>
          <w:szCs w:val="32"/>
          <w:highlight w:val="none"/>
          <w:lang w:val="en-US" w:eastAsia="zh-CN"/>
        </w:rPr>
        <w:t>台（</w:t>
      </w:r>
      <w:r>
        <w:rPr>
          <w:rFonts w:hint="eastAsia" w:ascii="仿宋_GB2312" w:eastAsia="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9" w:name="_Toc11283"/>
      <w:bookmarkStart w:id="30"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9"/>
      <w:bookmarkEnd w:id="30"/>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lang w:val="en-US" w:eastAsia="zh-CN"/>
        </w:rPr>
        <w:t>年初</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全年预算数175.83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全年执行数161.43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w:t>
      </w:r>
      <w:r>
        <w:rPr>
          <w:rFonts w:hint="eastAsia" w:ascii="仿宋_GB2312" w:hAnsi="仿宋_GB2312" w:eastAsia="仿宋_GB2312" w:cs="仿宋_GB2312"/>
          <w:color w:val="auto"/>
          <w:kern w:val="0"/>
          <w:sz w:val="32"/>
          <w:szCs w:val="32"/>
          <w:highlight w:val="none"/>
        </w:rPr>
        <w:t>管理制度更加健全</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标准体系更加完善</w:t>
      </w:r>
      <w:r>
        <w:rPr>
          <w:rFonts w:hint="eastAsia" w:ascii="仿宋_GB2312" w:eastAsia="仿宋_GB2312"/>
          <w:color w:val="auto"/>
          <w:sz w:val="32"/>
          <w:szCs w:val="32"/>
          <w:highlight w:val="none"/>
          <w:lang w:eastAsia="zh-CN"/>
        </w:rPr>
        <w:t>；二是</w:t>
      </w:r>
      <w:r>
        <w:rPr>
          <w:rFonts w:hint="eastAsia" w:ascii="仿宋_GB2312" w:hAnsi="仿宋_GB2312" w:eastAsia="仿宋_GB2312" w:cs="仿宋_GB2312"/>
          <w:color w:val="auto"/>
          <w:kern w:val="0"/>
          <w:sz w:val="32"/>
          <w:szCs w:val="32"/>
          <w:highlight w:val="none"/>
        </w:rPr>
        <w:t>公开机制更加完备，考核推动机制更加巩固</w:t>
      </w:r>
      <w:r>
        <w:rPr>
          <w:rFonts w:hint="eastAsia" w:ascii="仿宋_GB2312" w:eastAsia="仿宋_GB2312"/>
          <w:color w:val="auto"/>
          <w:sz w:val="32"/>
          <w:szCs w:val="32"/>
          <w:highlight w:val="none"/>
          <w:lang w:eastAsia="zh-CN"/>
        </w:rPr>
        <w:t>。发现的问题及原因：一是</w:t>
      </w:r>
      <w:r>
        <w:rPr>
          <w:rFonts w:hint="eastAsia" w:ascii="仿宋_GB2312" w:hAnsi="仿宋_GB2312" w:eastAsia="仿宋_GB2312" w:cs="仿宋_GB2312"/>
          <w:color w:val="auto"/>
          <w:kern w:val="0"/>
          <w:sz w:val="32"/>
          <w:szCs w:val="32"/>
          <w:highlight w:val="none"/>
        </w:rPr>
        <w:t>绩效评价结果应用程度不够，推动作用有局限</w:t>
      </w:r>
      <w:r>
        <w:rPr>
          <w:rFonts w:hint="eastAsia" w:ascii="仿宋_GB2312" w:hAnsi="仿宋_GB2312" w:eastAsia="仿宋_GB2312" w:cs="仿宋_GB2312"/>
          <w:color w:val="auto"/>
          <w:kern w:val="0"/>
          <w:sz w:val="32"/>
          <w:szCs w:val="32"/>
          <w:highlight w:val="none"/>
          <w:lang w:eastAsia="zh-CN"/>
        </w:rPr>
        <w:t>；二是</w:t>
      </w:r>
      <w:r>
        <w:rPr>
          <w:rFonts w:hint="eastAsia" w:ascii="仿宋_GB2312" w:hAnsi="仿宋_GB2312" w:eastAsia="仿宋_GB2312" w:cs="仿宋_GB2312"/>
          <w:color w:val="auto"/>
          <w:kern w:val="0"/>
          <w:sz w:val="32"/>
          <w:szCs w:val="32"/>
          <w:highlight w:val="none"/>
        </w:rPr>
        <w:t>财政绩效管理工作应全面贯穿于预算编制、执行和监督各个环节</w:t>
      </w:r>
      <w:r>
        <w:rPr>
          <w:rFonts w:hint="eastAsia" w:ascii="仿宋_GB2312" w:hAnsi="仿宋_GB2312" w:eastAsia="仿宋_GB2312" w:cs="仿宋_GB2312"/>
          <w:color w:val="auto"/>
          <w:kern w:val="0"/>
          <w:sz w:val="32"/>
          <w:szCs w:val="32"/>
          <w:highlight w:val="none"/>
          <w:lang w:eastAsia="zh-CN"/>
        </w:rPr>
        <w:t>。下一步改进措施：一是</w:t>
      </w:r>
      <w:r>
        <w:rPr>
          <w:rFonts w:hint="eastAsia" w:ascii="仿宋_GB2312" w:hAnsi="仿宋_GB2312" w:eastAsia="仿宋_GB2312" w:cs="仿宋_GB2312"/>
          <w:color w:val="auto"/>
          <w:kern w:val="0"/>
          <w:sz w:val="32"/>
          <w:szCs w:val="32"/>
          <w:highlight w:val="none"/>
        </w:rPr>
        <w:t>将绩效评价结果合理借鉴，运用到下年度的部门预算工作中</w:t>
      </w:r>
      <w:r>
        <w:rPr>
          <w:rFonts w:hint="eastAsia" w:ascii="仿宋_GB2312" w:hAnsi="仿宋_GB2312" w:eastAsia="仿宋_GB2312" w:cs="仿宋_GB2312"/>
          <w:color w:val="auto"/>
          <w:kern w:val="0"/>
          <w:sz w:val="32"/>
          <w:szCs w:val="32"/>
          <w:highlight w:val="none"/>
          <w:lang w:eastAsia="zh-CN"/>
        </w:rPr>
        <w:t>；二是</w:t>
      </w:r>
      <w:r>
        <w:rPr>
          <w:rFonts w:hint="eastAsia" w:ascii="仿宋_GB2312" w:hAnsi="仿宋_GB2312" w:eastAsia="仿宋_GB2312" w:cs="仿宋_GB2312"/>
          <w:color w:val="auto"/>
          <w:kern w:val="0"/>
          <w:sz w:val="32"/>
          <w:szCs w:val="32"/>
          <w:highlight w:val="none"/>
        </w:rPr>
        <w:t>加快完善绩效评价制度体系，积极推进财政支出绩效评</w:t>
      </w:r>
      <w:r>
        <w:rPr>
          <w:rFonts w:hint="eastAsia" w:ascii="仿宋_GB2312" w:eastAsia="仿宋_GB2312"/>
          <w:color w:val="auto"/>
          <w:sz w:val="32"/>
          <w:szCs w:val="32"/>
          <w:highlight w:val="none"/>
          <w:lang w:val="zh-CN" w:eastAsia="zh-CN"/>
        </w:rPr>
        <w:t>价制度建设，制定出《水文系统绩效评价实施办法》对财政支出绩效评价重点，实施范围、步骤、行为主体、操作程序、指标体系设定，结果运用等方面作出明确规定，强化绩效评价目标在预算管理中的导向作用，促进财政支出绩效管理水平提高。具体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1" w:name="_Toc24143"/>
      <w:bookmarkStart w:id="32" w:name="_Toc3250"/>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1"/>
      <w:bookmarkEnd w:id="32"/>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3" w:name="_Toc2183"/>
      <w:bookmarkStart w:id="34" w:name="_Toc6062"/>
      <w:r>
        <w:rPr>
          <w:rFonts w:hint="eastAsia" w:ascii="黑体" w:hAnsi="黑体" w:eastAsia="仿宋_GB2312" w:cs="宋体"/>
          <w:bCs/>
          <w:color w:val="auto"/>
          <w:kern w:val="0"/>
          <w:sz w:val="32"/>
          <w:szCs w:val="32"/>
          <w:highlight w:val="none"/>
        </w:rPr>
        <w:t>一、《收入支出决算总表》</w:t>
      </w:r>
      <w:bookmarkEnd w:id="33"/>
      <w:bookmarkEnd w:id="3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5" w:name="_Toc30364"/>
      <w:bookmarkStart w:id="36" w:name="_Toc24532"/>
      <w:r>
        <w:rPr>
          <w:rFonts w:hint="eastAsia" w:ascii="黑体" w:hAnsi="黑体" w:eastAsia="仿宋_GB2312" w:cs="宋体"/>
          <w:bCs/>
          <w:color w:val="auto"/>
          <w:kern w:val="0"/>
          <w:sz w:val="32"/>
          <w:szCs w:val="32"/>
          <w:highlight w:val="none"/>
        </w:rPr>
        <w:t>二、《收入决算表》</w:t>
      </w:r>
      <w:bookmarkEnd w:id="35"/>
      <w:bookmarkEnd w:id="3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7" w:name="_Toc21304"/>
      <w:bookmarkStart w:id="38" w:name="_Toc32434"/>
      <w:r>
        <w:rPr>
          <w:rFonts w:hint="eastAsia" w:ascii="黑体" w:hAnsi="黑体" w:eastAsia="仿宋_GB2312" w:cs="宋体"/>
          <w:bCs/>
          <w:color w:val="auto"/>
          <w:kern w:val="0"/>
          <w:sz w:val="32"/>
          <w:szCs w:val="32"/>
          <w:highlight w:val="none"/>
        </w:rPr>
        <w:t>三、《支出决算表》</w:t>
      </w:r>
      <w:bookmarkEnd w:id="37"/>
      <w:bookmarkEnd w:id="3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9" w:name="_Toc28786"/>
      <w:bookmarkStart w:id="40" w:name="_Toc14238"/>
      <w:r>
        <w:rPr>
          <w:rFonts w:hint="eastAsia" w:ascii="黑体" w:hAnsi="黑体" w:eastAsia="仿宋_GB2312" w:cs="宋体"/>
          <w:bCs/>
          <w:color w:val="auto"/>
          <w:kern w:val="0"/>
          <w:sz w:val="32"/>
          <w:szCs w:val="32"/>
          <w:highlight w:val="none"/>
        </w:rPr>
        <w:t>四、《财政拨款收入支出决算总表》</w:t>
      </w:r>
      <w:bookmarkEnd w:id="39"/>
      <w:bookmarkEnd w:id="4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1" w:name="_Toc14869"/>
      <w:bookmarkStart w:id="42" w:name="_Toc10347"/>
      <w:r>
        <w:rPr>
          <w:rFonts w:hint="eastAsia" w:ascii="黑体" w:hAnsi="黑体" w:eastAsia="仿宋_GB2312" w:cs="宋体"/>
          <w:bCs/>
          <w:color w:val="auto"/>
          <w:kern w:val="0"/>
          <w:sz w:val="32"/>
          <w:szCs w:val="32"/>
          <w:highlight w:val="none"/>
        </w:rPr>
        <w:t>五、《一般公共预算财政拨款支出决算表》</w:t>
      </w:r>
      <w:bookmarkEnd w:id="41"/>
      <w:bookmarkEnd w:id="4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3" w:name="_Toc8884"/>
      <w:bookmarkStart w:id="44" w:name="_Toc5626"/>
      <w:r>
        <w:rPr>
          <w:rFonts w:hint="eastAsia" w:ascii="黑体" w:hAnsi="黑体" w:eastAsia="仿宋_GB2312" w:cs="宋体"/>
          <w:bCs/>
          <w:color w:val="auto"/>
          <w:kern w:val="0"/>
          <w:sz w:val="32"/>
          <w:szCs w:val="32"/>
          <w:highlight w:val="none"/>
        </w:rPr>
        <w:t>六、《一般公共预算财政拨款基本支出决算表》</w:t>
      </w:r>
      <w:bookmarkEnd w:id="43"/>
      <w:bookmarkEnd w:id="4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5" w:name="_Toc32663"/>
      <w:bookmarkStart w:id="46" w:name="_Toc29106"/>
      <w:r>
        <w:rPr>
          <w:rFonts w:hint="eastAsia" w:ascii="黑体" w:hAnsi="黑体" w:eastAsia="仿宋_GB2312" w:cs="宋体"/>
          <w:bCs/>
          <w:color w:val="auto"/>
          <w:kern w:val="0"/>
          <w:sz w:val="32"/>
          <w:szCs w:val="32"/>
          <w:highlight w:val="none"/>
        </w:rPr>
        <w:t>《财政拨款“三公”经费支出决算表》</w:t>
      </w:r>
      <w:bookmarkEnd w:id="45"/>
      <w:bookmarkEnd w:id="4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7" w:name="_Toc7643"/>
      <w:bookmarkStart w:id="48" w:name="_Toc5453"/>
      <w:r>
        <w:rPr>
          <w:rFonts w:hint="eastAsia" w:ascii="黑体" w:hAnsi="黑体" w:eastAsia="仿宋_GB2312" w:cs="宋体"/>
          <w:bCs/>
          <w:color w:val="auto"/>
          <w:kern w:val="0"/>
          <w:sz w:val="32"/>
          <w:szCs w:val="32"/>
          <w:highlight w:val="none"/>
        </w:rPr>
        <w:t>八、《政府性基金预算财政拨款收入支出决算表》</w:t>
      </w:r>
      <w:bookmarkEnd w:id="47"/>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1F8010F"/>
    <w:rsid w:val="02BD3108"/>
    <w:rsid w:val="02F73D26"/>
    <w:rsid w:val="034D4FEF"/>
    <w:rsid w:val="035D1785"/>
    <w:rsid w:val="039F47CE"/>
    <w:rsid w:val="03E05CE8"/>
    <w:rsid w:val="03F973EE"/>
    <w:rsid w:val="043E5B56"/>
    <w:rsid w:val="04BD3BF0"/>
    <w:rsid w:val="04C04386"/>
    <w:rsid w:val="04D141CA"/>
    <w:rsid w:val="04FA68C4"/>
    <w:rsid w:val="053F5AE6"/>
    <w:rsid w:val="057C0B0F"/>
    <w:rsid w:val="05B110BB"/>
    <w:rsid w:val="05DA4339"/>
    <w:rsid w:val="05EF4B48"/>
    <w:rsid w:val="05F76ECA"/>
    <w:rsid w:val="06792773"/>
    <w:rsid w:val="06E24909"/>
    <w:rsid w:val="07093795"/>
    <w:rsid w:val="07287A96"/>
    <w:rsid w:val="0753517A"/>
    <w:rsid w:val="07804730"/>
    <w:rsid w:val="079052BE"/>
    <w:rsid w:val="08145C21"/>
    <w:rsid w:val="081600DA"/>
    <w:rsid w:val="08422688"/>
    <w:rsid w:val="085404EC"/>
    <w:rsid w:val="085854ED"/>
    <w:rsid w:val="08770079"/>
    <w:rsid w:val="0879188F"/>
    <w:rsid w:val="08A0354D"/>
    <w:rsid w:val="08CD4C49"/>
    <w:rsid w:val="08D24027"/>
    <w:rsid w:val="09114954"/>
    <w:rsid w:val="09427783"/>
    <w:rsid w:val="095A5B83"/>
    <w:rsid w:val="096466E3"/>
    <w:rsid w:val="0968304D"/>
    <w:rsid w:val="09AF3D17"/>
    <w:rsid w:val="09D50248"/>
    <w:rsid w:val="09DA108B"/>
    <w:rsid w:val="09F77F99"/>
    <w:rsid w:val="0A7809B7"/>
    <w:rsid w:val="0A7B4867"/>
    <w:rsid w:val="0A840954"/>
    <w:rsid w:val="0A9928ED"/>
    <w:rsid w:val="0B61769D"/>
    <w:rsid w:val="0B87572C"/>
    <w:rsid w:val="0B8C3ECC"/>
    <w:rsid w:val="0B9C639D"/>
    <w:rsid w:val="0BB052B2"/>
    <w:rsid w:val="0BD33FFC"/>
    <w:rsid w:val="0BE97AC1"/>
    <w:rsid w:val="0C1C4780"/>
    <w:rsid w:val="0C3613A3"/>
    <w:rsid w:val="0C5E519C"/>
    <w:rsid w:val="0C7227A7"/>
    <w:rsid w:val="0CA52EE8"/>
    <w:rsid w:val="0CBD6988"/>
    <w:rsid w:val="0CD208AC"/>
    <w:rsid w:val="0D4903E8"/>
    <w:rsid w:val="0D6C59DE"/>
    <w:rsid w:val="0D7A4A46"/>
    <w:rsid w:val="0E640559"/>
    <w:rsid w:val="0F1113DA"/>
    <w:rsid w:val="0F6D1233"/>
    <w:rsid w:val="0F78534A"/>
    <w:rsid w:val="0F89358A"/>
    <w:rsid w:val="0F8C6D51"/>
    <w:rsid w:val="0F9478DF"/>
    <w:rsid w:val="0FC55E00"/>
    <w:rsid w:val="104D4694"/>
    <w:rsid w:val="105B0B5E"/>
    <w:rsid w:val="10703EDE"/>
    <w:rsid w:val="112E58D0"/>
    <w:rsid w:val="11731CAC"/>
    <w:rsid w:val="118A0583"/>
    <w:rsid w:val="119500A0"/>
    <w:rsid w:val="11C0733B"/>
    <w:rsid w:val="11D50D17"/>
    <w:rsid w:val="120E0809"/>
    <w:rsid w:val="127F665A"/>
    <w:rsid w:val="12E35BA7"/>
    <w:rsid w:val="12F7068C"/>
    <w:rsid w:val="14207DC0"/>
    <w:rsid w:val="1447169B"/>
    <w:rsid w:val="14B932DA"/>
    <w:rsid w:val="150A66AF"/>
    <w:rsid w:val="154C1139"/>
    <w:rsid w:val="15694CAD"/>
    <w:rsid w:val="158C5B77"/>
    <w:rsid w:val="160D1149"/>
    <w:rsid w:val="163563C0"/>
    <w:rsid w:val="164315EF"/>
    <w:rsid w:val="16557DFE"/>
    <w:rsid w:val="167268FB"/>
    <w:rsid w:val="16D50C50"/>
    <w:rsid w:val="16E120E1"/>
    <w:rsid w:val="16FD48F3"/>
    <w:rsid w:val="17385A05"/>
    <w:rsid w:val="173B3901"/>
    <w:rsid w:val="176747F9"/>
    <w:rsid w:val="178E02F2"/>
    <w:rsid w:val="17954A6E"/>
    <w:rsid w:val="180059E9"/>
    <w:rsid w:val="184510FD"/>
    <w:rsid w:val="18936F39"/>
    <w:rsid w:val="190648B0"/>
    <w:rsid w:val="19071D6C"/>
    <w:rsid w:val="194A05BB"/>
    <w:rsid w:val="19D26CD4"/>
    <w:rsid w:val="19E60D19"/>
    <w:rsid w:val="1A3E3450"/>
    <w:rsid w:val="1A7620AC"/>
    <w:rsid w:val="1AD807E5"/>
    <w:rsid w:val="1B39345B"/>
    <w:rsid w:val="1B9C202B"/>
    <w:rsid w:val="1BFB2A1F"/>
    <w:rsid w:val="1C015D4A"/>
    <w:rsid w:val="1C290ED5"/>
    <w:rsid w:val="1C317E4F"/>
    <w:rsid w:val="1C472464"/>
    <w:rsid w:val="1CAE0268"/>
    <w:rsid w:val="1D22799A"/>
    <w:rsid w:val="1D5C1A72"/>
    <w:rsid w:val="1DAF458D"/>
    <w:rsid w:val="1DFF5C28"/>
    <w:rsid w:val="1E086ACE"/>
    <w:rsid w:val="1E1A454E"/>
    <w:rsid w:val="1E62130A"/>
    <w:rsid w:val="1E97358B"/>
    <w:rsid w:val="1EAA4A5F"/>
    <w:rsid w:val="1ECE074D"/>
    <w:rsid w:val="1EE869A7"/>
    <w:rsid w:val="1FA15E62"/>
    <w:rsid w:val="1FD81570"/>
    <w:rsid w:val="1FED69B6"/>
    <w:rsid w:val="2064678E"/>
    <w:rsid w:val="20DC1AB9"/>
    <w:rsid w:val="20DD6197"/>
    <w:rsid w:val="212631E0"/>
    <w:rsid w:val="21A53757"/>
    <w:rsid w:val="21F20F6C"/>
    <w:rsid w:val="221236C6"/>
    <w:rsid w:val="22D7662C"/>
    <w:rsid w:val="23326B7F"/>
    <w:rsid w:val="2380045B"/>
    <w:rsid w:val="23BC04D2"/>
    <w:rsid w:val="23E25FA0"/>
    <w:rsid w:val="23EF1892"/>
    <w:rsid w:val="24822706"/>
    <w:rsid w:val="2483647E"/>
    <w:rsid w:val="24A32D55"/>
    <w:rsid w:val="25292727"/>
    <w:rsid w:val="252E5CA9"/>
    <w:rsid w:val="256F7692"/>
    <w:rsid w:val="25707416"/>
    <w:rsid w:val="25BA2154"/>
    <w:rsid w:val="25C8773F"/>
    <w:rsid w:val="25FB6966"/>
    <w:rsid w:val="264A7253"/>
    <w:rsid w:val="26F0170C"/>
    <w:rsid w:val="27201D62"/>
    <w:rsid w:val="27286E73"/>
    <w:rsid w:val="27CF2642"/>
    <w:rsid w:val="27E777F5"/>
    <w:rsid w:val="27EA1D4C"/>
    <w:rsid w:val="27EA2E41"/>
    <w:rsid w:val="282459E2"/>
    <w:rsid w:val="283A7FE5"/>
    <w:rsid w:val="285F51FF"/>
    <w:rsid w:val="28DF2665"/>
    <w:rsid w:val="29072599"/>
    <w:rsid w:val="291029F3"/>
    <w:rsid w:val="29680339"/>
    <w:rsid w:val="299249DE"/>
    <w:rsid w:val="29CB58F0"/>
    <w:rsid w:val="2A053397"/>
    <w:rsid w:val="2A145E96"/>
    <w:rsid w:val="2A95024A"/>
    <w:rsid w:val="2AF5378F"/>
    <w:rsid w:val="2BB94DBF"/>
    <w:rsid w:val="2BC43604"/>
    <w:rsid w:val="2C2C5F86"/>
    <w:rsid w:val="2C57115C"/>
    <w:rsid w:val="2C6F314E"/>
    <w:rsid w:val="2CC206BE"/>
    <w:rsid w:val="2D1136DF"/>
    <w:rsid w:val="2D19044B"/>
    <w:rsid w:val="2D20606D"/>
    <w:rsid w:val="2D7D4513"/>
    <w:rsid w:val="2DB87198"/>
    <w:rsid w:val="2DB93C54"/>
    <w:rsid w:val="2E3D144C"/>
    <w:rsid w:val="2E5A62D0"/>
    <w:rsid w:val="2E891204"/>
    <w:rsid w:val="2F3F0A28"/>
    <w:rsid w:val="2F412CBE"/>
    <w:rsid w:val="2FBF7029"/>
    <w:rsid w:val="2FD0187F"/>
    <w:rsid w:val="2FD27414"/>
    <w:rsid w:val="2FFE4BB0"/>
    <w:rsid w:val="30040851"/>
    <w:rsid w:val="300E7B60"/>
    <w:rsid w:val="300F6E18"/>
    <w:rsid w:val="305E77C8"/>
    <w:rsid w:val="30862F5F"/>
    <w:rsid w:val="314029C9"/>
    <w:rsid w:val="31C63837"/>
    <w:rsid w:val="31C82E39"/>
    <w:rsid w:val="324D5CBE"/>
    <w:rsid w:val="32601BAD"/>
    <w:rsid w:val="329F6389"/>
    <w:rsid w:val="32F80037"/>
    <w:rsid w:val="3389023A"/>
    <w:rsid w:val="33C60DC1"/>
    <w:rsid w:val="33CB74FA"/>
    <w:rsid w:val="343642F2"/>
    <w:rsid w:val="343F3010"/>
    <w:rsid w:val="345D0A00"/>
    <w:rsid w:val="34713BFD"/>
    <w:rsid w:val="34C13589"/>
    <w:rsid w:val="353369E3"/>
    <w:rsid w:val="35907938"/>
    <w:rsid w:val="35E00D72"/>
    <w:rsid w:val="364D0590"/>
    <w:rsid w:val="36965B9D"/>
    <w:rsid w:val="36C549FD"/>
    <w:rsid w:val="36F24825"/>
    <w:rsid w:val="379257D1"/>
    <w:rsid w:val="37A510A1"/>
    <w:rsid w:val="37A755DD"/>
    <w:rsid w:val="37BE5A6B"/>
    <w:rsid w:val="37F94FA0"/>
    <w:rsid w:val="380D3381"/>
    <w:rsid w:val="38115B1F"/>
    <w:rsid w:val="385E3AC3"/>
    <w:rsid w:val="387D6B9E"/>
    <w:rsid w:val="38B75FF0"/>
    <w:rsid w:val="38D45016"/>
    <w:rsid w:val="38D90432"/>
    <w:rsid w:val="390559B8"/>
    <w:rsid w:val="3914510A"/>
    <w:rsid w:val="3926770B"/>
    <w:rsid w:val="398D3668"/>
    <w:rsid w:val="39DA0497"/>
    <w:rsid w:val="3A0E5981"/>
    <w:rsid w:val="3A893816"/>
    <w:rsid w:val="3A893B6D"/>
    <w:rsid w:val="3AD1763A"/>
    <w:rsid w:val="3ADC11F1"/>
    <w:rsid w:val="3AE37F30"/>
    <w:rsid w:val="3B103DB4"/>
    <w:rsid w:val="3B6716E3"/>
    <w:rsid w:val="3B6C6B2D"/>
    <w:rsid w:val="3C242659"/>
    <w:rsid w:val="3C757B4F"/>
    <w:rsid w:val="3C96719C"/>
    <w:rsid w:val="3CA72BE8"/>
    <w:rsid w:val="3CF37F8C"/>
    <w:rsid w:val="3D137554"/>
    <w:rsid w:val="3D5275AC"/>
    <w:rsid w:val="3DCC2473"/>
    <w:rsid w:val="3DD92EB2"/>
    <w:rsid w:val="3DEB0883"/>
    <w:rsid w:val="3E2527BF"/>
    <w:rsid w:val="3E731662"/>
    <w:rsid w:val="3E8168DD"/>
    <w:rsid w:val="3EA7725F"/>
    <w:rsid w:val="3EB03713"/>
    <w:rsid w:val="3EBF1A11"/>
    <w:rsid w:val="3EC52607"/>
    <w:rsid w:val="3EEC6CEF"/>
    <w:rsid w:val="3F183429"/>
    <w:rsid w:val="3FB77A1D"/>
    <w:rsid w:val="3FDC3674"/>
    <w:rsid w:val="3FED7F8A"/>
    <w:rsid w:val="40094AEF"/>
    <w:rsid w:val="404E42BB"/>
    <w:rsid w:val="405470BD"/>
    <w:rsid w:val="40794A29"/>
    <w:rsid w:val="40834692"/>
    <w:rsid w:val="41431AD5"/>
    <w:rsid w:val="414B3C0F"/>
    <w:rsid w:val="417C1CE7"/>
    <w:rsid w:val="41900018"/>
    <w:rsid w:val="41944406"/>
    <w:rsid w:val="419E624E"/>
    <w:rsid w:val="41CE128F"/>
    <w:rsid w:val="41DA6F12"/>
    <w:rsid w:val="42171FB1"/>
    <w:rsid w:val="42BE729A"/>
    <w:rsid w:val="434E6957"/>
    <w:rsid w:val="43BA0E31"/>
    <w:rsid w:val="43C15147"/>
    <w:rsid w:val="43CB6C29"/>
    <w:rsid w:val="43E14DD2"/>
    <w:rsid w:val="43F800E9"/>
    <w:rsid w:val="443A7E4B"/>
    <w:rsid w:val="44C962F1"/>
    <w:rsid w:val="44F41201"/>
    <w:rsid w:val="452F5B3A"/>
    <w:rsid w:val="454E7FD2"/>
    <w:rsid w:val="46061BDC"/>
    <w:rsid w:val="461404F8"/>
    <w:rsid w:val="46413018"/>
    <w:rsid w:val="464B7E04"/>
    <w:rsid w:val="466F742B"/>
    <w:rsid w:val="468041AA"/>
    <w:rsid w:val="468123C6"/>
    <w:rsid w:val="46827249"/>
    <w:rsid w:val="46901EEE"/>
    <w:rsid w:val="469C74D2"/>
    <w:rsid w:val="46DA2C5F"/>
    <w:rsid w:val="473C7CDB"/>
    <w:rsid w:val="47445515"/>
    <w:rsid w:val="474B4782"/>
    <w:rsid w:val="479829B3"/>
    <w:rsid w:val="47D90D14"/>
    <w:rsid w:val="480025AE"/>
    <w:rsid w:val="48387FB0"/>
    <w:rsid w:val="483A6114"/>
    <w:rsid w:val="488727DB"/>
    <w:rsid w:val="48B82268"/>
    <w:rsid w:val="48C354B3"/>
    <w:rsid w:val="493D58B5"/>
    <w:rsid w:val="494A7A04"/>
    <w:rsid w:val="4A0A26D2"/>
    <w:rsid w:val="4A2019A5"/>
    <w:rsid w:val="4A241A0B"/>
    <w:rsid w:val="4A6F622A"/>
    <w:rsid w:val="4A7B2875"/>
    <w:rsid w:val="4A934476"/>
    <w:rsid w:val="4AAA220A"/>
    <w:rsid w:val="4AE12E67"/>
    <w:rsid w:val="4B375BFB"/>
    <w:rsid w:val="4B4C0111"/>
    <w:rsid w:val="4B8553A9"/>
    <w:rsid w:val="4BDB3730"/>
    <w:rsid w:val="4C200F7A"/>
    <w:rsid w:val="4CEE3180"/>
    <w:rsid w:val="4D0F4AF6"/>
    <w:rsid w:val="4DF94F37"/>
    <w:rsid w:val="4E0A1DD5"/>
    <w:rsid w:val="4E3160E5"/>
    <w:rsid w:val="4E4A7541"/>
    <w:rsid w:val="4E4D37AF"/>
    <w:rsid w:val="4E8C6496"/>
    <w:rsid w:val="4EDA2F0D"/>
    <w:rsid w:val="4EFD18DE"/>
    <w:rsid w:val="4F144236"/>
    <w:rsid w:val="4F3A127C"/>
    <w:rsid w:val="4F663C87"/>
    <w:rsid w:val="4F7E29A8"/>
    <w:rsid w:val="4F9E1FFC"/>
    <w:rsid w:val="4FBB43D3"/>
    <w:rsid w:val="50437BF6"/>
    <w:rsid w:val="50447CC2"/>
    <w:rsid w:val="50874A7C"/>
    <w:rsid w:val="50895EE7"/>
    <w:rsid w:val="50921B9D"/>
    <w:rsid w:val="50D16158"/>
    <w:rsid w:val="50DB5F45"/>
    <w:rsid w:val="50FB4B23"/>
    <w:rsid w:val="51025EB1"/>
    <w:rsid w:val="51141503"/>
    <w:rsid w:val="518D0ED5"/>
    <w:rsid w:val="51D4188E"/>
    <w:rsid w:val="525C687F"/>
    <w:rsid w:val="52B42038"/>
    <w:rsid w:val="52C41033"/>
    <w:rsid w:val="52F647F7"/>
    <w:rsid w:val="52F92565"/>
    <w:rsid w:val="53D03877"/>
    <w:rsid w:val="542F73CA"/>
    <w:rsid w:val="5430786D"/>
    <w:rsid w:val="54C811C0"/>
    <w:rsid w:val="54F627E5"/>
    <w:rsid w:val="556A442D"/>
    <w:rsid w:val="55DA564E"/>
    <w:rsid w:val="5604127D"/>
    <w:rsid w:val="56166703"/>
    <w:rsid w:val="56510474"/>
    <w:rsid w:val="56861525"/>
    <w:rsid w:val="56A93273"/>
    <w:rsid w:val="56BD550C"/>
    <w:rsid w:val="56E07045"/>
    <w:rsid w:val="56FF28AF"/>
    <w:rsid w:val="57540E7D"/>
    <w:rsid w:val="577B4878"/>
    <w:rsid w:val="57926973"/>
    <w:rsid w:val="57A75464"/>
    <w:rsid w:val="58175352"/>
    <w:rsid w:val="581F2200"/>
    <w:rsid w:val="583059FA"/>
    <w:rsid w:val="584A0929"/>
    <w:rsid w:val="586309FB"/>
    <w:rsid w:val="58CD2491"/>
    <w:rsid w:val="591B41B2"/>
    <w:rsid w:val="59254A26"/>
    <w:rsid w:val="59326325"/>
    <w:rsid w:val="59593DC0"/>
    <w:rsid w:val="595C505B"/>
    <w:rsid w:val="595E55C3"/>
    <w:rsid w:val="596E7E20"/>
    <w:rsid w:val="59E45C4C"/>
    <w:rsid w:val="5A60780B"/>
    <w:rsid w:val="5AB34579"/>
    <w:rsid w:val="5AFC6609"/>
    <w:rsid w:val="5B113480"/>
    <w:rsid w:val="5BD456CE"/>
    <w:rsid w:val="5BD53FCA"/>
    <w:rsid w:val="5BEA4111"/>
    <w:rsid w:val="5C0D1F49"/>
    <w:rsid w:val="5CBB0CE2"/>
    <w:rsid w:val="5CC17177"/>
    <w:rsid w:val="5CF306BC"/>
    <w:rsid w:val="5D3F3D64"/>
    <w:rsid w:val="5D833043"/>
    <w:rsid w:val="5DC034F8"/>
    <w:rsid w:val="5DD92690"/>
    <w:rsid w:val="5DDB1CFD"/>
    <w:rsid w:val="5E7E6D93"/>
    <w:rsid w:val="5EB629D1"/>
    <w:rsid w:val="5ED44800"/>
    <w:rsid w:val="5F350BDE"/>
    <w:rsid w:val="5F61632C"/>
    <w:rsid w:val="5FA17648"/>
    <w:rsid w:val="5FE705CB"/>
    <w:rsid w:val="600767B2"/>
    <w:rsid w:val="601E2337"/>
    <w:rsid w:val="603D5080"/>
    <w:rsid w:val="60924F51"/>
    <w:rsid w:val="60D0261B"/>
    <w:rsid w:val="60E766A2"/>
    <w:rsid w:val="618E3791"/>
    <w:rsid w:val="61947DCA"/>
    <w:rsid w:val="61A46A97"/>
    <w:rsid w:val="61D1382F"/>
    <w:rsid w:val="61F114A2"/>
    <w:rsid w:val="62236557"/>
    <w:rsid w:val="62512BB4"/>
    <w:rsid w:val="625D7D1A"/>
    <w:rsid w:val="62DD7D21"/>
    <w:rsid w:val="637D586B"/>
    <w:rsid w:val="63A5560B"/>
    <w:rsid w:val="63E9091F"/>
    <w:rsid w:val="64322AF9"/>
    <w:rsid w:val="6457271E"/>
    <w:rsid w:val="64AB5B5A"/>
    <w:rsid w:val="64D6010D"/>
    <w:rsid w:val="64D82665"/>
    <w:rsid w:val="64E47C96"/>
    <w:rsid w:val="651E5741"/>
    <w:rsid w:val="65600CD2"/>
    <w:rsid w:val="658A4877"/>
    <w:rsid w:val="65A00902"/>
    <w:rsid w:val="65AC6EDD"/>
    <w:rsid w:val="65D97752"/>
    <w:rsid w:val="66085536"/>
    <w:rsid w:val="66105BF7"/>
    <w:rsid w:val="66150023"/>
    <w:rsid w:val="6628010D"/>
    <w:rsid w:val="669B4528"/>
    <w:rsid w:val="66CC12D7"/>
    <w:rsid w:val="67134CEF"/>
    <w:rsid w:val="671F1ABD"/>
    <w:rsid w:val="67521A59"/>
    <w:rsid w:val="675D6494"/>
    <w:rsid w:val="67C304AB"/>
    <w:rsid w:val="683F0658"/>
    <w:rsid w:val="689C6793"/>
    <w:rsid w:val="68DB0208"/>
    <w:rsid w:val="68FB170C"/>
    <w:rsid w:val="691B3D98"/>
    <w:rsid w:val="693748F0"/>
    <w:rsid w:val="69846A0E"/>
    <w:rsid w:val="69AD798C"/>
    <w:rsid w:val="69D005C0"/>
    <w:rsid w:val="69D80B96"/>
    <w:rsid w:val="6A2B7DCF"/>
    <w:rsid w:val="6B68175F"/>
    <w:rsid w:val="6BA223B1"/>
    <w:rsid w:val="6BFD799F"/>
    <w:rsid w:val="6C4A2E5A"/>
    <w:rsid w:val="6C77359F"/>
    <w:rsid w:val="6C8138D0"/>
    <w:rsid w:val="6CEF0725"/>
    <w:rsid w:val="6D4B2604"/>
    <w:rsid w:val="6D563BE5"/>
    <w:rsid w:val="6D8030E4"/>
    <w:rsid w:val="6E0E35C4"/>
    <w:rsid w:val="6E0F306A"/>
    <w:rsid w:val="6E0F7A08"/>
    <w:rsid w:val="6E3947F5"/>
    <w:rsid w:val="6E9C74ED"/>
    <w:rsid w:val="6EC40335"/>
    <w:rsid w:val="6EF72976"/>
    <w:rsid w:val="6F795A80"/>
    <w:rsid w:val="6F7C1D2E"/>
    <w:rsid w:val="6F8E0407"/>
    <w:rsid w:val="6F90612B"/>
    <w:rsid w:val="6FC3781F"/>
    <w:rsid w:val="6FDD069F"/>
    <w:rsid w:val="702B4D16"/>
    <w:rsid w:val="706736B2"/>
    <w:rsid w:val="70AA6621"/>
    <w:rsid w:val="7111480F"/>
    <w:rsid w:val="71261F49"/>
    <w:rsid w:val="712E6956"/>
    <w:rsid w:val="71473612"/>
    <w:rsid w:val="71504F32"/>
    <w:rsid w:val="7152309F"/>
    <w:rsid w:val="71812CAC"/>
    <w:rsid w:val="718F7F65"/>
    <w:rsid w:val="71D415BE"/>
    <w:rsid w:val="727B234E"/>
    <w:rsid w:val="72D068C7"/>
    <w:rsid w:val="72E42ED8"/>
    <w:rsid w:val="72F4790B"/>
    <w:rsid w:val="735F4CB9"/>
    <w:rsid w:val="73674C62"/>
    <w:rsid w:val="73845865"/>
    <w:rsid w:val="739B6D9E"/>
    <w:rsid w:val="73BC1D76"/>
    <w:rsid w:val="73DE551C"/>
    <w:rsid w:val="73FB6630"/>
    <w:rsid w:val="748D790E"/>
    <w:rsid w:val="749820CC"/>
    <w:rsid w:val="74CE04EC"/>
    <w:rsid w:val="74E76DCD"/>
    <w:rsid w:val="75072124"/>
    <w:rsid w:val="751D7C0A"/>
    <w:rsid w:val="75722D56"/>
    <w:rsid w:val="7592164A"/>
    <w:rsid w:val="75DB5477"/>
    <w:rsid w:val="75FC6AC3"/>
    <w:rsid w:val="7616619B"/>
    <w:rsid w:val="765D1260"/>
    <w:rsid w:val="76660D7C"/>
    <w:rsid w:val="766C5968"/>
    <w:rsid w:val="769D0E10"/>
    <w:rsid w:val="76AC1872"/>
    <w:rsid w:val="76BE0C8F"/>
    <w:rsid w:val="76CD53B2"/>
    <w:rsid w:val="76FD02AE"/>
    <w:rsid w:val="770719AC"/>
    <w:rsid w:val="77646888"/>
    <w:rsid w:val="776526CC"/>
    <w:rsid w:val="777803CC"/>
    <w:rsid w:val="77794C6D"/>
    <w:rsid w:val="77A262E1"/>
    <w:rsid w:val="77B13C33"/>
    <w:rsid w:val="77ED6F44"/>
    <w:rsid w:val="77F45548"/>
    <w:rsid w:val="782E4171"/>
    <w:rsid w:val="78372035"/>
    <w:rsid w:val="784E7CA6"/>
    <w:rsid w:val="78574801"/>
    <w:rsid w:val="7873527F"/>
    <w:rsid w:val="78D37D54"/>
    <w:rsid w:val="790A6425"/>
    <w:rsid w:val="790E2D96"/>
    <w:rsid w:val="791B54B2"/>
    <w:rsid w:val="795A0A34"/>
    <w:rsid w:val="797339C3"/>
    <w:rsid w:val="79A710D7"/>
    <w:rsid w:val="79CD0628"/>
    <w:rsid w:val="79D57D57"/>
    <w:rsid w:val="79F00650"/>
    <w:rsid w:val="7A6242BF"/>
    <w:rsid w:val="7A794513"/>
    <w:rsid w:val="7A884A7D"/>
    <w:rsid w:val="7AE952D2"/>
    <w:rsid w:val="7C4C5FB2"/>
    <w:rsid w:val="7C4D30DF"/>
    <w:rsid w:val="7C976D69"/>
    <w:rsid w:val="7CD752DA"/>
    <w:rsid w:val="7CDE40AB"/>
    <w:rsid w:val="7CE81B50"/>
    <w:rsid w:val="7CF057E2"/>
    <w:rsid w:val="7D1548B5"/>
    <w:rsid w:val="7D8942FA"/>
    <w:rsid w:val="7DF84014"/>
    <w:rsid w:val="7DFB58B2"/>
    <w:rsid w:val="7E207949"/>
    <w:rsid w:val="7E5C0A47"/>
    <w:rsid w:val="7E670C75"/>
    <w:rsid w:val="7EB73ED3"/>
    <w:rsid w:val="7EE03426"/>
    <w:rsid w:val="7EE24272"/>
    <w:rsid w:val="7EEA6053"/>
    <w:rsid w:val="7EEB13B4"/>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b/>
      <w:bCs/>
      <w:sz w:val="32"/>
      <w:szCs w:val="32"/>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3">
    <w:name w:val="Strong"/>
    <w:basedOn w:val="12"/>
    <w:qFormat/>
    <w:uiPriority w:val="0"/>
    <w:rPr>
      <w:b/>
    </w:rPr>
  </w:style>
  <w:style w:type="paragraph" w:customStyle="1" w:styleId="14">
    <w:name w:val="样式1"/>
    <w:basedOn w:val="15"/>
    <w:next w:val="16"/>
    <w:qFormat/>
    <w:uiPriority w:val="0"/>
    <w:pPr>
      <w:spacing w:line="560" w:lineRule="exact"/>
      <w:ind w:firstLine="800" w:firstLineChars="200"/>
      <w:jc w:val="left"/>
    </w:pPr>
    <w:rPr>
      <w:rFonts w:hint="eastAsia" w:ascii="仿宋_GB2312" w:hAnsi="仿宋_GB2312" w:eastAsia="仿宋_GB2312" w:cs="仿宋_GB2312"/>
      <w:sz w:val="32"/>
      <w:szCs w:val="32"/>
    </w:rPr>
  </w:style>
  <w:style w:type="paragraph" w:customStyle="1" w:styleId="15">
    <w:name w:val="样式 标题 3 + 宋体 非加粗 黑色 段前: 6 磅 行距: 多倍行距 1.25 字行"/>
    <w:basedOn w:val="3"/>
    <w:qFormat/>
    <w:uiPriority w:val="0"/>
    <w:pPr>
      <w:spacing w:before="40" w:beforeLines="0" w:line="400" w:lineRule="exact"/>
    </w:pPr>
    <w:rPr>
      <w:rFonts w:cs="宋体"/>
      <w:color w:val="000000"/>
      <w:sz w:val="24"/>
      <w:szCs w:val="24"/>
    </w:rPr>
  </w:style>
  <w:style w:type="paragraph" w:customStyle="1" w:styleId="16">
    <w:name w:val="样式2"/>
    <w:basedOn w:val="1"/>
    <w:next w:val="2"/>
    <w:qFormat/>
    <w:uiPriority w:val="0"/>
    <w:pPr>
      <w:ind w:firstLine="200" w:firstLineChars="200"/>
    </w:pPr>
    <w:rPr>
      <w:rFonts w:ascii="Times New Roman" w:hAnsi="Times New Roman" w:eastAsia="仿宋_GB2312"/>
      <w:sz w:val="32"/>
    </w:rPr>
  </w:style>
  <w:style w:type="paragraph" w:customStyle="1" w:styleId="17">
    <w:name w:val="WPSOffice手动目录 3"/>
    <w:qFormat/>
    <w:uiPriority w:val="0"/>
    <w:pPr>
      <w:ind w:leftChars="40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 w:type="paragraph" w:customStyle="1" w:styleId="19">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5621</Words>
  <Characters>6371</Characters>
  <Lines>0</Lines>
  <Paragraphs>0</Paragraphs>
  <TotalTime>28</TotalTime>
  <ScaleCrop>false</ScaleCrop>
  <LinksUpToDate>false</LinksUpToDate>
  <CharactersWithSpaces>6387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2024-09-11T16:23:22Z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