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7B9A4">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6A21706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4F97463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克孜勒苏水文勘测局</w:t>
      </w:r>
    </w:p>
    <w:p w14:paraId="1B6688A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44A76EE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7297464E">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62DF9BC9">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409FD542">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43EEB10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519399A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2DD42C9F">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0A7071F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18E424F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23B97D8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18775AF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75A7A08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606B7DD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690901B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E8770C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7C21F90B">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5D5C4C3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5579277C">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146FBF89">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4A679563">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7C3750B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13C31A6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7035012E">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7A09CDA6">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7A24165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30786EF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09DB87D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27AC7A0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53BF67F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0BF54FB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55D35FA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0A9F262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74815DA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7B7F66F5">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27394242">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1F868A6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1A07D5A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4492A518">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为水利建设提供水文服务</w:t>
      </w:r>
      <w:r>
        <w:rPr>
          <w:rFonts w:hint="eastAsia" w:ascii="仿宋_GB2312" w:eastAsia="仿宋_GB2312"/>
          <w:sz w:val="32"/>
          <w:szCs w:val="32"/>
          <w:lang w:eastAsia="zh-CN"/>
        </w:rPr>
        <w:t>，</w:t>
      </w:r>
      <w:r>
        <w:rPr>
          <w:rFonts w:ascii="仿宋_GB2312" w:eastAsia="仿宋_GB2312"/>
          <w:sz w:val="32"/>
          <w:szCs w:val="32"/>
        </w:rPr>
        <w:t>本辖区内的水文勘测、水文情报预报、水文分析与计算、水文调查评价、水情信息收集、处理与分析、河、湖、库及地表水、地下水水量水质监测、分析评价、以及排污总量的监测、水文信息系统的建设和运行管理，编制水文发展规划</w:t>
      </w:r>
      <w:r>
        <w:rPr>
          <w:rFonts w:hint="eastAsia" w:ascii="仿宋_GB2312" w:eastAsia="仿宋_GB2312"/>
          <w:sz w:val="32"/>
          <w:szCs w:val="32"/>
        </w:rPr>
        <w:t>。</w:t>
      </w:r>
    </w:p>
    <w:p w14:paraId="678D8FC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617A63B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克孜勒苏水文勘测局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32</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17</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15</w:t>
      </w:r>
      <w:r>
        <w:rPr>
          <w:rFonts w:hint="eastAsia" w:ascii="仿宋_GB2312" w:eastAsia="仿宋_GB2312"/>
          <w:color w:val="auto"/>
          <w:sz w:val="32"/>
          <w:szCs w:val="32"/>
          <w:highlight w:val="none"/>
        </w:rPr>
        <w:t>人。</w:t>
      </w:r>
    </w:p>
    <w:p w14:paraId="2F2A299C">
      <w:pPr>
        <w:ind w:firstLine="640" w:firstLineChars="200"/>
        <w:rPr>
          <w:rFonts w:ascii="仿宋_GB2312" w:eastAsia="仿宋_GB2312"/>
          <w:sz w:val="32"/>
          <w:szCs w:val="32"/>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5</w:t>
      </w:r>
      <w:r>
        <w:rPr>
          <w:rFonts w:hint="eastAsia" w:ascii="仿宋_GB2312" w:hAnsi="黑体" w:eastAsia="仿宋_GB2312" w:cs="宋体"/>
          <w:bCs/>
          <w:kern w:val="0"/>
          <w:sz w:val="32"/>
          <w:szCs w:val="32"/>
        </w:rPr>
        <w:t>个处室，分别是：办公室（党建科）、技术科、水情科（信息科）、测验整编科、水环境监测分中心</w:t>
      </w:r>
      <w:r>
        <w:rPr>
          <w:rFonts w:hint="eastAsia" w:ascii="仿宋_GB2312" w:hAnsi="宋体" w:eastAsia="仿宋_GB2312" w:cs="宋体"/>
          <w:kern w:val="0"/>
          <w:sz w:val="32"/>
          <w:szCs w:val="32"/>
        </w:rPr>
        <w:t>。</w:t>
      </w:r>
    </w:p>
    <w:p w14:paraId="3183046F">
      <w:pPr>
        <w:keepNext w:val="0"/>
        <w:keepLines w:val="0"/>
        <w:pageBreakBefore w:val="0"/>
        <w:widowControl w:val="0"/>
        <w:kinsoku/>
        <w:wordWrap/>
        <w:overflowPunct/>
        <w:topLinePunct w:val="0"/>
        <w:bidi w:val="0"/>
        <w:adjustRightInd/>
        <w:snapToGrid/>
        <w:spacing w:line="240" w:lineRule="auto"/>
        <w:textAlignment w:val="auto"/>
        <w:rPr>
          <w:rFonts w:hint="eastAsia" w:ascii="黑体" w:hAnsi="黑体" w:eastAsia="黑体"/>
          <w:color w:val="auto"/>
          <w:sz w:val="32"/>
          <w:szCs w:val="32"/>
          <w:highlight w:val="none"/>
        </w:rPr>
      </w:pPr>
      <w:r>
        <w:rPr>
          <w:rFonts w:hint="eastAsia" w:ascii="黑体" w:hAnsi="黑体" w:eastAsia="黑体"/>
          <w:sz w:val="32"/>
          <w:szCs w:val="32"/>
        </w:rPr>
        <w:br w:type="page"/>
      </w:r>
      <w:bookmarkStart w:id="6" w:name="_Toc3092"/>
      <w:bookmarkStart w:id="7" w:name="_Toc29374"/>
      <w:r>
        <w:rPr>
          <w:rFonts w:hint="eastAsia" w:ascii="黑体" w:hAnsi="黑体" w:eastAsia="黑体"/>
          <w:sz w:val="32"/>
          <w:szCs w:val="32"/>
          <w:lang w:val="en-US" w:eastAsia="zh-CN"/>
        </w:rPr>
        <w:t xml:space="preserve">            </w:t>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31A260F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59A93BA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796.48万元，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745.79万元，使用非财政拨款结余0.00万元，年初结转和结余50.70万元。</w:t>
      </w:r>
    </w:p>
    <w:p w14:paraId="07154B9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796.48万元，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703.17万元，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50.09万元，年末结转和结余43.22万元。</w:t>
      </w:r>
    </w:p>
    <w:p w14:paraId="29546E6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减少140.93万元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下降15.03%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2022年使用</w:t>
      </w:r>
      <w:r>
        <w:rPr>
          <w:rFonts w:hint="eastAsia" w:ascii="仿宋_GB2312" w:eastAsia="仿宋_GB2312"/>
          <w:sz w:val="32"/>
          <w:szCs w:val="32"/>
        </w:rPr>
        <w:t>非财政拨款结余161.51万元，年初结转和结余108.19万元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2023年未使用</w:t>
      </w:r>
      <w:r>
        <w:rPr>
          <w:rFonts w:hint="eastAsia" w:ascii="仿宋_GB2312" w:eastAsia="仿宋_GB2312"/>
          <w:sz w:val="32"/>
          <w:szCs w:val="32"/>
        </w:rPr>
        <w:t>非财政拨款结余</w:t>
      </w:r>
      <w:r>
        <w:rPr>
          <w:rFonts w:hint="eastAsia" w:ascii="仿宋_GB2312" w:eastAsia="仿宋_GB2312"/>
          <w:sz w:val="32"/>
          <w:szCs w:val="32"/>
          <w:lang w:eastAsia="zh-CN"/>
        </w:rPr>
        <w:t>资金。</w:t>
      </w:r>
    </w:p>
    <w:p w14:paraId="34E2210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63450B8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745.79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542.57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72.75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170.79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22.90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32.42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4.35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3885011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2F6BC14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本年支出703.17万元，其中：基本支出421.35万元，占59.92%；项目支出161.12万元，占22.91%；上缴上级支出0.00万元，占0.00%；经营支出120.71万元，占17.17%；对附属单位补助支出0.00万元，占0.00%。</w:t>
      </w:r>
    </w:p>
    <w:p w14:paraId="2E18053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38437C9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593.27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50.70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542.57</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593.27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41.65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551.61</w:t>
      </w:r>
      <w:r>
        <w:rPr>
          <w:rFonts w:hint="eastAsia" w:ascii="仿宋_GB2312" w:eastAsia="仿宋_GB2312"/>
          <w:color w:val="auto"/>
          <w:spacing w:val="0"/>
          <w:sz w:val="32"/>
          <w:szCs w:val="32"/>
          <w:highlight w:val="none"/>
          <w:lang w:eastAsia="zh-CN"/>
        </w:rPr>
        <w:t>万元。</w:t>
      </w:r>
    </w:p>
    <w:p w14:paraId="7415E42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增加55.14万元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增长10.25%，</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本年增加奖金、</w:t>
      </w:r>
      <w:r>
        <w:rPr>
          <w:rFonts w:hint="eastAsia" w:ascii="仿宋_GB2312" w:eastAsia="仿宋_GB2312"/>
          <w:sz w:val="32"/>
          <w:szCs w:val="32"/>
          <w:lang w:eastAsia="zh-CN"/>
        </w:rPr>
        <w:t>绩效奖</w:t>
      </w:r>
      <w:r>
        <w:rPr>
          <w:rFonts w:hint="eastAsia" w:ascii="仿宋_GB2312" w:eastAsia="仿宋_GB2312"/>
          <w:sz w:val="32"/>
          <w:szCs w:val="32"/>
        </w:rPr>
        <w:t>增资、退休人员绩效奖，所以财政拨款收入</w:t>
      </w:r>
      <w:r>
        <w:rPr>
          <w:rFonts w:hint="eastAsia" w:ascii="仿宋_GB2312" w:eastAsia="仿宋_GB2312"/>
          <w:sz w:val="32"/>
          <w:szCs w:val="32"/>
          <w:lang w:eastAsia="zh-CN"/>
        </w:rPr>
        <w:t>支出</w:t>
      </w:r>
      <w:r>
        <w:rPr>
          <w:rFonts w:hint="eastAsia" w:ascii="仿宋_GB2312" w:eastAsia="仿宋_GB2312"/>
          <w:sz w:val="32"/>
          <w:szCs w:val="32"/>
        </w:rPr>
        <w:t>总计较上年相比增加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436.33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593.27</w:t>
      </w:r>
      <w:r>
        <w:rPr>
          <w:rFonts w:hint="eastAsia" w:ascii="仿宋_GB2312" w:eastAsia="仿宋_GB2312"/>
          <w:color w:val="auto"/>
          <w:spacing w:val="0"/>
          <w:sz w:val="32"/>
          <w:szCs w:val="32"/>
          <w:highlight w:val="none"/>
          <w:lang w:eastAsia="zh-CN"/>
        </w:rPr>
        <w:t>万元，预决算差异率35.97%，主要原因是：</w:t>
      </w:r>
      <w:r>
        <w:rPr>
          <w:rFonts w:hint="eastAsia" w:ascii="仿宋_GB2312" w:eastAsia="仿宋_GB2312"/>
          <w:sz w:val="32"/>
          <w:szCs w:val="32"/>
        </w:rPr>
        <w:t>财政拨款收入年中追加奖金、</w:t>
      </w:r>
      <w:r>
        <w:rPr>
          <w:rFonts w:hint="eastAsia" w:ascii="仿宋_GB2312" w:eastAsia="仿宋_GB2312"/>
          <w:sz w:val="32"/>
          <w:szCs w:val="32"/>
          <w:lang w:eastAsia="zh-CN"/>
        </w:rPr>
        <w:t>绩效奖</w:t>
      </w:r>
      <w:r>
        <w:rPr>
          <w:rFonts w:hint="eastAsia" w:ascii="仿宋_GB2312" w:eastAsia="仿宋_GB2312"/>
          <w:sz w:val="32"/>
          <w:szCs w:val="32"/>
        </w:rPr>
        <w:t>增资、退休人员绩效奖，所以财政拨款收入年初预算数和决算数存在差异</w:t>
      </w:r>
      <w:r>
        <w:rPr>
          <w:rFonts w:hint="eastAsia" w:ascii="仿宋_GB2312" w:eastAsia="仿宋_GB2312"/>
          <w:sz w:val="32"/>
          <w:szCs w:val="32"/>
          <w:lang w:eastAsia="zh-CN"/>
        </w:rPr>
        <w:t>。</w:t>
      </w:r>
    </w:p>
    <w:p w14:paraId="07035F0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29C3EC6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68702FB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z w:val="32"/>
          <w:szCs w:val="32"/>
          <w:lang w:eastAsia="zh-CN"/>
        </w:rPr>
      </w:pPr>
      <w:r>
        <w:rPr>
          <w:rFonts w:hint="eastAsia" w:ascii="仿宋_GB2312" w:eastAsia="仿宋_GB2312"/>
          <w:color w:val="auto"/>
          <w:spacing w:val="0"/>
          <w:sz w:val="32"/>
          <w:szCs w:val="32"/>
          <w:highlight w:val="none"/>
          <w:lang w:eastAsia="zh-CN"/>
        </w:rPr>
        <w:t>2023年度一般公共预算财政拨款支出551.61万元，占本年支出合计的</w:t>
      </w:r>
      <w:r>
        <w:rPr>
          <w:rFonts w:hint="eastAsia" w:ascii="仿宋_GB2312" w:eastAsia="仿宋_GB2312"/>
          <w:color w:val="auto"/>
          <w:spacing w:val="0"/>
          <w:sz w:val="32"/>
          <w:szCs w:val="32"/>
          <w:highlight w:val="none"/>
          <w:lang w:val="zh-CN" w:eastAsia="zh-CN"/>
        </w:rPr>
        <w:t>78.45%</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增加64.18万元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增长13.17%，</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本年增加奖金、</w:t>
      </w:r>
      <w:r>
        <w:rPr>
          <w:rFonts w:hint="eastAsia" w:ascii="仿宋_GB2312" w:eastAsia="仿宋_GB2312"/>
          <w:sz w:val="32"/>
          <w:szCs w:val="32"/>
          <w:lang w:eastAsia="zh-CN"/>
        </w:rPr>
        <w:t>绩效奖</w:t>
      </w:r>
      <w:r>
        <w:rPr>
          <w:rFonts w:hint="eastAsia" w:ascii="仿宋_GB2312" w:eastAsia="仿宋_GB2312"/>
          <w:sz w:val="32"/>
          <w:szCs w:val="32"/>
        </w:rPr>
        <w:t>增资、退休人员绩效奖，所以财政拨款</w:t>
      </w:r>
      <w:r>
        <w:rPr>
          <w:rFonts w:hint="eastAsia" w:ascii="仿宋_GB2312" w:eastAsia="仿宋_GB2312"/>
          <w:sz w:val="32"/>
          <w:szCs w:val="32"/>
          <w:lang w:eastAsia="zh-CN"/>
        </w:rPr>
        <w:t>支出</w:t>
      </w:r>
      <w:r>
        <w:rPr>
          <w:rFonts w:hint="eastAsia" w:ascii="仿宋_GB2312" w:eastAsia="仿宋_GB2312"/>
          <w:sz w:val="32"/>
          <w:szCs w:val="32"/>
        </w:rPr>
        <w:t>总计较上年相比增加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436.33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551.61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26.42%</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财政拨款</w:t>
      </w:r>
      <w:r>
        <w:rPr>
          <w:rFonts w:hint="eastAsia" w:ascii="仿宋_GB2312" w:eastAsia="仿宋_GB2312"/>
          <w:sz w:val="32"/>
          <w:szCs w:val="32"/>
          <w:lang w:eastAsia="zh-CN"/>
        </w:rPr>
        <w:t>支出</w:t>
      </w:r>
      <w:r>
        <w:rPr>
          <w:rFonts w:hint="eastAsia" w:ascii="仿宋_GB2312" w:eastAsia="仿宋_GB2312"/>
          <w:sz w:val="32"/>
          <w:szCs w:val="32"/>
        </w:rPr>
        <w:t>年中追加奖金、</w:t>
      </w:r>
      <w:r>
        <w:rPr>
          <w:rFonts w:hint="eastAsia" w:ascii="仿宋_GB2312" w:eastAsia="仿宋_GB2312"/>
          <w:sz w:val="32"/>
          <w:szCs w:val="32"/>
          <w:lang w:eastAsia="zh-CN"/>
        </w:rPr>
        <w:t>绩效奖</w:t>
      </w:r>
      <w:r>
        <w:rPr>
          <w:rFonts w:hint="eastAsia" w:ascii="仿宋_GB2312" w:eastAsia="仿宋_GB2312"/>
          <w:sz w:val="32"/>
          <w:szCs w:val="32"/>
        </w:rPr>
        <w:t>增资、退休人员绩效奖，所以财政拨款收入年初预算数和决算数存在差异</w:t>
      </w:r>
      <w:r>
        <w:rPr>
          <w:rFonts w:hint="eastAsia" w:ascii="仿宋_GB2312" w:eastAsia="仿宋_GB2312"/>
          <w:sz w:val="32"/>
          <w:szCs w:val="32"/>
          <w:lang w:eastAsia="zh-CN"/>
        </w:rPr>
        <w:t>。</w:t>
      </w:r>
    </w:p>
    <w:p w14:paraId="0DC11923">
      <w:pPr>
        <w:keepNext w:val="0"/>
        <w:keepLines w:val="0"/>
        <w:pageBreakBefore w:val="0"/>
        <w:widowControl w:val="0"/>
        <w:kinsoku/>
        <w:wordWrap/>
        <w:overflowPunct/>
        <w:topLinePunct w:val="0"/>
        <w:autoSpaceDE/>
        <w:autoSpaceDN/>
        <w:bidi w:val="0"/>
        <w:adjustRightInd/>
        <w:snapToGrid/>
        <w:spacing w:line="240" w:lineRule="auto"/>
        <w:ind w:firstLine="320" w:firstLineChars="100"/>
        <w:jc w:val="left"/>
        <w:textAlignment w:val="auto"/>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（二）一般公共预算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3AC676C4">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74.63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13.53</w:t>
      </w:r>
      <w:r>
        <w:rPr>
          <w:rFonts w:hint="default" w:ascii="仿宋_GB2312" w:hAnsi="Times New Roman" w:eastAsia="仿宋_GB2312" w:cs="Times New Roman"/>
          <w:color w:val="auto"/>
          <w:spacing w:val="0"/>
          <w:kern w:val="2"/>
          <w:sz w:val="32"/>
          <w:szCs w:val="32"/>
          <w:highlight w:val="none"/>
          <w:lang w:val="zh-CN" w:eastAsia="zh-CN" w:bidi="ar-SA"/>
        </w:rPr>
        <w:t>%；</w:t>
      </w:r>
    </w:p>
    <w:p w14:paraId="683D53C3">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22.18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4.02</w:t>
      </w:r>
      <w:r>
        <w:rPr>
          <w:rFonts w:hint="default" w:ascii="仿宋_GB2312" w:hAnsi="Times New Roman" w:eastAsia="仿宋_GB2312" w:cs="Times New Roman"/>
          <w:color w:val="auto"/>
          <w:spacing w:val="0"/>
          <w:kern w:val="2"/>
          <w:sz w:val="32"/>
          <w:szCs w:val="32"/>
          <w:highlight w:val="none"/>
          <w:lang w:val="zh-CN" w:eastAsia="zh-CN" w:bidi="ar-SA"/>
        </w:rPr>
        <w:t>%；</w:t>
      </w:r>
    </w:p>
    <w:p w14:paraId="5FC624F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429.12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77.79</w:t>
      </w:r>
      <w:r>
        <w:rPr>
          <w:rFonts w:hint="default" w:ascii="仿宋_GB2312" w:hAnsi="Times New Roman" w:eastAsia="仿宋_GB2312" w:cs="Times New Roman"/>
          <w:color w:val="auto"/>
          <w:spacing w:val="0"/>
          <w:kern w:val="2"/>
          <w:sz w:val="32"/>
          <w:szCs w:val="32"/>
          <w:highlight w:val="none"/>
          <w:lang w:val="zh-CN" w:eastAsia="zh-CN" w:bidi="ar-SA"/>
        </w:rPr>
        <w:t>%；</w:t>
      </w:r>
    </w:p>
    <w:p w14:paraId="6EFB768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25.68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4.66</w:t>
      </w:r>
      <w:r>
        <w:rPr>
          <w:rFonts w:hint="default" w:ascii="仿宋_GB2312" w:hAnsi="Times New Roman" w:eastAsia="仿宋_GB2312" w:cs="Times New Roman"/>
          <w:color w:val="auto"/>
          <w:spacing w:val="0"/>
          <w:kern w:val="2"/>
          <w:sz w:val="32"/>
          <w:szCs w:val="32"/>
          <w:highlight w:val="none"/>
          <w:lang w:val="zh-CN" w:eastAsia="zh-CN" w:bidi="ar-SA"/>
        </w:rPr>
        <w:t>%；</w:t>
      </w:r>
    </w:p>
    <w:p w14:paraId="706EA4A7">
      <w:pPr>
        <w:keepNext w:val="0"/>
        <w:keepLines w:val="0"/>
        <w:pageBreakBefore w:val="0"/>
        <w:widowControl w:val="0"/>
        <w:kinsoku/>
        <w:wordWrap/>
        <w:overflowPunct/>
        <w:topLinePunct w:val="0"/>
        <w:autoSpaceDE/>
        <w:autoSpaceDN/>
        <w:bidi w:val="0"/>
        <w:adjustRightInd/>
        <w:snapToGrid/>
        <w:spacing w:line="240" w:lineRule="auto"/>
        <w:ind w:firstLine="320" w:firstLineChars="1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744E548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1.卫生健康支出（类）行政事业单位医疗（款）事业单位医疗（项）:支出决算数为16.05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1.81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10.12%，主要原因是：</w:t>
      </w:r>
      <w:r>
        <w:rPr>
          <w:rFonts w:hint="eastAsia" w:eastAsia="仿宋_GB2312" w:cs="Times New Roman"/>
          <w:color w:val="auto"/>
          <w:kern w:val="2"/>
          <w:sz w:val="32"/>
          <w:szCs w:val="32"/>
          <w:highlight w:val="none"/>
          <w:lang w:val="zh-CN" w:eastAsia="zh-CN" w:bidi="ar-SA"/>
        </w:rPr>
        <w:t>退休人员的医疗费单位不在缴纳，预算不在申报。</w:t>
      </w:r>
    </w:p>
    <w:p w14:paraId="631C1B6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2.农林水支出（类）水利（款）水文测报（项）:支出决算数为338.12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21.66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6.02%，主要原因是：</w:t>
      </w:r>
      <w:r>
        <w:rPr>
          <w:rFonts w:hint="eastAsia" w:eastAsia="仿宋_GB2312" w:cs="Times New Roman"/>
          <w:color w:val="auto"/>
          <w:kern w:val="2"/>
          <w:sz w:val="32"/>
          <w:szCs w:val="32"/>
          <w:highlight w:val="none"/>
          <w:lang w:val="en-US" w:eastAsia="zh-CN" w:bidi="ar-SA"/>
        </w:rPr>
        <w:t>2022年在职人员18人，2023年在职人员17人，人员工资较上年减少1人</w:t>
      </w:r>
      <w:r>
        <w:rPr>
          <w:rFonts w:hint="eastAsia" w:eastAsia="仿宋_GB2312" w:cs="Times New Roman"/>
          <w:color w:val="auto"/>
          <w:kern w:val="2"/>
          <w:sz w:val="32"/>
          <w:szCs w:val="32"/>
          <w:highlight w:val="none"/>
          <w:lang w:val="zh-CN" w:eastAsia="zh-CN" w:bidi="ar-SA"/>
        </w:rPr>
        <w:t>。</w:t>
      </w:r>
    </w:p>
    <w:p w14:paraId="552AD78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3.卫生健康支出（类）行政事业单位医疗（款）公务员医疗补助（项）:支出决算数为6.13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2022年未缴纳</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eastAsia="仿宋_GB2312" w:cs="Times New Roman"/>
          <w:color w:val="auto"/>
          <w:kern w:val="2"/>
          <w:sz w:val="32"/>
          <w:szCs w:val="32"/>
          <w:highlight w:val="none"/>
          <w:lang w:val="en-US" w:eastAsia="zh-CN" w:bidi="ar-SA"/>
        </w:rPr>
        <w:t>，2023年开始缴纳</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eastAsia="仿宋_GB2312" w:cs="Times New Roman"/>
          <w:color w:val="auto"/>
          <w:kern w:val="2"/>
          <w:sz w:val="32"/>
          <w:szCs w:val="32"/>
          <w:highlight w:val="none"/>
          <w:lang w:val="zh-CN" w:eastAsia="zh-CN" w:bidi="ar-SA"/>
        </w:rPr>
        <w:t>。</w:t>
      </w:r>
    </w:p>
    <w:p w14:paraId="3BC7FD3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4.住房保障支出（类）住房改革支出（款）住房公积金（项）:支出决算数为25.68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0.99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4.01%，主要原因是：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年度住房公积金缴费基数调整，比例调整增加。所以比上年决算增加</w:t>
      </w:r>
      <w:r>
        <w:rPr>
          <w:rFonts w:hint="eastAsia" w:eastAsia="仿宋_GB2312" w:cs="Times New Roman"/>
          <w:color w:val="auto"/>
          <w:kern w:val="2"/>
          <w:sz w:val="32"/>
          <w:szCs w:val="32"/>
          <w:highlight w:val="none"/>
          <w:lang w:val="zh-CN" w:eastAsia="zh-CN" w:bidi="ar-SA"/>
        </w:rPr>
        <w:t>。</w:t>
      </w:r>
    </w:p>
    <w:p w14:paraId="7DE4EDC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5.社会保障和就业支出（类）行政事业单位养老支出（款）事业单位离退休（项）:支出决算数为37.30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10.34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21.71%，主要原因是：</w:t>
      </w:r>
      <w:r>
        <w:rPr>
          <w:rFonts w:hint="eastAsia" w:eastAsia="仿宋_GB2312" w:cs="Times New Roman"/>
          <w:color w:val="auto"/>
          <w:kern w:val="2"/>
          <w:sz w:val="32"/>
          <w:szCs w:val="32"/>
          <w:highlight w:val="none"/>
          <w:lang w:val="zh-CN" w:eastAsia="zh-CN" w:bidi="ar-SA"/>
        </w:rPr>
        <w:t>退休人员的医疗费单位不在缴纳，预算不在申报。</w:t>
      </w:r>
    </w:p>
    <w:p w14:paraId="6AE4164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6.农林水支出（类）水利（款）水资源节约管理与保护（项）:支出决算数为91.00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91.00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仿宋_GB2312" w:eastAsia="仿宋_GB2312"/>
          <w:sz w:val="32"/>
          <w:szCs w:val="32"/>
        </w:rPr>
        <w:t>水资源节约管理与保护项目在2022年调整到水文测报管理专项项目中</w:t>
      </w:r>
      <w:r>
        <w:rPr>
          <w:rFonts w:hint="eastAsia" w:eastAsia="仿宋_GB2312" w:cs="Times New Roman"/>
          <w:color w:val="auto"/>
          <w:kern w:val="2"/>
          <w:sz w:val="32"/>
          <w:szCs w:val="32"/>
          <w:highlight w:val="none"/>
          <w:lang w:val="zh-CN" w:eastAsia="zh-CN" w:bidi="ar-SA"/>
        </w:rPr>
        <w:t>。</w:t>
      </w:r>
    </w:p>
    <w:p w14:paraId="5F49515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7.社会保障和就业支出（类）行政事业单位养老支出（款）机关事业单位职业年金缴费支出（项）:支出决算数为5.63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1.67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22.93%，主要原因是：</w:t>
      </w:r>
      <w:r>
        <w:rPr>
          <w:rFonts w:hint="eastAsia" w:eastAsia="仿宋_GB2312" w:cs="Times New Roman"/>
          <w:color w:val="auto"/>
          <w:kern w:val="2"/>
          <w:sz w:val="32"/>
          <w:szCs w:val="32"/>
          <w:highlight w:val="none"/>
          <w:lang w:val="en-US" w:eastAsia="zh-CN" w:bidi="ar-SA"/>
        </w:rPr>
        <w:t>2022年在职人员18人，2023年在职人员17人，所以职业年金减少</w:t>
      </w:r>
      <w:r>
        <w:rPr>
          <w:rFonts w:hint="eastAsia" w:eastAsia="仿宋_GB2312" w:cs="Times New Roman"/>
          <w:color w:val="auto"/>
          <w:kern w:val="2"/>
          <w:sz w:val="32"/>
          <w:szCs w:val="32"/>
          <w:highlight w:val="none"/>
          <w:lang w:val="zh-CN" w:eastAsia="zh-CN" w:bidi="ar-SA"/>
        </w:rPr>
        <w:t>。</w:t>
      </w:r>
    </w:p>
    <w:p w14:paraId="19D97CB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8.社会保障和就业支出（类）行政事业单位养老支出（款）机关事业单位基本养老保险缴费支出（项）:支出决算数为31.70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1.55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5.14%，主要原因是：</w:t>
      </w:r>
      <w:r>
        <w:rPr>
          <w:rFonts w:hint="eastAsia" w:ascii="仿宋_GB2312" w:eastAsia="仿宋_GB2312"/>
          <w:sz w:val="32"/>
          <w:szCs w:val="32"/>
        </w:rPr>
        <w:t>在职人员工资基数调增，单位基本养老保险缴费基数增加所以支出增加</w:t>
      </w:r>
      <w:r>
        <w:rPr>
          <w:rFonts w:hint="eastAsia" w:eastAsia="仿宋_GB2312" w:cs="Times New Roman"/>
          <w:color w:val="auto"/>
          <w:kern w:val="2"/>
          <w:sz w:val="32"/>
          <w:szCs w:val="32"/>
          <w:highlight w:val="none"/>
          <w:lang w:val="zh-CN" w:eastAsia="zh-CN" w:bidi="ar-SA"/>
        </w:rPr>
        <w:t>。</w:t>
      </w:r>
    </w:p>
    <w:p w14:paraId="05A8522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4BEFEA9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420.97</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394.80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绩效工资、机关事业单位基本养老保险缴费、职业年金缴费、职工基本医疗保险缴费、公务员医疗补助缴费、其他社会保障缴费、住房公积金、其他工资福利支出、退休费、其他对个人和家庭的补助。</w:t>
      </w:r>
    </w:p>
    <w:p w14:paraId="2175A4D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26.17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办公费、印刷费、水费、电费、邮电费、取暖费、差旅费、工会经费、福利费、公务用车运行维护费、其他交通费用、其他商品和服务支出。</w:t>
      </w:r>
    </w:p>
    <w:p w14:paraId="28C5BB0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032644F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“三公”经费支出2.10万元，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“三公”经费与上年一致，无差异</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；公务用车购置及运行维护费支出2.10万元，占100.00%，比上年增加0.00万元，增长0.00%，主要原因是：</w:t>
      </w:r>
      <w:r>
        <w:rPr>
          <w:rFonts w:ascii="仿宋_GB2312" w:eastAsia="仿宋_GB2312"/>
          <w:sz w:val="32"/>
          <w:szCs w:val="32"/>
        </w:rPr>
        <w:t>公务用车购置及运行维护费与上年一致，无差异</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07F1947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19E5999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52EFAFD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公务用车购置及运行维护费2.10万元，其中：公务用车购置费0.00万元，公务用车运行维护费2.10万元。公务用车运行维护费开支内容包括</w:t>
      </w:r>
      <w:r>
        <w:rPr>
          <w:rFonts w:hint="eastAsia" w:ascii="仿宋_GB2312" w:eastAsia="仿宋_GB2312"/>
          <w:sz w:val="32"/>
          <w:szCs w:val="32"/>
        </w:rPr>
        <w:t>公务用车保险、车辆维修、车辆加油</w:t>
      </w:r>
      <w:r>
        <w:rPr>
          <w:rFonts w:hint="eastAsia" w:ascii="仿宋_GB2312" w:eastAsia="仿宋_GB2312"/>
          <w:color w:val="auto"/>
          <w:sz w:val="32"/>
          <w:szCs w:val="32"/>
          <w:highlight w:val="none"/>
          <w:lang w:val="zh-CN" w:eastAsia="zh-CN"/>
        </w:rPr>
        <w:t>。公务用车购置数0辆，公务用车保有量1辆。国有资产占用情况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固定资产车辆与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保有量一致，无差异</w:t>
      </w:r>
      <w:r>
        <w:rPr>
          <w:rFonts w:hint="eastAsia" w:ascii="仿宋_GB2312" w:eastAsia="仿宋_GB2312"/>
          <w:color w:val="auto"/>
          <w:sz w:val="32"/>
          <w:szCs w:val="32"/>
          <w:highlight w:val="none"/>
          <w:lang w:val="zh-CN" w:eastAsia="zh-CN"/>
        </w:rPr>
        <w:t>。</w:t>
      </w:r>
    </w:p>
    <w:p w14:paraId="7CF48FB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324028E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预算数2.10万元，决算数2.10万元，预决算差异率0.00%，主要原因是：</w:t>
      </w:r>
      <w:r>
        <w:rPr>
          <w:rFonts w:hint="eastAsia" w:ascii="仿宋_GB2312" w:eastAsia="仿宋_GB2312"/>
          <w:sz w:val="32"/>
          <w:szCs w:val="32"/>
        </w:rPr>
        <w:t>严格按照预算执行、预决算无差异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预算数2.10万元，决算数2.10万元，预决算差异率0.00%，主要原因是：</w:t>
      </w:r>
      <w:r>
        <w:rPr>
          <w:rFonts w:hint="eastAsia" w:ascii="仿宋_GB2312" w:eastAsia="仿宋_GB2312"/>
          <w:sz w:val="32"/>
          <w:szCs w:val="32"/>
        </w:rPr>
        <w:t>严格按照预算执行、预决算无差异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3E67405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6492D19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12EB8919">
      <w:pPr>
        <w:keepNext w:val="0"/>
        <w:keepLines w:val="0"/>
        <w:pageBreakBefore w:val="0"/>
        <w:widowControl w:val="0"/>
        <w:kinsoku/>
        <w:wordWrap/>
        <w:overflowPunct/>
        <w:topLinePunct w:val="0"/>
        <w:autoSpaceDE/>
        <w:autoSpaceDN/>
        <w:bidi w:val="0"/>
        <w:adjustRightInd/>
        <w:snapToGrid/>
        <w:spacing w:line="240" w:lineRule="auto"/>
        <w:ind w:firstLine="320" w:firstLineChars="1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6BA89F3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3BACDA5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10AECEF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3C335512">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克孜勒苏水文勘测局</w:t>
      </w:r>
      <w:r>
        <w:rPr>
          <w:rFonts w:hint="eastAsia" w:ascii="Times New Roman" w:hAnsi="Times New Roman" w:eastAsia="仿宋_GB2312" w:cs="Times New Roman"/>
          <w:color w:val="auto"/>
          <w:sz w:val="32"/>
          <w:szCs w:val="32"/>
          <w:highlight w:val="none"/>
          <w:lang w:val="zh-CN" w:eastAsia="zh-CN"/>
        </w:rPr>
        <w:t>（事业单位）公用经费支出26.17万元，比上年减少1.42万元，下降5.14%，主要原因是：</w:t>
      </w:r>
      <w:r>
        <w:rPr>
          <w:rFonts w:hint="eastAsia" w:eastAsia="仿宋_GB2312" w:cs="Times New Roman"/>
          <w:color w:val="auto"/>
          <w:kern w:val="2"/>
          <w:sz w:val="32"/>
          <w:szCs w:val="32"/>
          <w:highlight w:val="none"/>
          <w:lang w:val="en-US" w:eastAsia="zh-CN" w:bidi="ar-SA"/>
        </w:rPr>
        <w:t>2022年在职人员18人，2023年在职人员17人，所以</w:t>
      </w:r>
      <w:r>
        <w:rPr>
          <w:rFonts w:hint="eastAsia" w:ascii="Times New Roman" w:hAnsi="Times New Roman" w:eastAsia="仿宋_GB2312" w:cs="Times New Roman"/>
          <w:color w:val="auto"/>
          <w:sz w:val="32"/>
          <w:szCs w:val="32"/>
          <w:highlight w:val="none"/>
          <w:lang w:val="zh-CN" w:eastAsia="zh-CN"/>
        </w:rPr>
        <w:t>公用经费支出</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sz w:val="32"/>
          <w:szCs w:val="32"/>
          <w:highlight w:val="none"/>
          <w:lang w:val="zh-CN" w:eastAsia="zh-CN"/>
        </w:rPr>
        <w:t>。</w:t>
      </w:r>
    </w:p>
    <w:p w14:paraId="0120834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4AFA862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58.56万元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其中：政府采购货物支出47.90万元、政府采购工程支出0.00万元、政府采购服务支出10.66万元。</w:t>
      </w:r>
    </w:p>
    <w:p w14:paraId="20ADD43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授予中小企业合同金额50.88万元，占政府采购支出总额的86.89</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，其中：授予小微企业合同金额50.88万元，占政府采购支出总额的86.89</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347F60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4CE2123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1,009.42</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屋3897.56平方米，价值177.09万元。车辆1辆，价值19.60万元，其中：副部（省）级及以上领导用车0辆、主要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rPr>
        <w:t>一般公务用车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bookmarkStart w:id="48" w:name="_GoBack"/>
      <w:bookmarkEnd w:id="48"/>
    </w:p>
    <w:p w14:paraId="40570FF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5EB4954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。我单位整体支出绩效自评表由主管部门编报并公开。预算绩效评价项目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全年预算数153.04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全年执行数153.04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w:t>
      </w:r>
      <w:r>
        <w:rPr>
          <w:rFonts w:ascii="仿宋_GB2312" w:eastAsia="仿宋_GB2312"/>
          <w:sz w:val="32"/>
          <w:szCs w:val="32"/>
        </w:rPr>
        <w:t>为确保项目顺利进行，提前做好项目规划，将所列计划再三审核</w:t>
      </w:r>
      <w:r>
        <w:rPr>
          <w:rFonts w:hint="eastAsia" w:ascii="仿宋_GB2312" w:eastAsia="仿宋_GB2312"/>
          <w:color w:val="auto"/>
          <w:sz w:val="32"/>
          <w:szCs w:val="32"/>
          <w:highlight w:val="none"/>
          <w:lang w:eastAsia="zh-CN"/>
        </w:rPr>
        <w:t>；二是</w:t>
      </w:r>
      <w:r>
        <w:rPr>
          <w:rFonts w:ascii="仿宋_GB2312" w:eastAsia="仿宋_GB2312"/>
          <w:sz w:val="32"/>
          <w:szCs w:val="32"/>
        </w:rPr>
        <w:t>在项目实施过程中做好定期监督检查，严格按照项目管理规范进行，在项目资金使用过程中，严格落实把关，按照项目资金使用范围做好审核工作，让项目资金落</w:t>
      </w:r>
      <w:r>
        <w:rPr>
          <w:rFonts w:hint="eastAsia" w:ascii="仿宋_GB2312" w:eastAsia="仿宋_GB2312"/>
          <w:sz w:val="32"/>
          <w:szCs w:val="32"/>
          <w:lang w:eastAsia="zh-CN"/>
        </w:rPr>
        <w:t>到</w:t>
      </w:r>
      <w:r>
        <w:rPr>
          <w:rFonts w:ascii="仿宋_GB2312" w:eastAsia="仿宋_GB2312"/>
          <w:sz w:val="32"/>
          <w:szCs w:val="32"/>
        </w:rPr>
        <w:t>实处</w:t>
      </w:r>
      <w:r>
        <w:rPr>
          <w:rFonts w:hint="eastAsia" w:ascii="仿宋_GB2312" w:eastAsia="仿宋_GB2312"/>
          <w:color w:val="auto"/>
          <w:sz w:val="32"/>
          <w:szCs w:val="32"/>
          <w:highlight w:val="none"/>
          <w:lang w:eastAsia="zh-CN"/>
        </w:rPr>
        <w:t>。发现的问题及原因：一是</w:t>
      </w:r>
      <w:r>
        <w:rPr>
          <w:rFonts w:ascii="仿宋_GB2312" w:eastAsia="仿宋_GB2312"/>
          <w:sz w:val="32"/>
          <w:szCs w:val="32"/>
        </w:rPr>
        <w:t>相关绩效管理方面专业知识的系统性学习有待加强</w:t>
      </w:r>
      <w:r>
        <w:rPr>
          <w:rFonts w:hint="eastAsia" w:ascii="仿宋_GB2312" w:eastAsia="仿宋_GB2312"/>
          <w:color w:val="auto"/>
          <w:sz w:val="32"/>
          <w:szCs w:val="32"/>
          <w:highlight w:val="none"/>
          <w:lang w:eastAsia="zh-CN"/>
        </w:rPr>
        <w:t>；二是</w:t>
      </w:r>
      <w:r>
        <w:rPr>
          <w:rFonts w:ascii="仿宋_GB2312" w:eastAsia="仿宋_GB2312"/>
          <w:sz w:val="32"/>
          <w:szCs w:val="32"/>
        </w:rPr>
        <w:t>各项指标的设置要进一步优化、完善，主要在细化、量化上改进。在绩效自评过程中，由于部分人员缺乏相关绩效管理专业知识，自评价工作还存在自我审定的局限性，影响评价质量</w:t>
      </w:r>
      <w:r>
        <w:rPr>
          <w:rFonts w:hint="eastAsia" w:ascii="仿宋_GB2312" w:eastAsia="仿宋_GB2312"/>
          <w:color w:val="auto"/>
          <w:sz w:val="32"/>
          <w:szCs w:val="32"/>
          <w:highlight w:val="none"/>
          <w:lang w:eastAsia="zh-CN"/>
        </w:rPr>
        <w:t>。下一步改进措施：一是</w:t>
      </w:r>
      <w:r>
        <w:rPr>
          <w:rFonts w:ascii="仿宋_GB2312" w:eastAsia="仿宋_GB2312"/>
          <w:sz w:val="32"/>
          <w:szCs w:val="32"/>
        </w:rPr>
        <w:t>多进行有关绩效管理工作方面的培训。积极组织第三方开展绩效管理工作培训，进一步夯实业务基础，提高我单位绩效</w:t>
      </w:r>
      <w:r>
        <w:rPr>
          <w:rFonts w:hint="eastAsia" w:ascii="仿宋_GB2312" w:eastAsia="仿宋_GB2312"/>
          <w:sz w:val="32"/>
          <w:szCs w:val="32"/>
          <w:lang w:eastAsia="zh-CN"/>
        </w:rPr>
        <w:t>管理</w:t>
      </w:r>
      <w:r>
        <w:rPr>
          <w:rFonts w:ascii="仿宋_GB2312" w:eastAsia="仿宋_GB2312"/>
          <w:sz w:val="32"/>
          <w:szCs w:val="32"/>
        </w:rPr>
        <w:t>人员水平</w:t>
      </w:r>
      <w:r>
        <w:rPr>
          <w:rFonts w:hint="eastAsia" w:ascii="仿宋_GB2312" w:eastAsia="仿宋_GB2312"/>
          <w:color w:val="auto"/>
          <w:sz w:val="32"/>
          <w:szCs w:val="32"/>
          <w:highlight w:val="none"/>
          <w:lang w:eastAsia="zh-CN"/>
        </w:rPr>
        <w:t>；二是</w:t>
      </w:r>
      <w:r>
        <w:rPr>
          <w:rFonts w:ascii="仿宋_GB2312" w:eastAsia="仿宋_GB2312"/>
          <w:sz w:val="32"/>
          <w:szCs w:val="32"/>
        </w:rPr>
        <w:t>进一步加强对绩效管理工作的组织领导，提高对预算绩效管理工作重要性的认识，总结经验查找问题，抓紧研究制定更全面更完善的绩效评价管理办法</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047390E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07C9E65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14:paraId="13442E6C">
      <w:pPr>
        <w:keepNext w:val="0"/>
        <w:keepLines w:val="0"/>
        <w:pageBreakBefore w:val="0"/>
        <w:widowControl w:val="0"/>
        <w:kinsoku/>
        <w:wordWrap/>
        <w:overflowPunct/>
        <w:topLinePunct w:val="0"/>
        <w:autoSpaceDE/>
        <w:autoSpaceDN/>
        <w:bidi w:val="0"/>
        <w:adjustRightInd/>
        <w:snapToGrid/>
        <w:spacing w:line="240" w:lineRule="auto"/>
        <w:ind w:firstLine="1600" w:firstLineChars="500"/>
        <w:jc w:val="both"/>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1FCF9B3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31B0422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58CBA62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74A4B73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20DE39F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6F57870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5394DEA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0430325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1A0EDD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03FBFB0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00C96D8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65DF5D6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0EC16B7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6969250C">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70260C2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18D5A7C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1BC0B03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10D95DE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14A9D79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2020568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09A22BD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127B8E6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7871AAC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24827BB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5107DFB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7EF060A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1FFBDDA-E1DE-444E-8A09-E056596EA85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panose1 w:val="02000000000000000000"/>
    <w:charset w:val="86"/>
    <w:family w:val="script"/>
    <w:pitch w:val="default"/>
    <w:sig w:usb0="A00002BF" w:usb1="38CF7CFA" w:usb2="00082016" w:usb3="00000000" w:csb0="00040001" w:csb1="00000000"/>
    <w:embedRegular r:id="rId2" w:fontKey="{55A14011-634E-40C2-A347-71E73BC663EF}"/>
  </w:font>
  <w:font w:name="仿宋_GB2312">
    <w:panose1 w:val="02010609030101010101"/>
    <w:charset w:val="86"/>
    <w:family w:val="modern"/>
    <w:pitch w:val="default"/>
    <w:sig w:usb0="00000001" w:usb1="080E0000" w:usb2="00000000" w:usb3="00000000" w:csb0="00040000" w:csb1="00000000"/>
    <w:embedRegular r:id="rId3" w:fontKey="{3CBAA9AF-82E0-458E-9F86-5BFCEBE777A2}"/>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0756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22578B">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822578B">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2OWIxYTYxNjdhOGZmN2RmNjE4NGMxMmRmYTY3NDIifQ=="/>
    <w:docVar w:name="KSO_WPS_MARK_KEY" w:val="41ee2a61-2d54-4f93-83be-afdb9a40d732"/>
  </w:docVars>
  <w:rsids>
    <w:rsidRoot w:val="00000000"/>
    <w:rsid w:val="00213C59"/>
    <w:rsid w:val="003210CE"/>
    <w:rsid w:val="00B70D59"/>
    <w:rsid w:val="00F52A8D"/>
    <w:rsid w:val="019404F8"/>
    <w:rsid w:val="024A1AC3"/>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8926A6"/>
    <w:rsid w:val="09AF3D17"/>
    <w:rsid w:val="09CB69A9"/>
    <w:rsid w:val="0A7809B7"/>
    <w:rsid w:val="0A7B4867"/>
    <w:rsid w:val="0A840954"/>
    <w:rsid w:val="0A9928ED"/>
    <w:rsid w:val="0B61769D"/>
    <w:rsid w:val="0B7E5A38"/>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64257"/>
    <w:rsid w:val="0F78534A"/>
    <w:rsid w:val="0F89358A"/>
    <w:rsid w:val="0F8C6D51"/>
    <w:rsid w:val="105B0B5E"/>
    <w:rsid w:val="112E58D0"/>
    <w:rsid w:val="11731CAC"/>
    <w:rsid w:val="119500A0"/>
    <w:rsid w:val="11C0733B"/>
    <w:rsid w:val="11D50D17"/>
    <w:rsid w:val="120E0809"/>
    <w:rsid w:val="127F665A"/>
    <w:rsid w:val="12F7068C"/>
    <w:rsid w:val="134358DA"/>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41670E"/>
    <w:rsid w:val="1AD807E5"/>
    <w:rsid w:val="1B39345B"/>
    <w:rsid w:val="1B5D46B2"/>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0F17A9"/>
    <w:rsid w:val="221236C6"/>
    <w:rsid w:val="22D7662C"/>
    <w:rsid w:val="23326B7F"/>
    <w:rsid w:val="2380045B"/>
    <w:rsid w:val="23BC04D2"/>
    <w:rsid w:val="23EF1892"/>
    <w:rsid w:val="243D74F0"/>
    <w:rsid w:val="2483647E"/>
    <w:rsid w:val="24A32D55"/>
    <w:rsid w:val="25292727"/>
    <w:rsid w:val="252E5CA9"/>
    <w:rsid w:val="256F7692"/>
    <w:rsid w:val="25BA2154"/>
    <w:rsid w:val="25C8773F"/>
    <w:rsid w:val="264A7253"/>
    <w:rsid w:val="26F0170C"/>
    <w:rsid w:val="27201D62"/>
    <w:rsid w:val="27286E73"/>
    <w:rsid w:val="27B626C7"/>
    <w:rsid w:val="27CF2642"/>
    <w:rsid w:val="27E777F5"/>
    <w:rsid w:val="27EA1D4C"/>
    <w:rsid w:val="27EA2E41"/>
    <w:rsid w:val="282459E2"/>
    <w:rsid w:val="283A7FE5"/>
    <w:rsid w:val="285F51FF"/>
    <w:rsid w:val="28DF2665"/>
    <w:rsid w:val="29072599"/>
    <w:rsid w:val="291029F3"/>
    <w:rsid w:val="297C226A"/>
    <w:rsid w:val="29CB58F0"/>
    <w:rsid w:val="2A053397"/>
    <w:rsid w:val="2A145E96"/>
    <w:rsid w:val="2A5E108E"/>
    <w:rsid w:val="2A8020D6"/>
    <w:rsid w:val="2AF5378F"/>
    <w:rsid w:val="2BB94DBF"/>
    <w:rsid w:val="2C6F314E"/>
    <w:rsid w:val="2CC206BE"/>
    <w:rsid w:val="2D1136DF"/>
    <w:rsid w:val="2D20606D"/>
    <w:rsid w:val="2DB87198"/>
    <w:rsid w:val="2DB93C54"/>
    <w:rsid w:val="2E3D144C"/>
    <w:rsid w:val="2E891204"/>
    <w:rsid w:val="2F234AE5"/>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B14EE"/>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B70598"/>
    <w:rsid w:val="47D90D14"/>
    <w:rsid w:val="48387FB0"/>
    <w:rsid w:val="483A6114"/>
    <w:rsid w:val="488727DB"/>
    <w:rsid w:val="48B82268"/>
    <w:rsid w:val="48C354B3"/>
    <w:rsid w:val="48E22EC4"/>
    <w:rsid w:val="493D58B5"/>
    <w:rsid w:val="494A7A04"/>
    <w:rsid w:val="4A0A26D2"/>
    <w:rsid w:val="4A2019A5"/>
    <w:rsid w:val="4A241A0B"/>
    <w:rsid w:val="4A7B2875"/>
    <w:rsid w:val="4A934476"/>
    <w:rsid w:val="4AAA220A"/>
    <w:rsid w:val="4AE12E67"/>
    <w:rsid w:val="4B4C0111"/>
    <w:rsid w:val="4B8553A9"/>
    <w:rsid w:val="4BDB3730"/>
    <w:rsid w:val="4C200F7A"/>
    <w:rsid w:val="4C2D4456"/>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C3205A"/>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AD152D"/>
    <w:rsid w:val="727B234E"/>
    <w:rsid w:val="72D068C7"/>
    <w:rsid w:val="72E42ED8"/>
    <w:rsid w:val="72F62F44"/>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8B733F"/>
    <w:rsid w:val="790A6425"/>
    <w:rsid w:val="790E2D96"/>
    <w:rsid w:val="791B54B2"/>
    <w:rsid w:val="795A0A34"/>
    <w:rsid w:val="797339C3"/>
    <w:rsid w:val="79C6531F"/>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5503</Words>
  <Characters>6179</Characters>
  <Lines>0</Lines>
  <Paragraphs>0</Paragraphs>
  <TotalTime>19</TotalTime>
  <ScaleCrop>false</ScaleCrop>
  <LinksUpToDate>false</LinksUpToDate>
  <CharactersWithSpaces>6202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2024-09-03T04:22:47Z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D624B15633CD43C8BF9435464A96BF70</vt:lpwstr>
  </property>
</Properties>
</file>