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伊犁水文勘测局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both"/>
        <w:textAlignment w:val="auto"/>
        <w:outlineLvl w:val="1"/>
        <w:rPr>
          <w:rFonts w:hint="eastAsia" w:ascii="仿宋_GB2312" w:hAnsi="宋体" w:eastAsia="仿宋_GB2312" w:cs="仿宋_GB2312"/>
          <w:i w:val="0"/>
          <w:caps w:val="0"/>
          <w:color w:val="000000"/>
          <w:spacing w:val="0"/>
          <w:sz w:val="31"/>
          <w:szCs w:val="31"/>
          <w:shd w:val="clear" w:fill="FFFFFF"/>
        </w:rPr>
      </w:pPr>
      <w:bookmarkStart w:id="4" w:name="_Toc31238"/>
      <w:bookmarkStart w:id="5" w:name="_Toc2151"/>
      <w:r>
        <w:rPr>
          <w:rFonts w:ascii="仿宋_GB2312" w:hAnsi="宋体" w:eastAsia="仿宋_GB2312" w:cs="仿宋_GB2312"/>
          <w:i w:val="0"/>
          <w:caps w:val="0"/>
          <w:color w:val="000000"/>
          <w:spacing w:val="0"/>
          <w:sz w:val="31"/>
          <w:szCs w:val="31"/>
          <w:shd w:val="clear" w:fill="FFFFFF"/>
        </w:rPr>
        <w:t>新疆伊犁水文勘测局负责本行政辖区内的水文</w:t>
      </w:r>
      <w:r>
        <w:rPr>
          <w:rFonts w:hint="eastAsia" w:ascii="仿宋_GB2312" w:hAnsi="宋体" w:eastAsia="仿宋_GB2312" w:cs="仿宋_GB2312"/>
          <w:i w:val="0"/>
          <w:caps w:val="0"/>
          <w:color w:val="000000"/>
          <w:spacing w:val="0"/>
          <w:sz w:val="31"/>
          <w:szCs w:val="31"/>
          <w:shd w:val="clear" w:fill="FFFFFF"/>
        </w:rPr>
        <w:t>水资源管理工作,担负着全地区的水文勘测评价、水环境监测评价，为防洪减灾、水资源合理开发、利用、管理和水环境保护、水利水电工程建设与运营管理及其它国民经济建设提供科学依据的重任。</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伊犁水文勘测局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109</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62</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47</w:t>
      </w:r>
      <w:r>
        <w:rPr>
          <w:rFonts w:hint="eastAsia" w:ascii="仿宋_GB2312" w:eastAsia="仿宋_GB2312"/>
          <w:color w:val="auto"/>
          <w:sz w:val="32"/>
          <w:szCs w:val="32"/>
          <w:highlight w:val="none"/>
        </w:rPr>
        <w:t>人。</w:t>
      </w:r>
    </w:p>
    <w:p>
      <w:pPr>
        <w:ind w:firstLine="640" w:firstLineChars="200"/>
        <w:rPr>
          <w:rFonts w:ascii="仿宋_GB2312" w:hAnsi="宋体" w:eastAsia="仿宋_GB2312" w:cs="仿宋_GB2312"/>
          <w:i w:val="0"/>
          <w:caps w:val="0"/>
          <w:color w:val="000000"/>
          <w:spacing w:val="0"/>
          <w:sz w:val="31"/>
          <w:szCs w:val="31"/>
          <w:shd w:val="clear" w:fill="FFFFFF"/>
        </w:rPr>
      </w:pPr>
      <w:bookmarkStart w:id="6" w:name="_Toc29374"/>
      <w:bookmarkStart w:id="7" w:name="_Toc3092"/>
      <w:r>
        <w:rPr>
          <w:rFonts w:hint="eastAsia" w:ascii="仿宋_GB2312" w:hAnsi="黑体" w:eastAsia="仿宋_GB2312" w:cs="宋体"/>
          <w:bCs/>
          <w:color w:val="auto"/>
          <w:kern w:val="0"/>
          <w:sz w:val="32"/>
          <w:szCs w:val="32"/>
          <w:highlight w:val="none"/>
        </w:rPr>
        <w:t>单位无下属预算单位，下设</w:t>
      </w:r>
      <w:r>
        <w:rPr>
          <w:rFonts w:hint="eastAsia" w:ascii="仿宋_GB2312" w:hAnsi="黑体" w:eastAsia="仿宋_GB2312" w:cs="宋体"/>
          <w:bCs/>
          <w:color w:val="auto"/>
          <w:kern w:val="0"/>
          <w:sz w:val="32"/>
          <w:szCs w:val="32"/>
          <w:highlight w:val="none"/>
          <w:lang w:val="en-US" w:eastAsia="zh-CN"/>
        </w:rPr>
        <w:t>7</w:t>
      </w:r>
      <w:r>
        <w:rPr>
          <w:rFonts w:hint="eastAsia" w:ascii="仿宋_GB2312" w:hAnsi="黑体" w:eastAsia="仿宋_GB2312" w:cs="宋体"/>
          <w:bCs/>
          <w:color w:val="auto"/>
          <w:kern w:val="0"/>
          <w:sz w:val="32"/>
          <w:szCs w:val="32"/>
          <w:highlight w:val="none"/>
        </w:rPr>
        <w:t>个处室，分别是：办公室、党建科、测验整编科、水情科、技术科、信息科、水环境监测分中心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2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3,129.82万元，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3,029.88万元，使用非财政拨款结余80.83万元，年初结转和结余19.11万元。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3,129.82万元，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2,916.41万元，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213.41万元，年末结转和结余0.00万元。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增加1,104.75万元</w:t>
      </w:r>
      <w:r>
        <w:rPr>
          <w:rFonts w:hint="eastAsia" w:ascii="仿宋_GB2312" w:eastAsia="仿宋_GB2312"/>
          <w:color w:val="auto"/>
          <w:spacing w:val="0"/>
          <w:sz w:val="32"/>
          <w:szCs w:val="32"/>
          <w:highlight w:val="none"/>
          <w:lang w:eastAsia="zh-CN"/>
        </w:rPr>
        <w:t>，增长54.55%，主要原因是：</w:t>
      </w:r>
      <w:r>
        <w:rPr>
          <w:rFonts w:hint="eastAsia" w:ascii="仿宋_GB2312" w:eastAsia="仿宋_GB2312"/>
          <w:color w:val="auto"/>
          <w:spacing w:val="0"/>
          <w:sz w:val="32"/>
          <w:szCs w:val="32"/>
          <w:highlight w:val="none"/>
          <w:lang w:val="en-US" w:eastAsia="zh-CN"/>
        </w:rPr>
        <w:t>2023年追加“十四五”KJHL、TDSJ两个基本建设项目、自治区水利发展资金专项、自治区特大防汛补助费项目及人员提高基础绩效奖及考核奖等资金投入较上年增加。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3,029.88</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2,567.99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84.76</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460.85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15.21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1.04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0.03</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本年支出2,916.41万元，其中：基本支出1,486.00万元，占50.95%；项目支出1,182.96万元，占40.56%；上缴上级支出0.00万元，占0.00%；经营支出247.44万元，占8.48%；对附属单位补助支出0.00万元，占0.00%。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2,587.10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19.11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2,567.99</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2,587.10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2,587.10</w:t>
      </w:r>
      <w:r>
        <w:rPr>
          <w:rFonts w:hint="eastAsia" w:ascii="仿宋_GB2312" w:eastAsia="仿宋_GB2312"/>
          <w:color w:val="auto"/>
          <w:spacing w:val="0"/>
          <w:sz w:val="32"/>
          <w:szCs w:val="32"/>
          <w:highlight w:val="none"/>
          <w:lang w:eastAsia="zh-CN"/>
        </w:rPr>
        <w:t>万元。</w:t>
      </w:r>
    </w:p>
    <w:p>
      <w:pPr>
        <w:snapToGrid w:val="0"/>
        <w:spacing w:line="520" w:lineRule="exact"/>
        <w:ind w:firstLine="640" w:firstLineChars="200"/>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增加1,045.67万元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增长67.84%,</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2023年追加“十四五”KJHL、TDSJ两个基本建设项目、自治区水利发展资金专项、自治区特大防汛补助费项目及人员提高基础绩效奖及考核奖等资金投入较上年增加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1,358.10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2,587.10</w:t>
      </w:r>
      <w:r>
        <w:rPr>
          <w:rFonts w:hint="eastAsia" w:ascii="仿宋_GB2312" w:eastAsia="仿宋_GB2312"/>
          <w:color w:val="auto"/>
          <w:spacing w:val="0"/>
          <w:sz w:val="32"/>
          <w:szCs w:val="32"/>
          <w:highlight w:val="none"/>
          <w:lang w:eastAsia="zh-CN"/>
        </w:rPr>
        <w:t>万元，预决算差异率90.49%，主要原因是：</w:t>
      </w:r>
      <w:r>
        <w:rPr>
          <w:rFonts w:hint="eastAsia" w:ascii="仿宋_GB2312" w:eastAsia="仿宋_GB2312"/>
          <w:color w:val="auto"/>
          <w:spacing w:val="0"/>
          <w:sz w:val="32"/>
          <w:szCs w:val="32"/>
          <w:highlight w:val="none"/>
          <w:lang w:val="en-US" w:eastAsia="zh-CN"/>
        </w:rPr>
        <w:t>追加“十四五”KJHL（2130305）、TDSJ（2130313）两个基本建设项目、自治区水利发展资金专项（2130311）、自治区特大防汛补助费（2130314）及人员提高基础绩效奖及考核奖等资金投入，较预算批复数增长较大，预决算存在差异。</w:t>
      </w:r>
    </w:p>
    <w:p>
      <w:pPr>
        <w:snapToGrid w:val="0"/>
        <w:spacing w:line="520" w:lineRule="exact"/>
        <w:ind w:firstLine="640" w:firstLineChars="200"/>
        <w:rPr>
          <w:rFonts w:hint="eastAsia" w:ascii="仿宋_GB2312" w:eastAsia="仿宋_GB2312"/>
          <w:color w:val="auto"/>
          <w:spacing w:val="0"/>
          <w:sz w:val="32"/>
          <w:szCs w:val="32"/>
          <w:highlight w:val="none"/>
          <w:lang w:eastAsia="zh-CN"/>
        </w:rPr>
      </w:pPr>
      <w:bookmarkStart w:id="16" w:name="_Toc13833"/>
      <w:bookmarkStart w:id="17" w:name="_Toc20360"/>
      <w:r>
        <w:rPr>
          <w:rFonts w:hint="eastAsia" w:ascii="仿宋_GB2312" w:eastAsia="仿宋_GB2312"/>
          <w:color w:val="auto"/>
          <w:spacing w:val="0"/>
          <w:sz w:val="32"/>
          <w:szCs w:val="32"/>
          <w:highlight w:val="none"/>
          <w:lang w:eastAsia="zh-CN"/>
        </w:rPr>
        <w:t>五、一般公共预算财政拨款支出决算情况说明</w:t>
      </w:r>
      <w:bookmarkEnd w:id="16"/>
      <w:bookmarkEnd w:id="17"/>
    </w:p>
    <w:p>
      <w:pPr>
        <w:snapToGrid w:val="0"/>
        <w:spacing w:line="520" w:lineRule="exact"/>
        <w:ind w:firstLine="640" w:firstLineChars="200"/>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（一）一般公共预算财政拨款支出决算总体情况</w:t>
      </w:r>
    </w:p>
    <w:p>
      <w:pPr>
        <w:snapToGrid w:val="0"/>
        <w:spacing w:line="520" w:lineRule="exact"/>
        <w:ind w:firstLine="640" w:firstLineChars="200"/>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2023年度一般公共预算财政拨款支出2,587.10万元，占本年支出合计的</w:t>
      </w:r>
      <w:r>
        <w:rPr>
          <w:rFonts w:hint="eastAsia" w:ascii="仿宋_GB2312" w:eastAsia="仿宋_GB2312"/>
          <w:color w:val="auto"/>
          <w:spacing w:val="0"/>
          <w:sz w:val="32"/>
          <w:szCs w:val="32"/>
          <w:highlight w:val="none"/>
          <w:lang w:val="zh-CN" w:eastAsia="zh-CN"/>
        </w:rPr>
        <w:t>88.71%</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增加1,064.79万元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增长69.95%,</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2023年追加“十四五”KJHL、TDSJ两个基本建设项目、自治区水利发展资金专项、自治区特大防汛补助费项目及人员提高基础绩效奖及考核奖等资金投入较上年增加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1,358.10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2,587.10</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90.49%</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追加“十四五”KJHL（2130305）、TDSJ（2130313）两个基本建设项目、自治区水利发展资金专项（2130311）、自治区特大防汛补助费（2130314）及人员提高基础绩效奖及考核奖等资金投入，较预算批复数增长较大，预决算存在差异。</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222.66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8.61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101.48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3.92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农林水支出（类）</w:t>
      </w:r>
      <w:r>
        <w:rPr>
          <w:rFonts w:hint="eastAsia" w:ascii="仿宋_GB2312" w:hAnsi="Times New Roman" w:eastAsia="仿宋_GB2312" w:cs="Times New Roman"/>
          <w:color w:val="auto"/>
          <w:spacing w:val="0"/>
          <w:kern w:val="2"/>
          <w:sz w:val="32"/>
          <w:szCs w:val="32"/>
          <w:highlight w:val="none"/>
          <w:lang w:val="zh-CN" w:eastAsia="zh-CN" w:bidi="ar-SA"/>
        </w:rPr>
        <w:t>2,178.98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84.22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83.98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3.25</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1.农林水支出（类）水利（款）防汛（项）:支出决算数为50.00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150.00%，主要原因是：</w:t>
      </w:r>
      <w:r>
        <w:rPr>
          <w:rFonts w:hint="eastAsia" w:eastAsia="仿宋_GB2312" w:cs="Times New Roman"/>
          <w:color w:val="auto"/>
          <w:kern w:val="2"/>
          <w:sz w:val="32"/>
          <w:szCs w:val="32"/>
          <w:highlight w:val="none"/>
          <w:lang w:val="en-US" w:eastAsia="zh-CN" w:bidi="ar-SA"/>
        </w:rPr>
        <w:t>追加2023年自治区特大防汛补助费，较上年决算增加。</w:t>
      </w:r>
    </w:p>
    <w:p>
      <w:pPr>
        <w:snapToGrid w:val="0"/>
        <w:spacing w:line="520" w:lineRule="exact"/>
        <w:ind w:firstLine="640" w:firstLineChars="200"/>
        <w:rPr>
          <w:rFonts w:hint="eastAsia" w:ascii="仿宋_GB2312" w:eastAsia="仿宋_GB2312"/>
          <w:color w:val="auto"/>
          <w:spacing w:val="0"/>
          <w:sz w:val="32"/>
          <w:szCs w:val="32"/>
          <w:highlight w:val="none"/>
          <w:lang w:val="zh-CN" w:eastAsia="zh-CN"/>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2.卫生健康支出（类）行政事业单位医疗（款）事业单位医疗（项）:支出决算数为52.49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5.15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10.89%</w:t>
      </w:r>
      <w:r>
        <w:rPr>
          <w:rFonts w:hint="eastAsia" w:ascii="仿宋_GB2312" w:eastAsia="仿宋_GB2312"/>
          <w:color w:val="auto"/>
          <w:spacing w:val="0"/>
          <w:sz w:val="32"/>
          <w:szCs w:val="32"/>
          <w:highlight w:val="none"/>
          <w:lang w:val="en-US" w:eastAsia="zh-CN"/>
        </w:rPr>
        <w:t>，主要原因是：2023年缴费人员工资较上年平均高，较上年决算有所增加。</w:t>
      </w:r>
    </w:p>
    <w:p>
      <w:pPr>
        <w:snapToGrid w:val="0"/>
        <w:spacing w:line="520" w:lineRule="exact"/>
        <w:ind w:firstLine="640" w:firstLineChars="200"/>
        <w:rPr>
          <w:rFonts w:hint="eastAsia" w:ascii="仿宋_GB2312" w:eastAsia="仿宋_GB2312"/>
          <w:color w:val="auto"/>
          <w:spacing w:val="0"/>
          <w:sz w:val="32"/>
          <w:szCs w:val="32"/>
          <w:highlight w:val="none"/>
          <w:lang w:val="zh-CN" w:eastAsia="zh-CN"/>
        </w:rPr>
      </w:pPr>
      <w:r>
        <w:rPr>
          <w:rFonts w:hint="eastAsia" w:ascii="仿宋_GB2312" w:eastAsia="仿宋_GB2312"/>
          <w:color w:val="auto"/>
          <w:spacing w:val="0"/>
          <w:sz w:val="32"/>
          <w:szCs w:val="32"/>
          <w:highlight w:val="none"/>
          <w:lang w:val="en-US" w:eastAsia="zh-CN"/>
        </w:rPr>
        <w:t>3.农林水支出（类）水利（款）水文测报（项）:支出决算数为1,383.03万元，比上年决算增加293.63万元，增长26.95%，主要原因是：2023年追加人员提高基础绩效奖及考核奖等资金投入及“十四五”TDSJ（2130313）建设项目，较上年决算增加</w:t>
      </w:r>
      <w:r>
        <w:rPr>
          <w:rFonts w:hint="eastAsia" w:ascii="仿宋_GB2312" w:eastAsia="仿宋_GB2312"/>
          <w:color w:val="auto"/>
          <w:spacing w:val="0"/>
          <w:sz w:val="32"/>
          <w:szCs w:val="32"/>
          <w:highlight w:val="none"/>
          <w:lang w:val="zh-CN" w:eastAsia="zh-CN"/>
        </w:rPr>
        <w:t>。</w:t>
      </w:r>
    </w:p>
    <w:p>
      <w:pPr>
        <w:snapToGrid w:val="0"/>
        <w:spacing w:line="520" w:lineRule="exact"/>
        <w:ind w:firstLine="640" w:firstLineChars="200"/>
        <w:rPr>
          <w:rFonts w:hint="eastAsia" w:ascii="仿宋_GB2312" w:eastAsia="仿宋_GB2312"/>
          <w:color w:val="auto"/>
          <w:spacing w:val="0"/>
          <w:sz w:val="32"/>
          <w:szCs w:val="32"/>
          <w:highlight w:val="none"/>
          <w:lang w:val="zh-CN" w:eastAsia="zh-CN"/>
        </w:rPr>
      </w:pPr>
      <w:r>
        <w:rPr>
          <w:rFonts w:hint="eastAsia" w:ascii="仿宋_GB2312" w:eastAsia="仿宋_GB2312"/>
          <w:color w:val="auto"/>
          <w:spacing w:val="0"/>
          <w:sz w:val="32"/>
          <w:szCs w:val="32"/>
          <w:highlight w:val="none"/>
          <w:lang w:val="en-US" w:eastAsia="zh-CN"/>
        </w:rPr>
        <w:t>4.卫生健康支出（类）行政事业单位医疗（款）公务员医疗补助（项）:支出决算数为48.99万元，比上年决算增加12.17万元，增长33.06%，主要原因是：2023年缴费人员工资较上年平均高，较上年决算有所增加。</w:t>
      </w:r>
    </w:p>
    <w:p>
      <w:pPr>
        <w:snapToGrid w:val="0"/>
        <w:spacing w:line="520" w:lineRule="exact"/>
        <w:ind w:firstLine="640" w:firstLineChars="200"/>
        <w:rPr>
          <w:rFonts w:hint="eastAsia" w:ascii="仿宋_GB2312" w:eastAsia="仿宋_GB2312"/>
          <w:color w:val="auto"/>
          <w:spacing w:val="0"/>
          <w:sz w:val="32"/>
          <w:szCs w:val="32"/>
          <w:highlight w:val="none"/>
          <w:lang w:val="zh-CN" w:eastAsia="zh-CN"/>
        </w:rPr>
      </w:pPr>
      <w:r>
        <w:rPr>
          <w:rFonts w:hint="eastAsia" w:ascii="仿宋_GB2312" w:eastAsia="仿宋_GB2312"/>
          <w:color w:val="auto"/>
          <w:spacing w:val="0"/>
          <w:sz w:val="32"/>
          <w:szCs w:val="32"/>
          <w:highlight w:val="none"/>
          <w:lang w:val="en-US" w:eastAsia="zh-CN"/>
        </w:rPr>
        <w:t>5.农林水支出（类）水利（款）水利工程建设（项）:支出决算数为513.96万元，比上年决算增加513.96万元，增长100%，主要原因是：追加“十四五”KJHL（2130305）基本建设项目，较上年决算有所增加</w:t>
      </w:r>
      <w:r>
        <w:rPr>
          <w:rFonts w:hint="eastAsia" w:ascii="仿宋_GB2312" w:eastAsia="仿宋_GB2312"/>
          <w:color w:val="auto"/>
          <w:spacing w:val="0"/>
          <w:sz w:val="32"/>
          <w:szCs w:val="32"/>
          <w:highlight w:val="none"/>
          <w:lang w:val="zh-CN" w:eastAsia="zh-CN"/>
        </w:rPr>
        <w:t>。</w:t>
      </w:r>
    </w:p>
    <w:p>
      <w:pPr>
        <w:snapToGrid w:val="0"/>
        <w:spacing w:line="520" w:lineRule="exact"/>
        <w:ind w:firstLine="640" w:firstLineChars="200"/>
        <w:rPr>
          <w:rFonts w:hint="eastAsia" w:ascii="仿宋_GB2312" w:eastAsia="仿宋_GB2312"/>
          <w:color w:val="auto"/>
          <w:spacing w:val="0"/>
          <w:sz w:val="32"/>
          <w:szCs w:val="32"/>
          <w:highlight w:val="none"/>
          <w:lang w:val="zh-CN" w:eastAsia="zh-CN"/>
        </w:rPr>
      </w:pPr>
      <w:r>
        <w:rPr>
          <w:rFonts w:hint="eastAsia" w:ascii="仿宋_GB2312" w:eastAsia="仿宋_GB2312"/>
          <w:color w:val="auto"/>
          <w:spacing w:val="0"/>
          <w:sz w:val="32"/>
          <w:szCs w:val="32"/>
          <w:highlight w:val="none"/>
          <w:lang w:val="en-US" w:eastAsia="zh-CN"/>
        </w:rPr>
        <w:t>6.住房保障支出（类）住房改革支出（款）住房公积金（项）:支出决算数为83.98万元，比上年决算增加18.18万元，增长27.64%，主要原因是2023年缴费人员工资较上年平均高，较上年决算有所增加。</w:t>
      </w:r>
    </w:p>
    <w:p>
      <w:pPr>
        <w:snapToGrid w:val="0"/>
        <w:spacing w:line="520" w:lineRule="exact"/>
        <w:ind w:firstLine="640" w:firstLineChars="200"/>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7.社会保障和就业支出（类）行政事业单位养老支出（款）事业单位离退休（项）:支出决算数为85.06万元，比上年决算减少26.12万元，下降23.49%，主要原因是：根据新疆维吾尔自治区财政厅新财社[2023]168号文件要求关于收回2023年自治区本级机关事业单位离退休人员基本医疗保障单位缴费部分资金的通知，故较上年决算有所减少。</w:t>
      </w:r>
    </w:p>
    <w:p>
      <w:pPr>
        <w:snapToGrid w:val="0"/>
        <w:spacing w:line="520" w:lineRule="exact"/>
        <w:ind w:firstLine="640" w:firstLineChars="200"/>
        <w:rPr>
          <w:rFonts w:hint="eastAsia" w:ascii="仿宋_GB2312" w:eastAsia="仿宋_GB2312"/>
          <w:color w:val="auto"/>
          <w:spacing w:val="0"/>
          <w:sz w:val="32"/>
          <w:szCs w:val="32"/>
          <w:highlight w:val="none"/>
          <w:lang w:val="zh-CN" w:eastAsia="zh-CN"/>
        </w:rPr>
      </w:pPr>
      <w:r>
        <w:rPr>
          <w:rFonts w:hint="eastAsia" w:ascii="仿宋_GB2312" w:eastAsia="仿宋_GB2312"/>
          <w:color w:val="auto"/>
          <w:spacing w:val="0"/>
          <w:sz w:val="32"/>
          <w:szCs w:val="32"/>
          <w:highlight w:val="none"/>
          <w:lang w:val="en-US" w:eastAsia="zh-CN"/>
        </w:rPr>
        <w:t>8.农林水支出（类）水利（款）水资源节约管理与保护（项）:支出决算数为232.00万元，比上年决算增加232.00万元，增长100%，主要原因是：追加自治区水利发展资金专项（2130311），较上年决算增加</w:t>
      </w:r>
      <w:r>
        <w:rPr>
          <w:rFonts w:hint="eastAsia" w:ascii="仿宋_GB2312" w:eastAsia="仿宋_GB2312"/>
          <w:color w:val="auto"/>
          <w:spacing w:val="0"/>
          <w:sz w:val="32"/>
          <w:szCs w:val="32"/>
          <w:highlight w:val="none"/>
          <w:lang w:val="zh-CN" w:eastAsia="zh-CN"/>
        </w:rPr>
        <w:t>。</w:t>
      </w:r>
    </w:p>
    <w:p>
      <w:pPr>
        <w:snapToGrid w:val="0"/>
        <w:spacing w:line="520" w:lineRule="exact"/>
        <w:ind w:firstLine="640" w:firstLineChars="200"/>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9.社会保障和就业支出（类）行政事业单位养老支出（款）机关事业单位职业年金缴费支出（项）:支出决算数为19.10万元，比上年决算减少8.87万元，下降31.71%，主要原因是：追加退休等人员职业年金较上年减少（2022年退休2人、辞职1人，2023年退休1人），较上年决算有所减少。</w:t>
      </w:r>
    </w:p>
    <w:p>
      <w:pPr>
        <w:snapToGrid w:val="0"/>
        <w:spacing w:line="520" w:lineRule="exact"/>
        <w:ind w:firstLine="640" w:firstLineChars="200"/>
        <w:rPr>
          <w:rFonts w:hint="eastAsia" w:ascii="仿宋_GB2312" w:eastAsia="仿宋_GB2312"/>
          <w:color w:val="auto"/>
          <w:spacing w:val="0"/>
          <w:sz w:val="32"/>
          <w:szCs w:val="32"/>
          <w:highlight w:val="none"/>
          <w:lang w:val="zh-CN" w:eastAsia="zh-CN"/>
        </w:rPr>
      </w:pPr>
      <w:r>
        <w:rPr>
          <w:rFonts w:hint="eastAsia" w:ascii="仿宋_GB2312" w:eastAsia="仿宋_GB2312"/>
          <w:color w:val="auto"/>
          <w:spacing w:val="0"/>
          <w:sz w:val="32"/>
          <w:szCs w:val="32"/>
          <w:highlight w:val="none"/>
          <w:lang w:val="en-US" w:eastAsia="zh-CN"/>
        </w:rPr>
        <w:t>10.社会保障和就业支出（类）行政事业单位养老支出（款）机关事业单位基本养老保险缴费支出（项）:支出决算数为118.50万元，比上年决算减少1.82万元，下降1.51%，主要原因是：2023年退休3人，新进3人，新招聘人员缴费基数较退休人员低，故较上年决算有所减少</w:t>
      </w:r>
      <w:r>
        <w:rPr>
          <w:rFonts w:hint="eastAsia" w:ascii="仿宋_GB2312" w:eastAsia="仿宋_GB2312"/>
          <w:color w:val="auto"/>
          <w:spacing w:val="0"/>
          <w:sz w:val="32"/>
          <w:szCs w:val="32"/>
          <w:highlight w:val="none"/>
          <w:lang w:val="zh-CN" w:eastAsia="zh-CN"/>
        </w:rPr>
        <w:t>。</w:t>
      </w:r>
    </w:p>
    <w:p>
      <w:pPr>
        <w:snapToGrid w:val="0"/>
        <w:spacing w:line="520" w:lineRule="exact"/>
        <w:ind w:firstLine="640" w:firstLineChars="200"/>
        <w:rPr>
          <w:rFonts w:hint="eastAsia" w:ascii="仿宋_GB2312" w:eastAsia="仿宋_GB2312"/>
          <w:color w:val="auto"/>
          <w:spacing w:val="0"/>
          <w:sz w:val="32"/>
          <w:szCs w:val="32"/>
          <w:highlight w:val="none"/>
          <w:lang w:val="zh-CN" w:eastAsia="zh-CN"/>
        </w:rPr>
      </w:pPr>
      <w:r>
        <w:rPr>
          <w:rFonts w:hint="eastAsia" w:ascii="仿宋_GB2312" w:eastAsia="仿宋_GB2312"/>
          <w:color w:val="auto"/>
          <w:spacing w:val="0"/>
          <w:sz w:val="32"/>
          <w:szCs w:val="32"/>
          <w:highlight w:val="none"/>
          <w:lang w:val="en-US" w:eastAsia="zh-CN"/>
        </w:rPr>
        <w:t>11.社会保障和就业支出（类）行政事业单位养老支出（款）其他行政事业单位养老支出（项）:支出决算数为0.00万元，比上年决算减少3.51万元，下降100%，主要原因是：2023年无人员去世，故较上年决算有所减少</w:t>
      </w:r>
      <w:r>
        <w:rPr>
          <w:rFonts w:hint="eastAsia" w:ascii="仿宋_GB2312" w:eastAsia="仿宋_GB2312"/>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1,404.14</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1,314.12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抚恤金、生活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90.01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办公费、水费、电费、邮电费、取暖费、差旅费、公务接待费、工会经费、福利费、公务用车运行维护费、其他交通费用、其他商品和服务支出。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ascii="仿宋" w:hAnsi="仿宋" w:eastAsia="仿宋" w:cs="仿宋"/>
          <w:i w:val="0"/>
          <w:caps w:val="0"/>
          <w:color w:val="000000"/>
          <w:spacing w:val="0"/>
          <w:sz w:val="31"/>
          <w:szCs w:val="31"/>
        </w:rPr>
      </w:pPr>
      <w:r>
        <w:rPr>
          <w:rFonts w:ascii="仿宋_GB2312" w:hAnsi="仿宋" w:eastAsia="仿宋_GB2312" w:cs="仿宋_GB2312"/>
          <w:i w:val="0"/>
          <w:caps w:val="0"/>
          <w:color w:val="000000"/>
          <w:spacing w:val="0"/>
          <w:sz w:val="31"/>
          <w:szCs w:val="31"/>
        </w:rPr>
        <w:t>2023年度</w:t>
      </w:r>
      <w:r>
        <w:rPr>
          <w:rFonts w:hint="eastAsia" w:ascii="仿宋_GB2312" w:hAnsi="仿宋" w:eastAsia="仿宋_GB2312" w:cs="仿宋_GB2312"/>
          <w:i w:val="0"/>
          <w:caps w:val="0"/>
          <w:color w:val="000000"/>
          <w:spacing w:val="0"/>
          <w:sz w:val="31"/>
          <w:szCs w:val="31"/>
        </w:rPr>
        <w:t>财政拨款“三公”经费支出12.80万元，比上年增加0.00万元，增长0.00%,主要原因是：厉行节约，“三公”经费只减不增原则与上年一致。其中：因公出国（境）费支出0.00万元，占0.00%，比上年增加0.00万元，增长0.00%,主要原因是：我单位无因公出国（境)费；用车购置及运行维护费支出12.35万元，占96.48%，比上年增加0.00万元，增长0.00%,主要原因是：公务用车购置及运行维护费支出与上年一致，无变化；公务接待费支出0.45万元，占3.52%，比上年增加0.00万元，增长0.00%,主要原因是：公务接待费与上年一致。</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具体情况如下：</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因公出国（境）费支出0.00万元，开支内容包括我单位无因公出国（境）费。单位全年安排的因公出国（境）团组0个，因公出国（境）0人次。</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公务用车购置及运行维护费12.35万元，其中：公务用车购置费0.00万元，公务用车运行维护费12.35万元。公务用车运行维护费开支内容包括车辆的加油费、过路费以及日常保养费和保险费支出。公务用车购置数0辆，公务用车保有量</w:t>
      </w:r>
      <w:r>
        <w:rPr>
          <w:rFonts w:hint="eastAsia" w:ascii="仿宋_GB2312" w:hAnsi="仿宋" w:eastAsia="仿宋_GB2312" w:cs="仿宋_GB2312"/>
          <w:i w:val="0"/>
          <w:caps w:val="0"/>
          <w:color w:val="000000"/>
          <w:spacing w:val="0"/>
          <w:sz w:val="31"/>
          <w:szCs w:val="31"/>
          <w:lang w:val="en-US" w:eastAsia="zh-CN"/>
        </w:rPr>
        <w:t>4</w:t>
      </w:r>
      <w:r>
        <w:rPr>
          <w:rFonts w:hint="eastAsia" w:ascii="仿宋_GB2312" w:hAnsi="仿宋" w:eastAsia="仿宋_GB2312" w:cs="仿宋_GB2312"/>
          <w:i w:val="0"/>
          <w:caps w:val="0"/>
          <w:color w:val="000000"/>
          <w:spacing w:val="0"/>
          <w:sz w:val="31"/>
          <w:szCs w:val="31"/>
        </w:rPr>
        <w:t>辆。国有资产占用情况中固定资产车辆</w:t>
      </w:r>
      <w:r>
        <w:rPr>
          <w:rFonts w:hint="eastAsia" w:ascii="仿宋_GB2312" w:hAnsi="仿宋" w:eastAsia="仿宋_GB2312" w:cs="仿宋_GB2312"/>
          <w:i w:val="0"/>
          <w:caps w:val="0"/>
          <w:color w:val="000000"/>
          <w:spacing w:val="0"/>
          <w:sz w:val="31"/>
          <w:szCs w:val="31"/>
          <w:lang w:val="en-US" w:eastAsia="zh-CN"/>
        </w:rPr>
        <w:t>4</w:t>
      </w:r>
      <w:r>
        <w:rPr>
          <w:rFonts w:hint="eastAsia" w:ascii="仿宋_GB2312" w:hAnsi="仿宋" w:eastAsia="仿宋_GB2312" w:cs="仿宋_GB2312"/>
          <w:i w:val="0"/>
          <w:caps w:val="0"/>
          <w:color w:val="000000"/>
          <w:spacing w:val="0"/>
          <w:sz w:val="31"/>
          <w:szCs w:val="31"/>
        </w:rPr>
        <w:t>辆，与公务用车保有量差异原因是：</w:t>
      </w:r>
      <w:r>
        <w:rPr>
          <w:rFonts w:hint="eastAsia" w:ascii="仿宋_GB2312" w:hAnsi="仿宋" w:eastAsia="仿宋_GB2312" w:cs="仿宋_GB2312"/>
          <w:i w:val="0"/>
          <w:caps w:val="0"/>
          <w:color w:val="000000"/>
          <w:spacing w:val="0"/>
          <w:sz w:val="31"/>
          <w:szCs w:val="31"/>
          <w:lang w:eastAsia="zh-CN"/>
        </w:rPr>
        <w:t>无差异</w:t>
      </w:r>
      <w:r>
        <w:rPr>
          <w:rFonts w:hint="eastAsia" w:ascii="仿宋_GB2312" w:hAnsi="仿宋" w:eastAsia="仿宋_GB2312" w:cs="仿宋_GB2312"/>
          <w:i w:val="0"/>
          <w:caps w:val="0"/>
          <w:color w:val="000000"/>
          <w:spacing w:val="0"/>
          <w:sz w:val="31"/>
          <w:szCs w:val="31"/>
        </w:rPr>
        <w:t>。</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公务接待费0.45万元，开支内容包括接待上级单位支出的餐费。单位全年安排的国内公务接待共8批次，60人次。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预算数12.93万元，决算数12.80万元，预决算差异率-1.00%，主要原因是：厉行节约，压减财政拨款“三公”经费支出。其中：因公出国（境）费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预算数12.35万元，决算数12.35万元，预决算差异率0.00%，主要原因是：</w:t>
      </w:r>
      <w:r>
        <w:rPr>
          <w:rFonts w:hint="eastAsia" w:ascii="仿宋_GB2312" w:eastAsia="仿宋_GB2312"/>
          <w:color w:val="auto"/>
          <w:sz w:val="32"/>
          <w:szCs w:val="32"/>
          <w:highlight w:val="none"/>
          <w:lang w:val="en-US" w:eastAsia="zh-CN"/>
        </w:rPr>
        <w:t>预决算一致，无差异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预算数0.58万元，决算数0.45万元，预决算差异率-22.</w:t>
      </w:r>
      <w:r>
        <w:rPr>
          <w:rFonts w:hint="eastAsia" w:ascii="仿宋_GB2312" w:eastAsia="仿宋_GB2312"/>
          <w:color w:val="auto"/>
          <w:sz w:val="32"/>
          <w:szCs w:val="32"/>
          <w:highlight w:val="none"/>
          <w:lang w:val="en-US" w:eastAsia="zh-CN"/>
        </w:rPr>
        <w:t>41</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厉行节约，压减公务接待费支出</w:t>
      </w:r>
      <w:bookmarkStart w:id="48" w:name="_GoBack"/>
      <w:bookmarkEnd w:id="48"/>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伊犁水文勘测局</w:t>
      </w:r>
      <w:r>
        <w:rPr>
          <w:rFonts w:hint="eastAsia" w:ascii="Times New Roman" w:hAnsi="Times New Roman" w:eastAsia="仿宋_GB2312" w:cs="Times New Roman"/>
          <w:color w:val="auto"/>
          <w:sz w:val="32"/>
          <w:szCs w:val="32"/>
          <w:highlight w:val="none"/>
          <w:lang w:val="zh-CN" w:eastAsia="zh-CN"/>
        </w:rPr>
        <w:t>（事业单位）公用经费支出90.01万元，比上年增加26.04万元，增长40.71%，主要原因是：</w:t>
      </w:r>
      <w:r>
        <w:rPr>
          <w:rFonts w:hint="eastAsia" w:eastAsia="仿宋_GB2312" w:cs="Times New Roman"/>
          <w:color w:val="auto"/>
          <w:sz w:val="32"/>
          <w:szCs w:val="32"/>
          <w:highlight w:val="none"/>
          <w:lang w:val="en-US" w:eastAsia="zh-CN"/>
        </w:rPr>
        <w:t>使用上年结转资金支付了办公费、差旅费等支出较上年增加。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271.40万元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其中：政府采购货物支出205.05万元、政府采购工程支出50.00万元、政府采购服务支出16.35万元。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授予中小企业合同金额269.64万元，占政府采购支出总额的99.35</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，其中：授予小微企业合同金额104.54万元，占政府采购支出总额的38.52</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4,794.01</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屋10311.43平方米，价值1,702.95万元。车辆4辆，价值133.55万元，其中：副部（省）级及以上领导用车0辆、主要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用车0辆、机要通信用车0辆、应急保障用车0辆、执法执勤用车0辆、特种专业技术用车2辆、离退休干部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用车0辆、其他用车2辆，其他用车主要是：</w:t>
      </w:r>
      <w:r>
        <w:rPr>
          <w:rFonts w:hint="eastAsia" w:eastAsia="仿宋_GB2312" w:cs="Times New Roman"/>
          <w:color w:val="auto"/>
          <w:sz w:val="32"/>
          <w:szCs w:val="32"/>
          <w:highlight w:val="none"/>
          <w:lang w:val="en-US" w:eastAsia="zh-CN"/>
        </w:rPr>
        <w:t>一般公务用车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ascii="仿宋" w:hAnsi="仿宋" w:eastAsia="仿宋" w:cs="仿宋"/>
          <w:i w:val="0"/>
          <w:caps w:val="0"/>
          <w:color w:val="000000"/>
          <w:spacing w:val="0"/>
          <w:sz w:val="31"/>
          <w:szCs w:val="31"/>
        </w:rPr>
      </w:pPr>
      <w:bookmarkStart w:id="30" w:name="_Toc3250"/>
      <w:bookmarkStart w:id="31" w:name="_Toc24143"/>
      <w:r>
        <w:rPr>
          <w:rFonts w:ascii="仿宋_GB2312" w:hAnsi="仿宋" w:eastAsia="仿宋_GB2312" w:cs="仿宋_GB2312"/>
          <w:i w:val="0"/>
          <w:caps w:val="0"/>
          <w:color w:val="000000"/>
          <w:spacing w:val="0"/>
          <w:sz w:val="31"/>
          <w:szCs w:val="31"/>
        </w:rPr>
        <w:t>根据预算绩效管理要求，我</w:t>
      </w:r>
      <w:r>
        <w:rPr>
          <w:rFonts w:hint="eastAsia" w:ascii="仿宋_GB2312" w:hAnsi="仿宋" w:eastAsia="仿宋_GB2312" w:cs="仿宋_GB2312"/>
          <w:i w:val="0"/>
          <w:caps w:val="0"/>
          <w:color w:val="000000"/>
          <w:spacing w:val="0"/>
          <w:sz w:val="31"/>
          <w:szCs w:val="31"/>
        </w:rPr>
        <w:t>单位2023年度预算绩效评价项目</w:t>
      </w:r>
      <w:r>
        <w:rPr>
          <w:rFonts w:hint="eastAsia" w:ascii="仿宋_GB2312" w:hAnsi="仿宋" w:eastAsia="仿宋_GB2312" w:cs="仿宋_GB2312"/>
          <w:i w:val="0"/>
          <w:caps w:val="0"/>
          <w:color w:val="000000"/>
          <w:spacing w:val="0"/>
          <w:sz w:val="31"/>
          <w:szCs w:val="31"/>
          <w:lang w:val="en-US" w:eastAsia="zh-CN"/>
        </w:rPr>
        <w:t>2</w:t>
      </w:r>
      <w:r>
        <w:rPr>
          <w:rFonts w:hint="eastAsia" w:ascii="仿宋_GB2312" w:hAnsi="仿宋" w:eastAsia="仿宋_GB2312" w:cs="仿宋_GB2312"/>
          <w:i w:val="0"/>
          <w:caps w:val="0"/>
          <w:color w:val="000000"/>
          <w:spacing w:val="0"/>
          <w:sz w:val="31"/>
          <w:szCs w:val="31"/>
        </w:rPr>
        <w:t>个</w:t>
      </w:r>
      <w:r>
        <w:rPr>
          <w:rFonts w:hint="eastAsia" w:ascii="仿宋_GB2312" w:hAnsi="仿宋" w:eastAsia="仿宋_GB2312" w:cs="仿宋_GB2312"/>
          <w:i w:val="0"/>
          <w:caps w:val="0"/>
          <w:color w:val="0000FF"/>
          <w:spacing w:val="0"/>
          <w:sz w:val="31"/>
          <w:szCs w:val="31"/>
        </w:rPr>
        <w:t>，</w:t>
      </w:r>
      <w:r>
        <w:rPr>
          <w:rFonts w:hint="eastAsia" w:ascii="仿宋_GB2312" w:hAnsi="仿宋" w:eastAsia="仿宋_GB2312" w:cs="仿宋_GB2312"/>
          <w:i w:val="0"/>
          <w:caps w:val="0"/>
          <w:color w:val="000000"/>
          <w:spacing w:val="0"/>
          <w:sz w:val="31"/>
          <w:szCs w:val="31"/>
        </w:rPr>
        <w:t>全年预算数</w:t>
      </w:r>
      <w:r>
        <w:rPr>
          <w:rFonts w:hint="eastAsia" w:ascii="仿宋_GB2312" w:hAnsi="仿宋" w:eastAsia="仿宋_GB2312" w:cs="仿宋_GB2312"/>
          <w:i w:val="0"/>
          <w:caps w:val="0"/>
          <w:color w:val="000000"/>
          <w:spacing w:val="0"/>
          <w:sz w:val="31"/>
          <w:szCs w:val="31"/>
          <w:lang w:val="en-US" w:eastAsia="zh-CN"/>
        </w:rPr>
        <w:t>339</w:t>
      </w:r>
      <w:r>
        <w:rPr>
          <w:rFonts w:hint="eastAsia" w:ascii="仿宋_GB2312" w:hAnsi="仿宋" w:eastAsia="仿宋_GB2312" w:cs="仿宋_GB2312"/>
          <w:i w:val="0"/>
          <w:caps w:val="0"/>
          <w:color w:val="000000"/>
          <w:spacing w:val="0"/>
          <w:sz w:val="31"/>
          <w:szCs w:val="31"/>
        </w:rPr>
        <w:t>万元，全年执行数</w:t>
      </w:r>
      <w:r>
        <w:rPr>
          <w:rFonts w:hint="eastAsia" w:ascii="仿宋_GB2312" w:hAnsi="仿宋" w:eastAsia="仿宋_GB2312" w:cs="仿宋_GB2312"/>
          <w:i w:val="0"/>
          <w:caps w:val="0"/>
          <w:color w:val="000000"/>
          <w:spacing w:val="0"/>
          <w:sz w:val="31"/>
          <w:szCs w:val="31"/>
          <w:lang w:val="en-US" w:eastAsia="zh-CN"/>
        </w:rPr>
        <w:t>339</w:t>
      </w:r>
      <w:r>
        <w:rPr>
          <w:rFonts w:hint="eastAsia" w:ascii="仿宋_GB2312" w:hAnsi="仿宋" w:eastAsia="仿宋_GB2312" w:cs="仿宋_GB2312"/>
          <w:i w:val="0"/>
          <w:caps w:val="0"/>
          <w:color w:val="000000"/>
          <w:spacing w:val="0"/>
          <w:sz w:val="31"/>
          <w:szCs w:val="31"/>
        </w:rPr>
        <w:t>万元。预算绩效管理取得的成效：由于项目资金投入及时到位，基本保证了水文测站按测站任务书的要求，完成水文测站的各项测验任务。保证了水文资料的真实性、可靠性、完整性和安全性；更好地为当地做好防洪抗旱工作。并能够及时对水文测站业务及其他业务工作进行监督指导管理；对水文资料进行审查、整编、保管等；为了更好地完成各项业务工作打下坚实基础。发现的问题及原因：一是伊犁水文勘测局为一类事业性单位，水文行业不同于其他行业，突发性事件无法预料，对下年发生的突发性事件无法估算，在发生水毁突发事件后，要求及时上报，但是这部分资金往往在事后较长时间才能到位，有时在汛后甚至年底才能资金到位。作为水文特殊行业，又不能等资金到位后再进行水毁设施设备恢复，这样会耽误水文测报工作。为了应急不管什么资金，先保证了测报设施设备的正常运转，这样就得先用其他资金垫付。二是水文测站运行管理费用预算偏小，因水文测站大部分建在山区，远离城市交通不便，测站职工生活及工作、以及汛期测洪报汛等用车频繁，山区路况较差等因素造成实际发生交通费用超出计划预算数。三是为相应新疆特殊情况政策实施，财政根据新开展的工作内容相应下达调整年初预算，单位实际执行年初预算也会相应调整，导致预算数和实际执行数据的差距加大，而这部分因素为基层单位所不能控制。下一步改进措施：积极与上级沟通学习，规范项目绩效管理。具体项目自评情况见附件。</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00"/>
          <w:spacing w:val="0"/>
          <w:sz w:val="31"/>
          <w:szCs w:val="31"/>
        </w:rPr>
      </w:pPr>
      <w:r>
        <w:rPr>
          <w:rFonts w:ascii="黑体" w:hAnsi="宋体" w:eastAsia="黑体" w:cs="黑体"/>
          <w:i w:val="0"/>
          <w:caps w:val="0"/>
          <w:color w:val="000000"/>
          <w:spacing w:val="0"/>
          <w:sz w:val="31"/>
          <w:szCs w:val="31"/>
        </w:rPr>
        <w:t>十</w:t>
      </w:r>
      <w:r>
        <w:rPr>
          <w:rFonts w:hint="eastAsia" w:ascii="黑体" w:hAnsi="宋体" w:eastAsia="黑体" w:cs="黑体"/>
          <w:i w:val="0"/>
          <w:caps w:val="0"/>
          <w:color w:val="000000"/>
          <w:spacing w:val="0"/>
          <w:sz w:val="31"/>
          <w:szCs w:val="31"/>
        </w:rPr>
        <w:t>二、其他需说明的事项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olor w:val="auto"/>
          <w:sz w:val="32"/>
          <w:szCs w:val="32"/>
          <w:highlight w:val="none"/>
        </w:rPr>
      </w:pPr>
      <w:r>
        <w:rPr>
          <w:rFonts w:hint="eastAsia" w:ascii="仿宋_GB2312" w:eastAsia="仿宋_GB2312"/>
          <w:color w:val="auto"/>
          <w:sz w:val="32"/>
          <w:szCs w:val="32"/>
          <w:highlight w:val="none"/>
          <w:lang w:val="zh-CN" w:eastAsia="zh-CN"/>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1C6253C"/>
    <w:rsid w:val="02BD3108"/>
    <w:rsid w:val="02F73D26"/>
    <w:rsid w:val="02FA25DD"/>
    <w:rsid w:val="032E5BBC"/>
    <w:rsid w:val="034D4FEF"/>
    <w:rsid w:val="035D1785"/>
    <w:rsid w:val="039F47CE"/>
    <w:rsid w:val="03E05CE8"/>
    <w:rsid w:val="03F973EE"/>
    <w:rsid w:val="043E5B56"/>
    <w:rsid w:val="04983177"/>
    <w:rsid w:val="04C04386"/>
    <w:rsid w:val="04D96608"/>
    <w:rsid w:val="04FA68C4"/>
    <w:rsid w:val="053F5AE6"/>
    <w:rsid w:val="057C0B0F"/>
    <w:rsid w:val="05EF4B48"/>
    <w:rsid w:val="05F76ECA"/>
    <w:rsid w:val="067634BD"/>
    <w:rsid w:val="06792773"/>
    <w:rsid w:val="07093795"/>
    <w:rsid w:val="075655B0"/>
    <w:rsid w:val="07804730"/>
    <w:rsid w:val="079052BE"/>
    <w:rsid w:val="08145C21"/>
    <w:rsid w:val="08422688"/>
    <w:rsid w:val="08517D99"/>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E986DE4"/>
    <w:rsid w:val="0EC96140"/>
    <w:rsid w:val="0ECE5049"/>
    <w:rsid w:val="0F1113DA"/>
    <w:rsid w:val="0F78534A"/>
    <w:rsid w:val="0F89358A"/>
    <w:rsid w:val="0F8C6D51"/>
    <w:rsid w:val="105B0B5E"/>
    <w:rsid w:val="112E58D0"/>
    <w:rsid w:val="115E01DA"/>
    <w:rsid w:val="11731CAC"/>
    <w:rsid w:val="119500A0"/>
    <w:rsid w:val="11C0733B"/>
    <w:rsid w:val="11D50D17"/>
    <w:rsid w:val="120E0809"/>
    <w:rsid w:val="127F665A"/>
    <w:rsid w:val="12F7068C"/>
    <w:rsid w:val="14004C89"/>
    <w:rsid w:val="14207DC0"/>
    <w:rsid w:val="1461070D"/>
    <w:rsid w:val="14B932DA"/>
    <w:rsid w:val="150A66AF"/>
    <w:rsid w:val="1548367B"/>
    <w:rsid w:val="154C1139"/>
    <w:rsid w:val="158C5B77"/>
    <w:rsid w:val="15F4503D"/>
    <w:rsid w:val="160D1149"/>
    <w:rsid w:val="163563C0"/>
    <w:rsid w:val="164315EF"/>
    <w:rsid w:val="16557DFE"/>
    <w:rsid w:val="167268FB"/>
    <w:rsid w:val="16770D0A"/>
    <w:rsid w:val="16D50C50"/>
    <w:rsid w:val="16E120E1"/>
    <w:rsid w:val="173375D7"/>
    <w:rsid w:val="17385A05"/>
    <w:rsid w:val="173B3901"/>
    <w:rsid w:val="176747F9"/>
    <w:rsid w:val="17954A6E"/>
    <w:rsid w:val="180059E9"/>
    <w:rsid w:val="184510FD"/>
    <w:rsid w:val="190648B0"/>
    <w:rsid w:val="19071D6C"/>
    <w:rsid w:val="19D26CD4"/>
    <w:rsid w:val="19E60D19"/>
    <w:rsid w:val="1A3E3450"/>
    <w:rsid w:val="1AD807E5"/>
    <w:rsid w:val="1AEB27A7"/>
    <w:rsid w:val="1B39345B"/>
    <w:rsid w:val="1BFB2A1F"/>
    <w:rsid w:val="1C015D4A"/>
    <w:rsid w:val="1C290ED5"/>
    <w:rsid w:val="1C317E4F"/>
    <w:rsid w:val="1C472464"/>
    <w:rsid w:val="1C585B6E"/>
    <w:rsid w:val="1D22799A"/>
    <w:rsid w:val="1D5C1A72"/>
    <w:rsid w:val="1DAF458D"/>
    <w:rsid w:val="1E086ACE"/>
    <w:rsid w:val="1E62130A"/>
    <w:rsid w:val="1E97358B"/>
    <w:rsid w:val="1EAA4A5F"/>
    <w:rsid w:val="1EE869A7"/>
    <w:rsid w:val="1FA15E62"/>
    <w:rsid w:val="1FED69B6"/>
    <w:rsid w:val="205630F0"/>
    <w:rsid w:val="2064678E"/>
    <w:rsid w:val="20DC1AB9"/>
    <w:rsid w:val="20DD6197"/>
    <w:rsid w:val="212631E0"/>
    <w:rsid w:val="21A53757"/>
    <w:rsid w:val="221236C6"/>
    <w:rsid w:val="22B415BD"/>
    <w:rsid w:val="22D7662C"/>
    <w:rsid w:val="23326B7F"/>
    <w:rsid w:val="2380045B"/>
    <w:rsid w:val="23B77756"/>
    <w:rsid w:val="23BC04D2"/>
    <w:rsid w:val="23EF1892"/>
    <w:rsid w:val="2483647E"/>
    <w:rsid w:val="248F6BD1"/>
    <w:rsid w:val="24A32D55"/>
    <w:rsid w:val="25292727"/>
    <w:rsid w:val="252E5CA9"/>
    <w:rsid w:val="254A1AC8"/>
    <w:rsid w:val="256F7692"/>
    <w:rsid w:val="25BA2154"/>
    <w:rsid w:val="25C8773F"/>
    <w:rsid w:val="264A7253"/>
    <w:rsid w:val="26F0170C"/>
    <w:rsid w:val="27201D62"/>
    <w:rsid w:val="27286E73"/>
    <w:rsid w:val="275B723E"/>
    <w:rsid w:val="27CF2642"/>
    <w:rsid w:val="27E777F5"/>
    <w:rsid w:val="27EA1D4C"/>
    <w:rsid w:val="27EA2E41"/>
    <w:rsid w:val="282459E2"/>
    <w:rsid w:val="283A7FE5"/>
    <w:rsid w:val="285F51FF"/>
    <w:rsid w:val="28CE270C"/>
    <w:rsid w:val="28DF2665"/>
    <w:rsid w:val="29072599"/>
    <w:rsid w:val="291029F3"/>
    <w:rsid w:val="29CB58F0"/>
    <w:rsid w:val="2A053397"/>
    <w:rsid w:val="2A145E96"/>
    <w:rsid w:val="2A2131BB"/>
    <w:rsid w:val="2A4C2E6E"/>
    <w:rsid w:val="2A866380"/>
    <w:rsid w:val="2AF5378F"/>
    <w:rsid w:val="2BB94DBF"/>
    <w:rsid w:val="2C6F314E"/>
    <w:rsid w:val="2CC206BE"/>
    <w:rsid w:val="2D1136DF"/>
    <w:rsid w:val="2D20606D"/>
    <w:rsid w:val="2DA80E0C"/>
    <w:rsid w:val="2DB87198"/>
    <w:rsid w:val="2DB93C54"/>
    <w:rsid w:val="2DE41D3C"/>
    <w:rsid w:val="2DF90E26"/>
    <w:rsid w:val="2E3D144C"/>
    <w:rsid w:val="2E891204"/>
    <w:rsid w:val="2F3F0A28"/>
    <w:rsid w:val="2F81180C"/>
    <w:rsid w:val="2FBF7029"/>
    <w:rsid w:val="2FD0187F"/>
    <w:rsid w:val="2FD27414"/>
    <w:rsid w:val="2FFE4BB0"/>
    <w:rsid w:val="300E7B60"/>
    <w:rsid w:val="300F6E18"/>
    <w:rsid w:val="30862F5F"/>
    <w:rsid w:val="314029C9"/>
    <w:rsid w:val="31C63837"/>
    <w:rsid w:val="31C82E39"/>
    <w:rsid w:val="32601BAD"/>
    <w:rsid w:val="329F6389"/>
    <w:rsid w:val="3389023A"/>
    <w:rsid w:val="33AF6948"/>
    <w:rsid w:val="33CB74FA"/>
    <w:rsid w:val="343642F2"/>
    <w:rsid w:val="343F3010"/>
    <w:rsid w:val="345D0A00"/>
    <w:rsid w:val="34713BFD"/>
    <w:rsid w:val="34C13589"/>
    <w:rsid w:val="353369E3"/>
    <w:rsid w:val="35E00D72"/>
    <w:rsid w:val="368707A6"/>
    <w:rsid w:val="36965B9D"/>
    <w:rsid w:val="36C549FD"/>
    <w:rsid w:val="37A755DD"/>
    <w:rsid w:val="37F94FA0"/>
    <w:rsid w:val="380D3381"/>
    <w:rsid w:val="38115B1F"/>
    <w:rsid w:val="385E3AC3"/>
    <w:rsid w:val="387D6B9E"/>
    <w:rsid w:val="38B75FF0"/>
    <w:rsid w:val="38D45016"/>
    <w:rsid w:val="38D90432"/>
    <w:rsid w:val="3914510A"/>
    <w:rsid w:val="3926770B"/>
    <w:rsid w:val="397228F1"/>
    <w:rsid w:val="398D3668"/>
    <w:rsid w:val="39DA0497"/>
    <w:rsid w:val="3A893816"/>
    <w:rsid w:val="3A893B6D"/>
    <w:rsid w:val="3AD1763A"/>
    <w:rsid w:val="3AE143EF"/>
    <w:rsid w:val="3B6716E3"/>
    <w:rsid w:val="3B6C6B2D"/>
    <w:rsid w:val="3C242659"/>
    <w:rsid w:val="3C410459"/>
    <w:rsid w:val="3C96719C"/>
    <w:rsid w:val="3CA72BE8"/>
    <w:rsid w:val="3CF37F8C"/>
    <w:rsid w:val="3D137554"/>
    <w:rsid w:val="3D5275AC"/>
    <w:rsid w:val="3D9A641E"/>
    <w:rsid w:val="3DCC2473"/>
    <w:rsid w:val="3DEB0883"/>
    <w:rsid w:val="3E2527BF"/>
    <w:rsid w:val="3E5C15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8374A9"/>
    <w:rsid w:val="43BA0E31"/>
    <w:rsid w:val="43C15147"/>
    <w:rsid w:val="43E14DD2"/>
    <w:rsid w:val="43F800E9"/>
    <w:rsid w:val="443A7E4B"/>
    <w:rsid w:val="444F55DD"/>
    <w:rsid w:val="452F5B3A"/>
    <w:rsid w:val="454E7FD2"/>
    <w:rsid w:val="46061BDC"/>
    <w:rsid w:val="461404F8"/>
    <w:rsid w:val="46413018"/>
    <w:rsid w:val="464B7E04"/>
    <w:rsid w:val="468041AA"/>
    <w:rsid w:val="468123C6"/>
    <w:rsid w:val="46901EEE"/>
    <w:rsid w:val="469C74D2"/>
    <w:rsid w:val="472E374A"/>
    <w:rsid w:val="47445515"/>
    <w:rsid w:val="474B4782"/>
    <w:rsid w:val="47D90D14"/>
    <w:rsid w:val="48387FB0"/>
    <w:rsid w:val="483A6114"/>
    <w:rsid w:val="488727DB"/>
    <w:rsid w:val="48B82268"/>
    <w:rsid w:val="48C354B3"/>
    <w:rsid w:val="493D58B5"/>
    <w:rsid w:val="494A7A04"/>
    <w:rsid w:val="49773015"/>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B57EEC"/>
    <w:rsid w:val="4EFD18DE"/>
    <w:rsid w:val="4F144236"/>
    <w:rsid w:val="4F5A32CE"/>
    <w:rsid w:val="4F663C87"/>
    <w:rsid w:val="4F7E29A8"/>
    <w:rsid w:val="4F8321F4"/>
    <w:rsid w:val="4F9E1FFC"/>
    <w:rsid w:val="50447CC2"/>
    <w:rsid w:val="50874A7C"/>
    <w:rsid w:val="50895EE7"/>
    <w:rsid w:val="50921B9D"/>
    <w:rsid w:val="50D16158"/>
    <w:rsid w:val="50DB5F45"/>
    <w:rsid w:val="51025EB1"/>
    <w:rsid w:val="51141503"/>
    <w:rsid w:val="518D0ED5"/>
    <w:rsid w:val="525C687F"/>
    <w:rsid w:val="52F647F7"/>
    <w:rsid w:val="52F92565"/>
    <w:rsid w:val="531F7560"/>
    <w:rsid w:val="53B316E5"/>
    <w:rsid w:val="53CC6C4A"/>
    <w:rsid w:val="53D03877"/>
    <w:rsid w:val="542F73CA"/>
    <w:rsid w:val="5430786D"/>
    <w:rsid w:val="545A1D2A"/>
    <w:rsid w:val="54C811C0"/>
    <w:rsid w:val="556A442D"/>
    <w:rsid w:val="55DA564E"/>
    <w:rsid w:val="55F7122F"/>
    <w:rsid w:val="5604127D"/>
    <w:rsid w:val="56166703"/>
    <w:rsid w:val="56510474"/>
    <w:rsid w:val="56861525"/>
    <w:rsid w:val="56A93273"/>
    <w:rsid w:val="56BD550C"/>
    <w:rsid w:val="56E07045"/>
    <w:rsid w:val="56FF28AF"/>
    <w:rsid w:val="57097DDC"/>
    <w:rsid w:val="572C7FCD"/>
    <w:rsid w:val="57410BFD"/>
    <w:rsid w:val="57540E7D"/>
    <w:rsid w:val="577B4878"/>
    <w:rsid w:val="57926973"/>
    <w:rsid w:val="58175352"/>
    <w:rsid w:val="581F2200"/>
    <w:rsid w:val="583059FA"/>
    <w:rsid w:val="584A0929"/>
    <w:rsid w:val="58506131"/>
    <w:rsid w:val="58CD2491"/>
    <w:rsid w:val="58FB6EB3"/>
    <w:rsid w:val="591B41B2"/>
    <w:rsid w:val="59254A26"/>
    <w:rsid w:val="59326325"/>
    <w:rsid w:val="59332FAF"/>
    <w:rsid w:val="595C505B"/>
    <w:rsid w:val="595E55C3"/>
    <w:rsid w:val="596E7E20"/>
    <w:rsid w:val="597A036B"/>
    <w:rsid w:val="5A60780B"/>
    <w:rsid w:val="5AB34579"/>
    <w:rsid w:val="5AFC6609"/>
    <w:rsid w:val="5B113480"/>
    <w:rsid w:val="5BBD2061"/>
    <w:rsid w:val="5BD456CE"/>
    <w:rsid w:val="5C0D1F49"/>
    <w:rsid w:val="5CBB0CE2"/>
    <w:rsid w:val="5CC17177"/>
    <w:rsid w:val="5CEF13EB"/>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016B9"/>
    <w:rsid w:val="64D6010D"/>
    <w:rsid w:val="64D82665"/>
    <w:rsid w:val="64E47C96"/>
    <w:rsid w:val="651346D9"/>
    <w:rsid w:val="651E5741"/>
    <w:rsid w:val="658A4877"/>
    <w:rsid w:val="65A00902"/>
    <w:rsid w:val="65AC6EDD"/>
    <w:rsid w:val="65B836C2"/>
    <w:rsid w:val="65D97752"/>
    <w:rsid w:val="65E82F37"/>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4C3967"/>
    <w:rsid w:val="6B68175F"/>
    <w:rsid w:val="6BAE3145"/>
    <w:rsid w:val="6BCA605A"/>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50298B"/>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602874"/>
    <w:rsid w:val="7873527F"/>
    <w:rsid w:val="790A6425"/>
    <w:rsid w:val="790E2D96"/>
    <w:rsid w:val="791B54B2"/>
    <w:rsid w:val="795A0A34"/>
    <w:rsid w:val="797339C3"/>
    <w:rsid w:val="79D57D57"/>
    <w:rsid w:val="79F00650"/>
    <w:rsid w:val="7A151BE1"/>
    <w:rsid w:val="7A6242BF"/>
    <w:rsid w:val="7A794513"/>
    <w:rsid w:val="7A835A05"/>
    <w:rsid w:val="7AE952D2"/>
    <w:rsid w:val="7BF51F69"/>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6351</Words>
  <Characters>7287</Characters>
  <Lines>0</Lines>
  <Paragraphs>0</Paragraphs>
  <TotalTime>2</TotalTime>
  <ScaleCrop>false</ScaleCrop>
  <LinksUpToDate>false</LinksUpToDate>
  <CharactersWithSpaces>7309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2024-09-11T16:32:26Z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5425FEBB1CB74C3FBE3552E029390AC6</vt:lpwstr>
  </property>
</Properties>
</file>