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乌鲁木齐水文勘测局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乌鲁木齐水文勘测局是全额拨款事业单位，预算管理级次三级，财务隶属自治区水文局管理，是水资源调查评价及建设项目水资源论证乙级资质单位。</w:t>
      </w:r>
      <w:bookmarkStart w:id="4" w:name="_Toc31238"/>
      <w:bookmarkStart w:id="5" w:name="_Toc2151"/>
      <w:r>
        <w:rPr>
          <w:rFonts w:hint="eastAsia" w:ascii="仿宋_GB2312" w:hAnsi="Times New Roman" w:eastAsia="仿宋_GB2312" w:cs="Times New Roman"/>
          <w:color w:val="auto"/>
          <w:sz w:val="32"/>
          <w:szCs w:val="32"/>
          <w:highlight w:val="none"/>
          <w:lang w:val="en-US" w:eastAsia="zh-CN"/>
        </w:rPr>
        <w:t>单位承担水资源调查评价、水资源论证、各种工程水文分析计算、水环境规划、水功能区划、水承载能力研究、水供需平衡计算、水质监测、桥涵水文设计、地下水监测、调洪演算、流域规划、防汛报汛、防洪减灾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乌鲁木齐水文勘测局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40</w:t>
      </w:r>
      <w:r>
        <w:rPr>
          <w:rFonts w:hint="eastAsia" w:ascii="仿宋_GB2312" w:eastAsia="仿宋_GB2312"/>
          <w:color w:val="auto"/>
          <w:sz w:val="32"/>
          <w:szCs w:val="32"/>
          <w:highlight w:val="none"/>
        </w:rPr>
        <w:t>人。</w:t>
      </w:r>
    </w:p>
    <w:p>
      <w:pPr>
        <w:keepNext w:val="0"/>
        <w:keepLines w:val="0"/>
        <w:widowControl/>
        <w:suppressLineNumbers w:val="0"/>
        <w:ind w:firstLine="640" w:firstLineChars="200"/>
        <w:jc w:val="left"/>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6</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w:t>
      </w:r>
      <w:r>
        <w:rPr>
          <w:rFonts w:ascii="仿宋_GB2312" w:hAnsi="仿宋_GB2312" w:eastAsia="仿宋_GB2312" w:cs="仿宋_GB2312"/>
          <w:color w:val="000000"/>
          <w:kern w:val="0"/>
          <w:sz w:val="31"/>
          <w:szCs w:val="31"/>
          <w:lang w:val="en-US" w:eastAsia="zh-CN" w:bidi="ar"/>
        </w:rPr>
        <w:t>办公室、党建科、水情科</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测整科、技术科、信息科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1,059.25万元，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1,005.57万元，使用非财政拨款结余0.00万元，年初结转和结余53.68万元。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1,059.25万元，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971.73万元，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61.87万元，年末结转和结余25.65万元。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减少4.65万元</w:t>
      </w:r>
      <w:r>
        <w:rPr>
          <w:rFonts w:hint="eastAsia" w:ascii="仿宋_GB2312" w:eastAsia="仿宋_GB2312"/>
          <w:color w:val="auto"/>
          <w:spacing w:val="0"/>
          <w:sz w:val="32"/>
          <w:szCs w:val="32"/>
          <w:highlight w:val="none"/>
          <w:lang w:eastAsia="zh-CN"/>
        </w:rPr>
        <w:t>，下降0.44%，主要原因是：</w:t>
      </w:r>
      <w:r>
        <w:rPr>
          <w:rFonts w:hint="eastAsia" w:ascii="仿宋_GB2312" w:hAnsi="仿宋_GB2312" w:eastAsia="仿宋_GB2312" w:cs="仿宋_GB2312"/>
          <w:sz w:val="32"/>
          <w:szCs w:val="32"/>
          <w:lang w:val="en-US" w:eastAsia="zh-CN"/>
        </w:rPr>
        <w:t>“访惠聚”工作优化，单位驻社区工作队于本年8月撤回，市财政局未拨付下半年“为民办实事”专项经费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1,005.57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852.36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84.76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138.00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13.72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15.20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1.51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本年支出971.73万元，其中：基本支出788.65万元，占81.16%；项目支出106.94万元，占11.01%；上缴上级支出0.00万元，占0.00%；经营支出76.13万元，占7.83%；对附属单位补助支出0.00万元，占0.00%。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864.52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12.16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852.36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864.52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864.52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减少70.41万元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下降7.53%,</w:t>
      </w:r>
      <w:r>
        <w:rPr>
          <w:rFonts w:hint="eastAsia" w:ascii="仿宋_GB2312" w:eastAsia="仿宋_GB2312"/>
          <w:color w:val="auto"/>
          <w:spacing w:val="0"/>
          <w:sz w:val="32"/>
          <w:szCs w:val="32"/>
          <w:highlight w:val="none"/>
          <w:lang w:eastAsia="zh-CN"/>
        </w:rPr>
        <w:t>主要原因是：一是减少了退休人员医疗费，二是</w:t>
      </w:r>
      <w:r>
        <w:rPr>
          <w:rFonts w:hint="eastAsia" w:ascii="仿宋_GB2312" w:eastAsia="仿宋_GB2312"/>
          <w:color w:val="auto"/>
          <w:spacing w:val="0"/>
          <w:sz w:val="32"/>
          <w:szCs w:val="32"/>
          <w:highlight w:val="none"/>
          <w:lang w:val="en-US" w:eastAsia="zh-CN"/>
        </w:rPr>
        <w:t>新增人员追加资金没到位，导致人员经费及公用经费比上年少。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771.30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864.52</w:t>
      </w:r>
      <w:r>
        <w:rPr>
          <w:rFonts w:hint="eastAsia" w:ascii="仿宋_GB2312" w:eastAsia="仿宋_GB2312"/>
          <w:color w:val="auto"/>
          <w:spacing w:val="0"/>
          <w:sz w:val="32"/>
          <w:szCs w:val="32"/>
          <w:highlight w:val="none"/>
          <w:lang w:eastAsia="zh-CN"/>
        </w:rPr>
        <w:t>万元，预决算差异率12.09%，主要原因是：</w:t>
      </w:r>
      <w:r>
        <w:rPr>
          <w:rFonts w:hint="eastAsia" w:ascii="仿宋_GB2312" w:eastAsia="仿宋_GB2312"/>
          <w:color w:val="auto"/>
          <w:spacing w:val="0"/>
          <w:sz w:val="32"/>
          <w:szCs w:val="32"/>
          <w:highlight w:val="none"/>
          <w:lang w:val="en-US" w:eastAsia="zh-CN"/>
        </w:rPr>
        <w:t>追加了在职、退休人员基础绩效奖、考核奖、退休人员职业年金、抚恤金等人员经费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2023年度一般公共预算财政拨款支出864.52万元，占本年支出合计的</w:t>
      </w:r>
      <w:r>
        <w:rPr>
          <w:rFonts w:hint="eastAsia" w:ascii="仿宋_GB2312" w:eastAsia="仿宋_GB2312"/>
          <w:color w:val="auto"/>
          <w:spacing w:val="0"/>
          <w:sz w:val="32"/>
          <w:szCs w:val="32"/>
          <w:highlight w:val="none"/>
          <w:lang w:val="zh-CN" w:eastAsia="zh-CN"/>
        </w:rPr>
        <w:t>88.97%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减少58.24万元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下降6.31%,</w:t>
      </w:r>
      <w:r>
        <w:rPr>
          <w:rFonts w:hint="eastAsia" w:ascii="仿宋_GB2312" w:eastAsia="仿宋_GB2312"/>
          <w:color w:val="auto"/>
          <w:spacing w:val="0"/>
          <w:sz w:val="32"/>
          <w:szCs w:val="32"/>
          <w:highlight w:val="none"/>
          <w:lang w:eastAsia="zh-CN"/>
        </w:rPr>
        <w:t>主要原因是：减少了退休人员医疗费。与年初预算相比，年初预算数</w:t>
      </w:r>
      <w:r>
        <w:rPr>
          <w:rFonts w:hint="eastAsia" w:ascii="仿宋_GB2312" w:eastAsia="仿宋_GB2312"/>
          <w:color w:val="auto"/>
          <w:spacing w:val="0"/>
          <w:sz w:val="32"/>
          <w:szCs w:val="32"/>
          <w:highlight w:val="none"/>
          <w:lang w:val="zh-CN" w:eastAsia="zh-CN"/>
        </w:rPr>
        <w:t>771.30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864.52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12.09%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追加了在职、退休人员基础绩效奖、考核奖、退休人员职业年金、抚恤金等人员经费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149.64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17.31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57.00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6.59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610.73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70.64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47.17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5.46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1.卫生健康支出（类）行政事业单位医疗（款）事业单位医疗（项）:支出决算数为29.48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7.62%，主要原因是：</w:t>
      </w:r>
      <w:r>
        <w:rPr>
          <w:rFonts w:hint="eastAsia" w:ascii="仿宋_GB2312" w:eastAsia="仿宋_GB2312"/>
          <w:color w:val="auto"/>
          <w:spacing w:val="0"/>
          <w:sz w:val="32"/>
          <w:szCs w:val="32"/>
          <w:highlight w:val="none"/>
          <w:lang w:val="en-US" w:eastAsia="zh-CN"/>
        </w:rPr>
        <w:t>新增人员追加资金没到位，导致人员医疗保险费减少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2.农林水支出（类）水利（款）水文测报（项）:支出决算数为576.73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55.01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8.71%，主要原因是：</w:t>
      </w:r>
      <w:r>
        <w:rPr>
          <w:rFonts w:hint="eastAsia" w:ascii="仿宋_GB2312" w:eastAsia="仿宋_GB2312"/>
          <w:color w:val="auto"/>
          <w:spacing w:val="0"/>
          <w:sz w:val="32"/>
          <w:szCs w:val="32"/>
          <w:highlight w:val="none"/>
          <w:lang w:val="en-US" w:eastAsia="zh-CN"/>
        </w:rPr>
        <w:t>新增人员追加资金没到位，导致工资等人员经费减少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3.卫生健康支出（类）行政事业单位医疗（款）公务员医疗补助（项）:支出决算数为27.51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10.85%，主要原因是：行政事业单位医疗</w:t>
      </w:r>
      <w:r>
        <w:rPr>
          <w:rFonts w:hint="eastAsia" w:eastAsia="仿宋_GB2312" w:cs="Times New Roman"/>
          <w:color w:val="auto"/>
          <w:kern w:val="2"/>
          <w:sz w:val="32"/>
          <w:szCs w:val="32"/>
          <w:highlight w:val="none"/>
          <w:lang w:val="en-US" w:eastAsia="zh-CN" w:bidi="ar-SA"/>
        </w:rPr>
        <w:t>保险缴费</w:t>
      </w:r>
      <w:r>
        <w:rPr>
          <w:rFonts w:ascii="仿宋_GB2312" w:hAnsi="仿宋_GB2312" w:eastAsia="仿宋_GB2312" w:cs="仿宋_GB2312"/>
          <w:color w:val="000000"/>
          <w:kern w:val="0"/>
          <w:sz w:val="31"/>
          <w:szCs w:val="31"/>
          <w:lang w:val="en-US" w:eastAsia="zh-CN" w:bidi="ar"/>
        </w:rPr>
        <w:t>基数增加，经费增加</w:t>
      </w:r>
      <w:r>
        <w:rPr>
          <w:rFonts w:hint="eastAsia" w:eastAsia="仿宋_GB2312" w:cs="Times New Roman"/>
          <w:color w:val="auto"/>
          <w:kern w:val="2"/>
          <w:sz w:val="32"/>
          <w:szCs w:val="32"/>
          <w:highlight w:val="none"/>
          <w:lang w:val="zh-CN" w:eastAsia="zh-CN" w:bidi="ar-SA"/>
        </w:rPr>
        <w:t>。</w:t>
      </w:r>
    </w:p>
    <w:p>
      <w:pPr>
        <w:keepNext w:val="0"/>
        <w:keepLines w:val="0"/>
        <w:widowControl/>
        <w:suppressLineNumbers w:val="0"/>
        <w:ind w:firstLine="640" w:firstLineChars="200"/>
        <w:jc w:val="left"/>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4.住房保障支出（类）住房改革支出（款）住房公积金（项）:支出决算数为47.17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5.98%，主要原因是：</w:t>
      </w:r>
      <w:r>
        <w:rPr>
          <w:rFonts w:ascii="仿宋_GB2312" w:hAnsi="仿宋_GB2312" w:eastAsia="仿宋_GB2312" w:cs="仿宋_GB2312"/>
          <w:color w:val="000000"/>
          <w:kern w:val="0"/>
          <w:sz w:val="31"/>
          <w:szCs w:val="31"/>
          <w:lang w:val="en-US" w:eastAsia="zh-CN" w:bidi="ar"/>
        </w:rPr>
        <w:t>住房公积金</w:t>
      </w:r>
      <w:r>
        <w:rPr>
          <w:rFonts w:hint="eastAsia" w:ascii="仿宋_GB2312" w:hAnsi="仿宋_GB2312" w:eastAsia="仿宋_GB2312" w:cs="仿宋_GB2312"/>
          <w:color w:val="000000"/>
          <w:kern w:val="0"/>
          <w:sz w:val="31"/>
          <w:szCs w:val="31"/>
          <w:lang w:val="en-US" w:eastAsia="zh-CN" w:bidi="ar"/>
        </w:rPr>
        <w:t>缴费</w:t>
      </w:r>
      <w:r>
        <w:rPr>
          <w:rFonts w:ascii="仿宋_GB2312" w:hAnsi="仿宋_GB2312" w:eastAsia="仿宋_GB2312" w:cs="仿宋_GB2312"/>
          <w:color w:val="000000"/>
          <w:kern w:val="0"/>
          <w:sz w:val="31"/>
          <w:szCs w:val="31"/>
          <w:lang w:val="en-US" w:eastAsia="zh-CN" w:bidi="ar"/>
        </w:rPr>
        <w:t>基数增加，经费增加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5.社会保障和就业支出（类）行政事业单位养老支出（款）事业单位离退休（项）:支出决算数为70.36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28.98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29.17%，主要原因是：</w:t>
      </w:r>
      <w:r>
        <w:rPr>
          <w:rFonts w:hint="eastAsia" w:eastAsia="仿宋_GB2312" w:cs="Times New Roman"/>
          <w:color w:val="auto"/>
          <w:kern w:val="2"/>
          <w:sz w:val="32"/>
          <w:szCs w:val="32"/>
          <w:highlight w:val="none"/>
          <w:lang w:val="en-US" w:eastAsia="zh-CN" w:bidi="ar-SA"/>
        </w:rPr>
        <w:t>本年退休人员医疗费经费由财政收回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6.农林水支出（类）水利（款）水资源节约管理与保护（项）:支出决算数为34.00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上年</w:t>
      </w:r>
      <w:r>
        <w:rPr>
          <w:rFonts w:hint="eastAsia" w:eastAsia="仿宋_GB2312" w:cs="Times New Roman"/>
          <w:color w:val="auto"/>
          <w:kern w:val="2"/>
          <w:sz w:val="32"/>
          <w:szCs w:val="32"/>
          <w:highlight w:val="none"/>
          <w:lang w:val="zh-CN" w:eastAsia="zh-CN" w:bidi="ar-SA"/>
        </w:rPr>
        <w:t>该项目作为待分配项目下达，本年列入年初预算。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7.社会保障和就业支出（类）行政事业单位养老支出（款）机关事业单位职业年金缴费支出（项）:支出决算数为16.39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47.33%，主要原因是：</w:t>
      </w:r>
      <w:r>
        <w:rPr>
          <w:rFonts w:hint="eastAsia" w:eastAsia="仿宋_GB2312" w:cs="Times New Roman"/>
          <w:color w:val="auto"/>
          <w:kern w:val="2"/>
          <w:sz w:val="32"/>
          <w:szCs w:val="32"/>
          <w:highlight w:val="none"/>
          <w:lang w:val="en-US" w:eastAsia="zh-CN" w:bidi="ar-SA"/>
        </w:rPr>
        <w:t>本年在职转退休人员职业年金比上年少</w:t>
      </w:r>
      <w:r>
        <w:rPr>
          <w:rFonts w:hint="eastAsia" w:eastAsia="仿宋_GB2312" w:cs="Times New Roman"/>
          <w:color w:val="auto"/>
          <w:kern w:val="2"/>
          <w:sz w:val="32"/>
          <w:szCs w:val="32"/>
          <w:highlight w:val="none"/>
          <w:lang w:val="zh-CN" w:eastAsia="zh-CN" w:bidi="ar-SA"/>
        </w:rPr>
        <w:t>。</w:t>
      </w:r>
    </w:p>
    <w:p>
      <w:pPr>
        <w:keepNext w:val="0"/>
        <w:keepLines w:val="0"/>
        <w:widowControl/>
        <w:suppressLineNumbers w:val="0"/>
        <w:ind w:firstLine="640" w:firstLineChars="200"/>
        <w:jc w:val="left"/>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8.社会保障和就业支出（类）行政事业单位养老支出（款）机关事业单位基本养老保险缴费支出（项）:支出决算数为62.89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5.98%，</w:t>
      </w:r>
      <w:r>
        <w:rPr>
          <w:rFonts w:hint="eastAsia" w:ascii="仿宋_GB2312" w:hAnsi="仿宋_GB2312" w:eastAsia="仿宋_GB2312" w:cs="仿宋_GB2312"/>
          <w:color w:val="000000"/>
          <w:kern w:val="0"/>
          <w:sz w:val="31"/>
          <w:szCs w:val="31"/>
          <w:lang w:val="en-US" w:eastAsia="zh-CN" w:bidi="ar"/>
        </w:rPr>
        <w:t>养老保险缴费</w:t>
      </w:r>
      <w:r>
        <w:rPr>
          <w:rFonts w:ascii="仿宋_GB2312" w:hAnsi="仿宋_GB2312" w:eastAsia="仿宋_GB2312" w:cs="仿宋_GB2312"/>
          <w:color w:val="000000"/>
          <w:kern w:val="0"/>
          <w:sz w:val="31"/>
          <w:szCs w:val="31"/>
          <w:lang w:val="en-US" w:eastAsia="zh-CN" w:bidi="ar"/>
        </w:rPr>
        <w:t>基数增加，经费增加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788.42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750.41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38.01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办公费、咨询费、水费、电费、邮电费、取暖费、物业管理费、差旅费、培训费、工会经费、福利费、公务用车运行维护费、其他商品和服务支出。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widowControl/>
        <w:suppressLineNumbers w:val="0"/>
        <w:ind w:firstLine="640" w:firstLineChars="200"/>
        <w:jc w:val="left"/>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“三公”经费支出6.88万元，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增加0.04万元，</w:t>
      </w:r>
      <w:r>
        <w:rPr>
          <w:rFonts w:hint="eastAsia" w:ascii="仿宋_GB2312" w:eastAsia="仿宋_GB2312"/>
          <w:color w:val="auto"/>
          <w:spacing w:val="0"/>
          <w:sz w:val="32"/>
          <w:szCs w:val="32"/>
          <w:highlight w:val="none"/>
          <w:lang w:val="en-US" w:eastAsia="zh-CN"/>
        </w:rPr>
        <w:t>增长0.60%,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cs="Times New Roman"/>
          <w:kern w:val="2"/>
          <w:sz w:val="32"/>
          <w:szCs w:val="32"/>
          <w:lang w:val="en-US" w:eastAsia="zh-CN" w:bidi="ar-SA"/>
        </w:rPr>
        <w:t>本年新增了35条沟巡测工作任务，导致公务用车运行维护费增加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w:t>
      </w:r>
      <w:r>
        <w:rPr>
          <w:rFonts w:ascii="仿宋_GB2312" w:hAnsi="仿宋_GB2312" w:eastAsia="仿宋_GB2312" w:cs="仿宋_GB2312"/>
          <w:color w:val="000000"/>
          <w:kern w:val="0"/>
          <w:sz w:val="31"/>
          <w:szCs w:val="31"/>
          <w:lang w:val="en-US" w:eastAsia="zh-CN" w:bidi="ar"/>
        </w:rPr>
        <w:t xml:space="preserve">单位无因公出国（境） </w:t>
      </w:r>
    </w:p>
    <w:p>
      <w:pPr>
        <w:keepNext w:val="0"/>
        <w:keepLines w:val="0"/>
        <w:widowControl/>
        <w:suppressLineNumbers w:val="0"/>
        <w:jc w:val="left"/>
        <w:rPr>
          <w:rFonts w:hint="eastAsia" w:ascii="仿宋_GB2312" w:eastAsia="仿宋_GB2312"/>
          <w:color w:val="auto"/>
          <w:sz w:val="32"/>
          <w:szCs w:val="32"/>
          <w:highlight w:val="none"/>
          <w:lang w:val="zh-CN" w:eastAsia="zh-CN"/>
        </w:rPr>
      </w:pPr>
      <w:r>
        <w:rPr>
          <w:rFonts w:ascii="仿宋_GB2312" w:hAnsi="仿宋_GB2312" w:eastAsia="仿宋_GB2312" w:cs="仿宋_GB2312"/>
          <w:color w:val="000000"/>
          <w:kern w:val="0"/>
          <w:sz w:val="31"/>
          <w:szCs w:val="31"/>
          <w:lang w:val="en-US" w:eastAsia="zh-CN" w:bidi="ar"/>
        </w:rPr>
        <w:t>费</w:t>
      </w:r>
      <w:r>
        <w:rPr>
          <w:rFonts w:hint="eastAsia" w:ascii="仿宋_GB2312" w:eastAsia="仿宋_GB2312"/>
          <w:color w:val="auto"/>
          <w:sz w:val="32"/>
          <w:szCs w:val="32"/>
          <w:highlight w:val="none"/>
          <w:lang w:val="zh-CN" w:eastAsia="zh-CN"/>
        </w:rPr>
        <w:t>；公务用车购置及运行维护费支出6.88万元，占100.00%，比上年增加0.04万元，</w:t>
      </w:r>
      <w:r>
        <w:rPr>
          <w:rFonts w:hint="eastAsia" w:ascii="仿宋_GB2312" w:eastAsia="仿宋_GB2312"/>
          <w:color w:val="auto"/>
          <w:spacing w:val="0"/>
          <w:sz w:val="32"/>
          <w:szCs w:val="32"/>
          <w:highlight w:val="none"/>
          <w:lang w:val="en-US" w:eastAsia="zh-CN"/>
        </w:rPr>
        <w:t>增长0.60%,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cs="Times New Roman"/>
          <w:kern w:val="2"/>
          <w:sz w:val="32"/>
          <w:szCs w:val="32"/>
          <w:lang w:val="en-US" w:eastAsia="zh-CN" w:bidi="ar-SA"/>
        </w:rPr>
        <w:t>本年新增了35条沟巡测工作任务，导致公务用车运行维护费增加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主要原因是：本年未发生公务接待费。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因公出国（境）费支出0.00万元，开支内容包括无此项支出。单位全年安排的因公出国（境）团组0个，因公出国（境）0人次。</w:t>
      </w:r>
    </w:p>
    <w:p>
      <w:pPr>
        <w:keepNext w:val="0"/>
        <w:keepLines w:val="0"/>
        <w:widowControl/>
        <w:suppressLineNumbers w:val="0"/>
        <w:ind w:firstLine="640" w:firstLineChars="200"/>
        <w:jc w:val="left"/>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公务用车购置及运行维护费6.88万元，其中：公务用车购置费0.00万元，公务用车运行维护费6.88万元。公务用车运行维护费开支内容包括</w:t>
      </w:r>
      <w:r>
        <w:rPr>
          <w:rFonts w:ascii="仿宋_GB2312" w:hAnsi="仿宋_GB2312" w:eastAsia="仿宋_GB2312" w:cs="仿宋_GB2312"/>
          <w:color w:val="000000"/>
          <w:kern w:val="0"/>
          <w:sz w:val="31"/>
          <w:szCs w:val="31"/>
          <w:lang w:val="en-US" w:eastAsia="zh-CN" w:bidi="ar"/>
        </w:rPr>
        <w:t>油料费、维修费、保险费、过路费、检测费等车辆其他费用</w:t>
      </w:r>
      <w:r>
        <w:rPr>
          <w:rFonts w:hint="eastAsia" w:ascii="仿宋_GB2312" w:eastAsia="仿宋_GB2312"/>
          <w:color w:val="auto"/>
          <w:sz w:val="32"/>
          <w:szCs w:val="32"/>
          <w:highlight w:val="none"/>
          <w:lang w:val="zh-CN" w:eastAsia="zh-CN"/>
        </w:rPr>
        <w:t>。公务用车购置数0辆，公务用车保有量3辆。</w:t>
      </w:r>
      <w:r>
        <w:rPr>
          <w:rFonts w:hint="eastAsia" w:ascii="仿宋_GB2312" w:hAnsi="仿宋" w:eastAsia="仿宋_GB2312" w:cs="仿宋_GB2312"/>
          <w:i w:val="0"/>
          <w:caps w:val="0"/>
          <w:color w:val="000000"/>
          <w:spacing w:val="0"/>
          <w:sz w:val="31"/>
          <w:szCs w:val="31"/>
        </w:rPr>
        <w:t>国有资产占用情况中固定资产车辆3辆，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公务接待费0.00万元，开支内容包括无此项支出。单位全年安排的国内公务接待0批次，0人次。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0" w:firstLineChars="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预算数6.88万元，决算数6.88万元，预决算差异率0.00%，主要原因是：预算与决算数一致，无差异。其中：因公出国（境）费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0.00万元，决算数0.00万元，预决算差异率0.00%，主要原因是：本</w:t>
      </w:r>
      <w:r>
        <w:rPr>
          <w:rFonts w:ascii="仿宋_GB2312" w:hAnsi="仿宋_GB2312" w:eastAsia="仿宋_GB2312" w:cs="仿宋_GB2312"/>
          <w:color w:val="000000"/>
          <w:kern w:val="0"/>
          <w:sz w:val="31"/>
          <w:szCs w:val="31"/>
          <w:lang w:val="en-US" w:eastAsia="zh-CN" w:bidi="ar"/>
        </w:rPr>
        <w:t>单位无因公出国（境）</w:t>
      </w:r>
      <w:r>
        <w:rPr>
          <w:rFonts w:hint="eastAsia" w:ascii="仿宋_GB2312" w:hAnsi="仿宋_GB2312" w:eastAsia="仿宋_GB2312" w:cs="仿宋_GB2312"/>
          <w:color w:val="000000"/>
          <w:kern w:val="0"/>
          <w:sz w:val="31"/>
          <w:szCs w:val="31"/>
          <w:lang w:val="en-US" w:eastAsia="zh-CN" w:bidi="ar"/>
        </w:rPr>
        <w:t>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预算数6.88万元，决算数6.88万元，预决算差异率0.00%，主要原因是：预算与决算数一致，无差异；公务接待费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预算数0.00万元，决算数0.00万元，预决算差异率0.00%，主要原因是：本单位无公务接待费</w:t>
      </w:r>
      <w:bookmarkStart w:id="48" w:name="_GoBack"/>
      <w:bookmarkEnd w:id="48"/>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乌鲁木齐水文勘测局（事业单位）公用经费支出38.01万元，</w:t>
      </w:r>
      <w:r>
        <w:rPr>
          <w:rFonts w:hint="eastAsia" w:ascii="Times New Roman" w:hAnsi="Times New Roman" w:eastAsia="仿宋_GB2312" w:cs="Times New Roman"/>
          <w:color w:val="auto"/>
          <w:sz w:val="32"/>
          <w:szCs w:val="32"/>
          <w:highlight w:val="none"/>
          <w:lang w:val="zh-CN" w:eastAsia="zh-CN"/>
        </w:rPr>
        <w:t>比上年减少9.68万元，下降20.29%，主要原因是：</w:t>
      </w:r>
      <w:r>
        <w:rPr>
          <w:rFonts w:hint="eastAsia" w:eastAsia="仿宋_GB2312" w:cs="Times New Roman"/>
          <w:color w:val="auto"/>
          <w:sz w:val="32"/>
          <w:szCs w:val="32"/>
          <w:highlight w:val="none"/>
          <w:lang w:val="zh-CN" w:eastAsia="zh-CN"/>
        </w:rPr>
        <w:t>本年减少电费，取暖费</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102.11万元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其中：政府采购货物支出35.68万元、政府采购工程支出3.20万元、政府采购服务支出63.23万元。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授予中小企业合同金额82.36万元，占政府采购支出总额的80.66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，其中：授予小微企业合同金额69.01万元，占政府采购支出总额的67.58</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2,074.88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屋4,027.07平方米，价值849.34万元。车辆3辆，价值90.76万元，其中：副部（省）级及以上领导用车0辆、主要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用车0辆、其他用车3辆，其他用车主要是：</w:t>
      </w:r>
      <w:r>
        <w:rPr>
          <w:rFonts w:hint="eastAsia" w:eastAsia="仿宋_GB2312" w:cs="Times New Roman"/>
          <w:color w:val="auto"/>
          <w:sz w:val="32"/>
          <w:szCs w:val="32"/>
          <w:highlight w:val="none"/>
          <w:lang w:val="zh-CN" w:eastAsia="zh-CN"/>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20" w:firstLineChars="200"/>
        <w:jc w:val="left"/>
        <w:textAlignment w:val="auto"/>
        <w:rPr>
          <w:rFonts w:hint="eastAsia" w:ascii="仿宋_GB2312" w:hAnsi="宋体" w:eastAsia="仿宋_GB2312" w:cs="仿宋_GB2312"/>
          <w:i w:val="0"/>
          <w:caps w:val="0"/>
          <w:color w:val="000000"/>
          <w:spacing w:val="0"/>
          <w:sz w:val="31"/>
          <w:szCs w:val="31"/>
          <w:shd w:val="clear" w:fill="FFFFFF"/>
        </w:rPr>
      </w:pPr>
      <w:r>
        <w:rPr>
          <w:rFonts w:ascii="仿宋_GB2312" w:hAnsi="宋体" w:eastAsia="仿宋_GB2312" w:cs="仿宋_GB2312"/>
          <w:i w:val="0"/>
          <w:caps w:val="0"/>
          <w:color w:val="000000"/>
          <w:spacing w:val="0"/>
          <w:sz w:val="31"/>
          <w:szCs w:val="31"/>
          <w:shd w:val="clear" w:fill="FFFFFF"/>
        </w:rPr>
        <w:t>根据预算绩效管理要求，我</w:t>
      </w:r>
      <w:r>
        <w:rPr>
          <w:rFonts w:hint="eastAsia" w:ascii="仿宋_GB2312" w:hAnsi="宋体" w:eastAsia="仿宋_GB2312" w:cs="仿宋_GB2312"/>
          <w:i w:val="0"/>
          <w:caps w:val="0"/>
          <w:color w:val="000000"/>
          <w:spacing w:val="0"/>
          <w:sz w:val="31"/>
          <w:szCs w:val="31"/>
          <w:shd w:val="clear" w:fill="FFFFFF"/>
        </w:rPr>
        <w:t>单位2023年度预算绩效评价项目</w:t>
      </w:r>
      <w:r>
        <w:rPr>
          <w:rFonts w:hint="eastAsia" w:ascii="仿宋_GB2312" w:hAnsi="宋体" w:eastAsia="仿宋_GB2312" w:cs="仿宋_GB2312"/>
          <w:i w:val="0"/>
          <w:caps w:val="0"/>
          <w:color w:val="000000"/>
          <w:spacing w:val="0"/>
          <w:sz w:val="31"/>
          <w:szCs w:val="31"/>
          <w:shd w:val="clear" w:fill="FFFFFF"/>
          <w:lang w:val="en-US" w:eastAsia="zh-CN"/>
        </w:rPr>
        <w:t>2</w:t>
      </w:r>
      <w:r>
        <w:rPr>
          <w:rFonts w:hint="eastAsia" w:ascii="仿宋_GB2312" w:hAnsi="宋体" w:eastAsia="仿宋_GB2312" w:cs="仿宋_GB2312"/>
          <w:i w:val="0"/>
          <w:caps w:val="0"/>
          <w:color w:val="000000"/>
          <w:spacing w:val="0"/>
          <w:sz w:val="31"/>
          <w:szCs w:val="31"/>
          <w:shd w:val="clear" w:fill="FFFFFF"/>
        </w:rPr>
        <w:t>个；全年预算数</w:t>
      </w:r>
      <w:r>
        <w:rPr>
          <w:rFonts w:hint="eastAsia" w:ascii="仿宋_GB2312" w:hAnsi="宋体" w:eastAsia="仿宋_GB2312" w:cs="仿宋_GB2312"/>
          <w:i w:val="0"/>
          <w:caps w:val="0"/>
          <w:color w:val="000000"/>
          <w:spacing w:val="0"/>
          <w:sz w:val="31"/>
          <w:szCs w:val="31"/>
          <w:shd w:val="clear" w:fill="FFFFFF"/>
          <w:lang w:val="en-US" w:eastAsia="zh-CN"/>
        </w:rPr>
        <w:t>133.63</w:t>
      </w:r>
      <w:r>
        <w:rPr>
          <w:rFonts w:hint="eastAsia" w:ascii="仿宋_GB2312" w:hAnsi="宋体" w:eastAsia="仿宋_GB2312" w:cs="仿宋_GB2312"/>
          <w:i w:val="0"/>
          <w:caps w:val="0"/>
          <w:color w:val="000000"/>
          <w:spacing w:val="0"/>
          <w:sz w:val="31"/>
          <w:szCs w:val="31"/>
          <w:shd w:val="clear" w:fill="FFFFFF"/>
        </w:rPr>
        <w:t>万元，全年执行数</w:t>
      </w:r>
      <w:r>
        <w:rPr>
          <w:rFonts w:hint="eastAsia" w:ascii="仿宋_GB2312" w:hAnsi="宋体" w:eastAsia="仿宋_GB2312" w:cs="仿宋_GB2312"/>
          <w:i w:val="0"/>
          <w:caps w:val="0"/>
          <w:color w:val="000000"/>
          <w:spacing w:val="0"/>
          <w:sz w:val="31"/>
          <w:szCs w:val="31"/>
          <w:shd w:val="clear" w:fill="FFFFFF"/>
          <w:lang w:val="en-US" w:eastAsia="zh-CN"/>
        </w:rPr>
        <w:t>131.28</w:t>
      </w:r>
      <w:r>
        <w:rPr>
          <w:rFonts w:hint="eastAsia" w:ascii="仿宋_GB2312" w:hAnsi="宋体" w:eastAsia="仿宋_GB2312" w:cs="仿宋_GB2312"/>
          <w:i w:val="0"/>
          <w:caps w:val="0"/>
          <w:color w:val="000000"/>
          <w:spacing w:val="0"/>
          <w:sz w:val="31"/>
          <w:szCs w:val="31"/>
          <w:shd w:val="clear" w:fill="FFFFFF"/>
        </w:rPr>
        <w:t>万元。预算绩效管理取得的成效：一是有效性评价方面，我单位基本经费中人员经费支出、公用支出严格执行政府的各项制度，保障全单位工作正常运转，三公经费的使用严格控制在预算申报的范围内；在项目经费的使用上，符合国家财经法规和财务管理制度规定以及有关专项资金管理办法的规定；资金拨付有完整的审批程序和手续；支出符合部门预算批复的用途；资金使用无截留、挤占、挪用、虚列支出等情况，在保证各项任务顺利完成的同时，严格落实厉行节约的原则；二是效率性评价方面，我单位各项工作实施及资金使用情况均在绩效目标设定时限完成。在资金执行上是严格遵守各项财经纪律，使资金的安排、使用发挥出最大效益,预算安排的基本支出保障了正常的工作运转，预算安排的项目投入及时到位，基本保障了水文测站的测、报、整、算的日常测验工作，各项目的实施为全面掌握河流动态变化，水质达标情况，水文测算提供了全面的数据，为加强水资源管理、严格控制水资源的开发利用提供了依据，为新疆经济社会发展提供保障。发现的问题及原因：一是人员经费，特别是单位缴纳在职职工社保、住房公积金缺口较大，本年新增人员经费追加资金没到位，导致人员经费减少，导致年底单位开支困难；二是经营收入不确定性较大，与年初预算相比增加63.52万元。下一步改进措施：一是，细化预算编制工作，认真做好预算的编制工作。进一步加强单位内部机构各科室的预算管理意识，严格按照预算编制的相关制度和要求进行预算编制，进一步提高预算编制的科学性、严谨性和可控性，加强内部预算编制的审核。二是，加强财务管理，严格财务审核。加强单位财务管理，健全单位财务管理制度体系，规范单位财务行为。三是，完善资产管理，抓好</w:t>
      </w:r>
      <w:r>
        <w:rPr>
          <w:rFonts w:hint="default" w:ascii="Times New Roman" w:hAnsi="Times New Roman" w:eastAsia="宋体" w:cs="Times New Roman"/>
          <w:i w:val="0"/>
          <w:caps w:val="0"/>
          <w:color w:val="000000"/>
          <w:spacing w:val="0"/>
          <w:sz w:val="31"/>
          <w:szCs w:val="31"/>
          <w:shd w:val="clear" w:fill="FFFFFF"/>
        </w:rPr>
        <w:t>“</w:t>
      </w:r>
      <w:r>
        <w:rPr>
          <w:rFonts w:hint="eastAsia" w:ascii="仿宋_GB2312" w:hAnsi="宋体" w:eastAsia="仿宋_GB2312" w:cs="仿宋_GB2312"/>
          <w:i w:val="0"/>
          <w:caps w:val="0"/>
          <w:color w:val="000000"/>
          <w:spacing w:val="0"/>
          <w:sz w:val="31"/>
          <w:szCs w:val="31"/>
          <w:shd w:val="clear" w:fill="FFFFFF"/>
        </w:rPr>
        <w:t>三公</w:t>
      </w:r>
      <w:r>
        <w:rPr>
          <w:rFonts w:hint="default" w:ascii="Times New Roman" w:hAnsi="Times New Roman" w:eastAsia="宋体" w:cs="Times New Roman"/>
          <w:i w:val="0"/>
          <w:caps w:val="0"/>
          <w:color w:val="000000"/>
          <w:spacing w:val="0"/>
          <w:sz w:val="31"/>
          <w:szCs w:val="31"/>
          <w:shd w:val="clear" w:fill="FFFFFF"/>
        </w:rPr>
        <w:t>”</w:t>
      </w:r>
      <w:r>
        <w:rPr>
          <w:rFonts w:hint="eastAsia" w:ascii="仿宋_GB2312" w:hAnsi="宋体" w:eastAsia="仿宋_GB2312" w:cs="仿宋_GB2312"/>
          <w:i w:val="0"/>
          <w:caps w:val="0"/>
          <w:color w:val="000000"/>
          <w:spacing w:val="0"/>
          <w:sz w:val="31"/>
          <w:szCs w:val="31"/>
          <w:shd w:val="clear" w:fill="FFFFFF"/>
        </w:rPr>
        <w:t>经费控制。严格编制政府采购年初预算和计划，加强单位内部的资产管理工作。具体项目自评情况附绩效自评表及自评报告。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BF5080"/>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19C3"/>
    <w:rsid w:val="11C0733B"/>
    <w:rsid w:val="11D34725"/>
    <w:rsid w:val="11D50D17"/>
    <w:rsid w:val="120E0809"/>
    <w:rsid w:val="127F665A"/>
    <w:rsid w:val="12F7068C"/>
    <w:rsid w:val="14207DC0"/>
    <w:rsid w:val="14B932DA"/>
    <w:rsid w:val="150A66AF"/>
    <w:rsid w:val="154C1139"/>
    <w:rsid w:val="158C5B77"/>
    <w:rsid w:val="16051B70"/>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1467F1"/>
    <w:rsid w:val="1E62130A"/>
    <w:rsid w:val="1E97358B"/>
    <w:rsid w:val="1EAA4A5F"/>
    <w:rsid w:val="1EE869A7"/>
    <w:rsid w:val="1F4A611B"/>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9326F1"/>
    <w:rsid w:val="25BA2154"/>
    <w:rsid w:val="25C8773F"/>
    <w:rsid w:val="264078F2"/>
    <w:rsid w:val="264A7253"/>
    <w:rsid w:val="26F0170C"/>
    <w:rsid w:val="27192CC7"/>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1A6F3D"/>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2C3FC8"/>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647D60"/>
    <w:rsid w:val="3A893816"/>
    <w:rsid w:val="3A893B6D"/>
    <w:rsid w:val="3AD1763A"/>
    <w:rsid w:val="3B6716E3"/>
    <w:rsid w:val="3B6C6B2D"/>
    <w:rsid w:val="3C242659"/>
    <w:rsid w:val="3C96719C"/>
    <w:rsid w:val="3CA72BE8"/>
    <w:rsid w:val="3CF37F8C"/>
    <w:rsid w:val="3D137554"/>
    <w:rsid w:val="3D5275AC"/>
    <w:rsid w:val="3DCC2473"/>
    <w:rsid w:val="3DD821B7"/>
    <w:rsid w:val="3DEB0883"/>
    <w:rsid w:val="3E2527BF"/>
    <w:rsid w:val="3E731662"/>
    <w:rsid w:val="3E8168DD"/>
    <w:rsid w:val="3EA7725F"/>
    <w:rsid w:val="3EB03713"/>
    <w:rsid w:val="3EBF1A11"/>
    <w:rsid w:val="3EC52607"/>
    <w:rsid w:val="3EEC6CEF"/>
    <w:rsid w:val="3F183429"/>
    <w:rsid w:val="3FB77A1D"/>
    <w:rsid w:val="3FDC3674"/>
    <w:rsid w:val="3FED7F8A"/>
    <w:rsid w:val="3FF8580E"/>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961864"/>
    <w:rsid w:val="525C687F"/>
    <w:rsid w:val="52697895"/>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741763"/>
    <w:rsid w:val="5A57616E"/>
    <w:rsid w:val="5A60780B"/>
    <w:rsid w:val="5A971D60"/>
    <w:rsid w:val="5AB34579"/>
    <w:rsid w:val="5AFC6609"/>
    <w:rsid w:val="5B113480"/>
    <w:rsid w:val="5B9C5154"/>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1C6C2D"/>
    <w:rsid w:val="683F0658"/>
    <w:rsid w:val="68534DEC"/>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3A4BA9"/>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2</TotalTime>
  <ScaleCrop>false</ScaleCrop>
  <LinksUpToDate>false</LinksUpToDate>
  <CharactersWithSpaces>20937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2024-09-11T16:15:39Z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