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B4C12A">
      <w:pPr>
        <w:rPr>
          <w:rFonts w:ascii="黑体" w:hAnsi="黑体" w:eastAsia="黑体"/>
          <w:sz w:val="32"/>
          <w:szCs w:val="32"/>
        </w:rPr>
      </w:pPr>
    </w:p>
    <w:p w14:paraId="465FFD88">
      <w:pPr>
        <w:jc w:val="center"/>
        <w:rPr>
          <w:rFonts w:ascii="方正小标宋_GBK" w:hAnsi="宋体" w:eastAsia="方正小标宋_GBK"/>
          <w:sz w:val="44"/>
          <w:szCs w:val="44"/>
        </w:rPr>
      </w:pPr>
    </w:p>
    <w:p w14:paraId="52BBEC78">
      <w:pPr>
        <w:jc w:val="center"/>
        <w:rPr>
          <w:rFonts w:ascii="方正小标宋_GBK" w:hAnsi="宋体" w:eastAsia="方正小标宋_GBK"/>
          <w:sz w:val="44"/>
          <w:szCs w:val="44"/>
        </w:rPr>
      </w:pPr>
      <w:r>
        <w:rPr>
          <w:rFonts w:hint="eastAsia" w:ascii="方正小标宋_GBK" w:hAnsi="宋体" w:eastAsia="方正小标宋_GBK"/>
          <w:sz w:val="44"/>
          <w:szCs w:val="44"/>
        </w:rPr>
        <w:t>新疆维吾尔自治区煤田地质局煤层气研究开发中心2023年度部门决算公开说明</w:t>
      </w:r>
    </w:p>
    <w:p w14:paraId="5E9ACADF">
      <w:pPr>
        <w:rPr>
          <w:rFonts w:ascii="方正小标宋_GBK" w:hAnsi="宋体" w:eastAsia="方正小标宋_GBK"/>
          <w:sz w:val="44"/>
          <w:szCs w:val="44"/>
        </w:rPr>
      </w:pPr>
      <w:r>
        <w:rPr>
          <w:rFonts w:hint="eastAsia" w:ascii="方正小标宋_GBK" w:hAnsi="宋体" w:eastAsia="方正小标宋_GBK"/>
          <w:sz w:val="44"/>
          <w:szCs w:val="44"/>
        </w:rPr>
        <w:br w:type="page"/>
      </w:r>
    </w:p>
    <w:p w14:paraId="652CF756">
      <w:pPr>
        <w:jc w:val="center"/>
        <w:rPr>
          <w:rFonts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14:paraId="20CE4B45">
      <w:pPr>
        <w:pStyle w:val="6"/>
        <w:tabs>
          <w:tab w:val="right" w:pos="8306"/>
        </w:tabs>
        <w:rPr>
          <w:rFonts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66ECDDF1">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349617D9">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14:paraId="517A16B9">
      <w:pPr>
        <w:pStyle w:val="6"/>
        <w:tabs>
          <w:tab w:val="right" w:pos="8306"/>
        </w:tabs>
        <w:rPr>
          <w:rFonts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18DA7DC2">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586FFB45">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54BB9666">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21E21A7E">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7C7E9E51">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70C5C7FE">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472CB37D">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14:paraId="108177DC">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14:paraId="3DA4C82F">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14:paraId="612D4160">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14:paraId="13A74199">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14:paraId="43325A87">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6A2E632F">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5CA04396">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69BF851E">
      <w:pPr>
        <w:pStyle w:val="7"/>
        <w:tabs>
          <w:tab w:val="right" w:pos="8306"/>
        </w:tabs>
        <w:ind w:left="0" w:leftChars="0"/>
        <w:rPr>
          <w:rFonts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14:paraId="1B4B3011">
      <w:pPr>
        <w:rPr>
          <w:rFonts w:ascii="仿宋_GB2312" w:hAnsi="仿宋_GB2312" w:eastAsia="仿宋_GB2312" w:cs="仿宋_GB2312"/>
          <w:sz w:val="32"/>
          <w:szCs w:val="32"/>
        </w:rPr>
      </w:pPr>
    </w:p>
    <w:p w14:paraId="3E045F38">
      <w:pPr>
        <w:rPr>
          <w:rFonts w:ascii="仿宋_GB2312" w:hAnsi="仿宋_GB2312" w:eastAsia="仿宋_GB2312" w:cs="仿宋_GB2312"/>
          <w:sz w:val="32"/>
          <w:szCs w:val="32"/>
        </w:rPr>
      </w:pPr>
    </w:p>
    <w:p w14:paraId="28F14A06">
      <w:pPr>
        <w:pStyle w:val="6"/>
        <w:tabs>
          <w:tab w:val="right" w:pos="8306"/>
        </w:tabs>
        <w:rPr>
          <w:rFonts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08F2152E">
      <w:pPr>
        <w:pStyle w:val="6"/>
        <w:tabs>
          <w:tab w:val="right" w:pos="8306"/>
        </w:tabs>
        <w:rPr>
          <w:rFonts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45393328">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381CC4BF">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7445B784">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15B09D84">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1FEC83E2">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4408D683">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06298735">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14:paraId="05989FA8">
      <w:pPr>
        <w:pStyle w:val="7"/>
        <w:tabs>
          <w:tab w:val="right" w:pos="8306"/>
        </w:tabs>
        <w:ind w:left="0" w:leftChars="0"/>
        <w:rPr>
          <w:rFonts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14:paraId="22B3997B">
      <w:pPr>
        <w:pStyle w:val="7"/>
        <w:tabs>
          <w:tab w:val="right" w:pos="8306"/>
        </w:tabs>
        <w:ind w:left="0" w:leftChars="0"/>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14:paraId="1C413181">
      <w:r>
        <w:rPr>
          <w:rFonts w:hint="eastAsia" w:ascii="仿宋_GB2312" w:hAnsi="仿宋_GB2312" w:eastAsia="仿宋_GB2312" w:cs="仿宋_GB2312"/>
          <w:sz w:val="32"/>
          <w:szCs w:val="32"/>
        </w:rPr>
        <w:fldChar w:fldCharType="end"/>
      </w:r>
    </w:p>
    <w:p w14:paraId="1C2494F3">
      <w:pPr>
        <w:rPr>
          <w:rFonts w:ascii="仿宋_GB2312" w:eastAsia="仿宋_GB2312"/>
          <w:sz w:val="32"/>
          <w:szCs w:val="32"/>
        </w:rPr>
      </w:pPr>
      <w:r>
        <w:rPr>
          <w:rFonts w:hint="eastAsia" w:ascii="仿宋_GB2312" w:eastAsia="仿宋_GB2312"/>
          <w:sz w:val="32"/>
          <w:szCs w:val="32"/>
        </w:rPr>
        <w:br w:type="page"/>
      </w:r>
    </w:p>
    <w:p w14:paraId="217D240C">
      <w:pPr>
        <w:jc w:val="center"/>
        <w:outlineLvl w:val="0"/>
        <w:rPr>
          <w:rFonts w:ascii="黑体" w:hAnsi="黑体" w:eastAsia="黑体"/>
          <w:sz w:val="32"/>
          <w:szCs w:val="32"/>
        </w:rPr>
      </w:pPr>
      <w:bookmarkStart w:id="0" w:name="_Toc32314"/>
      <w:bookmarkStart w:id="1" w:name="_Toc24028"/>
      <w:r>
        <w:rPr>
          <w:rFonts w:hint="eastAsia" w:ascii="黑体" w:hAnsi="黑体" w:eastAsia="黑体"/>
          <w:sz w:val="32"/>
          <w:szCs w:val="32"/>
        </w:rPr>
        <w:t>第一部分 单位概况</w:t>
      </w:r>
      <w:bookmarkEnd w:id="0"/>
      <w:bookmarkEnd w:id="1"/>
    </w:p>
    <w:p w14:paraId="550015A0">
      <w:pPr>
        <w:ind w:firstLine="640" w:firstLineChars="200"/>
        <w:outlineLvl w:val="1"/>
        <w:rPr>
          <w:rFonts w:ascii="黑体" w:hAnsi="黑体" w:eastAsia="黑体" w:cs="宋体"/>
          <w:bCs/>
          <w:kern w:val="0"/>
          <w:sz w:val="32"/>
          <w:szCs w:val="32"/>
        </w:rPr>
      </w:pPr>
      <w:bookmarkStart w:id="2" w:name="_Toc30738"/>
      <w:bookmarkStart w:id="3" w:name="_Toc30567"/>
      <w:r>
        <w:rPr>
          <w:rFonts w:hint="eastAsia" w:ascii="黑体" w:hAnsi="黑体" w:eastAsia="黑体" w:cs="宋体"/>
          <w:bCs/>
          <w:kern w:val="0"/>
          <w:sz w:val="32"/>
          <w:szCs w:val="32"/>
        </w:rPr>
        <w:t>一、主要职能</w:t>
      </w:r>
      <w:bookmarkEnd w:id="2"/>
      <w:bookmarkEnd w:id="3"/>
    </w:p>
    <w:p w14:paraId="6650BF6E">
      <w:pPr>
        <w:ind w:firstLine="640" w:firstLineChars="200"/>
        <w:rPr>
          <w:rFonts w:ascii="黑体" w:hAnsi="黑体" w:eastAsia="黑体" w:cs="宋体"/>
          <w:bCs/>
          <w:kern w:val="0"/>
          <w:sz w:val="32"/>
          <w:szCs w:val="32"/>
        </w:rPr>
      </w:pPr>
      <w:bookmarkStart w:id="4" w:name="_Toc31238"/>
      <w:bookmarkStart w:id="5" w:name="_Toc2151"/>
      <w:r>
        <w:rPr>
          <w:rFonts w:ascii="仿宋_GB2312" w:eastAsia="仿宋_GB2312"/>
          <w:sz w:val="32"/>
          <w:szCs w:val="32"/>
        </w:rPr>
        <w:t>煤层气研究开发中心是隶属于新疆煤田地质局的正县级事业单位。系自治区全额预算管理的县级事业单位。主要承担煤层气技术的科研、开发、交流与合作。负责拟定新疆煤层气综合开发利用的规划及实施方案；负责组织研究国内外煤层气开发技术、开采设备的发展动态以及情报收集和煤层气开发的技术、设备的交流与促进；拟定自治区煤层气评价体系、测试标准、综合利用规范和施工标准等工作</w:t>
      </w:r>
      <w:r>
        <w:rPr>
          <w:rFonts w:hint="eastAsia" w:ascii="仿宋_GB2312" w:eastAsia="仿宋_GB2312"/>
          <w:sz w:val="32"/>
          <w:szCs w:val="32"/>
        </w:rPr>
        <w:t>。</w:t>
      </w:r>
    </w:p>
    <w:p w14:paraId="04FF0817">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14:paraId="166FF878">
      <w:pPr>
        <w:ind w:firstLine="640" w:firstLineChars="200"/>
        <w:jc w:val="left"/>
        <w:rPr>
          <w:rFonts w:ascii="仿宋_GB2312" w:hAnsi="仿宋_GB2312" w:eastAsia="仿宋_GB2312" w:cs="仿宋_GB2312"/>
          <w:b/>
          <w:sz w:val="32"/>
          <w:szCs w:val="32"/>
        </w:rPr>
      </w:pPr>
      <w:r>
        <w:rPr>
          <w:rFonts w:hint="eastAsia" w:ascii="仿宋_GB2312" w:eastAsia="仿宋_GB2312"/>
          <w:sz w:val="32"/>
          <w:szCs w:val="32"/>
        </w:rPr>
        <w:t>新疆维吾尔自治区煤田地质局煤层气研究开发中心</w:t>
      </w:r>
      <w:r>
        <w:rPr>
          <w:rFonts w:hint="eastAsia" w:eastAsia="仿宋_GB2312"/>
          <w:sz w:val="32"/>
          <w:szCs w:val="32"/>
          <w:lang w:val="zh-CN"/>
        </w:rPr>
        <w:t>2023</w:t>
      </w:r>
      <w:r>
        <w:rPr>
          <w:rFonts w:hint="eastAsia" w:ascii="仿宋_GB2312" w:eastAsia="仿宋_GB2312"/>
          <w:sz w:val="32"/>
          <w:szCs w:val="32"/>
        </w:rPr>
        <w:t>年度，实有人数</w:t>
      </w:r>
      <w:r>
        <w:rPr>
          <w:rFonts w:eastAsia="仿宋_GB2312"/>
          <w:sz w:val="32"/>
          <w:szCs w:val="32"/>
          <w:lang w:val="zh-CN"/>
        </w:rPr>
        <w:t>5</w:t>
      </w:r>
      <w:r>
        <w:rPr>
          <w:rFonts w:hint="eastAsia" w:ascii="仿宋_GB2312" w:eastAsia="仿宋_GB2312"/>
          <w:sz w:val="32"/>
          <w:szCs w:val="32"/>
        </w:rPr>
        <w:t>人，其中：在职人员</w:t>
      </w:r>
      <w:r>
        <w:rPr>
          <w:rFonts w:hint="eastAsia" w:eastAsia="仿宋_GB2312"/>
          <w:sz w:val="32"/>
          <w:szCs w:val="32"/>
          <w:lang w:val="zh-CN"/>
        </w:rPr>
        <w:t>5</w:t>
      </w:r>
      <w:r>
        <w:rPr>
          <w:rFonts w:hint="eastAsia" w:ascii="仿宋_GB2312" w:eastAsia="仿宋_GB2312"/>
          <w:sz w:val="32"/>
          <w:szCs w:val="32"/>
        </w:rPr>
        <w:t>人，离休人员</w:t>
      </w:r>
      <w:r>
        <w:rPr>
          <w:rFonts w:hint="eastAsia" w:eastAsia="仿宋_GB2312"/>
          <w:sz w:val="32"/>
          <w:szCs w:val="32"/>
          <w:lang w:val="zh-CN"/>
        </w:rPr>
        <w:t>0</w:t>
      </w:r>
      <w:r>
        <w:rPr>
          <w:rFonts w:hint="eastAsia" w:ascii="仿宋_GB2312" w:eastAsia="仿宋_GB2312"/>
          <w:sz w:val="32"/>
          <w:szCs w:val="32"/>
        </w:rPr>
        <w:t>人，退休人员</w:t>
      </w:r>
      <w:r>
        <w:rPr>
          <w:rFonts w:hint="eastAsia" w:eastAsia="仿宋_GB2312"/>
          <w:sz w:val="32"/>
          <w:szCs w:val="32"/>
          <w:lang w:val="zh-CN"/>
        </w:rPr>
        <w:t>0</w:t>
      </w:r>
      <w:r>
        <w:rPr>
          <w:rFonts w:hint="eastAsia" w:ascii="仿宋_GB2312" w:eastAsia="仿宋_GB2312"/>
          <w:sz w:val="32"/>
          <w:szCs w:val="32"/>
        </w:rPr>
        <w:t>人。</w:t>
      </w:r>
    </w:p>
    <w:p w14:paraId="10E341D3">
      <w:pPr>
        <w:ind w:firstLine="640" w:firstLineChars="200"/>
        <w:rPr>
          <w:rFonts w:ascii="仿宋_GB2312" w:eastAsia="仿宋_GB2312"/>
          <w:sz w:val="32"/>
          <w:szCs w:val="32"/>
        </w:rPr>
      </w:pPr>
      <w:r>
        <w:rPr>
          <w:rFonts w:hint="eastAsia" w:ascii="仿宋_GB2312" w:hAnsi="黑体" w:eastAsia="仿宋_GB2312" w:cs="宋体"/>
          <w:bCs/>
          <w:kern w:val="0"/>
          <w:sz w:val="32"/>
          <w:szCs w:val="32"/>
        </w:rPr>
        <w:t>单位无下属预算单位，下设</w:t>
      </w:r>
      <w:r>
        <w:rPr>
          <w:rFonts w:hint="eastAsia" w:eastAsia="仿宋_GB2312"/>
          <w:sz w:val="32"/>
          <w:szCs w:val="32"/>
          <w:lang w:val="zh-CN"/>
        </w:rPr>
        <w:t>3</w:t>
      </w:r>
      <w:r>
        <w:rPr>
          <w:rFonts w:hint="eastAsia" w:ascii="仿宋_GB2312" w:hAnsi="黑体" w:eastAsia="仿宋_GB2312" w:cs="宋体"/>
          <w:bCs/>
          <w:kern w:val="0"/>
          <w:sz w:val="32"/>
          <w:szCs w:val="32"/>
        </w:rPr>
        <w:t>个科室，分别是：综合办公室、技术管理科、项目管理科</w:t>
      </w:r>
      <w:r>
        <w:rPr>
          <w:rFonts w:hint="eastAsia" w:ascii="仿宋_GB2312" w:hAnsi="宋体" w:eastAsia="仿宋_GB2312" w:cs="宋体"/>
          <w:kern w:val="0"/>
          <w:sz w:val="32"/>
          <w:szCs w:val="32"/>
        </w:rPr>
        <w:t>。</w:t>
      </w:r>
    </w:p>
    <w:p w14:paraId="022298ED">
      <w:pPr>
        <w:ind w:firstLine="640" w:firstLineChars="200"/>
        <w:rPr>
          <w:rFonts w:ascii="仿宋_GB2312" w:hAnsi="宋体" w:eastAsia="仿宋_GB2312" w:cs="宋体"/>
          <w:kern w:val="0"/>
          <w:sz w:val="32"/>
          <w:szCs w:val="32"/>
        </w:rPr>
        <w:sectPr>
          <w:footerReference r:id="rId3" w:type="default"/>
          <w:pgSz w:w="11906" w:h="16838"/>
          <w:pgMar w:top="1440" w:right="1800" w:bottom="1440" w:left="1800" w:header="851" w:footer="992" w:gutter="0"/>
          <w:cols w:space="720" w:num="1"/>
          <w:docGrid w:type="lines" w:linePitch="312" w:charSpace="0"/>
        </w:sectPr>
      </w:pPr>
    </w:p>
    <w:p w14:paraId="25564E56">
      <w:pPr>
        <w:jc w:val="center"/>
        <w:outlineLvl w:val="0"/>
        <w:rPr>
          <w:rFonts w:ascii="黑体" w:hAnsi="黑体" w:eastAsia="黑体"/>
          <w:sz w:val="32"/>
          <w:szCs w:val="32"/>
        </w:rPr>
      </w:pPr>
      <w:bookmarkStart w:id="6" w:name="_Toc29374"/>
      <w:bookmarkStart w:id="7" w:name="_Toc3092"/>
      <w:r>
        <w:rPr>
          <w:rFonts w:hint="eastAsia" w:ascii="黑体" w:hAnsi="黑体" w:eastAsia="黑体"/>
          <w:sz w:val="32"/>
          <w:szCs w:val="32"/>
        </w:rPr>
        <w:t>第二部分 部门决算情况说明</w:t>
      </w:r>
      <w:bookmarkEnd w:id="6"/>
      <w:bookmarkEnd w:id="7"/>
    </w:p>
    <w:p w14:paraId="171D0EBA">
      <w:pPr>
        <w:ind w:firstLine="640" w:firstLineChars="200"/>
        <w:outlineLvl w:val="1"/>
        <w:rPr>
          <w:rFonts w:ascii="黑体" w:hAnsi="黑体" w:eastAsia="黑体" w:cs="宋体"/>
          <w:bCs/>
          <w:kern w:val="0"/>
          <w:sz w:val="32"/>
          <w:szCs w:val="32"/>
        </w:rPr>
      </w:pPr>
      <w:bookmarkStart w:id="8" w:name="_Toc12566"/>
      <w:bookmarkStart w:id="9" w:name="_Toc25314"/>
      <w:r>
        <w:rPr>
          <w:rFonts w:hint="eastAsia" w:ascii="黑体" w:hAnsi="黑体" w:eastAsia="黑体" w:cs="宋体"/>
          <w:bCs/>
          <w:kern w:val="0"/>
          <w:sz w:val="32"/>
          <w:szCs w:val="32"/>
        </w:rPr>
        <w:t>一、收入支出决算总体情况说明</w:t>
      </w:r>
      <w:bookmarkEnd w:id="8"/>
      <w:bookmarkEnd w:id="9"/>
    </w:p>
    <w:p w14:paraId="1B0BA52F">
      <w:pPr>
        <w:ind w:firstLine="640" w:firstLineChars="200"/>
        <w:jc w:val="left"/>
        <w:rPr>
          <w:rFonts w:ascii="仿宋_GB2312" w:eastAsia="仿宋_GB2312"/>
          <w:sz w:val="32"/>
          <w:szCs w:val="32"/>
        </w:rPr>
      </w:pPr>
      <w:r>
        <w:rPr>
          <w:rFonts w:hint="eastAsia" w:eastAsia="仿宋_GB2312"/>
          <w:sz w:val="32"/>
          <w:szCs w:val="32"/>
          <w:lang w:val="zh-CN"/>
        </w:rPr>
        <w:t>2023</w:t>
      </w:r>
      <w:r>
        <w:rPr>
          <w:rFonts w:hint="eastAsia" w:ascii="仿宋_GB2312" w:eastAsia="仿宋_GB2312"/>
          <w:sz w:val="32"/>
          <w:szCs w:val="32"/>
        </w:rPr>
        <w:t>年度收入总计</w:t>
      </w:r>
      <w:r>
        <w:rPr>
          <w:rFonts w:hint="eastAsia" w:eastAsia="仿宋_GB2312"/>
          <w:sz w:val="32"/>
          <w:szCs w:val="32"/>
          <w:lang w:val="zh-CN"/>
        </w:rPr>
        <w:t>511.93</w:t>
      </w:r>
      <w:r>
        <w:rPr>
          <w:rFonts w:hint="eastAsia" w:ascii="仿宋_GB2312" w:eastAsia="仿宋_GB2312"/>
          <w:sz w:val="32"/>
          <w:szCs w:val="32"/>
        </w:rPr>
        <w:t>万元，其中：本年收入合计</w:t>
      </w:r>
      <w:r>
        <w:rPr>
          <w:rFonts w:hint="eastAsia" w:eastAsia="仿宋_GB2312"/>
          <w:sz w:val="32"/>
          <w:szCs w:val="32"/>
          <w:lang w:val="zh-CN"/>
        </w:rPr>
        <w:t>177.81</w:t>
      </w:r>
      <w:r>
        <w:rPr>
          <w:rFonts w:hint="eastAsia" w:ascii="仿宋_GB2312" w:eastAsia="仿宋_GB2312"/>
          <w:sz w:val="32"/>
          <w:szCs w:val="32"/>
        </w:rPr>
        <w:t>万元，使用非财政拨款结余</w:t>
      </w:r>
      <w:r>
        <w:rPr>
          <w:rFonts w:hint="eastAsia" w:eastAsia="仿宋_GB2312"/>
          <w:sz w:val="32"/>
          <w:szCs w:val="32"/>
          <w:lang w:val="zh-CN"/>
        </w:rPr>
        <w:t>71.34</w:t>
      </w:r>
      <w:r>
        <w:rPr>
          <w:rFonts w:hint="eastAsia" w:ascii="仿宋_GB2312" w:eastAsia="仿宋_GB2312"/>
          <w:sz w:val="32"/>
          <w:szCs w:val="32"/>
        </w:rPr>
        <w:t>万元，年初结转和结余</w:t>
      </w:r>
      <w:r>
        <w:rPr>
          <w:rFonts w:hint="eastAsia" w:eastAsia="仿宋_GB2312"/>
          <w:sz w:val="32"/>
          <w:szCs w:val="32"/>
          <w:lang w:val="zh-CN"/>
        </w:rPr>
        <w:t>262.78</w:t>
      </w:r>
      <w:r>
        <w:rPr>
          <w:rFonts w:hint="eastAsia" w:ascii="仿宋_GB2312" w:eastAsia="仿宋_GB2312"/>
          <w:sz w:val="32"/>
          <w:szCs w:val="32"/>
        </w:rPr>
        <w:t>万元。</w:t>
      </w:r>
    </w:p>
    <w:p w14:paraId="7034D169">
      <w:pPr>
        <w:ind w:firstLine="640" w:firstLineChars="200"/>
        <w:jc w:val="left"/>
        <w:rPr>
          <w:rFonts w:ascii="仿宋_GB2312" w:eastAsia="仿宋_GB2312"/>
          <w:sz w:val="32"/>
          <w:szCs w:val="32"/>
        </w:rPr>
      </w:pPr>
      <w:r>
        <w:rPr>
          <w:rFonts w:hint="eastAsia" w:eastAsia="仿宋_GB2312"/>
          <w:sz w:val="32"/>
          <w:szCs w:val="32"/>
          <w:lang w:val="zh-CN"/>
        </w:rPr>
        <w:t>2023</w:t>
      </w:r>
      <w:r>
        <w:rPr>
          <w:rFonts w:hint="eastAsia" w:ascii="仿宋_GB2312" w:eastAsia="仿宋_GB2312"/>
          <w:sz w:val="32"/>
          <w:szCs w:val="32"/>
        </w:rPr>
        <w:t>年度支出总计</w:t>
      </w:r>
      <w:r>
        <w:rPr>
          <w:rFonts w:hint="eastAsia" w:eastAsia="仿宋_GB2312"/>
          <w:sz w:val="32"/>
          <w:szCs w:val="32"/>
          <w:lang w:val="zh-CN"/>
        </w:rPr>
        <w:t>511.93</w:t>
      </w:r>
      <w:r>
        <w:rPr>
          <w:rFonts w:hint="eastAsia" w:ascii="仿宋_GB2312" w:eastAsia="仿宋_GB2312"/>
          <w:sz w:val="32"/>
          <w:szCs w:val="32"/>
        </w:rPr>
        <w:t>万元，其中：本年支出合计</w:t>
      </w:r>
      <w:r>
        <w:rPr>
          <w:rFonts w:hint="eastAsia" w:eastAsia="仿宋_GB2312"/>
          <w:sz w:val="32"/>
          <w:szCs w:val="32"/>
          <w:lang w:val="zh-CN"/>
        </w:rPr>
        <w:t>496.66</w:t>
      </w:r>
      <w:r>
        <w:rPr>
          <w:rFonts w:hint="eastAsia" w:ascii="仿宋_GB2312" w:eastAsia="仿宋_GB2312"/>
          <w:sz w:val="32"/>
          <w:szCs w:val="32"/>
        </w:rPr>
        <w:t>万元，结余分配</w:t>
      </w:r>
      <w:r>
        <w:rPr>
          <w:rFonts w:hint="eastAsia" w:eastAsia="仿宋_GB2312"/>
          <w:sz w:val="32"/>
          <w:szCs w:val="32"/>
          <w:lang w:val="zh-CN"/>
        </w:rPr>
        <w:t>0.00</w:t>
      </w:r>
      <w:r>
        <w:rPr>
          <w:rFonts w:hint="eastAsia" w:ascii="仿宋_GB2312" w:eastAsia="仿宋_GB2312"/>
          <w:sz w:val="32"/>
          <w:szCs w:val="32"/>
        </w:rPr>
        <w:t>万元，年末结转和结余</w:t>
      </w:r>
      <w:r>
        <w:rPr>
          <w:rFonts w:hint="eastAsia" w:eastAsia="仿宋_GB2312"/>
          <w:sz w:val="32"/>
          <w:szCs w:val="32"/>
          <w:lang w:val="zh-CN"/>
        </w:rPr>
        <w:t>15.26</w:t>
      </w:r>
      <w:r>
        <w:rPr>
          <w:rFonts w:hint="eastAsia" w:ascii="仿宋_GB2312" w:eastAsia="仿宋_GB2312"/>
          <w:sz w:val="32"/>
          <w:szCs w:val="32"/>
        </w:rPr>
        <w:t>万元。</w:t>
      </w:r>
    </w:p>
    <w:p w14:paraId="5063EA5E">
      <w:pPr>
        <w:ind w:firstLine="640" w:firstLineChars="200"/>
        <w:rPr>
          <w:rFonts w:ascii="仿宋_GB2312" w:eastAsia="仿宋_GB2312"/>
          <w:sz w:val="32"/>
          <w:szCs w:val="32"/>
        </w:rPr>
      </w:pPr>
      <w:r>
        <w:rPr>
          <w:rFonts w:hint="eastAsia" w:ascii="仿宋_GB2312" w:eastAsia="仿宋_GB2312"/>
          <w:sz w:val="32"/>
          <w:szCs w:val="32"/>
        </w:rPr>
        <w:t>收入支出总体与上年相比，</w:t>
      </w:r>
      <w:r>
        <w:rPr>
          <w:rFonts w:hint="eastAsia" w:ascii="仿宋_GB2312" w:eastAsia="仿宋_GB2312"/>
          <w:sz w:val="32"/>
          <w:szCs w:val="32"/>
          <w:lang w:val="zh-CN"/>
        </w:rPr>
        <w:t>增加</w:t>
      </w:r>
      <w:r>
        <w:rPr>
          <w:rFonts w:hint="eastAsia" w:eastAsia="仿宋_GB2312"/>
          <w:sz w:val="32"/>
          <w:szCs w:val="32"/>
          <w:lang w:val="zh-CN"/>
        </w:rPr>
        <w:t>44.93</w:t>
      </w:r>
      <w:r>
        <w:rPr>
          <w:rFonts w:hint="eastAsia" w:ascii="仿宋_GB2312" w:eastAsia="仿宋_GB2312"/>
          <w:sz w:val="32"/>
          <w:szCs w:val="32"/>
          <w:lang w:val="zh-CN"/>
        </w:rPr>
        <w:t>万元</w:t>
      </w:r>
      <w:r>
        <w:rPr>
          <w:rFonts w:hint="eastAsia" w:ascii="仿宋_GB2312" w:eastAsia="仿宋_GB2312"/>
          <w:sz w:val="32"/>
          <w:szCs w:val="32"/>
        </w:rPr>
        <w:t>，</w:t>
      </w:r>
      <w:r>
        <w:rPr>
          <w:rFonts w:hint="eastAsia" w:ascii="仿宋_GB2312" w:eastAsia="仿宋_GB2312"/>
          <w:sz w:val="32"/>
          <w:szCs w:val="32"/>
          <w:lang w:val="zh-CN"/>
        </w:rPr>
        <w:t>增长</w:t>
      </w:r>
      <w:r>
        <w:rPr>
          <w:rFonts w:hint="eastAsia" w:eastAsia="仿宋_GB2312"/>
          <w:sz w:val="32"/>
          <w:szCs w:val="32"/>
          <w:lang w:val="zh-CN"/>
        </w:rPr>
        <w:t>9.62%，</w:t>
      </w:r>
      <w:r>
        <w:rPr>
          <w:rFonts w:hint="eastAsia" w:ascii="仿宋_GB2312" w:eastAsia="仿宋_GB2312"/>
          <w:sz w:val="32"/>
          <w:szCs w:val="32"/>
        </w:rPr>
        <w:t>主要原因是：本年度我单位科研项目增加，导致收入支出总计与上年相比有所增加。</w:t>
      </w:r>
    </w:p>
    <w:p w14:paraId="665784F5">
      <w:pPr>
        <w:ind w:firstLine="640" w:firstLineChars="200"/>
        <w:jc w:val="left"/>
        <w:outlineLvl w:val="1"/>
        <w:rPr>
          <w:rFonts w:ascii="黑体" w:hAnsi="黑体" w:eastAsia="黑体" w:cs="宋体"/>
          <w:bCs/>
          <w:kern w:val="0"/>
          <w:sz w:val="32"/>
          <w:szCs w:val="32"/>
        </w:rPr>
      </w:pPr>
      <w:bookmarkStart w:id="10" w:name="_Toc12142"/>
      <w:bookmarkStart w:id="11" w:name="_Toc1979"/>
      <w:r>
        <w:rPr>
          <w:rFonts w:hint="eastAsia" w:ascii="黑体" w:hAnsi="黑体" w:eastAsia="黑体" w:cs="宋体"/>
          <w:bCs/>
          <w:kern w:val="0"/>
          <w:sz w:val="32"/>
          <w:szCs w:val="32"/>
        </w:rPr>
        <w:t>二、收入决算情况说明</w:t>
      </w:r>
      <w:bookmarkEnd w:id="10"/>
      <w:bookmarkEnd w:id="11"/>
    </w:p>
    <w:p w14:paraId="402508B1">
      <w:pPr>
        <w:ind w:firstLine="640" w:firstLineChars="200"/>
        <w:jc w:val="left"/>
        <w:rPr>
          <w:rFonts w:eastAsia="仿宋_GB2312"/>
          <w:sz w:val="32"/>
          <w:szCs w:val="32"/>
          <w:lang w:val="zh-CN"/>
        </w:rPr>
      </w:pPr>
      <w:r>
        <w:rPr>
          <w:rFonts w:eastAsia="仿宋_GB2312"/>
          <w:sz w:val="32"/>
          <w:szCs w:val="32"/>
          <w:lang w:val="zh-CN"/>
        </w:rPr>
        <w:t>本年收入177.81万元，其中：财政拨款收入102.94万元，占57.89%；上级补助收入0.00万元，占0.00%；事业收入53.30万元，占29.98%；经营收入21.57万元，占12.13%；附属单位上缴收入0.00万元，占0.00%；其他收入0.00万元，占0.00%。</w:t>
      </w:r>
    </w:p>
    <w:p w14:paraId="2DA3B853">
      <w:pPr>
        <w:ind w:firstLine="640" w:firstLineChars="200"/>
        <w:jc w:val="left"/>
        <w:outlineLvl w:val="1"/>
        <w:rPr>
          <w:rFonts w:ascii="黑体" w:hAnsi="黑体" w:eastAsia="黑体" w:cs="宋体"/>
          <w:bCs/>
          <w:kern w:val="0"/>
          <w:sz w:val="32"/>
          <w:szCs w:val="32"/>
        </w:rPr>
      </w:pPr>
      <w:bookmarkStart w:id="12" w:name="_Toc27961"/>
      <w:bookmarkStart w:id="13" w:name="_Toc13201"/>
      <w:r>
        <w:rPr>
          <w:rFonts w:hint="eastAsia" w:ascii="黑体" w:hAnsi="黑体" w:eastAsia="黑体" w:cs="宋体"/>
          <w:bCs/>
          <w:kern w:val="0"/>
          <w:sz w:val="32"/>
          <w:szCs w:val="32"/>
        </w:rPr>
        <w:t>三、支出决算情况说明</w:t>
      </w:r>
      <w:bookmarkEnd w:id="12"/>
      <w:bookmarkEnd w:id="13"/>
    </w:p>
    <w:p w14:paraId="42BE4D74">
      <w:pPr>
        <w:ind w:firstLine="640" w:firstLineChars="200"/>
        <w:jc w:val="left"/>
        <w:rPr>
          <w:rFonts w:eastAsia="仿宋_GB2312"/>
          <w:sz w:val="32"/>
          <w:szCs w:val="32"/>
          <w:lang w:val="zh-CN"/>
        </w:rPr>
      </w:pPr>
      <w:r>
        <w:rPr>
          <w:rFonts w:hint="eastAsia" w:eastAsia="仿宋_GB2312"/>
          <w:sz w:val="32"/>
          <w:szCs w:val="32"/>
          <w:lang w:val="zh-CN"/>
        </w:rPr>
        <w:t>本年支出496.66万元，其中：基本支出174.28万元，占35.09%；项目支出300.82万元，占60.57%；上缴上级支出0.00万元，占0.00%；经营支出21.57万元，占4.34%；对附属单位补助支出0.00万元，占0.00%。</w:t>
      </w:r>
    </w:p>
    <w:p w14:paraId="596FDA5B">
      <w:pPr>
        <w:ind w:firstLine="640" w:firstLineChars="200"/>
        <w:jc w:val="left"/>
        <w:outlineLvl w:val="1"/>
        <w:rPr>
          <w:rFonts w:ascii="黑体" w:hAnsi="黑体" w:eastAsia="黑体" w:cs="宋体"/>
          <w:bCs/>
          <w:kern w:val="0"/>
          <w:sz w:val="32"/>
          <w:szCs w:val="32"/>
        </w:rPr>
      </w:pPr>
      <w:bookmarkStart w:id="14" w:name="_Toc26564"/>
      <w:bookmarkStart w:id="15" w:name="_Toc4393"/>
      <w:r>
        <w:rPr>
          <w:rFonts w:hint="eastAsia" w:ascii="黑体" w:hAnsi="黑体" w:eastAsia="黑体" w:cs="宋体"/>
          <w:bCs/>
          <w:kern w:val="0"/>
          <w:sz w:val="32"/>
          <w:szCs w:val="32"/>
        </w:rPr>
        <w:t>四、财政拨款收入支出决算总体情况说明</w:t>
      </w:r>
      <w:bookmarkEnd w:id="14"/>
      <w:bookmarkEnd w:id="15"/>
    </w:p>
    <w:p w14:paraId="0518EE5E">
      <w:pPr>
        <w:ind w:firstLine="640" w:firstLineChars="200"/>
        <w:jc w:val="left"/>
        <w:rPr>
          <w:rFonts w:eastAsia="仿宋_GB2312"/>
          <w:sz w:val="32"/>
          <w:szCs w:val="32"/>
          <w:lang w:val="zh-CN"/>
        </w:rPr>
      </w:pPr>
      <w:r>
        <w:rPr>
          <w:rFonts w:hint="eastAsia" w:eastAsia="仿宋_GB2312"/>
          <w:sz w:val="32"/>
          <w:szCs w:val="32"/>
          <w:lang w:val="zh-CN"/>
        </w:rPr>
        <w:t>2023年度财政拨款收入总计345.24万元，其中：年初财政拨款结转和结余242.31万元，本年财政拨款收入102.94万元。财政拨款支出总计345.24万元，其中：年末财政拨款结转和结余0.00万元，本年财政拨款支出345.24万元。</w:t>
      </w:r>
    </w:p>
    <w:p w14:paraId="7AB4FF77">
      <w:pPr>
        <w:ind w:firstLine="640" w:firstLineChars="200"/>
        <w:jc w:val="left"/>
        <w:rPr>
          <w:rFonts w:eastAsia="仿宋_GB2312"/>
          <w:sz w:val="32"/>
          <w:szCs w:val="32"/>
          <w:lang w:val="zh-CN"/>
        </w:rPr>
      </w:pPr>
      <w:r>
        <w:rPr>
          <w:rFonts w:hint="eastAsia" w:eastAsia="仿宋_GB2312"/>
          <w:sz w:val="32"/>
          <w:szCs w:val="32"/>
          <w:lang w:val="zh-CN"/>
        </w:rPr>
        <w:t>财政拨款收入支出总体与上年相比,减少16.04万元，下降4.44%，主要原因是：本年度年初财政拨款项目结转比2022年减少。与年初预算相比，年初预算数88.68万元，决算数345.24万元，预决算差异率289.3</w:t>
      </w:r>
      <w:r>
        <w:rPr>
          <w:rFonts w:hint="eastAsia" w:eastAsia="仿宋_GB2312"/>
          <w:sz w:val="32"/>
          <w:szCs w:val="32"/>
          <w:lang w:val="en-US" w:eastAsia="zh-CN"/>
        </w:rPr>
        <w:t>1</w:t>
      </w:r>
      <w:r>
        <w:rPr>
          <w:rFonts w:hint="eastAsia" w:eastAsia="仿宋_GB2312"/>
          <w:sz w:val="32"/>
          <w:szCs w:val="32"/>
          <w:lang w:val="zh-CN"/>
        </w:rPr>
        <w:t>%，主要原因是：往年结转财政拨款项目在本年度支出。</w:t>
      </w:r>
    </w:p>
    <w:p w14:paraId="07262E82">
      <w:pPr>
        <w:ind w:firstLine="640" w:firstLineChars="200"/>
        <w:jc w:val="left"/>
        <w:outlineLvl w:val="1"/>
        <w:rPr>
          <w:rFonts w:ascii="黑体" w:hAnsi="黑体" w:eastAsia="黑体" w:cs="宋体"/>
          <w:bCs/>
          <w:kern w:val="0"/>
          <w:sz w:val="32"/>
          <w:szCs w:val="32"/>
        </w:rPr>
      </w:pPr>
      <w:bookmarkStart w:id="16" w:name="_Toc20360"/>
      <w:bookmarkStart w:id="17" w:name="_Toc13833"/>
      <w:r>
        <w:rPr>
          <w:rFonts w:hint="eastAsia" w:ascii="黑体" w:hAnsi="黑体" w:eastAsia="黑体" w:cs="宋体"/>
          <w:bCs/>
          <w:kern w:val="0"/>
          <w:sz w:val="32"/>
          <w:szCs w:val="32"/>
        </w:rPr>
        <w:t>五、一般公共预算财政拨款支出决算情况说明</w:t>
      </w:r>
      <w:bookmarkEnd w:id="16"/>
      <w:bookmarkEnd w:id="17"/>
    </w:p>
    <w:p w14:paraId="219B0177">
      <w:pPr>
        <w:ind w:firstLine="640" w:firstLineChars="200"/>
        <w:jc w:val="left"/>
        <w:outlineLvl w:val="2"/>
        <w:rPr>
          <w:rFonts w:ascii="黑体" w:hAnsi="黑体" w:eastAsia="黑体"/>
          <w:sz w:val="32"/>
          <w:szCs w:val="32"/>
        </w:rPr>
      </w:pPr>
      <w:r>
        <w:rPr>
          <w:rFonts w:hint="eastAsia" w:ascii="黑体" w:hAnsi="黑体" w:eastAsia="黑体"/>
          <w:sz w:val="32"/>
          <w:szCs w:val="32"/>
        </w:rPr>
        <w:t>（一）一般公共预算财政拨款支出决算总体情况</w:t>
      </w:r>
    </w:p>
    <w:p w14:paraId="7D8D52C2">
      <w:pPr>
        <w:ind w:firstLine="640" w:firstLineChars="200"/>
        <w:jc w:val="left"/>
        <w:rPr>
          <w:rFonts w:eastAsia="仿宋_GB2312"/>
          <w:sz w:val="32"/>
          <w:szCs w:val="32"/>
          <w:lang w:val="zh-CN"/>
        </w:rPr>
      </w:pPr>
      <w:r>
        <w:rPr>
          <w:rFonts w:hint="eastAsia" w:eastAsia="仿宋_GB2312"/>
          <w:sz w:val="32"/>
          <w:szCs w:val="32"/>
          <w:lang w:val="zh-CN"/>
        </w:rPr>
        <w:t>2023年度一般公共预算财政拨款支出345.24万元，占本年支出合计的69.51%。与上年相比，增加226.26万元，增长190.1</w:t>
      </w:r>
      <w:r>
        <w:rPr>
          <w:rFonts w:hint="eastAsia" w:eastAsia="仿宋_GB2312"/>
          <w:sz w:val="32"/>
          <w:szCs w:val="32"/>
          <w:lang w:val="en-US" w:eastAsia="zh-CN"/>
        </w:rPr>
        <w:t>7</w:t>
      </w:r>
      <w:r>
        <w:rPr>
          <w:rFonts w:hint="eastAsia" w:eastAsia="仿宋_GB2312"/>
          <w:sz w:val="32"/>
          <w:szCs w:val="32"/>
          <w:lang w:val="zh-CN"/>
        </w:rPr>
        <w:t>%，主要原因是：往年结转财政拨款项目在本年度支出。与年初预算相比，年初预算数88.68万元，决算数345.24万元，预决算差异率289.3</w:t>
      </w:r>
      <w:r>
        <w:rPr>
          <w:rFonts w:hint="eastAsia" w:eastAsia="仿宋_GB2312"/>
          <w:sz w:val="32"/>
          <w:szCs w:val="32"/>
          <w:lang w:val="en-US" w:eastAsia="zh-CN"/>
        </w:rPr>
        <w:t>1</w:t>
      </w:r>
      <w:r>
        <w:rPr>
          <w:rFonts w:hint="eastAsia" w:eastAsia="仿宋_GB2312"/>
          <w:sz w:val="32"/>
          <w:szCs w:val="32"/>
          <w:lang w:val="zh-CN"/>
        </w:rPr>
        <w:t>%，主要原因是：往年结转财政拨款项目在本年度支出。</w:t>
      </w:r>
    </w:p>
    <w:p w14:paraId="4FF9A38E">
      <w:pPr>
        <w:numPr>
          <w:ilvl w:val="0"/>
          <w:numId w:val="1"/>
        </w:numPr>
        <w:ind w:firstLine="640" w:firstLineChars="200"/>
        <w:jc w:val="left"/>
        <w:outlineLvl w:val="2"/>
        <w:rPr>
          <w:rFonts w:ascii="黑体" w:hAnsi="黑体" w:eastAsia="黑体"/>
          <w:sz w:val="32"/>
          <w:szCs w:val="32"/>
        </w:rPr>
      </w:pPr>
      <w:r>
        <w:rPr>
          <w:rFonts w:hint="eastAsia" w:ascii="黑体" w:hAnsi="黑体" w:eastAsia="黑体"/>
          <w:sz w:val="32"/>
          <w:szCs w:val="32"/>
        </w:rPr>
        <w:t>一般公共预算财政拨款支出决算结构情况</w:t>
      </w:r>
    </w:p>
    <w:p w14:paraId="414BA1FE">
      <w:pPr>
        <w:pStyle w:val="8"/>
        <w:widowControl/>
        <w:spacing w:before="0" w:beforeAutospacing="0" w:after="0" w:afterAutospacing="0"/>
        <w:ind w:firstLine="640" w:firstLineChars="200"/>
        <w:rPr>
          <w:rFonts w:eastAsia="仿宋_GB2312"/>
          <w:kern w:val="2"/>
          <w:sz w:val="32"/>
          <w:szCs w:val="32"/>
          <w:lang w:val="zh-CN"/>
        </w:rPr>
      </w:pPr>
      <w:r>
        <w:rPr>
          <w:rFonts w:hint="eastAsia" w:eastAsia="仿宋_GB2312"/>
          <w:kern w:val="2"/>
          <w:sz w:val="32"/>
          <w:szCs w:val="32"/>
          <w:lang w:val="zh-CN"/>
        </w:rPr>
        <w:t>1.科学技术支出（类）0.32万元，占0.09%；</w:t>
      </w:r>
    </w:p>
    <w:p w14:paraId="6ECEDBEB">
      <w:pPr>
        <w:pStyle w:val="8"/>
        <w:widowControl/>
        <w:spacing w:before="0" w:beforeAutospacing="0" w:after="0" w:afterAutospacing="0"/>
        <w:ind w:firstLine="640" w:firstLineChars="200"/>
        <w:rPr>
          <w:rFonts w:eastAsia="仿宋_GB2312"/>
          <w:kern w:val="2"/>
          <w:sz w:val="32"/>
          <w:szCs w:val="32"/>
          <w:lang w:val="zh-CN"/>
        </w:rPr>
      </w:pPr>
      <w:r>
        <w:rPr>
          <w:rFonts w:hint="eastAsia" w:eastAsia="仿宋_GB2312"/>
          <w:kern w:val="2"/>
          <w:sz w:val="32"/>
          <w:szCs w:val="32"/>
          <w:lang w:val="zh-CN"/>
        </w:rPr>
        <w:t>2.社会保障和就业支出（类）18.99万元，占5.50%；</w:t>
      </w:r>
    </w:p>
    <w:p w14:paraId="74F30BFA">
      <w:pPr>
        <w:pStyle w:val="8"/>
        <w:widowControl/>
        <w:spacing w:before="0" w:beforeAutospacing="0" w:after="0" w:afterAutospacing="0"/>
        <w:ind w:firstLine="640" w:firstLineChars="200"/>
        <w:rPr>
          <w:rFonts w:eastAsia="仿宋_GB2312"/>
          <w:kern w:val="2"/>
          <w:sz w:val="32"/>
          <w:szCs w:val="32"/>
          <w:lang w:val="zh-CN"/>
        </w:rPr>
      </w:pPr>
      <w:r>
        <w:rPr>
          <w:rFonts w:hint="eastAsia" w:eastAsia="仿宋_GB2312"/>
          <w:kern w:val="2"/>
          <w:sz w:val="32"/>
          <w:szCs w:val="32"/>
          <w:lang w:val="zh-CN"/>
        </w:rPr>
        <w:t>3.卫生健康支出（类）11.47万元，占3.32%；</w:t>
      </w:r>
    </w:p>
    <w:p w14:paraId="2D5B9D00">
      <w:pPr>
        <w:pStyle w:val="8"/>
        <w:widowControl/>
        <w:spacing w:before="0" w:beforeAutospacing="0" w:after="0" w:afterAutospacing="0"/>
        <w:ind w:firstLine="640" w:firstLineChars="200"/>
        <w:rPr>
          <w:rFonts w:eastAsia="仿宋_GB2312"/>
          <w:kern w:val="2"/>
          <w:sz w:val="32"/>
          <w:szCs w:val="32"/>
          <w:lang w:val="zh-CN"/>
        </w:rPr>
      </w:pPr>
      <w:r>
        <w:rPr>
          <w:rFonts w:hint="eastAsia" w:eastAsia="仿宋_GB2312"/>
          <w:kern w:val="2"/>
          <w:sz w:val="32"/>
          <w:szCs w:val="32"/>
          <w:lang w:val="zh-CN"/>
        </w:rPr>
        <w:t>4.资源勘探信息等支出（类）62.99万元，占18.2</w:t>
      </w:r>
      <w:r>
        <w:rPr>
          <w:rFonts w:hint="eastAsia" w:eastAsia="仿宋_GB2312"/>
          <w:kern w:val="2"/>
          <w:sz w:val="32"/>
          <w:szCs w:val="32"/>
        </w:rPr>
        <w:t>5</w:t>
      </w:r>
      <w:r>
        <w:rPr>
          <w:rFonts w:hint="eastAsia" w:eastAsia="仿宋_GB2312"/>
          <w:kern w:val="2"/>
          <w:sz w:val="32"/>
          <w:szCs w:val="32"/>
          <w:lang w:val="zh-CN"/>
        </w:rPr>
        <w:t>%；</w:t>
      </w:r>
    </w:p>
    <w:p w14:paraId="5102D98A">
      <w:pPr>
        <w:pStyle w:val="8"/>
        <w:widowControl/>
        <w:spacing w:before="0" w:beforeAutospacing="0" w:after="0" w:afterAutospacing="0"/>
        <w:ind w:firstLine="640" w:firstLineChars="200"/>
        <w:rPr>
          <w:rFonts w:eastAsia="仿宋_GB2312"/>
          <w:kern w:val="2"/>
          <w:sz w:val="32"/>
          <w:szCs w:val="32"/>
          <w:lang w:val="zh-CN"/>
        </w:rPr>
      </w:pPr>
      <w:r>
        <w:rPr>
          <w:rFonts w:hint="eastAsia" w:eastAsia="仿宋_GB2312"/>
          <w:kern w:val="2"/>
          <w:sz w:val="32"/>
          <w:szCs w:val="32"/>
          <w:lang w:val="zh-CN"/>
        </w:rPr>
        <w:t>5.自然资源海洋气象等支出（类）241.99万元，占70.09%；</w:t>
      </w:r>
    </w:p>
    <w:p w14:paraId="2E21CACF">
      <w:pPr>
        <w:pStyle w:val="8"/>
        <w:widowControl/>
        <w:spacing w:before="0" w:beforeAutospacing="0" w:after="0" w:afterAutospacing="0"/>
        <w:ind w:firstLine="640" w:firstLineChars="200"/>
        <w:rPr>
          <w:rFonts w:eastAsia="仿宋_GB2312"/>
          <w:kern w:val="2"/>
          <w:sz w:val="32"/>
          <w:szCs w:val="32"/>
          <w:lang w:val="zh-CN"/>
        </w:rPr>
      </w:pPr>
      <w:r>
        <w:rPr>
          <w:rFonts w:hint="eastAsia" w:eastAsia="仿宋_GB2312"/>
          <w:kern w:val="2"/>
          <w:sz w:val="32"/>
          <w:szCs w:val="32"/>
          <w:lang w:val="zh-CN"/>
        </w:rPr>
        <w:t>6.住房保障支出（类）9.49万元，占2.7</w:t>
      </w:r>
      <w:r>
        <w:rPr>
          <w:rFonts w:hint="eastAsia" w:eastAsia="仿宋_GB2312"/>
          <w:kern w:val="2"/>
          <w:sz w:val="32"/>
          <w:szCs w:val="32"/>
        </w:rPr>
        <w:t>5</w:t>
      </w:r>
      <w:r>
        <w:rPr>
          <w:rFonts w:hint="eastAsia" w:eastAsia="仿宋_GB2312"/>
          <w:kern w:val="2"/>
          <w:sz w:val="32"/>
          <w:szCs w:val="32"/>
          <w:lang w:val="zh-CN"/>
        </w:rPr>
        <w:t>%；</w:t>
      </w:r>
    </w:p>
    <w:p w14:paraId="05A3A273">
      <w:pPr>
        <w:ind w:firstLine="320" w:firstLineChars="100"/>
        <w:jc w:val="left"/>
        <w:outlineLvl w:val="2"/>
        <w:rPr>
          <w:rFonts w:ascii="黑体" w:hAnsi="黑体" w:eastAsia="黑体"/>
          <w:sz w:val="32"/>
          <w:szCs w:val="32"/>
        </w:rPr>
      </w:pPr>
      <w:r>
        <w:rPr>
          <w:rFonts w:hint="eastAsia" w:ascii="黑体" w:hAnsi="黑体" w:eastAsia="黑体"/>
          <w:sz w:val="32"/>
          <w:szCs w:val="32"/>
        </w:rPr>
        <w:t>（三）一般公共预算财政拨款支出决算具体情况</w:t>
      </w:r>
    </w:p>
    <w:p w14:paraId="72FCA781">
      <w:pPr>
        <w:ind w:firstLine="640" w:firstLineChars="200"/>
        <w:jc w:val="left"/>
        <w:rPr>
          <w:rFonts w:eastAsia="仿宋_GB2312"/>
          <w:sz w:val="32"/>
          <w:szCs w:val="32"/>
          <w:lang w:val="zh-CN"/>
        </w:rPr>
      </w:pPr>
      <w:r>
        <w:rPr>
          <w:rFonts w:hint="eastAsia" w:eastAsia="仿宋_GB2312"/>
          <w:sz w:val="32"/>
          <w:szCs w:val="32"/>
          <w:lang w:val="zh-CN"/>
        </w:rPr>
        <w:t>1.自然资源海洋气象等支出（类）自然资源事务（款）地质勘查与矿产资源管理（项）:支出决算数为241.99万元，比上年决算增加218.95万元，增长950.</w:t>
      </w:r>
      <w:r>
        <w:rPr>
          <w:rFonts w:hint="eastAsia" w:eastAsia="仿宋_GB2312"/>
          <w:sz w:val="32"/>
          <w:szCs w:val="32"/>
          <w:lang w:val="en-US" w:eastAsia="zh-CN"/>
        </w:rPr>
        <w:t>30</w:t>
      </w:r>
      <w:r>
        <w:rPr>
          <w:rFonts w:hint="eastAsia" w:eastAsia="仿宋_GB2312"/>
          <w:sz w:val="32"/>
          <w:szCs w:val="32"/>
          <w:lang w:val="zh-CN"/>
        </w:rPr>
        <w:t>%，主要原因是：往年结转财政拨款项目在本年度支出。</w:t>
      </w:r>
    </w:p>
    <w:p w14:paraId="307D3C89">
      <w:pPr>
        <w:ind w:firstLine="640" w:firstLineChars="200"/>
        <w:rPr>
          <w:rFonts w:eastAsia="仿宋_GB2312"/>
          <w:sz w:val="32"/>
          <w:szCs w:val="32"/>
          <w:lang w:val="zh-CN"/>
        </w:rPr>
      </w:pPr>
      <w:r>
        <w:rPr>
          <w:rFonts w:hint="eastAsia" w:eastAsia="仿宋_GB2312"/>
          <w:sz w:val="32"/>
          <w:szCs w:val="32"/>
          <w:lang w:val="zh-CN"/>
        </w:rPr>
        <w:t>2.科学技术支出（类）基础研究（款）自然科学基金（项）:支出决算数为0.32万元，比上年决算减少0.41万元，下降</w:t>
      </w:r>
      <w:r>
        <w:rPr>
          <w:rFonts w:hint="eastAsia" w:eastAsia="仿宋_GB2312"/>
          <w:sz w:val="32"/>
          <w:szCs w:val="32"/>
          <w:lang w:val="en-US" w:eastAsia="zh-CN"/>
        </w:rPr>
        <w:t>55.56</w:t>
      </w:r>
      <w:r>
        <w:rPr>
          <w:rFonts w:hint="eastAsia" w:eastAsia="仿宋_GB2312"/>
          <w:sz w:val="32"/>
          <w:szCs w:val="32"/>
          <w:lang w:val="zh-CN"/>
        </w:rPr>
        <w:t>%，主要原因是：由于本年度自然科学基金项目是续作项目，前期工作已在2022年度完成，因此本年度工作量减少，导致比上年决算数减少。</w:t>
      </w:r>
    </w:p>
    <w:p w14:paraId="4BA9AFFE">
      <w:pPr>
        <w:ind w:firstLine="640" w:firstLineChars="200"/>
        <w:rPr>
          <w:rFonts w:eastAsia="仿宋_GB2312"/>
          <w:sz w:val="32"/>
          <w:szCs w:val="32"/>
          <w:lang w:val="zh-CN"/>
        </w:rPr>
      </w:pPr>
      <w:r>
        <w:rPr>
          <w:rFonts w:hint="eastAsia" w:eastAsia="仿宋_GB2312"/>
          <w:sz w:val="32"/>
          <w:szCs w:val="32"/>
          <w:lang w:val="zh-CN"/>
        </w:rPr>
        <w:t>3.卫生健康支出（类）行政事业单位医疗（款）事业单位医疗（项）:支出决算数为5.93万元，比上年决算减少1.24万元，下降17.29%，主要原因是：本年度职工减少一人导致事业单位医疗支出减少。</w:t>
      </w:r>
    </w:p>
    <w:p w14:paraId="56900E1F">
      <w:pPr>
        <w:ind w:firstLine="640" w:firstLineChars="200"/>
        <w:rPr>
          <w:rFonts w:eastAsia="仿宋_GB2312"/>
          <w:sz w:val="32"/>
          <w:szCs w:val="32"/>
          <w:lang w:val="zh-CN"/>
        </w:rPr>
      </w:pPr>
      <w:r>
        <w:rPr>
          <w:rFonts w:hint="eastAsia" w:eastAsia="仿宋_GB2312"/>
          <w:sz w:val="32"/>
          <w:szCs w:val="32"/>
          <w:lang w:val="zh-CN"/>
        </w:rPr>
        <w:t>4.卫生健康支出（类）行政事业单位医疗（款）公务员医疗补助（项）:支出决算数为5.54万元，比上年决算减少0.04万元，下降0.7</w:t>
      </w:r>
      <w:r>
        <w:rPr>
          <w:rFonts w:hint="eastAsia" w:eastAsia="仿宋_GB2312"/>
          <w:sz w:val="32"/>
          <w:szCs w:val="32"/>
          <w:lang w:val="en-US" w:eastAsia="zh-CN"/>
        </w:rPr>
        <w:t>2</w:t>
      </w:r>
      <w:r>
        <w:rPr>
          <w:rFonts w:hint="eastAsia" w:eastAsia="仿宋_GB2312"/>
          <w:sz w:val="32"/>
          <w:szCs w:val="32"/>
          <w:lang w:val="zh-CN"/>
        </w:rPr>
        <w:t>%，主要原因是：本年度职工减少一人导致公务员医疗补助支出减少。</w:t>
      </w:r>
    </w:p>
    <w:p w14:paraId="0737F5D7">
      <w:pPr>
        <w:ind w:firstLine="640" w:firstLineChars="200"/>
        <w:rPr>
          <w:rFonts w:eastAsia="仿宋_GB2312"/>
          <w:sz w:val="32"/>
          <w:szCs w:val="32"/>
          <w:lang w:val="zh-CN"/>
        </w:rPr>
      </w:pPr>
      <w:r>
        <w:rPr>
          <w:rFonts w:hint="eastAsia" w:eastAsia="仿宋_GB2312"/>
          <w:sz w:val="32"/>
          <w:szCs w:val="32"/>
          <w:lang w:val="zh-CN"/>
        </w:rPr>
        <w:t>5.住房保障支出（类）住房改革支出（款）住房公积金（项）:支出决算数为9.49万元，比上年决算减少0.48万元，下降4.8</w:t>
      </w:r>
      <w:r>
        <w:rPr>
          <w:rFonts w:hint="eastAsia" w:eastAsia="仿宋_GB2312"/>
          <w:sz w:val="32"/>
          <w:szCs w:val="32"/>
          <w:lang w:val="en-US" w:eastAsia="zh-CN"/>
        </w:rPr>
        <w:t>1</w:t>
      </w:r>
      <w:r>
        <w:rPr>
          <w:rFonts w:hint="eastAsia" w:eastAsia="仿宋_GB2312"/>
          <w:sz w:val="32"/>
          <w:szCs w:val="32"/>
          <w:lang w:val="zh-CN"/>
        </w:rPr>
        <w:t>%，主要原因是：本年度职工减少一人导致住房公积金支出减少。</w:t>
      </w:r>
    </w:p>
    <w:p w14:paraId="77140917">
      <w:pPr>
        <w:ind w:firstLine="640" w:firstLineChars="200"/>
        <w:rPr>
          <w:rFonts w:eastAsia="仿宋_GB2312"/>
          <w:sz w:val="32"/>
          <w:szCs w:val="32"/>
          <w:lang w:val="zh-CN"/>
        </w:rPr>
      </w:pPr>
      <w:r>
        <w:rPr>
          <w:rFonts w:hint="eastAsia" w:eastAsia="仿宋_GB2312"/>
          <w:sz w:val="32"/>
          <w:szCs w:val="32"/>
          <w:lang w:val="zh-CN"/>
        </w:rPr>
        <w:t>6.资源勘探工业信息等支出（类）资源勘探开发（款）煤炭勘探开采和洗选（项）:支出决算数为62.99万元，比上年决算增加10.18万元，增长19.2</w:t>
      </w:r>
      <w:r>
        <w:rPr>
          <w:rFonts w:hint="eastAsia" w:eastAsia="仿宋_GB2312"/>
          <w:sz w:val="32"/>
          <w:szCs w:val="32"/>
          <w:lang w:val="en-US" w:eastAsia="zh-CN"/>
        </w:rPr>
        <w:t>8</w:t>
      </w:r>
      <w:r>
        <w:rPr>
          <w:rFonts w:hint="eastAsia" w:eastAsia="仿宋_GB2312"/>
          <w:sz w:val="32"/>
          <w:szCs w:val="32"/>
          <w:lang w:val="zh-CN"/>
        </w:rPr>
        <w:t>%，主要原因是：本年度局三类科研项目增加。</w:t>
      </w:r>
    </w:p>
    <w:p w14:paraId="7B99E6F3">
      <w:pPr>
        <w:ind w:firstLine="640" w:firstLineChars="200"/>
        <w:rPr>
          <w:rFonts w:eastAsia="仿宋_GB2312"/>
          <w:sz w:val="32"/>
          <w:szCs w:val="32"/>
          <w:lang w:val="zh-CN"/>
        </w:rPr>
      </w:pPr>
      <w:r>
        <w:rPr>
          <w:rFonts w:hint="eastAsia" w:eastAsia="仿宋_GB2312"/>
          <w:sz w:val="32"/>
          <w:szCs w:val="32"/>
          <w:lang w:val="zh-CN"/>
        </w:rPr>
        <w:t>7.社会保障和就业支出（类）行政事业单位养老支出（款）机关事业单位职业年金缴费支出（项）:支出决算数为6.33万元，比上年决算减少0.05万元，下降0.7</w:t>
      </w:r>
      <w:r>
        <w:rPr>
          <w:rFonts w:hint="eastAsia" w:eastAsia="仿宋_GB2312"/>
          <w:sz w:val="32"/>
          <w:szCs w:val="32"/>
          <w:lang w:val="en-US" w:eastAsia="zh-CN"/>
        </w:rPr>
        <w:t>8</w:t>
      </w:r>
      <w:r>
        <w:rPr>
          <w:rFonts w:hint="eastAsia" w:eastAsia="仿宋_GB2312"/>
          <w:sz w:val="32"/>
          <w:szCs w:val="32"/>
          <w:lang w:val="zh-CN"/>
        </w:rPr>
        <w:t>%，主要原因是：本年度职工减少一人导致机关事业单位职业年金支出减少。</w:t>
      </w:r>
    </w:p>
    <w:p w14:paraId="43C4889D">
      <w:pPr>
        <w:ind w:firstLine="640" w:firstLineChars="200"/>
        <w:rPr>
          <w:rFonts w:eastAsia="仿宋_GB2312"/>
          <w:sz w:val="32"/>
          <w:szCs w:val="32"/>
          <w:lang w:val="zh-CN"/>
        </w:rPr>
      </w:pPr>
      <w:r>
        <w:rPr>
          <w:rFonts w:hint="eastAsia" w:eastAsia="仿宋_GB2312"/>
          <w:sz w:val="32"/>
          <w:szCs w:val="32"/>
          <w:lang w:val="zh-CN"/>
        </w:rPr>
        <w:t>8.社会保障和就业支出（类）行政事业单位养老支出（款）机关事业单位基本养老保险缴费支出（项）:支出决算数为12.66万元，比上年决算减少0.64万元，下降4.8</w:t>
      </w:r>
      <w:r>
        <w:rPr>
          <w:rFonts w:hint="eastAsia" w:eastAsia="仿宋_GB2312"/>
          <w:sz w:val="32"/>
          <w:szCs w:val="32"/>
          <w:lang w:val="en-US" w:eastAsia="zh-CN"/>
        </w:rPr>
        <w:t>1</w:t>
      </w:r>
      <w:r>
        <w:rPr>
          <w:rFonts w:hint="eastAsia" w:eastAsia="仿宋_GB2312"/>
          <w:sz w:val="32"/>
          <w:szCs w:val="32"/>
          <w:lang w:val="zh-CN"/>
        </w:rPr>
        <w:t>%，主要原因是：本年度职工减少一人导致机关事业单位基本养老保险支出减少。</w:t>
      </w:r>
    </w:p>
    <w:p w14:paraId="52440EE6">
      <w:pPr>
        <w:ind w:firstLine="640" w:firstLineChars="200"/>
        <w:jc w:val="left"/>
        <w:outlineLvl w:val="1"/>
        <w:rPr>
          <w:rFonts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14:paraId="43CA6F8E">
      <w:pPr>
        <w:ind w:firstLine="640" w:firstLineChars="200"/>
        <w:rPr>
          <w:rFonts w:eastAsia="仿宋_GB2312"/>
          <w:sz w:val="32"/>
          <w:szCs w:val="32"/>
          <w:lang w:val="zh-CN"/>
        </w:rPr>
      </w:pPr>
      <w:r>
        <w:rPr>
          <w:rFonts w:hint="eastAsia" w:eastAsia="仿宋_GB2312"/>
          <w:sz w:val="32"/>
          <w:szCs w:val="32"/>
          <w:lang w:val="zh-CN"/>
        </w:rPr>
        <w:t>2023年度一般公共预算财政拨款基本支出102.94万元，其中：人员经费99.51万元，包括：基本工资、津贴补贴、奖金、机关事业单位基本养老保险缴费、职业年金缴费、职工基本医疗保险缴费、公务员医疗补助缴费、其他社会保障缴费、住房公积金。</w:t>
      </w:r>
    </w:p>
    <w:p w14:paraId="0DEF7DDB">
      <w:pPr>
        <w:ind w:firstLine="640" w:firstLineChars="200"/>
        <w:rPr>
          <w:rFonts w:eastAsia="仿宋_GB2312"/>
          <w:sz w:val="32"/>
          <w:szCs w:val="32"/>
          <w:lang w:val="zh-CN"/>
        </w:rPr>
      </w:pPr>
      <w:r>
        <w:rPr>
          <w:rFonts w:hint="eastAsia" w:eastAsia="仿宋_GB2312"/>
          <w:sz w:val="32"/>
          <w:szCs w:val="32"/>
          <w:lang w:val="zh-CN"/>
        </w:rPr>
        <w:t>公用经费3.43万元，包括：差旅费、工会经费、福利费。</w:t>
      </w:r>
    </w:p>
    <w:p w14:paraId="42274032">
      <w:pPr>
        <w:ind w:firstLine="640" w:firstLineChars="200"/>
        <w:jc w:val="left"/>
        <w:outlineLvl w:val="1"/>
        <w:rPr>
          <w:rFonts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14:paraId="13DF8550">
      <w:pPr>
        <w:ind w:firstLine="640" w:firstLineChars="200"/>
        <w:rPr>
          <w:rFonts w:eastAsia="仿宋_GB2312"/>
          <w:sz w:val="32"/>
          <w:szCs w:val="32"/>
          <w:lang w:val="zh-CN"/>
        </w:rPr>
      </w:pPr>
      <w:r>
        <w:rPr>
          <w:rFonts w:hint="eastAsia" w:eastAsia="仿宋_GB2312"/>
          <w:sz w:val="32"/>
          <w:szCs w:val="32"/>
          <w:lang w:val="zh-CN"/>
        </w:rPr>
        <w:t>2023年度财政拨款“三公”经费支出0.00万元，比上年增加0.00万元，增长0.00%，主要原因是：我单位无财政拨款“三公”经费支出。其中：因公出国（境）费支出0.00万元，占0.00%，比上年增加0.00万元，增长0.00%，主要原因是：我单位无因公出国（境）费；公务用车购置及运行维护费支出0.00万元，占0.00%，比上年增加0.00万元，增长0.00%，主要原因是：我单位无公务用车购置及运行维护费；公务接待费支出0.00万元，占0.00%，比上年增加0.00万元，增长0.00%，主要原因是：我单位无公务接待费。</w:t>
      </w:r>
    </w:p>
    <w:p w14:paraId="5FBDD5C5">
      <w:pPr>
        <w:ind w:firstLine="640" w:firstLineChars="200"/>
        <w:rPr>
          <w:rFonts w:eastAsia="仿宋_GB2312"/>
          <w:sz w:val="32"/>
          <w:szCs w:val="32"/>
          <w:lang w:val="zh-CN"/>
        </w:rPr>
      </w:pPr>
      <w:r>
        <w:rPr>
          <w:rFonts w:hint="eastAsia" w:eastAsia="仿宋_GB2312"/>
          <w:sz w:val="32"/>
          <w:szCs w:val="32"/>
          <w:lang w:val="zh-CN"/>
        </w:rPr>
        <w:t>具体情况如下：</w:t>
      </w:r>
    </w:p>
    <w:p w14:paraId="71E1A6D0">
      <w:pPr>
        <w:ind w:firstLine="640" w:firstLineChars="200"/>
        <w:rPr>
          <w:rFonts w:eastAsia="仿宋_GB2312"/>
          <w:sz w:val="32"/>
          <w:szCs w:val="32"/>
          <w:lang w:val="zh-CN"/>
        </w:rPr>
      </w:pPr>
      <w:r>
        <w:rPr>
          <w:rFonts w:hint="eastAsia" w:eastAsia="仿宋_GB2312"/>
          <w:sz w:val="32"/>
          <w:szCs w:val="32"/>
          <w:lang w:val="zh-CN"/>
        </w:rPr>
        <w:t>因公出国（境）费支出0.00万元，开支内容包括我单位无因公出国（境）费。单位全年安排的因公出国（境）团组0个，因公出国（境）0人次。</w:t>
      </w:r>
    </w:p>
    <w:p w14:paraId="7DC2E425">
      <w:pPr>
        <w:ind w:firstLine="640" w:firstLineChars="200"/>
        <w:rPr>
          <w:rFonts w:eastAsia="仿宋_GB2312"/>
          <w:sz w:val="32"/>
          <w:szCs w:val="32"/>
          <w:lang w:val="zh-CN"/>
        </w:rPr>
      </w:pPr>
      <w:r>
        <w:rPr>
          <w:rFonts w:hint="eastAsia" w:eastAsia="仿宋_GB2312"/>
          <w:sz w:val="32"/>
          <w:szCs w:val="32"/>
          <w:lang w:val="zh-CN"/>
        </w:rPr>
        <w:t>公务用车购置及运行维护费0.00万元，其中：公务用车购置费0.00万元，公务用车运行维护费0.00万元。公务用车运行维护费开支内容包括我单位无公务用车运行维护费。公务用车购置数0辆，公务用车保有量0辆。国有资产占用情况中固定资产车辆0辆，与公务用车保有量差异原因是：我单位无公务用车，国有资产中固定资产车辆0辆，公务用车保有辆0辆，所以国有资产占用情况中固定资产车辆与公务用车保有量无差异。</w:t>
      </w:r>
    </w:p>
    <w:p w14:paraId="080A464E">
      <w:pPr>
        <w:ind w:firstLine="640" w:firstLineChars="200"/>
        <w:rPr>
          <w:rFonts w:eastAsia="仿宋_GB2312"/>
          <w:sz w:val="32"/>
          <w:szCs w:val="32"/>
          <w:lang w:val="zh-CN"/>
        </w:rPr>
      </w:pPr>
      <w:r>
        <w:rPr>
          <w:rFonts w:hint="eastAsia" w:eastAsia="仿宋_GB2312"/>
          <w:sz w:val="32"/>
          <w:szCs w:val="32"/>
          <w:lang w:val="zh-CN"/>
        </w:rPr>
        <w:t>公务接待费0.00万元，开支内容包括我单位无公务接待费。单位全年安排的国内公务接待0批次，0人次。</w:t>
      </w:r>
    </w:p>
    <w:p w14:paraId="1149188B">
      <w:pPr>
        <w:ind w:firstLine="640" w:firstLineChars="200"/>
        <w:rPr>
          <w:rFonts w:eastAsia="仿宋_GB2312"/>
          <w:sz w:val="32"/>
          <w:szCs w:val="32"/>
          <w:lang w:val="zh-CN"/>
        </w:rPr>
      </w:pPr>
      <w:r>
        <w:rPr>
          <w:rFonts w:hint="eastAsia" w:eastAsia="仿宋_GB2312"/>
          <w:sz w:val="32"/>
          <w:szCs w:val="32"/>
          <w:lang w:val="zh-CN"/>
        </w:rPr>
        <w:t>与全年预算相比,财政拨款“三公”经费支出全年预算数0.00万元，决算数0.00万元，预决算差异率0.00%，主要原因是：我单位无财政拨款“三公”经费支出。其中：因公出国（境）费全年预算数0.00万元，决算数0.00万元，预决算差异率0.00%，主要原因是：我单位无因公出国（境）费；公务用车购置费全年预算数0.00万元，决算数0.00万元，预决算差异率0.00%，主要原因是：我单位无公务用车购置费；公务用车运行费全年预算数0.00万元，决算数0.00万元，预决算差异率0.00%，主要原因是：我单位无公务用车运行维护费；公务接待费全年预算数0.00万元，决算数0.00万元，预决算差异率0.00%，主要原因是：我单位无公务接待费。</w:t>
      </w:r>
    </w:p>
    <w:p w14:paraId="54FFD8EB">
      <w:pPr>
        <w:ind w:firstLine="640" w:firstLineChars="200"/>
        <w:jc w:val="left"/>
        <w:outlineLvl w:val="1"/>
        <w:rPr>
          <w:rFonts w:ascii="黑体" w:hAnsi="黑体" w:eastAsia="黑体" w:cs="宋体"/>
          <w:bCs/>
          <w:kern w:val="0"/>
          <w:sz w:val="32"/>
          <w:szCs w:val="32"/>
        </w:rPr>
      </w:pPr>
      <w:bookmarkStart w:id="18" w:name="_Toc7927"/>
      <w:bookmarkStart w:id="19" w:name="_Toc5810"/>
      <w:r>
        <w:rPr>
          <w:rFonts w:hint="eastAsia" w:ascii="黑体" w:hAnsi="黑体" w:eastAsia="黑体" w:cs="宋体"/>
          <w:bCs/>
          <w:kern w:val="0"/>
          <w:sz w:val="32"/>
          <w:szCs w:val="32"/>
        </w:rPr>
        <w:t>八、政府性基金预算财政拨款收入支出决算情况说明</w:t>
      </w:r>
      <w:bookmarkEnd w:id="18"/>
      <w:bookmarkEnd w:id="19"/>
    </w:p>
    <w:p w14:paraId="58881EC8">
      <w:pPr>
        <w:ind w:firstLine="640" w:firstLineChars="200"/>
        <w:jc w:val="left"/>
        <w:rPr>
          <w:rFonts w:ascii="仿宋_GB2312" w:eastAsia="仿宋_GB2312"/>
          <w:sz w:val="32"/>
          <w:szCs w:val="32"/>
        </w:rPr>
      </w:pPr>
      <w:r>
        <w:rPr>
          <w:rFonts w:hint="eastAsia" w:ascii="仿宋_GB2312" w:eastAsia="仿宋_GB2312"/>
          <w:sz w:val="32"/>
          <w:szCs w:val="32"/>
        </w:rPr>
        <w:t>我单位本年度无政府性基金预算财政拨款收入、支出及结转和结余，政府性基金预算财政拨款收入支出决算表为空表。</w:t>
      </w:r>
    </w:p>
    <w:p w14:paraId="2FA88280">
      <w:pPr>
        <w:ind w:firstLine="640" w:firstLineChars="200"/>
        <w:jc w:val="left"/>
        <w:outlineLvl w:val="1"/>
        <w:rPr>
          <w:rFonts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14:paraId="4ACA6F20">
      <w:pPr>
        <w:ind w:firstLine="640" w:firstLineChars="200"/>
        <w:jc w:val="left"/>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14:paraId="1A658E1E">
      <w:pPr>
        <w:ind w:firstLine="640" w:firstLineChars="200"/>
        <w:jc w:val="left"/>
        <w:outlineLvl w:val="1"/>
        <w:rPr>
          <w:rFonts w:ascii="黑体" w:hAnsi="黑体" w:eastAsia="黑体" w:cs="宋体"/>
          <w:bCs/>
          <w:kern w:val="0"/>
          <w:sz w:val="32"/>
          <w:szCs w:val="32"/>
        </w:rPr>
      </w:pPr>
      <w:bookmarkStart w:id="20" w:name="_Toc1235"/>
      <w:bookmarkStart w:id="21" w:name="_Toc7314"/>
      <w:r>
        <w:rPr>
          <w:rFonts w:hint="eastAsia" w:ascii="黑体" w:hAnsi="黑体" w:eastAsia="黑体" w:cs="宋体"/>
          <w:bCs/>
          <w:kern w:val="0"/>
          <w:sz w:val="32"/>
          <w:szCs w:val="32"/>
        </w:rPr>
        <w:t>十、其他重要事项的情况说明</w:t>
      </w:r>
      <w:bookmarkEnd w:id="20"/>
      <w:bookmarkEnd w:id="21"/>
    </w:p>
    <w:p w14:paraId="134A18B8">
      <w:pPr>
        <w:ind w:firstLine="640" w:firstLineChars="200"/>
        <w:jc w:val="left"/>
        <w:outlineLvl w:val="2"/>
        <w:rPr>
          <w:rFonts w:ascii="黑体" w:hAnsi="黑体" w:eastAsia="黑体"/>
          <w:sz w:val="32"/>
          <w:szCs w:val="32"/>
        </w:rPr>
      </w:pPr>
      <w:bookmarkStart w:id="22" w:name="_Toc13105"/>
      <w:bookmarkStart w:id="23" w:name="_Toc14519"/>
      <w:r>
        <w:rPr>
          <w:rFonts w:hint="eastAsia" w:ascii="黑体" w:hAnsi="黑体" w:eastAsia="黑体"/>
          <w:sz w:val="32"/>
          <w:szCs w:val="32"/>
        </w:rPr>
        <w:t>（一）机关运行经费支出情况</w:t>
      </w:r>
      <w:bookmarkEnd w:id="22"/>
      <w:bookmarkEnd w:id="23"/>
    </w:p>
    <w:p w14:paraId="1E74CDFF">
      <w:pPr>
        <w:ind w:firstLine="640" w:firstLineChars="200"/>
        <w:rPr>
          <w:rFonts w:eastAsia="仿宋_GB2312"/>
          <w:sz w:val="32"/>
          <w:szCs w:val="32"/>
          <w:lang w:val="zh-CN"/>
        </w:rPr>
      </w:pPr>
      <w:bookmarkStart w:id="24" w:name="_Toc227"/>
      <w:bookmarkStart w:id="25" w:name="_Toc26704"/>
      <w:r>
        <w:rPr>
          <w:rFonts w:hint="eastAsia" w:eastAsia="仿宋_GB2312"/>
          <w:sz w:val="32"/>
          <w:szCs w:val="32"/>
          <w:lang w:val="zh-CN"/>
        </w:rPr>
        <w:t>2023年度新疆维吾尔自治区煤田地质局煤层气研究开发中心（事业单位）公用经费支出3.43万元，比上年减少0.44万元，下降11.</w:t>
      </w:r>
      <w:r>
        <w:rPr>
          <w:rFonts w:hint="eastAsia" w:eastAsia="仿宋_GB2312"/>
          <w:sz w:val="32"/>
          <w:szCs w:val="32"/>
          <w:lang w:val="en-US" w:eastAsia="zh-CN"/>
        </w:rPr>
        <w:t>37</w:t>
      </w:r>
      <w:r>
        <w:rPr>
          <w:rFonts w:hint="eastAsia" w:eastAsia="仿宋_GB2312"/>
          <w:sz w:val="32"/>
          <w:szCs w:val="32"/>
          <w:lang w:val="zh-CN"/>
        </w:rPr>
        <w:t>%，主要原因是：厉行节约，公用经费减少。</w:t>
      </w:r>
      <w:bookmarkStart w:id="48" w:name="_GoBack"/>
      <w:bookmarkEnd w:id="48"/>
    </w:p>
    <w:p w14:paraId="5A659E28">
      <w:pPr>
        <w:ind w:firstLine="640" w:firstLineChars="200"/>
        <w:jc w:val="left"/>
        <w:rPr>
          <w:rFonts w:eastAsia="黑体"/>
          <w:sz w:val="32"/>
          <w:szCs w:val="30"/>
          <w:lang w:val="zh-CN"/>
        </w:rPr>
      </w:pPr>
      <w:r>
        <w:rPr>
          <w:rFonts w:hint="eastAsia" w:eastAsia="黑体"/>
          <w:sz w:val="32"/>
          <w:szCs w:val="30"/>
          <w:lang w:val="zh-CN"/>
        </w:rPr>
        <w:t>（二）政府采购情况</w:t>
      </w:r>
      <w:bookmarkEnd w:id="24"/>
      <w:bookmarkEnd w:id="25"/>
    </w:p>
    <w:p w14:paraId="6FC31294">
      <w:pPr>
        <w:ind w:firstLine="640" w:firstLineChars="200"/>
        <w:rPr>
          <w:rFonts w:eastAsia="仿宋_GB2312"/>
          <w:sz w:val="32"/>
          <w:szCs w:val="32"/>
          <w:lang w:val="zh-CN"/>
        </w:rPr>
      </w:pPr>
      <w:r>
        <w:rPr>
          <w:rFonts w:hint="eastAsia" w:eastAsia="仿宋_GB2312"/>
          <w:sz w:val="32"/>
          <w:szCs w:val="32"/>
          <w:lang w:val="zh-CN"/>
        </w:rPr>
        <w:t>2023年度政府采购支出总额0.00万元，其中：政府采购货物支出0.00万元、政府采购工程支出0.00万元、政府采购服务支出0.00万元。</w:t>
      </w:r>
    </w:p>
    <w:p w14:paraId="25D67A7C">
      <w:pPr>
        <w:ind w:firstLine="640" w:firstLineChars="200"/>
        <w:rPr>
          <w:rFonts w:eastAsia="仿宋_GB2312"/>
          <w:sz w:val="32"/>
          <w:szCs w:val="32"/>
          <w:lang w:val="zh-CN"/>
        </w:rPr>
      </w:pPr>
      <w:r>
        <w:rPr>
          <w:rFonts w:hint="eastAsia" w:eastAsia="仿宋_GB2312"/>
          <w:sz w:val="32"/>
          <w:szCs w:val="32"/>
          <w:lang w:val="zh-CN"/>
        </w:rPr>
        <w:t>授予中小企业合同金额0.00万元，占政府采购支出总额的0.00%，其中：授予小微企业合同金额0.00万元，占政府采购支出总额的0.00%。</w:t>
      </w:r>
    </w:p>
    <w:p w14:paraId="4D974BDB">
      <w:pPr>
        <w:ind w:firstLine="640" w:firstLineChars="200"/>
        <w:jc w:val="left"/>
        <w:rPr>
          <w:rFonts w:eastAsia="黑体"/>
          <w:sz w:val="32"/>
          <w:szCs w:val="30"/>
          <w:lang w:val="zh-CN"/>
        </w:rPr>
      </w:pPr>
      <w:bookmarkStart w:id="26" w:name="_Toc4591"/>
      <w:bookmarkStart w:id="27" w:name="_Toc8391"/>
      <w:r>
        <w:rPr>
          <w:rFonts w:hint="eastAsia" w:eastAsia="黑体"/>
          <w:sz w:val="32"/>
          <w:szCs w:val="30"/>
          <w:lang w:val="zh-CN"/>
        </w:rPr>
        <w:t>（三）国有资产占用情况说明</w:t>
      </w:r>
      <w:bookmarkEnd w:id="26"/>
      <w:bookmarkEnd w:id="27"/>
    </w:p>
    <w:p w14:paraId="4213663A">
      <w:pPr>
        <w:ind w:firstLine="640" w:firstLineChars="200"/>
        <w:rPr>
          <w:rFonts w:eastAsia="仿宋_GB2312"/>
          <w:sz w:val="32"/>
          <w:szCs w:val="32"/>
          <w:lang w:val="zh-CN"/>
        </w:rPr>
      </w:pPr>
      <w:r>
        <w:rPr>
          <w:rFonts w:hint="eastAsia" w:eastAsia="仿宋_GB2312"/>
          <w:sz w:val="32"/>
          <w:szCs w:val="32"/>
          <w:lang w:val="zh-CN"/>
        </w:rPr>
        <w:t>截至2023年12月31日，固定资产原值2.80万元，房屋0.0</w:t>
      </w:r>
      <w:r>
        <w:rPr>
          <w:rFonts w:hint="eastAsia" w:eastAsia="仿宋_GB2312"/>
          <w:sz w:val="32"/>
          <w:szCs w:val="32"/>
        </w:rPr>
        <w:t>0</w:t>
      </w:r>
      <w:r>
        <w:rPr>
          <w:rFonts w:hint="eastAsia" w:eastAsia="仿宋_GB2312"/>
          <w:sz w:val="32"/>
          <w:szCs w:val="32"/>
          <w:lang w:val="zh-CN"/>
        </w:rPr>
        <w:t>平方米，价值0.00万元。车辆0辆，价值0.00万元，其中：副部（省）级及以上领导用车0辆、主要负责人用车0辆、机要通信用车0辆、应急保障用车0辆、执法执勤用车0辆、特种专业技术用车0辆、离退休干部服务用车0辆、其他用车0辆，其他用车主要是：我单位无其他用车；单价100万元（含）以上设备（不含车辆）0台（套）。</w:t>
      </w:r>
    </w:p>
    <w:p w14:paraId="3B5201D9">
      <w:pPr>
        <w:ind w:firstLine="640" w:firstLineChars="200"/>
        <w:jc w:val="left"/>
        <w:outlineLvl w:val="1"/>
        <w:rPr>
          <w:rFonts w:ascii="黑体" w:hAnsi="黑体" w:eastAsia="黑体" w:cs="宋体"/>
          <w:bCs/>
          <w:kern w:val="0"/>
          <w:sz w:val="32"/>
          <w:szCs w:val="32"/>
        </w:rPr>
      </w:pPr>
      <w:bookmarkStart w:id="28" w:name="_Toc435"/>
      <w:bookmarkStart w:id="29" w:name="_Toc11283"/>
      <w:r>
        <w:rPr>
          <w:rFonts w:hint="eastAsia" w:ascii="黑体" w:hAnsi="黑体" w:eastAsia="黑体" w:cs="宋体"/>
          <w:bCs/>
          <w:kern w:val="0"/>
          <w:sz w:val="32"/>
          <w:szCs w:val="32"/>
        </w:rPr>
        <w:t>十一、预算绩效的情况说明</w:t>
      </w:r>
      <w:bookmarkEnd w:id="28"/>
      <w:bookmarkEnd w:id="29"/>
    </w:p>
    <w:p w14:paraId="480B85FA">
      <w:pPr>
        <w:ind w:firstLine="640" w:firstLineChars="200"/>
        <w:rPr>
          <w:rFonts w:eastAsia="仿宋_GB2312"/>
          <w:sz w:val="32"/>
          <w:szCs w:val="32"/>
          <w:lang w:val="zh-CN"/>
        </w:rPr>
      </w:pPr>
      <w:r>
        <w:rPr>
          <w:rFonts w:hint="eastAsia" w:eastAsia="仿宋_GB2312"/>
          <w:sz w:val="32"/>
          <w:szCs w:val="32"/>
          <w:lang w:val="zh-CN"/>
        </w:rPr>
        <w:t>根据预算绩效管理要求，</w:t>
      </w:r>
      <w:r>
        <w:rPr>
          <w:rFonts w:hint="eastAsia" w:ascii="仿宋_GB2312" w:eastAsia="仿宋_GB2312"/>
          <w:color w:val="000000"/>
          <w:sz w:val="32"/>
          <w:szCs w:val="32"/>
        </w:rPr>
        <w:t>我单位</w:t>
      </w:r>
      <w:r>
        <w:rPr>
          <w:rFonts w:eastAsia="仿宋_GB2312"/>
          <w:color w:val="000000"/>
          <w:sz w:val="32"/>
          <w:szCs w:val="32"/>
        </w:rPr>
        <w:t>2023</w:t>
      </w:r>
      <w:r>
        <w:rPr>
          <w:rFonts w:hint="eastAsia" w:ascii="仿宋_GB2312" w:eastAsia="仿宋_GB2312"/>
          <w:color w:val="000000"/>
          <w:sz w:val="32"/>
          <w:szCs w:val="32"/>
        </w:rPr>
        <w:t>年度</w:t>
      </w:r>
      <w:r>
        <w:rPr>
          <w:rFonts w:hint="eastAsia" w:ascii="仿宋_GB2312" w:hAnsi="仿宋_GB2312" w:eastAsia="仿宋_GB2312" w:cs="仿宋_GB2312"/>
          <w:color w:val="000000"/>
          <w:kern w:val="0"/>
          <w:sz w:val="32"/>
          <w:szCs w:val="32"/>
        </w:rPr>
        <w:t>预算绩效管理整体支出绩效自评表</w:t>
      </w:r>
      <w:r>
        <w:rPr>
          <w:rFonts w:hint="eastAsia" w:eastAsia="仿宋_GB2312"/>
          <w:sz w:val="32"/>
          <w:szCs w:val="32"/>
        </w:rPr>
        <w:t>0</w:t>
      </w:r>
      <w:r>
        <w:rPr>
          <w:rFonts w:hint="eastAsia" w:eastAsia="仿宋_GB2312"/>
          <w:sz w:val="32"/>
          <w:szCs w:val="32"/>
          <w:lang w:val="zh-CN"/>
        </w:rPr>
        <w:t>个，全年预算总额0</w:t>
      </w:r>
      <w:r>
        <w:rPr>
          <w:rFonts w:hint="eastAsia" w:eastAsia="仿宋_GB2312"/>
          <w:sz w:val="32"/>
          <w:szCs w:val="32"/>
        </w:rPr>
        <w:t>.00</w:t>
      </w:r>
      <w:r>
        <w:rPr>
          <w:rFonts w:hint="eastAsia" w:eastAsia="仿宋_GB2312"/>
          <w:sz w:val="32"/>
          <w:szCs w:val="32"/>
          <w:lang w:val="zh-CN"/>
        </w:rPr>
        <w:t>万元，实际执行总额0</w:t>
      </w:r>
      <w:r>
        <w:rPr>
          <w:rFonts w:hint="eastAsia" w:eastAsia="仿宋_GB2312"/>
          <w:sz w:val="32"/>
          <w:szCs w:val="32"/>
        </w:rPr>
        <w:t>.00</w:t>
      </w:r>
      <w:r>
        <w:rPr>
          <w:rFonts w:hint="eastAsia" w:eastAsia="仿宋_GB2312"/>
          <w:sz w:val="32"/>
          <w:szCs w:val="32"/>
          <w:lang w:val="zh-CN"/>
        </w:rPr>
        <w:t>万元。我单位整体支出绩效自评表由主管部门编报并公开。预算绩效评价项目1个，全年预算数39</w:t>
      </w:r>
      <w:r>
        <w:rPr>
          <w:rFonts w:hint="eastAsia" w:eastAsia="仿宋_GB2312"/>
          <w:sz w:val="32"/>
          <w:szCs w:val="32"/>
        </w:rPr>
        <w:t>.00</w:t>
      </w:r>
      <w:r>
        <w:rPr>
          <w:rFonts w:hint="eastAsia" w:eastAsia="仿宋_GB2312"/>
          <w:sz w:val="32"/>
          <w:szCs w:val="32"/>
          <w:lang w:val="zh-CN"/>
        </w:rPr>
        <w:t>万元，全年执行数39</w:t>
      </w:r>
      <w:r>
        <w:rPr>
          <w:rFonts w:hint="eastAsia" w:eastAsia="仿宋_GB2312"/>
          <w:sz w:val="32"/>
          <w:szCs w:val="32"/>
        </w:rPr>
        <w:t>.00</w:t>
      </w:r>
      <w:r>
        <w:rPr>
          <w:rFonts w:hint="eastAsia" w:eastAsia="仿宋_GB2312"/>
          <w:sz w:val="32"/>
          <w:szCs w:val="32"/>
          <w:lang w:val="zh-CN"/>
        </w:rPr>
        <w:t>万元。预算绩效管理取得的成效：一是2023年我中心通过编制新疆煤层气勘查方案、新疆煤层气开发方案，促进新疆能源绿色低碳转型，服务经济高质量发展，重点解决“乌—昌—石”区域大气污染问题，减少煤炭消耗，增加煤层气开发利用，划定了未来三年新疆煤层气勘查开发重点项目、开发时序、重大工程等，指导新疆煤层气勘查开发重点项目决策、为自治区煤层气矿业权出让提供区块保障，为自治区煤层气发展规划、能源决策和宏观调控提供有利支撑，是引导和优化社会资源配置的重要依据；二是通过不断承接自治区自然科学基金项目，促进中心技术人员的科研能力，进一步加深煤层气选区和特殊现象的认识和创新煤层气研究的理论分析，对新疆煤层气勘查和研究起到指引和推动作用。基于对自治区重大专项《新疆难开采煤炭煤层气资源高效开发技术》项目下设的子课题“新疆难开采煤炭地下气化地质选区评价指标体系中任务四的科研进展，建立了煤炭地下气化资源评价一二级指标体系，并优选了艾丁湖一、二、三勘探区煤炭地下气化的有利煤层，为地下气化的选层、选址提供坚实的地质依据。发现的问题及原因：目前，煤层气研发中心由于在职技术人员仅3名，同时进行多个项目的管理和研究工作，特别是近年以来，自治区对煤层气产业发展格外重视，煤层气工作紧锣密鼓，明显感觉人力不足，需要有经验的技术人员补充。主要缺少开展油气资源的政策研究、规划编制，非常规油气资源标准规范的编制的专业人员。下一步改进措施：一是加强项目实施部门对绩效目标的重视程度，科学合理设置项目绩效目标。项目在实施过程中各业务部门应加强沟通，统筹兼顾。要完善项目内部控制制度，保证项目资金的合理使用。具体项目自评情况附绩效自评表及自评报告。</w:t>
      </w:r>
    </w:p>
    <w:p w14:paraId="3B0ED75B">
      <w:pPr>
        <w:ind w:firstLine="640" w:firstLineChars="200"/>
        <w:jc w:val="left"/>
        <w:rPr>
          <w:rFonts w:ascii="黑体" w:hAnsi="黑体" w:eastAsia="黑体" w:cs="宋体"/>
          <w:bCs/>
          <w:kern w:val="0"/>
          <w:sz w:val="32"/>
          <w:szCs w:val="32"/>
        </w:rPr>
      </w:pPr>
      <w:r>
        <w:rPr>
          <w:rFonts w:hint="eastAsia" w:ascii="黑体" w:hAnsi="黑体" w:eastAsia="黑体" w:cs="宋体"/>
          <w:bCs/>
          <w:kern w:val="0"/>
          <w:sz w:val="32"/>
          <w:szCs w:val="32"/>
        </w:rPr>
        <w:t>十二、其他需说明的事项</w:t>
      </w:r>
    </w:p>
    <w:p w14:paraId="50D3F02A">
      <w:pPr>
        <w:ind w:firstLine="640" w:firstLineChars="200"/>
        <w:jc w:val="left"/>
        <w:rPr>
          <w:rFonts w:ascii="仿宋_GB2312" w:hAnsi="仿宋_GB2312" w:eastAsia="仿宋_GB2312" w:cs="仿宋_GB2312"/>
          <w:kern w:val="0"/>
          <w:sz w:val="32"/>
          <w:szCs w:val="32"/>
        </w:rPr>
      </w:pPr>
      <w:r>
        <w:rPr>
          <w:rFonts w:hint="eastAsia" w:eastAsia="仿宋_GB2312"/>
          <w:sz w:val="32"/>
          <w:szCs w:val="32"/>
          <w:lang w:val="zh-CN"/>
        </w:rPr>
        <w:t>我单位</w:t>
      </w:r>
      <w:r>
        <w:rPr>
          <w:rFonts w:hint="eastAsia" w:eastAsia="仿宋_GB2312"/>
          <w:sz w:val="28"/>
          <w:szCs w:val="28"/>
          <w:lang w:val="zh-CN"/>
        </w:rPr>
        <w:t>2023</w:t>
      </w:r>
      <w:r>
        <w:rPr>
          <w:rFonts w:hint="eastAsia" w:eastAsia="仿宋_GB2312"/>
          <w:sz w:val="32"/>
          <w:szCs w:val="32"/>
          <w:lang w:val="zh-CN"/>
        </w:rPr>
        <w:t>年无政府采购，所以授予中小企业合同金额、授予小微企业合同金额为</w:t>
      </w:r>
      <w:r>
        <w:rPr>
          <w:rFonts w:eastAsia="仿宋_GB2312"/>
          <w:sz w:val="32"/>
          <w:szCs w:val="32"/>
          <w:lang w:val="zh-CN"/>
        </w:rPr>
        <w:t>0</w:t>
      </w:r>
      <w:r>
        <w:rPr>
          <w:rFonts w:eastAsia="仿宋_GB2312"/>
          <w:sz w:val="32"/>
          <w:szCs w:val="32"/>
        </w:rPr>
        <w:t>.00</w:t>
      </w:r>
      <w:r>
        <w:rPr>
          <w:rFonts w:hint="eastAsia" w:eastAsia="仿宋_GB2312"/>
          <w:sz w:val="32"/>
          <w:szCs w:val="32"/>
          <w:lang w:val="zh-CN"/>
        </w:rPr>
        <w:t>万元。</w:t>
      </w:r>
    </w:p>
    <w:p w14:paraId="7C09AC38">
      <w:pPr>
        <w:jc w:val="center"/>
        <w:outlineLvl w:val="0"/>
        <w:rPr>
          <w:rFonts w:ascii="黑体" w:hAnsi="黑体" w:eastAsia="黑体"/>
          <w:sz w:val="32"/>
          <w:szCs w:val="32"/>
        </w:rPr>
      </w:pPr>
      <w:bookmarkStart w:id="30" w:name="_Toc24143"/>
      <w:bookmarkStart w:id="31" w:name="_Toc3250"/>
      <w:r>
        <w:rPr>
          <w:rFonts w:hint="eastAsia" w:ascii="黑体" w:hAnsi="黑体" w:eastAsia="黑体"/>
          <w:sz w:val="32"/>
          <w:szCs w:val="32"/>
        </w:rPr>
        <w:br w:type="page"/>
      </w:r>
      <w:r>
        <w:rPr>
          <w:rFonts w:hint="eastAsia" w:ascii="黑体" w:hAnsi="黑体" w:eastAsia="黑体"/>
          <w:sz w:val="32"/>
          <w:szCs w:val="32"/>
        </w:rPr>
        <w:t>第三部分 专业名词解释</w:t>
      </w:r>
      <w:bookmarkEnd w:id="30"/>
      <w:bookmarkEnd w:id="31"/>
    </w:p>
    <w:p w14:paraId="54268A48">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14:paraId="18DA96CA">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14:paraId="436A295D">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14:paraId="3FC88FD8">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14:paraId="45971DDB">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14:paraId="41F7A7CC">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14:paraId="3CC1AE5D">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14:paraId="4F43827B">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6186F13D">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14:paraId="7BD82378">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14:paraId="2AA4A31C">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14:paraId="643D076B">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14:paraId="0D1E9B76">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6CB16D03">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14:paraId="149452ED">
      <w:pPr>
        <w:ind w:firstLine="640" w:firstLineChars="200"/>
        <w:jc w:val="center"/>
        <w:outlineLvl w:val="0"/>
        <w:rPr>
          <w:rFonts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14:paraId="189CDAB3">
      <w:pPr>
        <w:ind w:firstLine="640" w:firstLineChars="200"/>
        <w:outlineLvl w:val="1"/>
        <w:rPr>
          <w:rFonts w:ascii="黑体" w:hAnsi="黑体" w:eastAsia="仿宋_GB2312" w:cs="宋体"/>
          <w:bCs/>
          <w:kern w:val="0"/>
          <w:sz w:val="32"/>
          <w:szCs w:val="32"/>
        </w:rPr>
      </w:pPr>
      <w:bookmarkStart w:id="32" w:name="_Toc2183"/>
      <w:bookmarkStart w:id="33" w:name="_Toc6062"/>
      <w:r>
        <w:rPr>
          <w:rFonts w:hint="eastAsia" w:ascii="黑体" w:hAnsi="黑体" w:eastAsia="仿宋_GB2312" w:cs="宋体"/>
          <w:bCs/>
          <w:kern w:val="0"/>
          <w:sz w:val="32"/>
          <w:szCs w:val="32"/>
        </w:rPr>
        <w:t>一、《收入支出决算总表》</w:t>
      </w:r>
      <w:bookmarkEnd w:id="32"/>
      <w:bookmarkEnd w:id="33"/>
    </w:p>
    <w:p w14:paraId="4179AA90">
      <w:pPr>
        <w:ind w:firstLine="640" w:firstLineChars="200"/>
        <w:outlineLvl w:val="1"/>
        <w:rPr>
          <w:rFonts w:ascii="黑体" w:hAnsi="黑体" w:eastAsia="仿宋_GB2312" w:cs="宋体"/>
          <w:bCs/>
          <w:kern w:val="0"/>
          <w:sz w:val="32"/>
          <w:szCs w:val="32"/>
        </w:rPr>
      </w:pPr>
      <w:bookmarkStart w:id="34" w:name="_Toc24532"/>
      <w:bookmarkStart w:id="35" w:name="_Toc30364"/>
      <w:r>
        <w:rPr>
          <w:rFonts w:hint="eastAsia" w:ascii="黑体" w:hAnsi="黑体" w:eastAsia="仿宋_GB2312" w:cs="宋体"/>
          <w:bCs/>
          <w:kern w:val="0"/>
          <w:sz w:val="32"/>
          <w:szCs w:val="32"/>
        </w:rPr>
        <w:t>二、《收入决算表》</w:t>
      </w:r>
      <w:bookmarkEnd w:id="34"/>
      <w:bookmarkEnd w:id="35"/>
    </w:p>
    <w:p w14:paraId="7B708562">
      <w:pPr>
        <w:ind w:firstLine="640" w:firstLineChars="200"/>
        <w:outlineLvl w:val="1"/>
        <w:rPr>
          <w:rFonts w:ascii="黑体" w:hAnsi="黑体" w:eastAsia="仿宋_GB2312" w:cs="宋体"/>
          <w:bCs/>
          <w:kern w:val="0"/>
          <w:sz w:val="32"/>
          <w:szCs w:val="32"/>
        </w:rPr>
      </w:pPr>
      <w:bookmarkStart w:id="36" w:name="_Toc32434"/>
      <w:bookmarkStart w:id="37" w:name="_Toc21304"/>
      <w:r>
        <w:rPr>
          <w:rFonts w:hint="eastAsia" w:ascii="黑体" w:hAnsi="黑体" w:eastAsia="仿宋_GB2312" w:cs="宋体"/>
          <w:bCs/>
          <w:kern w:val="0"/>
          <w:sz w:val="32"/>
          <w:szCs w:val="32"/>
        </w:rPr>
        <w:t>三、《支出决算表》</w:t>
      </w:r>
      <w:bookmarkEnd w:id="36"/>
      <w:bookmarkEnd w:id="37"/>
    </w:p>
    <w:p w14:paraId="161DC85F">
      <w:pPr>
        <w:ind w:firstLine="640" w:firstLineChars="200"/>
        <w:outlineLvl w:val="1"/>
        <w:rPr>
          <w:rFonts w:ascii="黑体" w:hAnsi="黑体" w:eastAsia="仿宋_GB2312" w:cs="宋体"/>
          <w:bCs/>
          <w:kern w:val="0"/>
          <w:sz w:val="32"/>
          <w:szCs w:val="32"/>
        </w:rPr>
      </w:pPr>
      <w:bookmarkStart w:id="38" w:name="_Toc14238"/>
      <w:bookmarkStart w:id="39" w:name="_Toc28786"/>
      <w:r>
        <w:rPr>
          <w:rFonts w:hint="eastAsia" w:ascii="黑体" w:hAnsi="黑体" w:eastAsia="仿宋_GB2312" w:cs="宋体"/>
          <w:bCs/>
          <w:kern w:val="0"/>
          <w:sz w:val="32"/>
          <w:szCs w:val="32"/>
        </w:rPr>
        <w:t>四、《财政拨款收入支出决算总表》</w:t>
      </w:r>
      <w:bookmarkEnd w:id="38"/>
      <w:bookmarkEnd w:id="39"/>
    </w:p>
    <w:p w14:paraId="48B03CDD">
      <w:pPr>
        <w:ind w:firstLine="640" w:firstLineChars="200"/>
        <w:outlineLvl w:val="1"/>
        <w:rPr>
          <w:rFonts w:ascii="黑体" w:hAnsi="黑体" w:eastAsia="仿宋_GB2312" w:cs="宋体"/>
          <w:bCs/>
          <w:kern w:val="0"/>
          <w:sz w:val="32"/>
          <w:szCs w:val="32"/>
        </w:rPr>
      </w:pPr>
      <w:bookmarkStart w:id="40" w:name="_Toc10347"/>
      <w:bookmarkStart w:id="41" w:name="_Toc14869"/>
      <w:r>
        <w:rPr>
          <w:rFonts w:hint="eastAsia" w:ascii="黑体" w:hAnsi="黑体" w:eastAsia="仿宋_GB2312" w:cs="宋体"/>
          <w:bCs/>
          <w:kern w:val="0"/>
          <w:sz w:val="32"/>
          <w:szCs w:val="32"/>
        </w:rPr>
        <w:t>五、《一般公共预算财政拨款支出决算表》</w:t>
      </w:r>
      <w:bookmarkEnd w:id="40"/>
      <w:bookmarkEnd w:id="41"/>
    </w:p>
    <w:p w14:paraId="68EBD97F">
      <w:pPr>
        <w:ind w:firstLine="640" w:firstLineChars="200"/>
        <w:outlineLvl w:val="1"/>
        <w:rPr>
          <w:rFonts w:ascii="黑体" w:hAnsi="黑体" w:eastAsia="仿宋_GB2312" w:cs="宋体"/>
          <w:bCs/>
          <w:kern w:val="0"/>
          <w:sz w:val="32"/>
          <w:szCs w:val="32"/>
        </w:rPr>
      </w:pPr>
      <w:bookmarkStart w:id="42" w:name="_Toc5626"/>
      <w:bookmarkStart w:id="43" w:name="_Toc8884"/>
      <w:r>
        <w:rPr>
          <w:rFonts w:hint="eastAsia" w:ascii="黑体" w:hAnsi="黑体" w:eastAsia="仿宋_GB2312" w:cs="宋体"/>
          <w:bCs/>
          <w:kern w:val="0"/>
          <w:sz w:val="32"/>
          <w:szCs w:val="32"/>
        </w:rPr>
        <w:t>六、《一般公共预算财政拨款基本支出决算表》</w:t>
      </w:r>
      <w:bookmarkEnd w:id="42"/>
      <w:bookmarkEnd w:id="43"/>
    </w:p>
    <w:p w14:paraId="50EBE393">
      <w:pPr>
        <w:ind w:firstLine="640" w:firstLineChars="200"/>
        <w:outlineLvl w:val="1"/>
        <w:rPr>
          <w:rFonts w:ascii="黑体" w:hAnsi="黑体" w:eastAsia="仿宋_GB2312" w:cs="宋体"/>
          <w:bCs/>
          <w:kern w:val="0"/>
          <w:sz w:val="32"/>
          <w:szCs w:val="32"/>
        </w:rPr>
      </w:pPr>
      <w:r>
        <w:rPr>
          <w:rFonts w:hint="eastAsia" w:ascii="黑体" w:hAnsi="黑体" w:eastAsia="仿宋_GB2312" w:cs="宋体"/>
          <w:bCs/>
          <w:kern w:val="0"/>
          <w:sz w:val="32"/>
          <w:szCs w:val="32"/>
        </w:rPr>
        <w:t>七、</w:t>
      </w:r>
      <w:bookmarkStart w:id="44" w:name="_Toc29106"/>
      <w:bookmarkStart w:id="45" w:name="_Toc32663"/>
      <w:r>
        <w:rPr>
          <w:rFonts w:hint="eastAsia" w:ascii="黑体" w:hAnsi="黑体" w:eastAsia="仿宋_GB2312" w:cs="宋体"/>
          <w:bCs/>
          <w:kern w:val="0"/>
          <w:sz w:val="32"/>
          <w:szCs w:val="32"/>
        </w:rPr>
        <w:t>《财政拨款“三公”经费支出决算表》</w:t>
      </w:r>
      <w:bookmarkEnd w:id="44"/>
      <w:bookmarkEnd w:id="45"/>
    </w:p>
    <w:p w14:paraId="4FCCA726">
      <w:pPr>
        <w:ind w:firstLine="640" w:firstLineChars="200"/>
        <w:outlineLvl w:val="1"/>
        <w:rPr>
          <w:rFonts w:ascii="黑体" w:hAnsi="黑体" w:eastAsia="仿宋_GB2312" w:cs="宋体"/>
          <w:bCs/>
          <w:kern w:val="0"/>
          <w:sz w:val="32"/>
          <w:szCs w:val="32"/>
        </w:rPr>
      </w:pPr>
      <w:bookmarkStart w:id="46" w:name="_Toc7643"/>
      <w:bookmarkStart w:id="47" w:name="_Toc5453"/>
      <w:r>
        <w:rPr>
          <w:rFonts w:hint="eastAsia" w:ascii="黑体" w:hAnsi="黑体" w:eastAsia="仿宋_GB2312" w:cs="宋体"/>
          <w:bCs/>
          <w:kern w:val="0"/>
          <w:sz w:val="32"/>
          <w:szCs w:val="32"/>
        </w:rPr>
        <w:t>八、《政府性基金预算财政拨款收入支出决算表》</w:t>
      </w:r>
      <w:bookmarkEnd w:id="46"/>
      <w:bookmarkEnd w:id="47"/>
    </w:p>
    <w:p w14:paraId="2B82366A">
      <w:pPr>
        <w:ind w:firstLine="640" w:firstLineChars="200"/>
        <w:outlineLvl w:val="1"/>
        <w:rPr>
          <w:rFonts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14:paraId="5D08248C">
      <w:pPr>
        <w:ind w:firstLine="640" w:firstLineChars="200"/>
        <w:rPr>
          <w:rFonts w:ascii="仿宋_GB2312" w:eastAsia="仿宋_GB2312"/>
          <w:sz w:val="32"/>
          <w:szCs w:val="32"/>
        </w:rPr>
      </w:pPr>
    </w:p>
    <w:p w14:paraId="5D0CA800">
      <w:pPr>
        <w:ind w:firstLine="640" w:firstLineChars="200"/>
        <w:outlineLvl w:val="1"/>
        <w:rPr>
          <w:rFonts w:ascii="黑体" w:hAnsi="黑体" w:eastAsia="黑体" w:cs="宋体"/>
          <w:bCs/>
          <w:kern w:val="0"/>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882FEA">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2D3006D">
                          <w:pPr>
                            <w:pStyle w:val="4"/>
                          </w:pPr>
                          <w:r>
                            <w:rPr>
                              <w:rFonts w:hint="eastAsia"/>
                            </w:rPr>
                            <w:fldChar w:fldCharType="begin"/>
                          </w:r>
                          <w:r>
                            <w:rPr>
                              <w:rFonts w:hint="eastAsia"/>
                            </w:rPr>
                            <w:instrText xml:space="preserve"> PAGE  \* MERGEFORMAT </w:instrText>
                          </w:r>
                          <w:r>
                            <w:rPr>
                              <w:rFonts w:hint="eastAsia"/>
                            </w:rPr>
                            <w:fldChar w:fldCharType="separate"/>
                          </w:r>
                          <w:r>
                            <w:t>12</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02D3006D">
                    <w:pPr>
                      <w:pStyle w:val="4"/>
                    </w:pPr>
                    <w:r>
                      <w:rPr>
                        <w:rFonts w:hint="eastAsia"/>
                      </w:rPr>
                      <w:fldChar w:fldCharType="begin"/>
                    </w:r>
                    <w:r>
                      <w:rPr>
                        <w:rFonts w:hint="eastAsia"/>
                      </w:rPr>
                      <w:instrText xml:space="preserve"> PAGE  \* MERGEFORMAT </w:instrText>
                    </w:r>
                    <w:r>
                      <w:rPr>
                        <w:rFonts w:hint="eastAsia"/>
                      </w:rPr>
                      <w:fldChar w:fldCharType="separate"/>
                    </w:r>
                    <w:r>
                      <w:t>12</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E5YjAyMDcyMWU5ZmQxYjM0YjZhY2E3OGFhOWM0NDcifQ=="/>
    <w:docVar w:name="KSO_WPS_MARK_KEY" w:val="41ee2a61-2d54-4f93-83be-afdb9a40d732"/>
  </w:docVars>
  <w:rsids>
    <w:rsidRoot w:val="00591F90"/>
    <w:rsid w:val="00213C59"/>
    <w:rsid w:val="003032F4"/>
    <w:rsid w:val="003210CE"/>
    <w:rsid w:val="0034255B"/>
    <w:rsid w:val="00533B07"/>
    <w:rsid w:val="00591F90"/>
    <w:rsid w:val="00730E2B"/>
    <w:rsid w:val="00980AA1"/>
    <w:rsid w:val="00B70D59"/>
    <w:rsid w:val="00F52A8D"/>
    <w:rsid w:val="00FE6848"/>
    <w:rsid w:val="01811753"/>
    <w:rsid w:val="019404F8"/>
    <w:rsid w:val="02BD3108"/>
    <w:rsid w:val="02F73D26"/>
    <w:rsid w:val="034D4FEF"/>
    <w:rsid w:val="035D1785"/>
    <w:rsid w:val="039F47CE"/>
    <w:rsid w:val="03E05CE8"/>
    <w:rsid w:val="03F973EE"/>
    <w:rsid w:val="043E5B56"/>
    <w:rsid w:val="04C04386"/>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AF245F6"/>
    <w:rsid w:val="0B61769D"/>
    <w:rsid w:val="0B8C3ECC"/>
    <w:rsid w:val="0B9C639D"/>
    <w:rsid w:val="0BB052B2"/>
    <w:rsid w:val="0BD33FFC"/>
    <w:rsid w:val="0BE97AC1"/>
    <w:rsid w:val="0C1C4780"/>
    <w:rsid w:val="0C3613A3"/>
    <w:rsid w:val="0C5E519C"/>
    <w:rsid w:val="0C7227A7"/>
    <w:rsid w:val="0CA52EE8"/>
    <w:rsid w:val="0CBD6988"/>
    <w:rsid w:val="0CD208AC"/>
    <w:rsid w:val="0CE515B5"/>
    <w:rsid w:val="0D4903E8"/>
    <w:rsid w:val="0D7A4A46"/>
    <w:rsid w:val="0DFA594D"/>
    <w:rsid w:val="0E0E4AD3"/>
    <w:rsid w:val="0E640559"/>
    <w:rsid w:val="0EB51ED5"/>
    <w:rsid w:val="0F1113DA"/>
    <w:rsid w:val="0F78534A"/>
    <w:rsid w:val="0F786D63"/>
    <w:rsid w:val="0F89358A"/>
    <w:rsid w:val="0F8A7139"/>
    <w:rsid w:val="0F8C6D51"/>
    <w:rsid w:val="0FD110DD"/>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DF164E"/>
    <w:rsid w:val="1EE869A7"/>
    <w:rsid w:val="1FA15E62"/>
    <w:rsid w:val="1FED69B6"/>
    <w:rsid w:val="2064678E"/>
    <w:rsid w:val="208D6352"/>
    <w:rsid w:val="20DC1AB9"/>
    <w:rsid w:val="20DD6197"/>
    <w:rsid w:val="212631E0"/>
    <w:rsid w:val="21265127"/>
    <w:rsid w:val="21957C48"/>
    <w:rsid w:val="21A53757"/>
    <w:rsid w:val="221236C6"/>
    <w:rsid w:val="22D7662C"/>
    <w:rsid w:val="23326B7F"/>
    <w:rsid w:val="2380045B"/>
    <w:rsid w:val="23BC04D2"/>
    <w:rsid w:val="23EF1892"/>
    <w:rsid w:val="2483647E"/>
    <w:rsid w:val="24A32D55"/>
    <w:rsid w:val="25292727"/>
    <w:rsid w:val="252E5CA9"/>
    <w:rsid w:val="256F7692"/>
    <w:rsid w:val="25BA2154"/>
    <w:rsid w:val="25C8773F"/>
    <w:rsid w:val="25EC5B4D"/>
    <w:rsid w:val="264A7253"/>
    <w:rsid w:val="26F0170C"/>
    <w:rsid w:val="27201D62"/>
    <w:rsid w:val="27286E73"/>
    <w:rsid w:val="27A40DE3"/>
    <w:rsid w:val="27CF2642"/>
    <w:rsid w:val="27D700E5"/>
    <w:rsid w:val="27E777F5"/>
    <w:rsid w:val="27EA1D4C"/>
    <w:rsid w:val="27EA2E41"/>
    <w:rsid w:val="282459E2"/>
    <w:rsid w:val="283A7FE5"/>
    <w:rsid w:val="285F51FF"/>
    <w:rsid w:val="28DF2665"/>
    <w:rsid w:val="29072599"/>
    <w:rsid w:val="291029F3"/>
    <w:rsid w:val="29CB58F0"/>
    <w:rsid w:val="2A053397"/>
    <w:rsid w:val="2A145E96"/>
    <w:rsid w:val="2AF5378F"/>
    <w:rsid w:val="2BB94DBF"/>
    <w:rsid w:val="2BC86093"/>
    <w:rsid w:val="2C6F314E"/>
    <w:rsid w:val="2CC206BE"/>
    <w:rsid w:val="2D1136DF"/>
    <w:rsid w:val="2D20606D"/>
    <w:rsid w:val="2D847999"/>
    <w:rsid w:val="2DB87198"/>
    <w:rsid w:val="2DB93C54"/>
    <w:rsid w:val="2E001109"/>
    <w:rsid w:val="2E3D144C"/>
    <w:rsid w:val="2E891204"/>
    <w:rsid w:val="2F3F0A28"/>
    <w:rsid w:val="2FBF7029"/>
    <w:rsid w:val="2FD0187F"/>
    <w:rsid w:val="2FD27414"/>
    <w:rsid w:val="2FFE4BB0"/>
    <w:rsid w:val="300E7B60"/>
    <w:rsid w:val="300F6E18"/>
    <w:rsid w:val="30862F5F"/>
    <w:rsid w:val="314029C9"/>
    <w:rsid w:val="31C63837"/>
    <w:rsid w:val="31C82E39"/>
    <w:rsid w:val="31E90C11"/>
    <w:rsid w:val="32601BAD"/>
    <w:rsid w:val="329F6389"/>
    <w:rsid w:val="3389023A"/>
    <w:rsid w:val="33AC2DB2"/>
    <w:rsid w:val="33CB74FA"/>
    <w:rsid w:val="3422438B"/>
    <w:rsid w:val="343642F2"/>
    <w:rsid w:val="343F3010"/>
    <w:rsid w:val="345D0A00"/>
    <w:rsid w:val="34713BFD"/>
    <w:rsid w:val="34C13589"/>
    <w:rsid w:val="353369E3"/>
    <w:rsid w:val="35CA6425"/>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863F9A"/>
    <w:rsid w:val="3EA7725F"/>
    <w:rsid w:val="3EB03713"/>
    <w:rsid w:val="3EBF1A11"/>
    <w:rsid w:val="3EC52607"/>
    <w:rsid w:val="3EEC6CEF"/>
    <w:rsid w:val="3F183429"/>
    <w:rsid w:val="3FB77A1D"/>
    <w:rsid w:val="3FDC3674"/>
    <w:rsid w:val="3FED7F8A"/>
    <w:rsid w:val="40094AEF"/>
    <w:rsid w:val="405470BD"/>
    <w:rsid w:val="40794A29"/>
    <w:rsid w:val="40834692"/>
    <w:rsid w:val="412B7DB8"/>
    <w:rsid w:val="41431AD5"/>
    <w:rsid w:val="414B3C0F"/>
    <w:rsid w:val="417C1CE7"/>
    <w:rsid w:val="41900018"/>
    <w:rsid w:val="41944406"/>
    <w:rsid w:val="419643BD"/>
    <w:rsid w:val="41CE128F"/>
    <w:rsid w:val="41DA6F12"/>
    <w:rsid w:val="42171FB1"/>
    <w:rsid w:val="434E6957"/>
    <w:rsid w:val="43BA0E31"/>
    <w:rsid w:val="43C15147"/>
    <w:rsid w:val="43E14DD2"/>
    <w:rsid w:val="43F800E9"/>
    <w:rsid w:val="443A7E4B"/>
    <w:rsid w:val="452F5B3A"/>
    <w:rsid w:val="454E7FD2"/>
    <w:rsid w:val="46061BDC"/>
    <w:rsid w:val="461404F8"/>
    <w:rsid w:val="461C5F25"/>
    <w:rsid w:val="46413018"/>
    <w:rsid w:val="464B7E04"/>
    <w:rsid w:val="468041AA"/>
    <w:rsid w:val="468123C6"/>
    <w:rsid w:val="46901EEE"/>
    <w:rsid w:val="469C74D2"/>
    <w:rsid w:val="47445515"/>
    <w:rsid w:val="474B4782"/>
    <w:rsid w:val="47D90D14"/>
    <w:rsid w:val="48387FB0"/>
    <w:rsid w:val="483A6114"/>
    <w:rsid w:val="4845785D"/>
    <w:rsid w:val="488727DB"/>
    <w:rsid w:val="48B82268"/>
    <w:rsid w:val="48C354B3"/>
    <w:rsid w:val="493D58B5"/>
    <w:rsid w:val="494A7A04"/>
    <w:rsid w:val="4A0A179F"/>
    <w:rsid w:val="4A0A26D2"/>
    <w:rsid w:val="4A2019A5"/>
    <w:rsid w:val="4A241A0B"/>
    <w:rsid w:val="4A7B2875"/>
    <w:rsid w:val="4A934476"/>
    <w:rsid w:val="4AAA220A"/>
    <w:rsid w:val="4AE12E67"/>
    <w:rsid w:val="4B4C0111"/>
    <w:rsid w:val="4B71454E"/>
    <w:rsid w:val="4B8553A9"/>
    <w:rsid w:val="4BDB3730"/>
    <w:rsid w:val="4BE8485A"/>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C811C0"/>
    <w:rsid w:val="556A442D"/>
    <w:rsid w:val="55DA564E"/>
    <w:rsid w:val="5604127D"/>
    <w:rsid w:val="56166703"/>
    <w:rsid w:val="5617074A"/>
    <w:rsid w:val="56510474"/>
    <w:rsid w:val="56861525"/>
    <w:rsid w:val="56A93273"/>
    <w:rsid w:val="56BD550C"/>
    <w:rsid w:val="56E07045"/>
    <w:rsid w:val="56FF28AF"/>
    <w:rsid w:val="57540E7D"/>
    <w:rsid w:val="577B4878"/>
    <w:rsid w:val="57926973"/>
    <w:rsid w:val="58175352"/>
    <w:rsid w:val="581F2200"/>
    <w:rsid w:val="583059FA"/>
    <w:rsid w:val="584A0929"/>
    <w:rsid w:val="58A92390"/>
    <w:rsid w:val="58CD2491"/>
    <w:rsid w:val="591B41B2"/>
    <w:rsid w:val="59254A26"/>
    <w:rsid w:val="59326325"/>
    <w:rsid w:val="595C505B"/>
    <w:rsid w:val="595E55C3"/>
    <w:rsid w:val="596E7E20"/>
    <w:rsid w:val="5A60780B"/>
    <w:rsid w:val="5AB34579"/>
    <w:rsid w:val="5AFC6609"/>
    <w:rsid w:val="5B113480"/>
    <w:rsid w:val="5BD456CE"/>
    <w:rsid w:val="5C0D1F49"/>
    <w:rsid w:val="5C416890"/>
    <w:rsid w:val="5CBB0CE2"/>
    <w:rsid w:val="5CC17177"/>
    <w:rsid w:val="5CF306BC"/>
    <w:rsid w:val="5D3F3D64"/>
    <w:rsid w:val="5D833043"/>
    <w:rsid w:val="5DD92690"/>
    <w:rsid w:val="5DDB1CFD"/>
    <w:rsid w:val="5E462302"/>
    <w:rsid w:val="5E5172E5"/>
    <w:rsid w:val="5E7E6D93"/>
    <w:rsid w:val="5ED44800"/>
    <w:rsid w:val="5F350BDE"/>
    <w:rsid w:val="5F61632C"/>
    <w:rsid w:val="5F8E1134"/>
    <w:rsid w:val="5FA17648"/>
    <w:rsid w:val="5FBC131B"/>
    <w:rsid w:val="5FE705CB"/>
    <w:rsid w:val="603D5080"/>
    <w:rsid w:val="60663949"/>
    <w:rsid w:val="60D0261B"/>
    <w:rsid w:val="618E3791"/>
    <w:rsid w:val="61947DCA"/>
    <w:rsid w:val="61A46A97"/>
    <w:rsid w:val="61D1382F"/>
    <w:rsid w:val="61F114A2"/>
    <w:rsid w:val="62512BB4"/>
    <w:rsid w:val="625D7D1A"/>
    <w:rsid w:val="62DD7D21"/>
    <w:rsid w:val="637D586B"/>
    <w:rsid w:val="63A5560B"/>
    <w:rsid w:val="63AB40A1"/>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6E82263"/>
    <w:rsid w:val="67134CEF"/>
    <w:rsid w:val="671F1ABD"/>
    <w:rsid w:val="67521A59"/>
    <w:rsid w:val="67C304AB"/>
    <w:rsid w:val="683F0658"/>
    <w:rsid w:val="689C6793"/>
    <w:rsid w:val="68DB0208"/>
    <w:rsid w:val="68FB170C"/>
    <w:rsid w:val="691B3D98"/>
    <w:rsid w:val="693748F0"/>
    <w:rsid w:val="69846A0E"/>
    <w:rsid w:val="69AD798C"/>
    <w:rsid w:val="69D005C0"/>
    <w:rsid w:val="69D80B96"/>
    <w:rsid w:val="6A811438"/>
    <w:rsid w:val="6AC41FD2"/>
    <w:rsid w:val="6B68175F"/>
    <w:rsid w:val="6BFD799F"/>
    <w:rsid w:val="6C4A2E5A"/>
    <w:rsid w:val="6C8138D0"/>
    <w:rsid w:val="6C9C09BB"/>
    <w:rsid w:val="6CEF0725"/>
    <w:rsid w:val="6D4B2604"/>
    <w:rsid w:val="6D6D16CF"/>
    <w:rsid w:val="6D8030E4"/>
    <w:rsid w:val="6E0E35C4"/>
    <w:rsid w:val="6E0F7A08"/>
    <w:rsid w:val="6E3947F5"/>
    <w:rsid w:val="6E9C74ED"/>
    <w:rsid w:val="6ECC1DF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0A38FA"/>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16</Pages>
  <Words>5768</Words>
  <Characters>6402</Characters>
  <Lines>52</Lines>
  <Paragraphs>14</Paragraphs>
  <TotalTime>36</TotalTime>
  <ScaleCrop>false</ScaleCrop>
  <LinksUpToDate>false</LinksUpToDate>
  <CharactersWithSpaces>6412</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仲夏之梦</cp:lastModifiedBy>
  <dcterms:modified xsi:type="dcterms:W3CDTF">2024-08-29T12:37:49Z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D624B15633CD43C8BF9435464A96BF70</vt:lpwstr>
  </property>
</Properties>
</file>