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highlight w:val="none"/>
          <w:lang w:val="en-US" w:eastAsia="zh-CN"/>
        </w:rPr>
        <w:t>2023年国家和自治区矿山安全生产帮扶指导及监督检查专项</w:t>
      </w:r>
      <w:r>
        <w:rPr>
          <w:rFonts w:hint="eastAsia" w:ascii="方正小标宋简体" w:hAnsi="方正小标宋简体" w:eastAsia="方正小标宋简体" w:cs="方正小标宋简体"/>
          <w:kern w:val="0"/>
          <w:sz w:val="48"/>
          <w:szCs w:val="48"/>
          <w:highlight w:val="none"/>
        </w:rPr>
        <w:t>资金</w:t>
      </w:r>
      <w:r>
        <w:rPr>
          <w:rFonts w:hint="eastAsia" w:ascii="方正小标宋简体" w:hAnsi="方正小标宋简体" w:eastAsia="方正小标宋简体" w:cs="方正小标宋简体"/>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1"/>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2877" w:leftChars="608" w:hanging="1600" w:hangingChars="500"/>
        <w:jc w:val="left"/>
        <w:rPr>
          <w:rFonts w:eastAsia="仿宋_GB2312"/>
          <w:kern w:val="0"/>
          <w:sz w:val="32"/>
          <w:szCs w:val="32"/>
        </w:rPr>
      </w:pPr>
      <w:r>
        <w:rPr>
          <w:rFonts w:eastAsia="仿宋_GB2312"/>
          <w:kern w:val="0"/>
          <w:sz w:val="32"/>
          <w:szCs w:val="32"/>
        </w:rPr>
        <w:t>项目名称：</w:t>
      </w:r>
      <w:r>
        <w:rPr>
          <w:rFonts w:hint="default" w:eastAsia="仿宋_GB2312"/>
          <w:kern w:val="0"/>
          <w:sz w:val="32"/>
          <w:szCs w:val="32"/>
          <w:lang w:val="en-US" w:eastAsia="zh-CN"/>
        </w:rPr>
        <w:t>2023年国家和自治区矿山安全生产帮扶指导及监督检查</w:t>
      </w:r>
    </w:p>
    <w:p>
      <w:pPr>
        <w:spacing w:line="700" w:lineRule="exact"/>
        <w:ind w:firstLine="1280" w:firstLineChars="400"/>
        <w:jc w:val="left"/>
        <w:rPr>
          <w:rFonts w:hint="default" w:eastAsia="仿宋_GB2312"/>
          <w:kern w:val="0"/>
          <w:sz w:val="32"/>
          <w:szCs w:val="32"/>
          <w:lang w:val="en-US" w:eastAsia="zh-CN"/>
        </w:rPr>
      </w:pPr>
      <w:r>
        <w:rPr>
          <w:rFonts w:eastAsia="仿宋_GB2312"/>
          <w:kern w:val="0"/>
          <w:sz w:val="32"/>
          <w:szCs w:val="32"/>
        </w:rPr>
        <w:t>实施单位（公章）：</w:t>
      </w:r>
      <w:r>
        <w:rPr>
          <w:rFonts w:hint="eastAsia" w:eastAsia="仿宋_GB2312"/>
          <w:kern w:val="0"/>
          <w:sz w:val="32"/>
          <w:szCs w:val="32"/>
          <w:lang w:val="en-US" w:eastAsia="zh-CN"/>
        </w:rPr>
        <w:t>自治区应急管理厅</w:t>
      </w:r>
    </w:p>
    <w:p>
      <w:pPr>
        <w:spacing w:line="700" w:lineRule="exact"/>
        <w:ind w:firstLine="1280" w:firstLineChars="400"/>
        <w:jc w:val="left"/>
        <w:rPr>
          <w:rFonts w:hint="default" w:eastAsia="仿宋_GB2312"/>
          <w:kern w:val="0"/>
          <w:sz w:val="32"/>
          <w:szCs w:val="32"/>
          <w:lang w:val="en-US" w:eastAsia="zh-CN"/>
        </w:rPr>
      </w:pPr>
      <w:r>
        <w:rPr>
          <w:rFonts w:eastAsia="仿宋_GB2312"/>
          <w:kern w:val="0"/>
          <w:sz w:val="32"/>
          <w:szCs w:val="32"/>
        </w:rPr>
        <w:t>主管部门（公章）：</w:t>
      </w:r>
      <w:r>
        <w:rPr>
          <w:rFonts w:hint="eastAsia" w:eastAsia="仿宋_GB2312"/>
          <w:kern w:val="0"/>
          <w:sz w:val="32"/>
          <w:szCs w:val="32"/>
          <w:lang w:val="en-US" w:eastAsia="zh-CN"/>
        </w:rPr>
        <w:t>自治区应急管理厅</w:t>
      </w:r>
    </w:p>
    <w:p>
      <w:pPr>
        <w:spacing w:line="700" w:lineRule="exact"/>
        <w:ind w:firstLine="1280" w:firstLineChars="400"/>
        <w:jc w:val="left"/>
        <w:rPr>
          <w:rFonts w:hint="eastAsia" w:eastAsia="仿宋_GB2312"/>
          <w:kern w:val="0"/>
          <w:sz w:val="32"/>
          <w:szCs w:val="32"/>
          <w:lang w:eastAsia="zh-CN"/>
        </w:rPr>
      </w:pPr>
      <w:r>
        <w:rPr>
          <w:rFonts w:eastAsia="仿宋_GB2312"/>
          <w:kern w:val="0"/>
          <w:sz w:val="32"/>
          <w:szCs w:val="32"/>
        </w:rPr>
        <w:t>项目负责人（签章）：</w:t>
      </w:r>
      <w:r>
        <w:rPr>
          <w:rFonts w:hint="eastAsia" w:eastAsia="仿宋_GB2312"/>
          <w:kern w:val="0"/>
          <w:sz w:val="32"/>
          <w:szCs w:val="32"/>
          <w:highlight w:val="none"/>
          <w:lang w:val="en-US" w:eastAsia="zh-CN"/>
        </w:rPr>
        <w:t>孙强</w:t>
      </w:r>
    </w:p>
    <w:p>
      <w:pPr>
        <w:spacing w:line="700" w:lineRule="exact"/>
        <w:ind w:firstLine="1280" w:firstLineChars="400"/>
        <w:jc w:val="left"/>
        <w:rPr>
          <w:rStyle w:val="17"/>
          <w:rFonts w:eastAsia="黑体"/>
          <w:b w:val="0"/>
          <w:spacing w:val="-4"/>
          <w:sz w:val="32"/>
          <w:szCs w:val="32"/>
        </w:rPr>
      </w:pPr>
      <w:r>
        <w:rPr>
          <w:rFonts w:eastAsia="仿宋_GB2312"/>
          <w:kern w:val="0"/>
          <w:sz w:val="32"/>
          <w:szCs w:val="32"/>
        </w:rPr>
        <w:t>填报时间：</w:t>
      </w:r>
      <w:r>
        <w:rPr>
          <w:rFonts w:hint="eastAsia" w:eastAsia="仿宋_GB2312"/>
          <w:kern w:val="0"/>
          <w:sz w:val="32"/>
          <w:szCs w:val="32"/>
          <w:lang w:val="en-US" w:eastAsia="zh-CN"/>
        </w:rPr>
        <w:t>2024</w:t>
      </w:r>
      <w:r>
        <w:rPr>
          <w:rFonts w:eastAsia="仿宋_GB2312"/>
          <w:kern w:val="0"/>
          <w:sz w:val="32"/>
          <w:szCs w:val="32"/>
        </w:rPr>
        <w:t>年</w:t>
      </w:r>
      <w:r>
        <w:rPr>
          <w:rFonts w:hint="eastAsia" w:eastAsia="仿宋_GB2312"/>
          <w:kern w:val="0"/>
          <w:sz w:val="32"/>
          <w:szCs w:val="32"/>
          <w:lang w:val="en-US" w:eastAsia="zh-CN"/>
        </w:rPr>
        <w:t>3</w:t>
      </w:r>
      <w:r>
        <w:rPr>
          <w:rFonts w:eastAsia="仿宋_GB2312"/>
          <w:kern w:val="0"/>
          <w:sz w:val="32"/>
          <w:szCs w:val="32"/>
        </w:rPr>
        <w:t>月</w:t>
      </w:r>
      <w:r>
        <w:rPr>
          <w:rFonts w:hint="eastAsia" w:eastAsia="仿宋_GB2312"/>
          <w:kern w:val="0"/>
          <w:sz w:val="32"/>
          <w:szCs w:val="32"/>
          <w:highlight w:val="none"/>
          <w:lang w:val="en-US" w:eastAsia="zh-CN"/>
        </w:rPr>
        <w:t>15</w:t>
      </w:r>
      <w:r>
        <w:rPr>
          <w:rFonts w:eastAsia="仿宋_GB2312"/>
          <w:kern w:val="0"/>
          <w:sz w:val="32"/>
          <w:szCs w:val="32"/>
        </w:rPr>
        <w:t>日</w:t>
      </w: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0" w:firstLineChars="200"/>
        <w:rPr>
          <w:rFonts w:eastAsia="楷体_GB2312"/>
          <w:b w:val="0"/>
          <w:bCs w:val="0"/>
          <w:sz w:val="32"/>
          <w:szCs w:val="32"/>
        </w:rPr>
      </w:pPr>
      <w:r>
        <w:rPr>
          <w:rFonts w:eastAsia="楷体_GB2312"/>
          <w:b w:val="0"/>
          <w:bCs w:val="0"/>
          <w:sz w:val="32"/>
          <w:szCs w:val="32"/>
        </w:rPr>
        <w:t>（一）项目概况</w:t>
      </w:r>
    </w:p>
    <w:p>
      <w:pPr>
        <w:spacing w:line="560" w:lineRule="exact"/>
        <w:ind w:firstLine="640" w:firstLineChars="200"/>
        <w:rPr>
          <w:rFonts w:hint="default" w:ascii="Times New Roman" w:hAnsi="Times New Roman" w:eastAsia="楷体_GB2312" w:cs="Times New Roman"/>
          <w:b w:val="0"/>
          <w:bCs w:val="0"/>
          <w:sz w:val="32"/>
          <w:szCs w:val="32"/>
        </w:rPr>
      </w:pPr>
      <w:r>
        <w:rPr>
          <w:rFonts w:hint="default" w:ascii="Times New Roman" w:hAnsi="Times New Roman" w:eastAsia="楷体_GB2312" w:cs="Times New Roman"/>
          <w:b w:val="0"/>
          <w:bCs w:val="0"/>
          <w:sz w:val="32"/>
          <w:szCs w:val="32"/>
        </w:rPr>
        <w:t>1</w:t>
      </w:r>
      <w:r>
        <w:rPr>
          <w:rFonts w:hint="eastAsia" w:ascii="Times New Roman" w:hAnsi="Times New Roman" w:eastAsia="楷体_GB2312" w:cs="Times New Roman"/>
          <w:b w:val="0"/>
          <w:bCs w:val="0"/>
          <w:sz w:val="32"/>
          <w:szCs w:val="32"/>
          <w:lang w:val="en-US" w:eastAsia="zh-CN"/>
        </w:rPr>
        <w:t>.</w:t>
      </w:r>
      <w:r>
        <w:rPr>
          <w:rFonts w:hint="default" w:ascii="Times New Roman" w:hAnsi="Times New Roman" w:eastAsia="楷体_GB2312" w:cs="Times New Roman"/>
          <w:b w:val="0"/>
          <w:bCs w:val="0"/>
          <w:sz w:val="32"/>
          <w:szCs w:val="32"/>
        </w:rPr>
        <w:t>项目背景</w:t>
      </w:r>
    </w:p>
    <w:p>
      <w:pPr>
        <w:spacing w:line="560" w:lineRule="exact"/>
        <w:ind w:firstLine="640" w:firstLineChars="200"/>
        <w:rPr>
          <w:rStyle w:val="17"/>
          <w:rFonts w:hint="eastAsia" w:eastAsia="黑体"/>
          <w:b w:val="0"/>
          <w:bCs/>
          <w:spacing w:val="-4"/>
          <w:sz w:val="32"/>
          <w:szCs w:val="32"/>
          <w:highlight w:val="yellow"/>
          <w:lang w:eastAsia="zh-CN"/>
        </w:rPr>
      </w:pPr>
      <w:r>
        <w:rPr>
          <w:rFonts w:hint="default" w:ascii="Times New Roman" w:hAnsi="Times New Roman" w:eastAsia="仿宋_GB2312" w:cs="Times New Roman"/>
          <w:color w:val="auto"/>
          <w:sz w:val="32"/>
          <w:szCs w:val="32"/>
          <w:highlight w:val="none"/>
          <w:lang w:bidi="ar"/>
        </w:rPr>
        <w:t>为深入贯彻落实自治区党委马兴瑞书记与应急管理部王祥喜部长关于国家帮扶新疆矿山安全工作的安排部署</w:t>
      </w:r>
      <w:r>
        <w:rPr>
          <w:rFonts w:hint="default" w:ascii="Times New Roman" w:hAnsi="Times New Roman" w:eastAsia="仿宋_GB2312" w:cs="Times New Roman"/>
          <w:color w:val="auto"/>
          <w:sz w:val="32"/>
          <w:szCs w:val="32"/>
          <w:highlight w:val="none"/>
          <w:lang w:eastAsia="zh-CN" w:bidi="ar"/>
        </w:rPr>
        <w:t>，</w:t>
      </w:r>
      <w:r>
        <w:rPr>
          <w:rFonts w:hint="default" w:ascii="Times New Roman" w:hAnsi="Times New Roman" w:eastAsia="仿宋_GB2312" w:cs="Times New Roman"/>
          <w:color w:val="auto"/>
          <w:sz w:val="32"/>
          <w:szCs w:val="32"/>
          <w:highlight w:val="none"/>
          <w:lang w:val="en-US" w:eastAsia="zh-CN" w:bidi="ar"/>
        </w:rPr>
        <w:t>按照《</w:t>
      </w:r>
      <w:r>
        <w:rPr>
          <w:rFonts w:hint="default" w:ascii="Times New Roman" w:hAnsi="Times New Roman" w:eastAsia="仿宋_GB2312" w:cs="Times New Roman"/>
          <w:color w:val="auto"/>
          <w:sz w:val="32"/>
          <w:szCs w:val="32"/>
          <w:highlight w:val="none"/>
          <w:lang w:bidi="ar"/>
        </w:rPr>
        <w:t>国务院安委会办公室对新疆维吾尔自治区矿山安全生产帮扶指导工作方案</w:t>
      </w:r>
      <w:r>
        <w:rPr>
          <w:rFonts w:hint="default" w:ascii="Times New Roman" w:hAnsi="Times New Roman" w:eastAsia="仿宋_GB2312" w:cs="Times New Roman"/>
          <w:color w:val="auto"/>
          <w:sz w:val="32"/>
          <w:szCs w:val="32"/>
          <w:highlight w:val="none"/>
          <w:lang w:val="en-US" w:eastAsia="zh-CN" w:bidi="ar"/>
        </w:rPr>
        <w:t>》和《国家矿山安全监察局综合司关于商请派员赴新疆维吾尔自治区开展矿山安全生产帮扶指导的函》的相关要求，</w:t>
      </w:r>
      <w:r>
        <w:rPr>
          <w:rFonts w:hint="default" w:ascii="Times New Roman" w:hAnsi="Times New Roman" w:eastAsia="仿宋_GB2312" w:cs="Times New Roman"/>
          <w:color w:val="auto"/>
          <w:sz w:val="32"/>
          <w:szCs w:val="32"/>
          <w:highlight w:val="none"/>
          <w:lang w:bidi="ar"/>
        </w:rPr>
        <w:t>国务院安委会办公室定于2023年2月至6月，对新疆矿山安全生产工作进行帮扶指导。</w:t>
      </w:r>
    </w:p>
    <w:p>
      <w:pPr>
        <w:spacing w:line="560" w:lineRule="exact"/>
        <w:ind w:firstLine="640" w:firstLineChars="200"/>
        <w:rPr>
          <w:rFonts w:hint="default" w:ascii="Times New Roman" w:hAnsi="Times New Roman" w:eastAsia="楷体_GB2312" w:cs="Times New Roman"/>
          <w:b w:val="0"/>
          <w:bCs w:val="0"/>
          <w:sz w:val="32"/>
          <w:szCs w:val="32"/>
        </w:rPr>
      </w:pPr>
      <w:r>
        <w:rPr>
          <w:rFonts w:hint="eastAsia" w:ascii="Times New Roman" w:hAnsi="Times New Roman" w:eastAsia="楷体_GB2312" w:cs="Times New Roman"/>
          <w:b w:val="0"/>
          <w:bCs w:val="0"/>
          <w:sz w:val="32"/>
          <w:szCs w:val="32"/>
          <w:lang w:val="en-US" w:eastAsia="zh-CN"/>
        </w:rPr>
        <w:t>2.</w:t>
      </w:r>
      <w:r>
        <w:rPr>
          <w:rFonts w:hint="default" w:ascii="Times New Roman" w:hAnsi="Times New Roman" w:eastAsia="楷体_GB2312" w:cs="Times New Roman"/>
          <w:b w:val="0"/>
          <w:bCs w:val="0"/>
          <w:sz w:val="32"/>
          <w:szCs w:val="32"/>
        </w:rPr>
        <w:t>项目主要内容：</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项目主要内容：</w:t>
      </w:r>
    </w:p>
    <w:p>
      <w:pPr>
        <w:spacing w:line="560" w:lineRule="exact"/>
        <w:ind w:firstLine="640" w:firstLineChars="200"/>
        <w:rPr>
          <w:rFonts w:hint="eastAsia" w:eastAsia="黑体"/>
          <w:highlight w:val="yellow"/>
          <w:lang w:eastAsia="zh-CN"/>
        </w:rPr>
      </w:pPr>
      <w:r>
        <w:rPr>
          <w:rFonts w:hint="default" w:ascii="Times New Roman" w:hAnsi="Times New Roman" w:eastAsia="仿宋_GB2312"/>
          <w:color w:val="auto"/>
          <w:sz w:val="32"/>
          <w:szCs w:val="32"/>
          <w:highlight w:val="none"/>
          <w:lang w:bidi="ar"/>
        </w:rPr>
        <w:t>按照新疆维吾尔自治区党委、政府与应急管理部党委视频会商精神，为深化落实国务院安委会办公室和应急管理部2023年重点工作总体部署，突出矿山领域重点难点堵点问题根治，扎实开展安全专项整治，充分借鉴对山东、贵州、云南矿山</w:t>
      </w:r>
      <w:r>
        <w:rPr>
          <w:rFonts w:hint="default" w:ascii="Times New Roman" w:hAnsi="Times New Roman" w:eastAsia="仿宋_GB2312"/>
          <w:color w:val="auto"/>
          <w:sz w:val="32"/>
          <w:szCs w:val="32"/>
          <w:highlight w:val="none"/>
          <w:lang w:eastAsia="zh-CN" w:bidi="ar"/>
        </w:rPr>
        <w:t>安全督导</w:t>
      </w:r>
      <w:r>
        <w:rPr>
          <w:rFonts w:hint="default" w:ascii="Times New Roman" w:hAnsi="Times New Roman" w:eastAsia="仿宋_GB2312"/>
          <w:color w:val="auto"/>
          <w:sz w:val="32"/>
          <w:szCs w:val="32"/>
          <w:highlight w:val="none"/>
          <w:lang w:bidi="ar"/>
        </w:rPr>
        <w:t>帮扶的好经验好做法，抽调优秀矿山安全监察</w:t>
      </w:r>
      <w:r>
        <w:rPr>
          <w:rFonts w:hint="default" w:ascii="Times New Roman" w:hAnsi="Times New Roman" w:eastAsia="仿宋_GB2312"/>
          <w:color w:val="auto"/>
          <w:sz w:val="32"/>
          <w:szCs w:val="32"/>
          <w:highlight w:val="none"/>
          <w:lang w:eastAsia="zh-CN" w:bidi="ar"/>
        </w:rPr>
        <w:t>人员</w:t>
      </w:r>
      <w:r>
        <w:rPr>
          <w:rFonts w:hint="default" w:ascii="Times New Roman" w:hAnsi="Times New Roman" w:eastAsia="仿宋_GB2312"/>
          <w:color w:val="auto"/>
          <w:sz w:val="32"/>
          <w:szCs w:val="32"/>
          <w:highlight w:val="none"/>
          <w:lang w:bidi="ar"/>
        </w:rPr>
        <w:t>对部分</w:t>
      </w:r>
      <w:r>
        <w:rPr>
          <w:rFonts w:hint="default" w:ascii="Times New Roman" w:hAnsi="Times New Roman" w:eastAsia="仿宋_GB2312"/>
          <w:color w:val="auto"/>
          <w:sz w:val="32"/>
          <w:szCs w:val="32"/>
          <w:highlight w:val="none"/>
          <w:lang w:eastAsia="zh-CN" w:bidi="ar"/>
        </w:rPr>
        <w:t>地（州、市）</w:t>
      </w:r>
      <w:r>
        <w:rPr>
          <w:rFonts w:hint="default" w:ascii="Times New Roman" w:hAnsi="Times New Roman" w:eastAsia="仿宋_GB2312"/>
          <w:color w:val="auto"/>
          <w:sz w:val="32"/>
          <w:szCs w:val="32"/>
          <w:highlight w:val="none"/>
          <w:lang w:bidi="ar"/>
        </w:rPr>
        <w:t>及其矿山安全监管部门进行检查督导，对部分矿山企业开展解剖式监察，找出问题短板，推动整改落实，选树先进典型，提炼推广可操作、可复制的经验做法。针对新疆维吾尔自治区矿山安全特点</w:t>
      </w:r>
      <w:r>
        <w:rPr>
          <w:rFonts w:hint="default" w:ascii="Times New Roman" w:hAnsi="Times New Roman" w:eastAsia="仿宋_GB2312"/>
          <w:color w:val="auto"/>
          <w:sz w:val="32"/>
          <w:szCs w:val="32"/>
          <w:highlight w:val="none"/>
          <w:lang w:eastAsia="zh-CN" w:bidi="ar"/>
        </w:rPr>
        <w:t>，</w:t>
      </w:r>
      <w:r>
        <w:rPr>
          <w:rFonts w:hint="default" w:ascii="Times New Roman" w:hAnsi="Times New Roman" w:eastAsia="仿宋_GB2312"/>
          <w:color w:val="auto"/>
          <w:sz w:val="32"/>
          <w:szCs w:val="32"/>
          <w:highlight w:val="none"/>
          <w:lang w:bidi="ar"/>
        </w:rPr>
        <w:t>在</w:t>
      </w:r>
      <w:r>
        <w:rPr>
          <w:rFonts w:hint="eastAsia" w:eastAsia="仿宋_GB2312"/>
          <w:color w:val="auto"/>
          <w:sz w:val="32"/>
          <w:szCs w:val="32"/>
          <w:highlight w:val="none"/>
          <w:lang w:val="en-US" w:eastAsia="zh-CN" w:bidi="ar"/>
        </w:rPr>
        <w:t>全国各</w:t>
      </w:r>
      <w:r>
        <w:rPr>
          <w:rFonts w:hint="default" w:ascii="Times New Roman" w:hAnsi="Times New Roman" w:eastAsia="仿宋_GB2312"/>
          <w:color w:val="auto"/>
          <w:sz w:val="32"/>
          <w:szCs w:val="32"/>
          <w:highlight w:val="none"/>
          <w:lang w:bidi="ar"/>
        </w:rPr>
        <w:t>科研院所和国有大型矿山企业选派一批瓦斯、水、火和冲击地压等方面的</w:t>
      </w:r>
      <w:r>
        <w:rPr>
          <w:rFonts w:hint="default" w:ascii="Times New Roman" w:hAnsi="Times New Roman" w:eastAsia="仿宋_GB2312"/>
          <w:color w:val="auto"/>
          <w:sz w:val="32"/>
          <w:szCs w:val="32"/>
          <w:highlight w:val="none"/>
          <w:lang w:eastAsia="zh-CN" w:bidi="ar"/>
        </w:rPr>
        <w:t>煤矿、非煤矿山行业技术</w:t>
      </w:r>
      <w:r>
        <w:rPr>
          <w:rFonts w:hint="default" w:ascii="Times New Roman" w:hAnsi="Times New Roman" w:eastAsia="仿宋_GB2312"/>
          <w:color w:val="auto"/>
          <w:sz w:val="32"/>
          <w:szCs w:val="32"/>
          <w:highlight w:val="none"/>
          <w:lang w:bidi="ar"/>
        </w:rPr>
        <w:t>专家深入矿区指导服务。</w:t>
      </w:r>
      <w:r>
        <w:rPr>
          <w:rFonts w:hint="default" w:eastAsia="仿宋_GB2312"/>
          <w:color w:val="auto"/>
          <w:sz w:val="32"/>
          <w:szCs w:val="32"/>
          <w:highlight w:val="none"/>
          <w:lang w:val="en-US" w:eastAsia="zh-CN" w:bidi="ar"/>
        </w:rPr>
        <w:t>向属地</w:t>
      </w:r>
      <w:r>
        <w:rPr>
          <w:rFonts w:hint="default" w:ascii="Times New Roman" w:hAnsi="Times New Roman" w:eastAsia="仿宋_GB2312"/>
          <w:color w:val="auto"/>
          <w:sz w:val="32"/>
          <w:szCs w:val="32"/>
          <w:highlight w:val="none"/>
          <w:lang w:bidi="ar"/>
        </w:rPr>
        <w:t>政府提出加强矿山安全生产工作的建议，督促整改落实，推动解决根本性、深层次</w:t>
      </w:r>
      <w:r>
        <w:rPr>
          <w:rFonts w:hint="default" w:ascii="Times New Roman" w:hAnsi="Times New Roman" w:eastAsia="仿宋_GB2312"/>
          <w:color w:val="auto"/>
          <w:sz w:val="32"/>
          <w:szCs w:val="32"/>
          <w:highlight w:val="none"/>
          <w:lang w:eastAsia="zh-CN" w:bidi="ar"/>
        </w:rPr>
        <w:t>、</w:t>
      </w:r>
      <w:r>
        <w:rPr>
          <w:rFonts w:hint="default" w:ascii="Times New Roman" w:hAnsi="Times New Roman" w:eastAsia="仿宋_GB2312"/>
          <w:color w:val="auto"/>
          <w:w w:val="100"/>
          <w:sz w:val="32"/>
          <w:szCs w:val="32"/>
          <w:highlight w:val="none"/>
          <w:lang w:eastAsia="zh-CN" w:bidi="ar"/>
        </w:rPr>
        <w:t>“</w:t>
      </w:r>
      <w:r>
        <w:rPr>
          <w:rFonts w:hint="default" w:ascii="Times New Roman" w:hAnsi="Times New Roman" w:eastAsia="仿宋_GB2312"/>
          <w:color w:val="auto"/>
          <w:sz w:val="32"/>
          <w:szCs w:val="32"/>
          <w:highlight w:val="none"/>
          <w:lang w:bidi="ar"/>
        </w:rPr>
        <w:t>老大难</w:t>
      </w:r>
      <w:r>
        <w:rPr>
          <w:rFonts w:hint="default" w:ascii="Times New Roman" w:hAnsi="Times New Roman" w:eastAsia="仿宋_GB2312"/>
          <w:color w:val="auto"/>
          <w:sz w:val="32"/>
          <w:szCs w:val="32"/>
          <w:highlight w:val="none"/>
          <w:lang w:eastAsia="zh-CN" w:bidi="ar"/>
        </w:rPr>
        <w:t>”</w:t>
      </w:r>
      <w:r>
        <w:rPr>
          <w:rFonts w:hint="default" w:ascii="Times New Roman" w:hAnsi="Times New Roman" w:eastAsia="仿宋_GB2312"/>
          <w:color w:val="auto"/>
          <w:sz w:val="32"/>
          <w:szCs w:val="32"/>
          <w:highlight w:val="none"/>
          <w:lang w:bidi="ar"/>
        </w:rPr>
        <w:t>问题。</w:t>
      </w:r>
    </w:p>
    <w:p>
      <w:pPr>
        <w:spacing w:line="560" w:lineRule="exact"/>
        <w:ind w:firstLine="640" w:firstLineChars="200"/>
      </w:pPr>
      <w:r>
        <w:rPr>
          <w:rFonts w:eastAsia="仿宋_GB2312"/>
          <w:sz w:val="32"/>
          <w:szCs w:val="32"/>
        </w:rPr>
        <w:t>项目实施情况：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bidi="ar"/>
        </w:rPr>
      </w:pPr>
      <w:r>
        <w:rPr>
          <w:rFonts w:hint="eastAsia" w:eastAsia="楷体_GB2312" w:cs="Times New Roman"/>
          <w:color w:val="333333"/>
          <w:sz w:val="32"/>
          <w:szCs w:val="32"/>
          <w:highlight w:val="none"/>
          <w:lang w:val="en-US" w:eastAsia="zh-CN" w:bidi="ar"/>
        </w:rPr>
        <w:t>（1）</w:t>
      </w:r>
      <w:r>
        <w:rPr>
          <w:rFonts w:hint="default" w:ascii="Times New Roman" w:hAnsi="Times New Roman" w:eastAsia="楷体_GB2312" w:cs="Times New Roman"/>
          <w:color w:val="333333"/>
          <w:sz w:val="32"/>
          <w:szCs w:val="32"/>
          <w:highlight w:val="none"/>
          <w:lang w:val="en-US" w:eastAsia="zh-CN" w:bidi="ar"/>
        </w:rPr>
        <w:t>国家帮扶组：</w:t>
      </w:r>
      <w:r>
        <w:rPr>
          <w:rFonts w:hint="default" w:ascii="Times New Roman" w:hAnsi="Times New Roman" w:eastAsia="仿宋_GB2312" w:cs="Times New Roman"/>
          <w:color w:val="auto"/>
          <w:sz w:val="32"/>
          <w:szCs w:val="32"/>
          <w:highlight w:val="none"/>
          <w:lang w:bidi="ar"/>
        </w:rPr>
        <w:t>国家帮扶指导组邀请</w:t>
      </w:r>
      <w:r>
        <w:rPr>
          <w:rFonts w:hint="default" w:ascii="Times New Roman" w:hAnsi="Times New Roman" w:eastAsia="仿宋_GB2312" w:cs="Times New Roman"/>
          <w:color w:val="auto"/>
          <w:sz w:val="32"/>
          <w:szCs w:val="32"/>
          <w:highlight w:val="none"/>
          <w:lang w:val="en-US" w:eastAsia="zh-CN" w:bidi="ar"/>
        </w:rPr>
        <w:t>110余</w:t>
      </w:r>
      <w:r>
        <w:rPr>
          <w:rFonts w:hint="default" w:ascii="Times New Roman" w:hAnsi="Times New Roman" w:eastAsia="仿宋_GB2312" w:cs="Times New Roman"/>
          <w:color w:val="auto"/>
          <w:sz w:val="32"/>
          <w:szCs w:val="32"/>
          <w:highlight w:val="none"/>
          <w:lang w:bidi="ar"/>
        </w:rPr>
        <w:t>名国内矿山行业专家对</w:t>
      </w:r>
      <w:r>
        <w:rPr>
          <w:rFonts w:hint="default" w:ascii="Times New Roman" w:hAnsi="Times New Roman" w:eastAsia="仿宋_GB2312" w:cs="Times New Roman"/>
          <w:color w:val="auto"/>
          <w:sz w:val="32"/>
          <w:szCs w:val="32"/>
          <w:highlight w:val="none"/>
          <w:lang w:val="en-US" w:eastAsia="zh-CN" w:bidi="ar"/>
        </w:rPr>
        <w:t>伊犁州、昌吉州、哈密市三个重点州（市）矿山安全监管部门和矿山企业的帮扶检查，对塔城地区、阿勒泰地区、博州、乌鲁木齐市、吐鲁番市、巴州、阿克苏地区、喀什地区、和田地区和克州等10个地（州、市）延伸示范检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bidi="ar"/>
        </w:rPr>
      </w:pPr>
      <w:r>
        <w:rPr>
          <w:rFonts w:hint="eastAsia" w:eastAsia="楷体_GB2312" w:cs="Times New Roman"/>
          <w:color w:val="333333"/>
          <w:sz w:val="32"/>
          <w:szCs w:val="32"/>
          <w:highlight w:val="none"/>
          <w:lang w:val="en-US" w:eastAsia="zh-CN" w:bidi="ar"/>
        </w:rPr>
        <w:t>（2）</w:t>
      </w:r>
      <w:r>
        <w:rPr>
          <w:rFonts w:hint="default" w:ascii="Times New Roman" w:hAnsi="Times New Roman" w:eastAsia="楷体_GB2312" w:cs="Times New Roman"/>
          <w:color w:val="333333"/>
          <w:sz w:val="32"/>
          <w:szCs w:val="32"/>
          <w:highlight w:val="none"/>
          <w:lang w:val="en-US" w:eastAsia="zh-CN" w:bidi="ar"/>
        </w:rPr>
        <w:t>自治区帮扶组：</w:t>
      </w:r>
      <w:r>
        <w:rPr>
          <w:rFonts w:hint="default" w:ascii="Times New Roman" w:hAnsi="Times New Roman" w:eastAsia="仿宋_GB2312" w:cs="Times New Roman"/>
          <w:color w:val="auto"/>
          <w:sz w:val="32"/>
          <w:szCs w:val="32"/>
          <w:highlight w:val="none"/>
          <w:lang w:val="en-US" w:eastAsia="zh-CN" w:bidi="ar"/>
        </w:rPr>
        <w:t>自治区安委会办公室从各级矿山安全监管人员、科研院所和国有大型矿山企业选派矿山安全生产专家，由自治区应急管理厅会同国家矿山安全监察局新疆局组成自治区矿山安全帮扶指导工作组，对乌鲁木齐市、塔城地区、阿勒泰地区</w:t>
      </w:r>
      <w:r>
        <w:rPr>
          <w:rFonts w:hint="eastAsia" w:eastAsia="仿宋_GB2312" w:cs="Times New Roman"/>
          <w:color w:val="auto"/>
          <w:sz w:val="32"/>
          <w:szCs w:val="32"/>
          <w:highlight w:val="none"/>
          <w:lang w:val="en-US" w:eastAsia="zh-CN" w:bidi="ar"/>
        </w:rPr>
        <w:t>、</w:t>
      </w:r>
      <w:r>
        <w:rPr>
          <w:rFonts w:hint="default" w:ascii="Times New Roman" w:hAnsi="Times New Roman" w:eastAsia="仿宋_GB2312" w:cs="Times New Roman"/>
          <w:color w:val="auto"/>
          <w:sz w:val="32"/>
          <w:szCs w:val="32"/>
          <w:highlight w:val="none"/>
          <w:lang w:val="en-US" w:eastAsia="zh-CN" w:bidi="ar"/>
        </w:rPr>
        <w:t>博州、吐鲁番市、巴州、阿克苏地区、克州、喀什地区、和田地区等地、县两级政府和部门履行矿山安全监管职责检查指导，对正常生产建设煤矿、金属与非金属矿山检查，对长期停产停建煤矿、金属与非金属矿山巡查。</w:t>
      </w:r>
    </w:p>
    <w:p>
      <w:pPr>
        <w:keepNext w:val="0"/>
        <w:keepLines w:val="0"/>
        <w:pageBreakBefore w:val="0"/>
        <w:widowControl w:val="0"/>
        <w:kinsoku/>
        <w:wordWrap/>
        <w:overflowPunct/>
        <w:topLinePunct w:val="0"/>
        <w:autoSpaceDE/>
        <w:autoSpaceDN/>
        <w:bidi w:val="0"/>
        <w:adjustRightInd/>
        <w:spacing w:line="560" w:lineRule="exact"/>
        <w:ind w:firstLine="644" w:firstLineChars="200"/>
        <w:textAlignment w:val="auto"/>
        <w:rPr>
          <w:rFonts w:hint="default" w:ascii="Times New Roman" w:hAnsi="Times New Roman" w:eastAsia="仿宋_GB2312" w:cs="Times New Roman"/>
          <w:color w:val="auto"/>
          <w:spacing w:val="1"/>
          <w:sz w:val="32"/>
          <w:szCs w:val="32"/>
          <w:highlight w:val="none"/>
          <w:lang w:val="en-US" w:eastAsia="zh-CN"/>
        </w:rPr>
      </w:pPr>
      <w:r>
        <w:rPr>
          <w:rFonts w:hint="eastAsia" w:eastAsia="楷体_GB2312" w:cs="Times New Roman"/>
          <w:color w:val="auto"/>
          <w:spacing w:val="1"/>
          <w:sz w:val="32"/>
          <w:szCs w:val="32"/>
          <w:highlight w:val="none"/>
          <w:lang w:val="en-US" w:eastAsia="zh-CN"/>
        </w:rPr>
        <w:t>（3）</w:t>
      </w:r>
      <w:r>
        <w:rPr>
          <w:rFonts w:hint="default" w:ascii="Times New Roman" w:hAnsi="Times New Roman" w:eastAsia="楷体_GB2312" w:cs="Times New Roman"/>
          <w:color w:val="auto"/>
          <w:spacing w:val="1"/>
          <w:sz w:val="32"/>
          <w:szCs w:val="32"/>
          <w:highlight w:val="none"/>
          <w:lang w:val="en-US" w:eastAsia="zh-CN"/>
        </w:rPr>
        <w:t>跟班学习和培训。</w:t>
      </w:r>
      <w:r>
        <w:rPr>
          <w:rFonts w:hint="default" w:ascii="Times New Roman" w:hAnsi="Times New Roman" w:eastAsia="仿宋_GB2312" w:cs="Times New Roman"/>
          <w:color w:val="auto"/>
          <w:spacing w:val="1"/>
          <w:sz w:val="32"/>
          <w:szCs w:val="32"/>
          <w:highlight w:val="none"/>
          <w:lang w:val="en-US" w:eastAsia="zh-CN"/>
        </w:rPr>
        <w:t>自治区应急管理厅从各级矿山安全监管部门选派监管人员，</w:t>
      </w:r>
      <w:r>
        <w:rPr>
          <w:rFonts w:hint="default" w:ascii="Times New Roman" w:hAnsi="Times New Roman" w:eastAsia="仿宋_GB2312" w:cs="Times New Roman"/>
          <w:color w:val="auto"/>
          <w:sz w:val="32"/>
          <w:szCs w:val="32"/>
          <w:highlight w:val="none"/>
          <w:lang w:val="en-US" w:eastAsia="zh-CN" w:bidi="ar"/>
        </w:rPr>
        <w:t>采取跟班学习的方式参与延伸示范检查，提升监管能力水平。并邀请国家矿山帮扶指导组的优秀监察干部和具有丰富经验的行业领域专家利用周末休息时间</w:t>
      </w:r>
      <w:r>
        <w:rPr>
          <w:rFonts w:hint="default" w:ascii="Times New Roman" w:hAnsi="Times New Roman" w:eastAsia="仿宋_GB2312" w:cs="Times New Roman"/>
          <w:color w:val="auto"/>
          <w:spacing w:val="1"/>
          <w:sz w:val="32"/>
          <w:szCs w:val="32"/>
          <w:highlight w:val="none"/>
          <w:lang w:val="en-US" w:eastAsia="zh-CN"/>
        </w:rPr>
        <w:t>对全区矿山安全监管人员，就矿山安全法律法规、矿山安全重大风险辨识管控、矿山灾害防治、矿山重大隐患判定、矿山安全诊断、矿山智能化建设进行专题辅导。</w:t>
      </w:r>
    </w:p>
    <w:p>
      <w:pPr>
        <w:spacing w:line="560" w:lineRule="exact"/>
        <w:ind w:firstLine="644" w:firstLineChars="200"/>
        <w:rPr>
          <w:rFonts w:eastAsia="仿宋_GB2312"/>
          <w:b/>
          <w:bCs/>
          <w:sz w:val="32"/>
          <w:szCs w:val="32"/>
        </w:rPr>
      </w:pPr>
      <w:r>
        <w:rPr>
          <w:rFonts w:hint="default" w:ascii="Times New Roman" w:hAnsi="Times New Roman" w:eastAsia="楷体_GB2312" w:cs="Times New Roman"/>
          <w:color w:val="auto"/>
          <w:spacing w:val="1"/>
          <w:sz w:val="32"/>
          <w:szCs w:val="32"/>
          <w:highlight w:val="none"/>
          <w:lang w:val="en-US" w:eastAsia="zh-CN"/>
        </w:rPr>
        <w:t>（4）问题隐患</w:t>
      </w:r>
      <w:r>
        <w:rPr>
          <w:rFonts w:hint="eastAsia" w:ascii="楷体_GB2312" w:hAnsi="楷体_GB2312" w:eastAsia="楷体_GB2312" w:cs="楷体_GB2312"/>
          <w:color w:val="auto"/>
          <w:spacing w:val="1"/>
          <w:sz w:val="32"/>
          <w:szCs w:val="32"/>
          <w:highlight w:val="none"/>
          <w:lang w:val="en-US" w:eastAsia="zh-CN"/>
        </w:rPr>
        <w:t>“回头看”</w:t>
      </w:r>
      <w:r>
        <w:rPr>
          <w:rFonts w:hint="default" w:ascii="Times New Roman" w:hAnsi="Times New Roman" w:eastAsia="楷体_GB2312" w:cs="Times New Roman"/>
          <w:color w:val="auto"/>
          <w:spacing w:val="1"/>
          <w:sz w:val="32"/>
          <w:szCs w:val="32"/>
          <w:highlight w:val="none"/>
          <w:lang w:val="en-US" w:eastAsia="zh-CN"/>
        </w:rPr>
        <w:t>：</w:t>
      </w:r>
      <w:r>
        <w:rPr>
          <w:rFonts w:hint="default" w:ascii="Times New Roman" w:hAnsi="Times New Roman" w:eastAsia="仿宋_GB2312" w:cs="Times New Roman"/>
          <w:color w:val="auto"/>
          <w:spacing w:val="1"/>
          <w:sz w:val="32"/>
          <w:szCs w:val="32"/>
          <w:highlight w:val="none"/>
          <w:lang w:val="en-US" w:eastAsia="zh-CN"/>
        </w:rPr>
        <w:t>按照自治区党委、政府统一部署，全面做好国家帮扶指</w:t>
      </w:r>
      <w:r>
        <w:rPr>
          <w:rFonts w:hint="default" w:ascii="仿宋_GB2312" w:hAnsi="仿宋_GB2312" w:eastAsia="仿宋_GB2312" w:cs="仿宋_GB2312"/>
          <w:color w:val="auto"/>
          <w:spacing w:val="1"/>
          <w:sz w:val="32"/>
          <w:szCs w:val="32"/>
          <w:highlight w:val="none"/>
          <w:lang w:val="en-US" w:eastAsia="zh-CN"/>
        </w:rPr>
        <w:t>导“后半篇”</w:t>
      </w:r>
      <w:r>
        <w:rPr>
          <w:rFonts w:hint="default" w:ascii="Times New Roman" w:hAnsi="Times New Roman" w:eastAsia="仿宋_GB2312" w:cs="Times New Roman"/>
          <w:color w:val="auto"/>
          <w:spacing w:val="1"/>
          <w:sz w:val="32"/>
          <w:szCs w:val="32"/>
          <w:highlight w:val="none"/>
          <w:lang w:val="en-US" w:eastAsia="zh-CN"/>
        </w:rPr>
        <w:t>文章，确保国家帮扶检查发现问题隐患，特别是重大隐患，100%从严从实整改到位，实现问题隐患闭环管理，最大限度消除安全生产风险隐患，自治区应急管理厅按照国家帮扶检查的标准和模式，组织对</w:t>
      </w:r>
      <w:r>
        <w:rPr>
          <w:rFonts w:hint="eastAsia" w:eastAsia="仿宋_GB2312" w:cs="Times New Roman"/>
          <w:color w:val="auto"/>
          <w:spacing w:val="1"/>
          <w:sz w:val="32"/>
          <w:szCs w:val="32"/>
          <w:highlight w:val="none"/>
          <w:lang w:val="en-US" w:eastAsia="zh-CN"/>
        </w:rPr>
        <w:t>国家和自治区帮扶指导检查的</w:t>
      </w:r>
      <w:r>
        <w:rPr>
          <w:rFonts w:hint="default" w:ascii="Times New Roman" w:hAnsi="Times New Roman" w:eastAsia="仿宋_GB2312" w:cs="Times New Roman"/>
          <w:color w:val="auto"/>
          <w:spacing w:val="1"/>
          <w:sz w:val="32"/>
          <w:szCs w:val="32"/>
          <w:highlight w:val="none"/>
          <w:lang w:val="en-US" w:eastAsia="zh-CN"/>
        </w:rPr>
        <w:t>地、县政府，</w:t>
      </w:r>
      <w:r>
        <w:rPr>
          <w:rFonts w:hint="eastAsia" w:eastAsia="仿宋_GB2312" w:cs="Times New Roman"/>
          <w:color w:val="auto"/>
          <w:spacing w:val="1"/>
          <w:sz w:val="32"/>
          <w:szCs w:val="32"/>
          <w:highlight w:val="none"/>
          <w:lang w:val="en-US" w:eastAsia="zh-CN"/>
        </w:rPr>
        <w:t>矿山</w:t>
      </w:r>
      <w:r>
        <w:rPr>
          <w:rFonts w:hint="default" w:ascii="Times New Roman" w:hAnsi="Times New Roman" w:eastAsia="仿宋_GB2312" w:cs="Times New Roman"/>
          <w:color w:val="auto"/>
          <w:spacing w:val="1"/>
          <w:sz w:val="32"/>
          <w:szCs w:val="32"/>
          <w:highlight w:val="none"/>
          <w:lang w:val="en-US" w:eastAsia="zh-CN"/>
        </w:rPr>
        <w:t>监管部门和</w:t>
      </w:r>
      <w:r>
        <w:rPr>
          <w:rFonts w:hint="eastAsia" w:eastAsia="仿宋_GB2312" w:cs="Times New Roman"/>
          <w:color w:val="auto"/>
          <w:spacing w:val="1"/>
          <w:sz w:val="32"/>
          <w:szCs w:val="32"/>
          <w:highlight w:val="none"/>
          <w:lang w:val="en-US" w:eastAsia="zh-CN"/>
        </w:rPr>
        <w:t>重点</w:t>
      </w:r>
      <w:r>
        <w:rPr>
          <w:rFonts w:hint="default" w:ascii="Times New Roman" w:hAnsi="Times New Roman" w:eastAsia="仿宋_GB2312" w:cs="Times New Roman"/>
          <w:color w:val="auto"/>
          <w:spacing w:val="1"/>
          <w:sz w:val="32"/>
          <w:szCs w:val="32"/>
          <w:highlight w:val="none"/>
          <w:lang w:val="en-US" w:eastAsia="zh-CN"/>
        </w:rPr>
        <w:t>矿山企业开展</w:t>
      </w:r>
      <w:r>
        <w:rPr>
          <w:rFonts w:hint="eastAsia" w:ascii="仿宋_GB2312" w:hAnsi="仿宋_GB2312" w:eastAsia="仿宋_GB2312" w:cs="仿宋_GB2312"/>
          <w:color w:val="auto"/>
          <w:spacing w:val="1"/>
          <w:sz w:val="32"/>
          <w:szCs w:val="32"/>
          <w:highlight w:val="none"/>
          <w:lang w:val="en-US" w:eastAsia="zh-CN"/>
        </w:rPr>
        <w:t>“回头看”</w:t>
      </w:r>
      <w:r>
        <w:rPr>
          <w:rFonts w:hint="default" w:ascii="Times New Roman" w:hAnsi="Times New Roman" w:eastAsia="仿宋_GB2312" w:cs="Times New Roman"/>
          <w:color w:val="auto"/>
          <w:spacing w:val="1"/>
          <w:sz w:val="32"/>
          <w:szCs w:val="32"/>
          <w:highlight w:val="none"/>
          <w:lang w:val="en-US" w:eastAsia="zh-CN"/>
        </w:rPr>
        <w:t>。</w:t>
      </w:r>
    </w:p>
    <w:p>
      <w:pPr>
        <w:spacing w:line="560" w:lineRule="exact"/>
        <w:ind w:firstLine="640" w:firstLineChars="200"/>
        <w:rPr>
          <w:rFonts w:hint="default" w:ascii="Times New Roman" w:hAnsi="Times New Roman" w:eastAsia="楷体_GB2312" w:cs="Times New Roman"/>
          <w:b w:val="0"/>
          <w:bCs w:val="0"/>
          <w:sz w:val="32"/>
          <w:szCs w:val="32"/>
        </w:rPr>
      </w:pPr>
      <w:r>
        <w:rPr>
          <w:rFonts w:hint="default" w:ascii="Times New Roman" w:hAnsi="Times New Roman" w:eastAsia="楷体_GB2312" w:cs="Times New Roman"/>
          <w:b w:val="0"/>
          <w:bCs w:val="0"/>
          <w:sz w:val="32"/>
          <w:szCs w:val="32"/>
        </w:rPr>
        <w:t>3、资金投入和使用情况</w:t>
      </w:r>
    </w:p>
    <w:p>
      <w:pPr>
        <w:spacing w:line="560" w:lineRule="exact"/>
        <w:ind w:firstLine="644" w:firstLineChars="200"/>
        <w:rPr>
          <w:rFonts w:hint="default" w:ascii="Times New Roman" w:hAnsi="Times New Roman" w:eastAsia="楷体_GB2312" w:cs="Times New Roman"/>
          <w:color w:val="auto"/>
          <w:spacing w:val="1"/>
          <w:sz w:val="32"/>
          <w:szCs w:val="32"/>
          <w:highlight w:val="none"/>
          <w:lang w:val="en-US" w:eastAsia="zh-CN"/>
        </w:rPr>
      </w:pPr>
      <w:r>
        <w:rPr>
          <w:rFonts w:hint="eastAsia" w:ascii="Times New Roman" w:hAnsi="Times New Roman" w:eastAsia="楷体_GB2312" w:cs="Times New Roman"/>
          <w:color w:val="auto"/>
          <w:spacing w:val="1"/>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该项目年初预算数0万元，全年预算数1173.81万元（年中追加资金），实际总投入1173.81万元，该项目资金已全部落实到位1173.81万元，资金来源为自治区财政拨款。</w:t>
      </w:r>
    </w:p>
    <w:p>
      <w:pPr>
        <w:spacing w:line="560" w:lineRule="exact"/>
        <w:ind w:firstLine="644" w:firstLineChars="200"/>
        <w:rPr>
          <w:rFonts w:hint="eastAsia" w:ascii="Times New Roman" w:hAnsi="Times New Roman" w:eastAsia="楷体_GB2312" w:cs="Times New Roman"/>
          <w:color w:val="auto"/>
          <w:spacing w:val="1"/>
          <w:sz w:val="32"/>
          <w:szCs w:val="32"/>
          <w:highlight w:val="none"/>
          <w:lang w:val="en-US" w:eastAsia="zh-CN"/>
        </w:rPr>
      </w:pPr>
      <w:r>
        <w:rPr>
          <w:rFonts w:hint="eastAsia" w:ascii="Times New Roman" w:hAnsi="Times New Roman" w:eastAsia="楷体_GB2312" w:cs="Times New Roman"/>
          <w:color w:val="auto"/>
          <w:spacing w:val="1"/>
          <w:sz w:val="32"/>
          <w:szCs w:val="32"/>
          <w:highlight w:val="none"/>
          <w:lang w:val="en-US" w:eastAsia="zh-CN"/>
        </w:rPr>
        <w:t>（2）资金使用情况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w:t>
      </w:r>
      <w:r>
        <w:rPr>
          <w:rFonts w:hint="eastAsia"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US" w:eastAsia="zh-CN"/>
        </w:rPr>
        <w:t>1173.81</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（年中追加资金），</w:t>
      </w:r>
      <w:r>
        <w:rPr>
          <w:rFonts w:hint="eastAsia" w:ascii="Times New Roman" w:hAnsi="Times New Roman" w:eastAsia="仿宋_GB2312" w:cs="Times New Roman"/>
          <w:color w:val="auto"/>
          <w:sz w:val="32"/>
          <w:szCs w:val="32"/>
          <w:highlight w:val="none"/>
          <w:lang w:val="en-US" w:eastAsia="zh-CN"/>
        </w:rPr>
        <w:t>全年执行数1173.37万元，预算执行率为99.96%，主要用于：</w:t>
      </w:r>
      <w:r>
        <w:rPr>
          <w:rFonts w:hint="default" w:ascii="Times New Roman" w:hAnsi="Times New Roman" w:eastAsia="仿宋_GB2312" w:cs="Times New Roman"/>
          <w:color w:val="auto"/>
          <w:sz w:val="32"/>
          <w:szCs w:val="32"/>
          <w:highlight w:val="none"/>
          <w:lang w:val="en-US" w:eastAsia="zh-CN"/>
        </w:rPr>
        <w:t>国家帮扶组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自治区帮扶组</w:t>
      </w:r>
      <w:r>
        <w:rPr>
          <w:rFonts w:hint="eastAsia" w:ascii="Times New Roman" w:hAnsi="Times New Roman" w:eastAsia="仿宋_GB2312" w:cs="Times New Roman"/>
          <w:color w:val="auto"/>
          <w:sz w:val="32"/>
          <w:szCs w:val="32"/>
          <w:highlight w:val="none"/>
          <w:lang w:val="en-US" w:eastAsia="zh-CN"/>
        </w:rPr>
        <w:t>、矿山安全监管综合整治“回头看”专家组成员的专家费、交通费、住宿费和</w:t>
      </w:r>
      <w:r>
        <w:rPr>
          <w:rFonts w:hint="default" w:ascii="Times New Roman" w:hAnsi="Times New Roman" w:eastAsia="仿宋_GB2312" w:cs="Times New Roman"/>
          <w:color w:val="auto"/>
          <w:sz w:val="32"/>
          <w:szCs w:val="32"/>
          <w:highlight w:val="none"/>
          <w:lang w:val="en-US" w:eastAsia="zh-CN"/>
        </w:rPr>
        <w:t>自治区各级应急管理干部跟班学习和培训</w:t>
      </w:r>
      <w:r>
        <w:rPr>
          <w:rFonts w:hint="eastAsia" w:ascii="Times New Roman" w:hAnsi="Times New Roman" w:eastAsia="仿宋_GB2312" w:cs="Times New Roman"/>
          <w:color w:val="auto"/>
          <w:sz w:val="32"/>
          <w:szCs w:val="32"/>
          <w:highlight w:val="none"/>
          <w:lang w:val="en-US" w:eastAsia="zh-CN"/>
        </w:rPr>
        <w:t>费用。</w:t>
      </w:r>
    </w:p>
    <w:p>
      <w:pPr>
        <w:spacing w:line="560" w:lineRule="exact"/>
        <w:ind w:firstLine="640" w:firstLineChars="200"/>
        <w:rPr>
          <w:rFonts w:eastAsia="楷体_GB2312"/>
          <w:b w:val="0"/>
          <w:bCs w:val="0"/>
          <w:sz w:val="32"/>
          <w:szCs w:val="32"/>
        </w:rPr>
      </w:pPr>
      <w:r>
        <w:rPr>
          <w:rFonts w:eastAsia="楷体_GB2312"/>
          <w:b w:val="0"/>
          <w:bCs w:val="0"/>
          <w:sz w:val="32"/>
          <w:szCs w:val="32"/>
        </w:rPr>
        <w:t>（二）项目绩效目标</w:t>
      </w:r>
    </w:p>
    <w:p>
      <w:pPr>
        <w:spacing w:line="560" w:lineRule="exact"/>
        <w:ind w:firstLine="640" w:firstLineChars="200"/>
        <w:rPr>
          <w:rFonts w:eastAsia="楷体_GB2312"/>
          <w:b w:val="0"/>
          <w:bCs w:val="0"/>
          <w:sz w:val="32"/>
          <w:szCs w:val="32"/>
        </w:rPr>
      </w:pPr>
      <w:r>
        <w:rPr>
          <w:rFonts w:eastAsia="楷体_GB2312"/>
          <w:b w:val="0"/>
          <w:bCs w:val="0"/>
          <w:sz w:val="32"/>
          <w:szCs w:val="32"/>
        </w:rPr>
        <w:t>1、总体目标</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对全区</w:t>
      </w:r>
      <w:r>
        <w:rPr>
          <w:rFonts w:hint="default" w:ascii="Times New Roman" w:hAnsi="Times New Roman" w:eastAsia="仿宋_GB2312" w:cs="Times New Roman"/>
          <w:sz w:val="32"/>
          <w:szCs w:val="32"/>
          <w:highlight w:val="none"/>
          <w:lang w:val="en-US" w:eastAsia="zh-CN"/>
        </w:rPr>
        <w:t>120处煤矿和230</w:t>
      </w:r>
      <w:r>
        <w:rPr>
          <w:rFonts w:hint="eastAsia" w:ascii="仿宋_GB2312" w:hAnsi="仿宋_GB2312" w:eastAsia="仿宋_GB2312" w:cs="仿宋_GB2312"/>
          <w:sz w:val="32"/>
          <w:szCs w:val="32"/>
          <w:highlight w:val="none"/>
          <w:lang w:val="en-US" w:eastAsia="zh-CN"/>
        </w:rPr>
        <w:t>处非煤矿山开展安全诊断和隐患排查；</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对各</w:t>
      </w:r>
      <w:r>
        <w:rPr>
          <w:rFonts w:hint="default" w:ascii="Times New Roman" w:hAnsi="Times New Roman" w:eastAsia="仿宋_GB2312" w:cs="Times New Roman"/>
          <w:color w:val="auto"/>
          <w:spacing w:val="1"/>
          <w:sz w:val="32"/>
          <w:szCs w:val="32"/>
          <w:highlight w:val="none"/>
          <w:lang w:val="en-US" w:eastAsia="zh-CN"/>
        </w:rPr>
        <w:t>地、县政府，</w:t>
      </w:r>
      <w:r>
        <w:rPr>
          <w:rFonts w:hint="eastAsia" w:eastAsia="仿宋_GB2312" w:cs="Times New Roman"/>
          <w:color w:val="auto"/>
          <w:spacing w:val="1"/>
          <w:sz w:val="32"/>
          <w:szCs w:val="32"/>
          <w:highlight w:val="none"/>
          <w:lang w:val="en-US" w:eastAsia="zh-CN"/>
        </w:rPr>
        <w:t>矿山</w:t>
      </w:r>
      <w:r>
        <w:rPr>
          <w:rFonts w:hint="default" w:ascii="Times New Roman" w:hAnsi="Times New Roman" w:eastAsia="仿宋_GB2312" w:cs="Times New Roman"/>
          <w:color w:val="auto"/>
          <w:spacing w:val="1"/>
          <w:sz w:val="32"/>
          <w:szCs w:val="32"/>
          <w:highlight w:val="none"/>
          <w:lang w:val="en-US" w:eastAsia="zh-CN"/>
        </w:rPr>
        <w:t>监管部门</w:t>
      </w:r>
      <w:r>
        <w:rPr>
          <w:rFonts w:hint="eastAsia" w:eastAsia="仿宋_GB2312" w:cs="Times New Roman"/>
          <w:color w:val="auto"/>
          <w:spacing w:val="1"/>
          <w:sz w:val="32"/>
          <w:szCs w:val="32"/>
          <w:highlight w:val="none"/>
          <w:lang w:val="en-US" w:eastAsia="zh-CN"/>
        </w:rPr>
        <w:t>开展帮扶指导</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为</w:t>
      </w:r>
      <w:r>
        <w:rPr>
          <w:rFonts w:hint="default" w:ascii="Times New Roman" w:hAnsi="Times New Roman" w:eastAsia="仿宋_GB2312" w:cs="Times New Roman"/>
          <w:color w:val="auto"/>
          <w:spacing w:val="1"/>
          <w:sz w:val="32"/>
          <w:szCs w:val="32"/>
          <w:highlight w:val="none"/>
          <w:lang w:val="en-US" w:eastAsia="zh-CN"/>
        </w:rPr>
        <w:t>确保国家帮扶检查发现问题隐患，特别是重大隐患，100%从严从实整改到位</w:t>
      </w:r>
      <w:r>
        <w:rPr>
          <w:rFonts w:hint="eastAsia" w:eastAsia="仿宋_GB2312" w:cs="Times New Roman"/>
          <w:color w:val="auto"/>
          <w:spacing w:val="1"/>
          <w:sz w:val="32"/>
          <w:szCs w:val="32"/>
          <w:highlight w:val="none"/>
          <w:lang w:val="en-US" w:eastAsia="zh-CN"/>
        </w:rPr>
        <w:t>，成立矿山安全监管综合整治</w:t>
      </w:r>
      <w:r>
        <w:rPr>
          <w:rFonts w:hint="eastAsia" w:ascii="仿宋_GB2312" w:hAnsi="仿宋_GB2312" w:eastAsia="仿宋_GB2312" w:cs="仿宋_GB2312"/>
          <w:color w:val="auto"/>
          <w:spacing w:val="1"/>
          <w:sz w:val="32"/>
          <w:szCs w:val="32"/>
          <w:highlight w:val="none"/>
          <w:lang w:val="en-US" w:eastAsia="zh-CN"/>
        </w:rPr>
        <w:t>“回头看”检查组，</w:t>
      </w:r>
      <w:r>
        <w:rPr>
          <w:rFonts w:hint="default" w:ascii="Times New Roman" w:hAnsi="Times New Roman" w:eastAsia="仿宋_GB2312" w:cs="Times New Roman"/>
          <w:color w:val="auto"/>
          <w:spacing w:val="1"/>
          <w:sz w:val="32"/>
          <w:szCs w:val="32"/>
          <w:highlight w:val="none"/>
          <w:lang w:val="en-US" w:eastAsia="zh-CN"/>
        </w:rPr>
        <w:t>对</w:t>
      </w:r>
      <w:r>
        <w:rPr>
          <w:rFonts w:hint="eastAsia" w:eastAsia="仿宋_GB2312" w:cs="Times New Roman"/>
          <w:color w:val="auto"/>
          <w:spacing w:val="1"/>
          <w:sz w:val="32"/>
          <w:szCs w:val="32"/>
          <w:highlight w:val="none"/>
          <w:lang w:val="en-US" w:eastAsia="zh-CN"/>
        </w:rPr>
        <w:t>国家和自治区帮扶指导检查的</w:t>
      </w:r>
      <w:r>
        <w:rPr>
          <w:rFonts w:hint="default" w:ascii="Times New Roman" w:hAnsi="Times New Roman" w:eastAsia="仿宋_GB2312" w:cs="Times New Roman"/>
          <w:color w:val="auto"/>
          <w:spacing w:val="1"/>
          <w:sz w:val="32"/>
          <w:szCs w:val="32"/>
          <w:highlight w:val="none"/>
          <w:lang w:val="en-US" w:eastAsia="zh-CN"/>
        </w:rPr>
        <w:t>地、县政府，</w:t>
      </w:r>
      <w:r>
        <w:rPr>
          <w:rFonts w:hint="eastAsia" w:eastAsia="仿宋_GB2312" w:cs="Times New Roman"/>
          <w:color w:val="auto"/>
          <w:spacing w:val="1"/>
          <w:sz w:val="32"/>
          <w:szCs w:val="32"/>
          <w:highlight w:val="none"/>
          <w:lang w:val="en-US" w:eastAsia="zh-CN"/>
        </w:rPr>
        <w:t>矿山</w:t>
      </w:r>
      <w:r>
        <w:rPr>
          <w:rFonts w:hint="default" w:ascii="Times New Roman" w:hAnsi="Times New Roman" w:eastAsia="仿宋_GB2312" w:cs="Times New Roman"/>
          <w:color w:val="auto"/>
          <w:spacing w:val="1"/>
          <w:sz w:val="32"/>
          <w:szCs w:val="32"/>
          <w:highlight w:val="none"/>
          <w:lang w:val="en-US" w:eastAsia="zh-CN"/>
        </w:rPr>
        <w:t>监管部门和</w:t>
      </w:r>
      <w:r>
        <w:rPr>
          <w:rFonts w:hint="eastAsia" w:eastAsia="仿宋_GB2312" w:cs="Times New Roman"/>
          <w:color w:val="auto"/>
          <w:spacing w:val="1"/>
          <w:sz w:val="32"/>
          <w:szCs w:val="32"/>
          <w:highlight w:val="none"/>
          <w:lang w:val="en-US" w:eastAsia="zh-CN"/>
        </w:rPr>
        <w:t>重点</w:t>
      </w:r>
      <w:r>
        <w:rPr>
          <w:rFonts w:hint="default" w:ascii="Times New Roman" w:hAnsi="Times New Roman" w:eastAsia="仿宋_GB2312" w:cs="Times New Roman"/>
          <w:color w:val="auto"/>
          <w:spacing w:val="1"/>
          <w:sz w:val="32"/>
          <w:szCs w:val="32"/>
          <w:highlight w:val="none"/>
          <w:lang w:val="en-US" w:eastAsia="zh-CN"/>
        </w:rPr>
        <w:t>矿山企业</w:t>
      </w:r>
      <w:r>
        <w:rPr>
          <w:rFonts w:hint="eastAsia" w:ascii="仿宋_GB2312" w:hAnsi="仿宋_GB2312" w:eastAsia="仿宋_GB2312" w:cs="仿宋_GB2312"/>
          <w:color w:val="auto"/>
          <w:spacing w:val="1"/>
          <w:sz w:val="32"/>
          <w:szCs w:val="32"/>
          <w:highlight w:val="none"/>
          <w:lang w:val="en-US" w:eastAsia="zh-CN"/>
        </w:rPr>
        <w:t>“回头看”</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bCs/>
          <w:sz w:val="32"/>
          <w:szCs w:val="32"/>
          <w:highlight w:val="none"/>
          <w:lang w:val="en-US" w:eastAsia="zh-CN"/>
        </w:rPr>
        <w:t>四</w:t>
      </w:r>
      <w:r>
        <w:rPr>
          <w:rFonts w:hint="default" w:ascii="Times New Roman" w:hAnsi="Times New Roman" w:eastAsia="仿宋_GB2312" w:cs="Times New Roman"/>
          <w:b/>
          <w:bCs/>
          <w:sz w:val="32"/>
          <w:szCs w:val="32"/>
          <w:highlight w:val="none"/>
          <w:lang w:val="en-US" w:eastAsia="zh-CN"/>
        </w:rPr>
        <w:t>是</w:t>
      </w:r>
      <w:r>
        <w:rPr>
          <w:rFonts w:hint="default" w:ascii="Times New Roman" w:hAnsi="Times New Roman" w:eastAsia="仿宋_GB2312" w:cs="Times New Roman"/>
          <w:sz w:val="32"/>
          <w:szCs w:val="32"/>
          <w:highlight w:val="none"/>
          <w:lang w:val="en-US" w:eastAsia="zh-CN"/>
        </w:rPr>
        <w:t>对200名各级应急管理干部进行培训；</w:t>
      </w:r>
      <w:r>
        <w:rPr>
          <w:rFonts w:hint="default" w:ascii="Times New Roman" w:hAnsi="Times New Roman" w:eastAsia="仿宋_GB2312" w:cs="Times New Roman"/>
          <w:b/>
          <w:bCs/>
          <w:sz w:val="32"/>
          <w:szCs w:val="32"/>
          <w:highlight w:val="none"/>
          <w:lang w:val="en-US" w:eastAsia="zh-CN"/>
        </w:rPr>
        <w:t>五是</w:t>
      </w:r>
      <w:r>
        <w:rPr>
          <w:rFonts w:hint="default" w:ascii="Times New Roman" w:hAnsi="Times New Roman" w:eastAsia="仿宋_GB2312" w:cs="Times New Roman"/>
          <w:sz w:val="32"/>
          <w:szCs w:val="32"/>
          <w:highlight w:val="none"/>
          <w:lang w:val="en-US" w:eastAsia="zh-CN"/>
        </w:rPr>
        <w:t>确保重大隐患挂牌督办率100%，问题隐患整改率≥95%</w:t>
      </w:r>
      <w:r>
        <w:rPr>
          <w:rFonts w:hint="eastAsia" w:ascii="仿宋_GB2312" w:hAnsi="仿宋_GB2312" w:eastAsia="仿宋_GB2312" w:cs="仿宋_GB2312"/>
          <w:sz w:val="32"/>
          <w:szCs w:val="32"/>
          <w:highlight w:val="none"/>
          <w:lang w:val="en-US" w:eastAsia="zh-CN"/>
        </w:rPr>
        <w:t>。</w:t>
      </w:r>
    </w:p>
    <w:p>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楷体_GB2312"/>
          <w:b w:val="0"/>
          <w:bCs w:val="0"/>
          <w:sz w:val="32"/>
          <w:szCs w:val="32"/>
        </w:rPr>
        <w:t>2、阶段性目标</w:t>
      </w:r>
    </w:p>
    <w:p>
      <w:pPr>
        <w:spacing w:line="560" w:lineRule="exact"/>
        <w:ind w:firstLine="643" w:firstLineChars="200"/>
        <w:rPr>
          <w:rFonts w:hint="default" w:eastAsia="仿宋_GB2312"/>
          <w:b w:val="0"/>
          <w:bCs/>
          <w:lang w:val="en-US" w:eastAsia="zh-CN"/>
        </w:rPr>
      </w:pPr>
      <w:r>
        <w:rPr>
          <w:rFonts w:hint="eastAsia" w:ascii="Times New Roman" w:hAnsi="Times New Roman" w:eastAsia="仿宋_GB2312" w:cs="Times New Roman"/>
          <w:b/>
          <w:bCs/>
          <w:sz w:val="32"/>
          <w:szCs w:val="32"/>
          <w:highlight w:val="none"/>
          <w:lang w:val="en-US" w:eastAsia="zh-CN"/>
        </w:rPr>
        <w:t>一是</w:t>
      </w:r>
      <w:r>
        <w:rPr>
          <w:rFonts w:hint="eastAsia" w:ascii="Times New Roman" w:hAnsi="Times New Roman" w:eastAsia="仿宋_GB2312" w:cs="Times New Roman"/>
          <w:sz w:val="32"/>
          <w:szCs w:val="32"/>
          <w:highlight w:val="none"/>
          <w:lang w:val="en-US" w:eastAsia="zh-CN"/>
        </w:rPr>
        <w:t>2023年2月至6月，</w:t>
      </w:r>
      <w:r>
        <w:rPr>
          <w:rFonts w:hint="default" w:ascii="仿宋_GB2312" w:hAnsi="仿宋_GB2312" w:eastAsia="仿宋_GB2312" w:cs="仿宋_GB2312"/>
          <w:sz w:val="32"/>
          <w:szCs w:val="32"/>
          <w:highlight w:val="none"/>
          <w:lang w:val="en-US" w:eastAsia="zh-CN"/>
        </w:rPr>
        <w:t>国家帮扶组</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自治区帮扶组</w:t>
      </w:r>
      <w:r>
        <w:rPr>
          <w:rFonts w:hint="eastAsia" w:ascii="仿宋_GB2312" w:hAnsi="仿宋_GB2312" w:eastAsia="仿宋_GB2312" w:cs="仿宋_GB2312"/>
          <w:sz w:val="32"/>
          <w:szCs w:val="32"/>
          <w:highlight w:val="none"/>
          <w:lang w:val="en-US" w:eastAsia="zh-CN"/>
        </w:rPr>
        <w:t>对全区</w:t>
      </w:r>
      <w:r>
        <w:rPr>
          <w:rFonts w:hint="default" w:ascii="Times New Roman" w:hAnsi="Times New Roman" w:eastAsia="仿宋_GB2312" w:cs="Times New Roman"/>
          <w:sz w:val="32"/>
          <w:szCs w:val="32"/>
          <w:highlight w:val="none"/>
          <w:lang w:val="en-US" w:eastAsia="zh-CN"/>
        </w:rPr>
        <w:t>120处煤矿和230</w:t>
      </w:r>
      <w:r>
        <w:rPr>
          <w:rFonts w:hint="eastAsia" w:ascii="仿宋_GB2312" w:hAnsi="仿宋_GB2312" w:eastAsia="仿宋_GB2312" w:cs="仿宋_GB2312"/>
          <w:sz w:val="32"/>
          <w:szCs w:val="32"/>
          <w:highlight w:val="none"/>
          <w:lang w:val="en-US" w:eastAsia="zh-CN"/>
        </w:rPr>
        <w:t>处非煤矿山开展安全诊断和隐患排查，并同时对属地</w:t>
      </w:r>
      <w:r>
        <w:rPr>
          <w:rFonts w:hint="default" w:ascii="Times New Roman" w:hAnsi="Times New Roman" w:eastAsia="仿宋_GB2312" w:cs="Times New Roman"/>
          <w:color w:val="auto"/>
          <w:spacing w:val="1"/>
          <w:sz w:val="32"/>
          <w:szCs w:val="32"/>
          <w:highlight w:val="none"/>
          <w:lang w:val="en-US" w:eastAsia="zh-CN"/>
        </w:rPr>
        <w:t>政府</w:t>
      </w:r>
      <w:r>
        <w:rPr>
          <w:rFonts w:hint="eastAsia" w:eastAsia="仿宋_GB2312" w:cs="Times New Roman"/>
          <w:color w:val="auto"/>
          <w:spacing w:val="1"/>
          <w:sz w:val="32"/>
          <w:szCs w:val="32"/>
          <w:highlight w:val="none"/>
          <w:lang w:val="en-US" w:eastAsia="zh-CN"/>
        </w:rPr>
        <w:t>、矿山</w:t>
      </w:r>
      <w:r>
        <w:rPr>
          <w:rFonts w:hint="default" w:ascii="Times New Roman" w:hAnsi="Times New Roman" w:eastAsia="仿宋_GB2312" w:cs="Times New Roman"/>
          <w:color w:val="auto"/>
          <w:spacing w:val="1"/>
          <w:sz w:val="32"/>
          <w:szCs w:val="32"/>
          <w:highlight w:val="none"/>
          <w:lang w:val="en-US" w:eastAsia="zh-CN"/>
        </w:rPr>
        <w:t>监管部门</w:t>
      </w:r>
      <w:r>
        <w:rPr>
          <w:rFonts w:hint="eastAsia" w:eastAsia="仿宋_GB2312" w:cs="Times New Roman"/>
          <w:color w:val="auto"/>
          <w:spacing w:val="1"/>
          <w:sz w:val="32"/>
          <w:szCs w:val="32"/>
          <w:highlight w:val="none"/>
          <w:lang w:val="en-US" w:eastAsia="zh-CN"/>
        </w:rPr>
        <w:t>开展帮扶指</w:t>
      </w:r>
      <w:r>
        <w:rPr>
          <w:rFonts w:hint="eastAsia" w:ascii="Times New Roman" w:hAnsi="Times New Roman" w:eastAsia="仿宋_GB2312" w:cs="Times New Roman"/>
          <w:sz w:val="32"/>
          <w:szCs w:val="32"/>
          <w:highlight w:val="none"/>
          <w:lang w:val="en-US" w:eastAsia="zh-CN"/>
        </w:rPr>
        <w:t>导；</w:t>
      </w:r>
      <w:r>
        <w:rPr>
          <w:rFonts w:hint="eastAsia" w:ascii="Times New Roman" w:hAnsi="Times New Roman" w:eastAsia="仿宋_GB2312" w:cs="Times New Roman"/>
          <w:b/>
          <w:bCs/>
          <w:sz w:val="32"/>
          <w:szCs w:val="32"/>
          <w:highlight w:val="none"/>
          <w:lang w:val="en-US" w:eastAsia="zh-CN"/>
        </w:rPr>
        <w:t>二是</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023年</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至8月，对</w:t>
      </w:r>
      <w:r>
        <w:rPr>
          <w:rFonts w:hint="default" w:ascii="Times New Roman" w:hAnsi="Times New Roman" w:eastAsia="仿宋_GB2312" w:cs="Times New Roman"/>
          <w:sz w:val="32"/>
          <w:szCs w:val="32"/>
          <w:highlight w:val="none"/>
          <w:lang w:val="en-US" w:eastAsia="zh-CN"/>
        </w:rPr>
        <w:t>国家帮扶指导</w:t>
      </w:r>
      <w:r>
        <w:rPr>
          <w:rFonts w:hint="default" w:ascii="Times New Roman" w:hAnsi="Times New Roman" w:eastAsia="仿宋_GB2312" w:cs="Times New Roman"/>
          <w:sz w:val="32"/>
          <w:szCs w:val="32"/>
          <w:highlight w:val="none"/>
        </w:rPr>
        <w:t>检查</w:t>
      </w:r>
      <w:r>
        <w:rPr>
          <w:rFonts w:hint="eastAsia" w:ascii="Times New Roman" w:hAnsi="Times New Roman" w:eastAsia="仿宋_GB2312" w:cs="Times New Roman"/>
          <w:sz w:val="32"/>
          <w:szCs w:val="32"/>
          <w:highlight w:val="none"/>
          <w:lang w:val="en-US" w:eastAsia="zh-CN"/>
        </w:rPr>
        <w:t>综合评定等次为“差”和问题比较集中的地、县地方政府、监管部门和辖区矿山企业开展矿山接续帮扶指导</w:t>
      </w:r>
      <w:r>
        <w:rPr>
          <w:rFonts w:hint="default" w:ascii="Times New Roman" w:hAnsi="Times New Roman" w:eastAsia="仿宋_GB2312" w:cs="Times New Roman"/>
          <w:sz w:val="32"/>
          <w:szCs w:val="32"/>
          <w:highlight w:val="none"/>
        </w:rPr>
        <w:t>工作</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b/>
          <w:bCs/>
          <w:sz w:val="32"/>
          <w:szCs w:val="32"/>
          <w:highlight w:val="none"/>
          <w:lang w:val="en-US" w:eastAsia="zh-CN"/>
        </w:rPr>
        <w:t>三是</w:t>
      </w:r>
      <w:r>
        <w:rPr>
          <w:rFonts w:hint="default" w:ascii="Times New Roman" w:hAnsi="Times New Roman" w:eastAsia="仿宋_GB2312" w:cs="Times New Roman"/>
          <w:sz w:val="32"/>
          <w:szCs w:val="32"/>
          <w:highlight w:val="none"/>
        </w:rPr>
        <w:t>2023年</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至10月，</w:t>
      </w:r>
      <w:r>
        <w:rPr>
          <w:rFonts w:hint="default" w:ascii="Times New Roman" w:hAnsi="Times New Roman" w:eastAsia="仿宋_GB2312" w:cs="Times New Roman"/>
          <w:color w:val="auto"/>
          <w:spacing w:val="1"/>
          <w:sz w:val="32"/>
          <w:szCs w:val="32"/>
          <w:highlight w:val="none"/>
          <w:lang w:val="en-US" w:eastAsia="zh-CN"/>
        </w:rPr>
        <w:t>对</w:t>
      </w:r>
      <w:r>
        <w:rPr>
          <w:rFonts w:hint="eastAsia" w:eastAsia="仿宋_GB2312" w:cs="Times New Roman"/>
          <w:color w:val="auto"/>
          <w:spacing w:val="1"/>
          <w:sz w:val="32"/>
          <w:szCs w:val="32"/>
          <w:highlight w:val="none"/>
          <w:lang w:val="en-US" w:eastAsia="zh-CN"/>
        </w:rPr>
        <w:t>国家和自治区帮扶指导检查的</w:t>
      </w:r>
      <w:r>
        <w:rPr>
          <w:rFonts w:hint="default" w:ascii="Times New Roman" w:hAnsi="Times New Roman" w:eastAsia="仿宋_GB2312" w:cs="Times New Roman"/>
          <w:color w:val="auto"/>
          <w:spacing w:val="1"/>
          <w:sz w:val="32"/>
          <w:szCs w:val="32"/>
          <w:highlight w:val="none"/>
          <w:lang w:val="en-US" w:eastAsia="zh-CN"/>
        </w:rPr>
        <w:t>地、县政府，</w:t>
      </w:r>
      <w:r>
        <w:rPr>
          <w:rFonts w:hint="eastAsia" w:eastAsia="仿宋_GB2312" w:cs="Times New Roman"/>
          <w:color w:val="auto"/>
          <w:spacing w:val="1"/>
          <w:sz w:val="32"/>
          <w:szCs w:val="32"/>
          <w:highlight w:val="none"/>
          <w:lang w:val="en-US" w:eastAsia="zh-CN"/>
        </w:rPr>
        <w:t>矿山</w:t>
      </w:r>
      <w:r>
        <w:rPr>
          <w:rFonts w:hint="default" w:ascii="Times New Roman" w:hAnsi="Times New Roman" w:eastAsia="仿宋_GB2312" w:cs="Times New Roman"/>
          <w:color w:val="auto"/>
          <w:spacing w:val="1"/>
          <w:sz w:val="32"/>
          <w:szCs w:val="32"/>
          <w:highlight w:val="none"/>
          <w:lang w:val="en-US" w:eastAsia="zh-CN"/>
        </w:rPr>
        <w:t>监管部门和</w:t>
      </w:r>
      <w:r>
        <w:rPr>
          <w:rFonts w:hint="eastAsia" w:eastAsia="仿宋_GB2312" w:cs="Times New Roman"/>
          <w:color w:val="auto"/>
          <w:spacing w:val="1"/>
          <w:sz w:val="32"/>
          <w:szCs w:val="32"/>
          <w:highlight w:val="none"/>
          <w:lang w:val="en-US" w:eastAsia="zh-CN"/>
        </w:rPr>
        <w:t>重点</w:t>
      </w:r>
      <w:r>
        <w:rPr>
          <w:rFonts w:hint="default" w:ascii="Times New Roman" w:hAnsi="Times New Roman" w:eastAsia="仿宋_GB2312" w:cs="Times New Roman"/>
          <w:color w:val="auto"/>
          <w:spacing w:val="1"/>
          <w:sz w:val="32"/>
          <w:szCs w:val="32"/>
          <w:highlight w:val="none"/>
          <w:lang w:val="en-US" w:eastAsia="zh-CN"/>
        </w:rPr>
        <w:t>矿山企业开展</w:t>
      </w:r>
      <w:r>
        <w:rPr>
          <w:rFonts w:hint="eastAsia" w:ascii="仿宋_GB2312" w:hAnsi="仿宋_GB2312" w:eastAsia="仿宋_GB2312" w:cs="仿宋_GB2312"/>
          <w:color w:val="auto"/>
          <w:spacing w:val="1"/>
          <w:sz w:val="32"/>
          <w:szCs w:val="32"/>
          <w:highlight w:val="none"/>
          <w:lang w:val="en-US" w:eastAsia="zh-CN"/>
        </w:rPr>
        <w:t>“回头看”；</w:t>
      </w:r>
      <w:r>
        <w:rPr>
          <w:rFonts w:hint="eastAsia" w:ascii="Times New Roman" w:hAnsi="Times New Roman" w:eastAsia="仿宋_GB2312" w:cs="Times New Roman"/>
          <w:b/>
          <w:bCs/>
          <w:color w:val="auto"/>
          <w:sz w:val="32"/>
          <w:szCs w:val="32"/>
          <w:lang w:val="en-US" w:eastAsia="zh-CN"/>
        </w:rPr>
        <w:t>四是</w:t>
      </w:r>
      <w:r>
        <w:rPr>
          <w:rFonts w:hint="eastAsia" w:ascii="Times New Roman" w:hAnsi="Times New Roman" w:eastAsia="仿宋_GB2312" w:cs="Times New Roman"/>
          <w:color w:val="auto"/>
          <w:sz w:val="32"/>
          <w:szCs w:val="32"/>
          <w:lang w:val="en-US" w:eastAsia="zh-CN"/>
        </w:rPr>
        <w:t>2023年10月，举</w:t>
      </w:r>
      <w:r>
        <w:rPr>
          <w:rFonts w:hint="eastAsia" w:ascii="Times New Roman" w:hAnsi="Times New Roman" w:eastAsia="仿宋_GB2312" w:cs="Times New Roman"/>
          <w:color w:val="auto"/>
          <w:spacing w:val="1"/>
          <w:sz w:val="32"/>
          <w:szCs w:val="32"/>
          <w:highlight w:val="none"/>
          <w:lang w:val="en-US" w:eastAsia="zh-CN"/>
        </w:rPr>
        <w:t>办全区各地（州、市）、县（市、区）应急管理执法业务骨干能力提升培训班；</w:t>
      </w:r>
      <w:r>
        <w:rPr>
          <w:rFonts w:hint="eastAsia" w:eastAsia="仿宋_GB2312" w:cs="Times New Roman"/>
          <w:b/>
          <w:bCs/>
          <w:color w:val="auto"/>
          <w:spacing w:val="1"/>
          <w:sz w:val="32"/>
          <w:szCs w:val="32"/>
          <w:highlight w:val="none"/>
          <w:lang w:val="en-US" w:eastAsia="zh-CN"/>
        </w:rPr>
        <w:t>五</w:t>
      </w:r>
      <w:r>
        <w:rPr>
          <w:rFonts w:hint="eastAsia" w:ascii="Times New Roman" w:hAnsi="Times New Roman" w:eastAsia="仿宋_GB2312" w:cs="Times New Roman"/>
          <w:b/>
          <w:bCs/>
          <w:color w:val="auto"/>
          <w:spacing w:val="1"/>
          <w:sz w:val="32"/>
          <w:szCs w:val="32"/>
          <w:highlight w:val="none"/>
          <w:lang w:val="en-US" w:eastAsia="zh-CN"/>
        </w:rPr>
        <w:t>是</w:t>
      </w:r>
      <w:r>
        <w:rPr>
          <w:rFonts w:hint="eastAsia" w:ascii="Times New Roman" w:hAnsi="Times New Roman" w:eastAsia="仿宋_GB2312" w:cs="Times New Roman"/>
          <w:color w:val="auto"/>
          <w:spacing w:val="1"/>
          <w:sz w:val="32"/>
          <w:szCs w:val="32"/>
          <w:highlight w:val="none"/>
          <w:lang w:val="en-US" w:eastAsia="zh-CN"/>
        </w:rPr>
        <w:t>2023年11月至12月，举办自治区矿山安全监管专题培训班。</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0" w:firstLineChars="200"/>
        <w:rPr>
          <w:rFonts w:eastAsia="楷体_GB2312"/>
          <w:b w:val="0"/>
          <w:bCs w:val="0"/>
          <w:sz w:val="32"/>
          <w:szCs w:val="32"/>
        </w:rPr>
      </w:pPr>
      <w:r>
        <w:rPr>
          <w:rFonts w:eastAsia="楷体_GB2312"/>
          <w:b w:val="0"/>
          <w:bCs w:val="0"/>
          <w:sz w:val="32"/>
          <w:szCs w:val="32"/>
        </w:rPr>
        <w:t>（一）绩效评价目的、对象和范围</w:t>
      </w:r>
    </w:p>
    <w:p>
      <w:pPr>
        <w:spacing w:line="560" w:lineRule="exact"/>
        <w:ind w:firstLine="640" w:firstLineChars="200"/>
        <w:rPr>
          <w:rFonts w:eastAsia="楷体_GB2312"/>
          <w:b w:val="0"/>
          <w:bCs w:val="0"/>
          <w:sz w:val="32"/>
          <w:szCs w:val="32"/>
        </w:rPr>
      </w:pPr>
      <w:r>
        <w:rPr>
          <w:rFonts w:eastAsia="楷体_GB2312"/>
          <w:b w:val="0"/>
          <w:bCs w:val="0"/>
          <w:sz w:val="32"/>
          <w:szCs w:val="32"/>
        </w:rPr>
        <w:t>1、绩效评价的目的</w:t>
      </w:r>
    </w:p>
    <w:p>
      <w:pPr>
        <w:pStyle w:val="20"/>
        <w:spacing w:line="560" w:lineRule="exact"/>
        <w:ind w:firstLine="640" w:firstLineChars="200"/>
        <w:rPr>
          <w:rFonts w:eastAsia="方正仿宋_GBK" w:cs="方正仿宋_GBK"/>
          <w:sz w:val="32"/>
          <w:szCs w:val="32"/>
        </w:rPr>
      </w:pPr>
      <w:r>
        <w:rPr>
          <w:rFonts w:eastAsia="仿宋_GB2312"/>
          <w:sz w:val="32"/>
          <w:szCs w:val="32"/>
        </w:rPr>
        <w:t>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ind w:firstLine="640" w:firstLineChars="200"/>
        <w:rPr>
          <w:rFonts w:eastAsia="楷体_GB2312"/>
          <w:b w:val="0"/>
          <w:bCs w:val="0"/>
          <w:sz w:val="32"/>
          <w:szCs w:val="32"/>
        </w:rPr>
      </w:pPr>
      <w:r>
        <w:rPr>
          <w:rFonts w:eastAsia="楷体_GB2312"/>
          <w:b w:val="0"/>
          <w:bCs w:val="0"/>
          <w:sz w:val="32"/>
          <w:szCs w:val="32"/>
        </w:rPr>
        <w:t>2、绩效评价的对象</w:t>
      </w:r>
    </w:p>
    <w:p>
      <w:pPr>
        <w:spacing w:line="560" w:lineRule="exact"/>
        <w:ind w:firstLine="600" w:firstLineChars="200"/>
        <w:rPr>
          <w:rFonts w:hint="eastAsia" w:ascii="仿宋_GB2312" w:hAnsi="仿宋_GB2312" w:eastAsia="仿宋_GB2312" w:cs="仿宋_GB2312"/>
          <w:sz w:val="32"/>
          <w:szCs w:val="32"/>
          <w:lang w:eastAsia="zh-CN"/>
        </w:rPr>
      </w:pPr>
      <w:r>
        <w:rPr>
          <w:rFonts w:hint="default" w:ascii="Times New Roman" w:hAnsi="Times New Roman" w:eastAsia="仿宋_GB2312" w:cs="Times New Roman"/>
          <w:sz w:val="30"/>
          <w:szCs w:val="30"/>
          <w:highlight w:val="none"/>
          <w:lang w:val="en-US" w:eastAsia="zh-CN"/>
        </w:rPr>
        <w:t>2023</w:t>
      </w:r>
      <w:r>
        <w:rPr>
          <w:rFonts w:hint="eastAsia" w:ascii="仿宋_GB2312" w:hAnsi="仿宋_GB2312" w:eastAsia="仿宋_GB2312" w:cs="仿宋_GB2312"/>
          <w:sz w:val="30"/>
          <w:szCs w:val="30"/>
          <w:highlight w:val="none"/>
          <w:lang w:val="en-US" w:eastAsia="zh-CN"/>
        </w:rPr>
        <w:t>年国家和自治区安全生产帮扶指导及监督检查</w:t>
      </w:r>
      <w:r>
        <w:rPr>
          <w:rFonts w:hint="eastAsia" w:ascii="仿宋_GB2312" w:hAnsi="仿宋_GB2312" w:eastAsia="仿宋_GB2312" w:cs="仿宋_GB2312"/>
          <w:sz w:val="32"/>
          <w:szCs w:val="32"/>
        </w:rPr>
        <w:t>项目所包含的全部项目内容</w:t>
      </w:r>
      <w:r>
        <w:rPr>
          <w:rFonts w:hint="eastAsia" w:ascii="仿宋_GB2312" w:hAnsi="仿宋_GB2312" w:eastAsia="仿宋_GB2312" w:cs="仿宋_GB2312"/>
          <w:sz w:val="32"/>
          <w:szCs w:val="32"/>
          <w:lang w:eastAsia="zh-CN"/>
        </w:rPr>
        <w:t>。</w:t>
      </w:r>
    </w:p>
    <w:p>
      <w:pPr>
        <w:spacing w:line="560" w:lineRule="exact"/>
        <w:ind w:firstLine="640" w:firstLineChars="200"/>
        <w:rPr>
          <w:rFonts w:eastAsia="楷体_GB2312"/>
          <w:b w:val="0"/>
          <w:bCs w:val="0"/>
          <w:sz w:val="32"/>
          <w:szCs w:val="32"/>
        </w:rPr>
      </w:pPr>
      <w:r>
        <w:rPr>
          <w:rFonts w:eastAsia="楷体_GB2312"/>
          <w:b w:val="0"/>
          <w:bCs w:val="0"/>
          <w:sz w:val="32"/>
          <w:szCs w:val="32"/>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w:t>
      </w:r>
      <w:r>
        <w:rPr>
          <w:rFonts w:hint="eastAsia" w:ascii="仿宋_GB2312" w:hAnsi="仿宋_GB2312" w:eastAsia="仿宋_GB2312" w:cs="仿宋_GB2312"/>
          <w:sz w:val="32"/>
          <w:szCs w:val="32"/>
          <w:lang w:val="en-US" w:eastAsia="zh-CN"/>
        </w:rPr>
        <w:t>项目立项、</w:t>
      </w:r>
      <w:r>
        <w:rPr>
          <w:rFonts w:hint="eastAsia" w:ascii="仿宋_GB2312" w:hAnsi="仿宋_GB2312" w:eastAsia="仿宋_GB2312" w:cs="仿宋_GB2312"/>
          <w:sz w:val="32"/>
          <w:szCs w:val="32"/>
        </w:rPr>
        <w:t>绩效目标、</w:t>
      </w:r>
      <w:r>
        <w:rPr>
          <w:rFonts w:hint="eastAsia" w:ascii="仿宋_GB2312" w:hAnsi="仿宋_GB2312" w:eastAsia="仿宋_GB2312" w:cs="仿宋_GB2312"/>
          <w:sz w:val="32"/>
          <w:szCs w:val="32"/>
          <w:lang w:val="en-US" w:eastAsia="zh-CN"/>
        </w:rPr>
        <w:t>资金投入</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过程</w:t>
      </w:r>
      <w:r>
        <w:rPr>
          <w:rFonts w:hint="eastAsia" w:ascii="仿宋_GB2312" w:hAnsi="仿宋_GB2312" w:eastAsia="仿宋_GB2312" w:cs="仿宋_GB2312"/>
          <w:sz w:val="32"/>
          <w:szCs w:val="32"/>
        </w:rPr>
        <w:t>（包括资金</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rPr>
        <w:t>实施）、项目产出（包括项目产出数量、产出质量、产出时效和产出成本）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实施效益、满意度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四个维度对</w:t>
      </w:r>
      <w:r>
        <w:rPr>
          <w:rFonts w:hint="default" w:ascii="Times New Roman" w:hAnsi="Times New Roman" w:eastAsia="仿宋_GB2312" w:cs="Times New Roman"/>
          <w:sz w:val="30"/>
          <w:szCs w:val="30"/>
          <w:highlight w:val="none"/>
          <w:lang w:val="en-US" w:eastAsia="zh-CN"/>
        </w:rPr>
        <w:t>2023</w:t>
      </w:r>
      <w:r>
        <w:rPr>
          <w:rFonts w:hint="eastAsia" w:ascii="仿宋_GB2312" w:hAnsi="仿宋_GB2312" w:eastAsia="仿宋_GB2312" w:cs="仿宋_GB2312"/>
          <w:sz w:val="30"/>
          <w:szCs w:val="30"/>
          <w:highlight w:val="none"/>
          <w:lang w:val="en-US" w:eastAsia="zh-CN"/>
        </w:rPr>
        <w:t>年国家和自治区安全生产帮扶指导及监督检查</w:t>
      </w:r>
      <w:r>
        <w:rPr>
          <w:rFonts w:hint="eastAsia" w:ascii="仿宋_GB2312" w:hAnsi="仿宋_GB2312" w:eastAsia="仿宋_GB2312" w:cs="仿宋_GB2312"/>
          <w:sz w:val="32"/>
          <w:szCs w:val="32"/>
        </w:rPr>
        <w:t>项目进行评价，评价核心为</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资金的支出完成情况和效果。</w:t>
      </w:r>
    </w:p>
    <w:p>
      <w:pPr>
        <w:spacing w:line="560" w:lineRule="exact"/>
        <w:ind w:firstLine="640" w:firstLineChars="200"/>
        <w:rPr>
          <w:b w:val="0"/>
          <w:bCs w:val="0"/>
        </w:rPr>
      </w:pPr>
      <w:r>
        <w:rPr>
          <w:rFonts w:eastAsia="楷体_GB2312"/>
          <w:b w:val="0"/>
          <w:bCs w:val="0"/>
          <w:sz w:val="32"/>
          <w:szCs w:val="32"/>
        </w:rPr>
        <w:t>（二）绩效评价原则、评价指标体系（详情见表1）、评价方法、评价标准。</w:t>
      </w:r>
    </w:p>
    <w:p>
      <w:pPr>
        <w:spacing w:line="560" w:lineRule="exact"/>
        <w:ind w:firstLine="640" w:firstLineChars="200"/>
        <w:rPr>
          <w:rFonts w:eastAsia="楷体_GB2312"/>
          <w:b w:val="0"/>
          <w:bCs w:val="0"/>
          <w:sz w:val="32"/>
          <w:szCs w:val="32"/>
        </w:rPr>
      </w:pPr>
      <w:r>
        <w:rPr>
          <w:rFonts w:eastAsia="楷体_GB2312"/>
          <w:b w:val="0"/>
          <w:bCs w:val="0"/>
          <w:sz w:val="32"/>
          <w:szCs w:val="32"/>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spacing w:line="560" w:lineRule="exact"/>
        <w:ind w:firstLine="640" w:firstLineChars="200"/>
        <w:rPr>
          <w:rFonts w:eastAsia="楷体_GB2312"/>
          <w:b w:val="0"/>
          <w:bCs w:val="0"/>
          <w:sz w:val="32"/>
          <w:szCs w:val="32"/>
        </w:rPr>
      </w:pPr>
      <w:r>
        <w:rPr>
          <w:rFonts w:eastAsia="楷体_GB2312"/>
          <w:b w:val="0"/>
          <w:bCs w:val="0"/>
          <w:sz w:val="32"/>
          <w:szCs w:val="32"/>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100分（含90分）对应的评分结果级别为优，80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90分（含80分）对应的评分结果级别为良，60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80分（含60分）对应的评分结果级别为中，60分以下对应的评分结果级别为差。</w:t>
      </w:r>
    </w:p>
    <w:p>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spacing w:line="560" w:lineRule="exact"/>
        <w:ind w:firstLine="640" w:firstLineChars="200"/>
        <w:rPr>
          <w:rFonts w:eastAsia="楷体_GB2312"/>
          <w:b w:val="0"/>
          <w:bCs w:val="0"/>
          <w:sz w:val="32"/>
          <w:szCs w:val="32"/>
        </w:rPr>
      </w:pPr>
      <w:r>
        <w:rPr>
          <w:rFonts w:eastAsia="楷体_GB2312"/>
          <w:b w:val="0"/>
          <w:bCs w:val="0"/>
          <w:sz w:val="32"/>
          <w:szCs w:val="32"/>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w:t>
      </w:r>
      <w:r>
        <w:rPr>
          <w:rFonts w:hint="eastAsia" w:eastAsia="仿宋_GB2312"/>
          <w:color w:val="000000"/>
          <w:spacing w:val="17"/>
          <w:sz w:val="32"/>
          <w:szCs w:val="32"/>
          <w:highlight w:val="none"/>
        </w:rPr>
        <w:t>本次评价主要采用了</w:t>
      </w:r>
      <w:r>
        <w:rPr>
          <w:rFonts w:hint="eastAsia" w:eastAsia="仿宋_GB2312"/>
          <w:color w:val="000000"/>
          <w:spacing w:val="17"/>
          <w:sz w:val="32"/>
          <w:szCs w:val="32"/>
          <w:highlight w:val="none"/>
          <w:lang w:val="en-US" w:eastAsia="zh-CN"/>
        </w:rPr>
        <w:t>计划</w:t>
      </w:r>
      <w:r>
        <w:rPr>
          <w:rFonts w:hint="eastAsia" w:eastAsia="仿宋_GB2312"/>
          <w:color w:val="000000"/>
          <w:spacing w:val="17"/>
          <w:sz w:val="32"/>
          <w:szCs w:val="32"/>
          <w:highlight w:val="none"/>
        </w:rPr>
        <w:t>标准</w:t>
      </w:r>
      <w:r>
        <w:rPr>
          <w:rFonts w:hint="eastAsia" w:eastAsia="仿宋_GB2312"/>
          <w:color w:val="000000"/>
          <w:spacing w:val="17"/>
          <w:sz w:val="32"/>
          <w:szCs w:val="32"/>
        </w:rPr>
        <w:t>。</w:t>
      </w:r>
    </w:p>
    <w:p>
      <w:pPr>
        <w:spacing w:line="560" w:lineRule="exact"/>
        <w:ind w:firstLine="711" w:firstLineChars="200"/>
        <w:rPr>
          <w:rFonts w:eastAsia="仿宋_GB2312"/>
          <w:color w:val="000000"/>
          <w:spacing w:val="17"/>
          <w:sz w:val="32"/>
          <w:szCs w:val="32"/>
        </w:rPr>
      </w:pPr>
      <w:bookmarkStart w:id="0" w:name="_Toc17882"/>
      <w:bookmarkStart w:id="1" w:name="_Toc31464"/>
      <w:r>
        <w:rPr>
          <w:rFonts w:hint="eastAsia" w:eastAsia="仿宋_GB2312"/>
          <w:b/>
          <w:bCs/>
          <w:color w:val="000000"/>
          <w:spacing w:val="17"/>
          <w:sz w:val="32"/>
          <w:szCs w:val="32"/>
        </w:rPr>
        <w:t>计划标准：</w:t>
      </w:r>
      <w:r>
        <w:rPr>
          <w:rFonts w:hint="eastAsia" w:eastAsia="仿宋_GB2312"/>
          <w:color w:val="000000"/>
          <w:spacing w:val="17"/>
          <w:sz w:val="32"/>
          <w:szCs w:val="32"/>
        </w:rPr>
        <w:t>指以预先制定的目标、计划、预算、定额等作为评价标准。</w:t>
      </w:r>
      <w:bookmarkEnd w:id="0"/>
      <w:bookmarkEnd w:id="1"/>
    </w:p>
    <w:p>
      <w:pPr>
        <w:pStyle w:val="11"/>
        <w:numPr>
          <w:ilvl w:val="0"/>
          <w:numId w:val="1"/>
        </w:numPr>
        <w:spacing w:before="0" w:after="0" w:line="560" w:lineRule="exact"/>
        <w:ind w:firstLine="708" w:firstLineChars="200"/>
        <w:jc w:val="both"/>
        <w:rPr>
          <w:rFonts w:hint="eastAsia" w:ascii="楷体_GB2312" w:hAnsi="楷体_GB2312" w:eastAsia="楷体_GB2312" w:cs="楷体_GB2312"/>
          <w:b w:val="0"/>
          <w:bCs w:val="0"/>
          <w:color w:val="000000"/>
          <w:spacing w:val="17"/>
        </w:rPr>
      </w:pPr>
      <w:r>
        <w:rPr>
          <w:rFonts w:hint="eastAsia" w:ascii="楷体_GB2312" w:hAnsi="楷体_GB2312" w:eastAsia="楷体_GB2312" w:cs="楷体_GB2312"/>
          <w:b w:val="0"/>
          <w:bCs w:val="0"/>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2"/>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楷体_GB2312"/>
          <w:b w:val="0"/>
          <w:bCs w:val="0"/>
          <w:lang w:val="en-US" w:eastAsia="zh-CN"/>
        </w:rPr>
      </w:pP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一</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楷体_GB2312"/>
          <w:b w:val="0"/>
          <w:bCs w:val="0"/>
          <w:lang w:val="en-US" w:eastAsia="zh-CN"/>
        </w:rPr>
      </w:pP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二</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评价结论</w:t>
      </w:r>
    </w:p>
    <w:p>
      <w:pPr>
        <w:pStyle w:val="11"/>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99.37</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39.37</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98.43</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5"/>
        <w:tblW w:w="4997" w:type="pct"/>
        <w:jc w:val="center"/>
        <w:tblLayout w:type="autofit"/>
        <w:tblCellMar>
          <w:top w:w="0" w:type="dxa"/>
          <w:left w:w="108" w:type="dxa"/>
          <w:bottom w:w="0" w:type="dxa"/>
          <w:right w:w="108" w:type="dxa"/>
        </w:tblCellMar>
      </w:tblPr>
      <w:tblGrid>
        <w:gridCol w:w="3623"/>
        <w:gridCol w:w="2674"/>
        <w:gridCol w:w="2462"/>
      </w:tblGrid>
      <w:tr>
        <w:tblPrEx>
          <w:tblCellMar>
            <w:top w:w="0" w:type="dxa"/>
            <w:left w:w="108" w:type="dxa"/>
            <w:bottom w:w="0" w:type="dxa"/>
            <w:right w:w="108" w:type="dxa"/>
          </w:tblCellMar>
        </w:tblPrEx>
        <w:trPr>
          <w:trHeight w:val="448" w:hRule="atLeast"/>
          <w:tblHeader/>
          <w:jc w:val="center"/>
        </w:trPr>
        <w:tc>
          <w:tcPr>
            <w:tcW w:w="2068"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1526"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1405"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1526"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1405"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1526"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1405"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1526"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1405"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39.37</w:t>
            </w:r>
          </w:p>
        </w:tc>
      </w:tr>
      <w:tr>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1526"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1405" w:type="pct"/>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1526" w:type="pct"/>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1405" w:type="pct"/>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99.37</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1"/>
        <w:spacing w:before="0" w:after="0" w:line="560" w:lineRule="exact"/>
        <w:ind w:firstLine="640" w:firstLineChars="200"/>
        <w:jc w:val="both"/>
        <w:rPr>
          <w:rFonts w:ascii="Times New Roman" w:hAnsi="Times New Roman" w:eastAsia="楷体_GB2312"/>
          <w:b w:val="0"/>
          <w:bCs w:val="0"/>
        </w:rPr>
      </w:pPr>
      <w:r>
        <w:rPr>
          <w:rFonts w:ascii="Times New Roman" w:hAnsi="Times New Roman" w:eastAsia="楷体_GB2312"/>
          <w:b w:val="0"/>
          <w:bCs w:val="0"/>
        </w:rPr>
        <w:t>（一）项目决策情况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pStyle w:val="11"/>
        <w:spacing w:before="0" w:after="0" w:line="560" w:lineRule="exact"/>
        <w:ind w:firstLine="643" w:firstLineChars="200"/>
        <w:jc w:val="both"/>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ascii="仿宋_GB2312" w:hAnsi="仿宋_GB2312" w:eastAsia="仿宋_GB2312" w:cs="仿宋_GB2312"/>
          <w:sz w:val="32"/>
          <w:szCs w:val="32"/>
          <w:highlight w:val="none"/>
          <w:lang w:val="en-US" w:eastAsia="zh-CN"/>
        </w:rPr>
        <w:t>可行性研究、绩效评估、集体决策</w:t>
      </w:r>
      <w:r>
        <w:rPr>
          <w:rFonts w:hint="eastAsia" w:ascii="仿宋_GB2312" w:hAnsi="仿宋_GB2312" w:eastAsia="仿宋_GB2312" w:cs="仿宋_GB2312"/>
          <w:sz w:val="32"/>
          <w:szCs w:val="32"/>
          <w:lang w:val="en-US" w:eastAsia="zh-CN"/>
        </w:rPr>
        <w:t>，保障了程序的规范性。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1"/>
        <w:numPr>
          <w:ilvl w:val="0"/>
          <w:numId w:val="3"/>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color w:val="auto"/>
          <w:sz w:val="32"/>
          <w:szCs w:val="32"/>
          <w:highlight w:val="none"/>
          <w:lang w:val="en-US" w:eastAsia="zh-CN"/>
        </w:rPr>
        <w:t>项目总投资</w:t>
      </w:r>
      <w:r>
        <w:rPr>
          <w:rFonts w:hint="default" w:ascii="Times New Roman" w:hAnsi="Times New Roman" w:eastAsia="仿宋_GB2312" w:cs="Times New Roman"/>
          <w:color w:val="auto"/>
          <w:sz w:val="32"/>
          <w:szCs w:val="32"/>
          <w:highlight w:val="none"/>
          <w:lang w:val="en-US" w:eastAsia="zh-CN"/>
        </w:rPr>
        <w:t>1173.81</w:t>
      </w:r>
      <w:r>
        <w:rPr>
          <w:rFonts w:hint="eastAsia" w:ascii="仿宋_GB2312" w:hAnsi="仿宋_GB2312" w:eastAsia="仿宋_GB2312" w:cs="仿宋_GB2312"/>
          <w:color w:val="auto"/>
          <w:sz w:val="32"/>
          <w:szCs w:val="32"/>
          <w:highlight w:val="none"/>
          <w:lang w:val="en-US" w:eastAsia="zh-CN"/>
        </w:rPr>
        <w:t>万元，财政资金及时足额到位，到</w:t>
      </w:r>
      <w:r>
        <w:rPr>
          <w:rFonts w:hint="default" w:ascii="Times New Roman" w:hAnsi="Times New Roman" w:eastAsia="仿宋_GB2312" w:cs="Times New Roman"/>
          <w:color w:val="auto"/>
          <w:sz w:val="32"/>
          <w:szCs w:val="32"/>
          <w:highlight w:val="none"/>
          <w:lang w:val="en-US" w:eastAsia="zh-CN"/>
        </w:rPr>
        <w:t>位率100%，</w:t>
      </w:r>
      <w:r>
        <w:rPr>
          <w:rFonts w:hint="eastAsia" w:ascii="仿宋_GB2312" w:hAnsi="仿宋_GB2312" w:eastAsia="仿宋_GB2312" w:cs="仿宋_GB2312"/>
          <w:color w:val="auto"/>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预算资金支出1173.37万元，预算执行率为99.96%</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3"/>
        <w:numPr>
          <w:ilvl w:val="0"/>
          <w:numId w:val="3"/>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w:t>
      </w:r>
      <w:r>
        <w:rPr>
          <w:rFonts w:hint="eastAsia" w:eastAsia="仿宋_GB2312" w:cs="Times New Roman"/>
          <w:sz w:val="32"/>
          <w:szCs w:val="32"/>
          <w:lang w:val="en-US" w:eastAsia="zh-CN"/>
        </w:rPr>
        <w:t>四</w:t>
      </w:r>
      <w:r>
        <w:rPr>
          <w:rFonts w:hint="eastAsia" w:ascii="仿宋_GB2312" w:hAnsi="仿宋_GB2312" w:eastAsia="仿宋_GB2312" w:cs="仿宋_GB2312"/>
          <w:sz w:val="32"/>
          <w:szCs w:val="32"/>
          <w:lang w:val="en-US" w:eastAsia="zh-CN"/>
        </w:rPr>
        <w:t>方面的内容，由</w:t>
      </w:r>
      <w:r>
        <w:rPr>
          <w:rFonts w:hint="eastAsia" w:ascii="Times New Roman" w:hAnsi="Times New Roman" w:eastAsia="仿宋_GB2312" w:cs="Times New Roman"/>
          <w:sz w:val="32"/>
          <w:szCs w:val="32"/>
          <w:lang w:val="en-US" w:eastAsia="zh-CN"/>
        </w:rPr>
        <w:t>9</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eastAsia="仿宋_GB2312" w:cs="仿宋_GB2312"/>
          <w:sz w:val="32"/>
          <w:szCs w:val="32"/>
          <w:highlight w:val="none"/>
          <w:lang w:val="en-US" w:eastAsia="zh-CN"/>
        </w:rPr>
        <w:t>39.37</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eastAsia="仿宋_GB2312" w:cs="仿宋_GB2312"/>
          <w:sz w:val="32"/>
          <w:szCs w:val="32"/>
          <w:highlight w:val="none"/>
          <w:lang w:val="en-US" w:eastAsia="zh-CN"/>
        </w:rPr>
        <w:t>98.43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指标1：煤矿安全诊断和隐患排查，指标值：≥120处，实际完成值：</w:t>
      </w:r>
      <w:r>
        <w:rPr>
          <w:rFonts w:hint="default" w:ascii="Times New Roman" w:hAnsi="Times New Roman" w:eastAsia="仿宋_GB2312" w:cs="Times New Roman"/>
          <w:sz w:val="32"/>
          <w:szCs w:val="32"/>
          <w:highlight w:val="none"/>
          <w:lang w:val="en-US" w:eastAsia="zh-CN"/>
        </w:rPr>
        <w:t>121处</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100.83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指标2：非煤矿山安全诊断和隐患排查，指标值：≥</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0处，实际完成值：</w:t>
      </w:r>
      <w:r>
        <w:rPr>
          <w:rFonts w:hint="default" w:ascii="Times New Roman" w:hAnsi="Times New Roman" w:eastAsia="仿宋_GB2312" w:cs="Times New Roman"/>
          <w:color w:val="auto"/>
          <w:sz w:val="32"/>
          <w:szCs w:val="32"/>
          <w:highlight w:val="none"/>
          <w:lang w:val="en-US" w:eastAsia="zh-CN"/>
        </w:rPr>
        <w:t>233处</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101.30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：煤矿开展“回头看”，指标值：≥</w:t>
      </w:r>
      <w:r>
        <w:rPr>
          <w:rFonts w:hint="default" w:ascii="Times New Roman" w:hAnsi="Times New Roman"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rPr>
        <w:t>处，实际完成值：</w:t>
      </w:r>
      <w:r>
        <w:rPr>
          <w:rFonts w:hint="default" w:ascii="Times New Roman" w:hAnsi="Times New Roman" w:eastAsia="仿宋_GB2312" w:cs="Times New Roman"/>
          <w:color w:val="auto"/>
          <w:sz w:val="32"/>
          <w:szCs w:val="32"/>
          <w:highlight w:val="none"/>
          <w:lang w:val="en-US" w:eastAsia="zh-CN"/>
        </w:rPr>
        <w:t>37处</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92.50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偏差率7.5%，偏差原因为：由于</w:t>
      </w:r>
      <w:r>
        <w:rPr>
          <w:rFonts w:hint="default" w:ascii="Times New Roman" w:hAnsi="Times New Roman" w:eastAsia="仿宋_GB2312" w:cs="Times New Roman"/>
          <w:color w:val="auto"/>
          <w:sz w:val="32"/>
          <w:szCs w:val="32"/>
          <w:highlight w:val="none"/>
          <w:lang w:val="en-US" w:eastAsia="zh-CN"/>
        </w:rPr>
        <w:t>经费不足，暂停开展回头看项目。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：非煤矿山开展</w:t>
      </w:r>
      <w:r>
        <w:rPr>
          <w:rFonts w:hint="eastAsia" w:ascii="仿宋_GB2312" w:hAnsi="仿宋_GB2312" w:eastAsia="仿宋_GB2312" w:cs="仿宋_GB2312"/>
          <w:color w:val="auto"/>
          <w:sz w:val="32"/>
          <w:szCs w:val="32"/>
          <w:highlight w:val="none"/>
        </w:rPr>
        <w:t>“回头看”，</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60</w:t>
      </w:r>
      <w:r>
        <w:rPr>
          <w:rFonts w:hint="default" w:ascii="Times New Roman" w:hAnsi="Times New Roman" w:eastAsia="仿宋_GB2312" w:cs="Times New Roman"/>
          <w:color w:val="auto"/>
          <w:sz w:val="32"/>
          <w:szCs w:val="32"/>
          <w:highlight w:val="none"/>
        </w:rPr>
        <w:t>处，实际完成值：</w:t>
      </w:r>
      <w:r>
        <w:rPr>
          <w:rFonts w:hint="default" w:ascii="Times New Roman" w:hAnsi="Times New Roman" w:eastAsia="仿宋_GB2312" w:cs="Times New Roman"/>
          <w:color w:val="auto"/>
          <w:sz w:val="32"/>
          <w:szCs w:val="32"/>
          <w:highlight w:val="none"/>
          <w:lang w:val="en-US" w:eastAsia="zh-CN"/>
        </w:rPr>
        <w:t>56处</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93.33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偏差率6.67%，偏差原因为：由于</w:t>
      </w:r>
      <w:r>
        <w:rPr>
          <w:rFonts w:hint="default" w:ascii="Times New Roman" w:hAnsi="Times New Roman" w:eastAsia="仿宋_GB2312" w:cs="Times New Roman"/>
          <w:color w:val="auto"/>
          <w:sz w:val="32"/>
          <w:szCs w:val="32"/>
          <w:highlight w:val="none"/>
          <w:lang w:val="en-US" w:eastAsia="zh-CN"/>
        </w:rPr>
        <w:t>经费不足，暂停开展回头看项目。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：培训人数，指标值：≥</w:t>
      </w:r>
      <w:r>
        <w:rPr>
          <w:rFonts w:hint="default" w:ascii="Times New Roman" w:hAnsi="Times New Roman" w:eastAsia="仿宋_GB2312" w:cs="Times New Roman"/>
          <w:color w:val="auto"/>
          <w:sz w:val="32"/>
          <w:szCs w:val="32"/>
          <w:highlight w:val="none"/>
          <w:lang w:val="en-US" w:eastAsia="zh-CN"/>
        </w:rPr>
        <w:t>200人次</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217人次</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108.50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指标1：重大隐患挂牌督办率，指标值：100%，实际完成值：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：问题隐患整改率，指标值：≥95%，实际完成值：</w:t>
      </w:r>
      <w:r>
        <w:rPr>
          <w:rFonts w:hint="default" w:ascii="Times New Roman" w:hAnsi="Times New Roman" w:eastAsia="仿宋_GB2312" w:cs="Times New Roman"/>
          <w:sz w:val="32"/>
          <w:szCs w:val="32"/>
          <w:highlight w:val="none"/>
          <w:lang w:val="en-US" w:eastAsia="zh-CN"/>
        </w:rPr>
        <w:t>97.17%</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102.28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rPr>
      </w:pPr>
      <w:r>
        <w:rPr>
          <w:rFonts w:hint="eastAsia" w:ascii="仿宋_GB2312" w:hAnsi="仿宋_GB2312" w:eastAsia="仿宋_GB2312" w:cs="仿宋_GB2312"/>
          <w:sz w:val="32"/>
          <w:szCs w:val="32"/>
          <w:highlight w:val="none"/>
          <w:lang w:val="en-US" w:eastAsia="zh-CN"/>
        </w:rPr>
        <w:t>③时效</w:t>
      </w:r>
      <w:r>
        <w:rPr>
          <w:rFonts w:hint="eastAsia" w:ascii="仿宋_GB2312" w:hAnsi="仿宋_GB2312" w:eastAsia="仿宋_GB2312" w:cs="仿宋_GB2312"/>
          <w:sz w:val="32"/>
          <w:szCs w:val="32"/>
          <w:highlight w:val="none"/>
        </w:rPr>
        <w:t>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：安全诊断和隐患排查按期完成率，指标值：100%，实际完成值：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：开</w:t>
      </w:r>
      <w:r>
        <w:rPr>
          <w:rFonts w:hint="eastAsia" w:ascii="仿宋_GB2312" w:hAnsi="仿宋_GB2312" w:eastAsia="仿宋_GB2312" w:cs="仿宋_GB2312"/>
          <w:sz w:val="32"/>
          <w:szCs w:val="32"/>
          <w:highlight w:val="none"/>
        </w:rPr>
        <w:t>展“回头看”项目</w:t>
      </w:r>
      <w:r>
        <w:rPr>
          <w:rFonts w:hint="default" w:ascii="Times New Roman" w:hAnsi="Times New Roman" w:eastAsia="仿宋_GB2312" w:cs="Times New Roman"/>
          <w:sz w:val="32"/>
          <w:szCs w:val="32"/>
          <w:highlight w:val="none"/>
        </w:rPr>
        <w:t>按期完成率，指标值：100%，实际完成值：</w:t>
      </w:r>
      <w:r>
        <w:rPr>
          <w:rFonts w:hint="eastAsia" w:eastAsia="仿宋_GB2312" w:cs="Times New Roman"/>
          <w:sz w:val="32"/>
          <w:szCs w:val="32"/>
          <w:highlight w:val="none"/>
          <w:lang w:val="en-US" w:eastAsia="zh-CN"/>
        </w:rPr>
        <w:t>93</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93.00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color w:val="auto"/>
          <w:sz w:val="32"/>
          <w:szCs w:val="32"/>
          <w:highlight w:val="none"/>
          <w:lang w:val="en-US" w:eastAsia="zh-CN"/>
        </w:rPr>
        <w:t>偏差率7%，偏差原因为：由于</w:t>
      </w:r>
      <w:r>
        <w:rPr>
          <w:rFonts w:hint="default" w:ascii="Times New Roman" w:hAnsi="Times New Roman" w:eastAsia="仿宋_GB2312" w:cs="Times New Roman"/>
          <w:color w:val="auto"/>
          <w:sz w:val="32"/>
          <w:szCs w:val="32"/>
          <w:highlight w:val="none"/>
          <w:lang w:val="en-US" w:eastAsia="zh-CN"/>
        </w:rPr>
        <w:t>经费不足，暂停开展回头看项目。</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该项目年初未设置成本指标。</w:t>
      </w:r>
    </w:p>
    <w:p>
      <w:pPr>
        <w:pStyle w:val="13"/>
        <w:numPr>
          <w:ilvl w:val="0"/>
          <w:numId w:val="3"/>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w:t>
      </w:r>
      <w:r>
        <w:rPr>
          <w:rFonts w:hint="eastAsia" w:ascii="仿宋_GB2312" w:hAnsi="仿宋_GB2312" w:eastAsia="仿宋_GB2312" w:cs="仿宋_GB2312"/>
          <w:sz w:val="32"/>
          <w:szCs w:val="32"/>
          <w:lang w:val="en-US" w:eastAsia="zh-CN"/>
        </w:rPr>
        <w:t>实施效益和满意度</w:t>
      </w:r>
      <w:r>
        <w:rPr>
          <w:rFonts w:hint="default" w:ascii="Times New Roman" w:hAnsi="Times New Roman" w:eastAsia="仿宋_GB2312" w:cs="Times New Roman"/>
          <w:sz w:val="32"/>
          <w:szCs w:val="32"/>
          <w:lang w:val="en-US" w:eastAsia="zh-CN"/>
        </w:rPr>
        <w:t>指标2方面的内容，由</w:t>
      </w:r>
      <w:r>
        <w:rPr>
          <w:rFonts w:hint="default" w:ascii="Times New Roman" w:hAnsi="Times New Roman" w:eastAsia="仿宋_GB2312" w:cs="Times New Roman"/>
          <w:sz w:val="32"/>
          <w:szCs w:val="32"/>
          <w:highlight w:val="none"/>
          <w:lang w:val="en-US" w:eastAsia="zh-CN"/>
        </w:rPr>
        <w:t>2个三级指标构成，权重分为20分，实际得分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①</w:t>
      </w:r>
      <w:r>
        <w:rPr>
          <w:rFonts w:hint="default" w:ascii="Times New Roman" w:hAnsi="Times New Roman" w:eastAsia="仿宋_GB2312" w:cs="Times New Roman"/>
          <w:color w:val="auto"/>
          <w:sz w:val="32"/>
          <w:szCs w:val="32"/>
          <w:lang w:val="en-US" w:eastAsia="zh-CN"/>
        </w:rPr>
        <w:t>社会效益指标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有效提升全区安全生产监管能力水平</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指标值：显著，实际完成值：</w:t>
      </w:r>
      <w:r>
        <w:rPr>
          <w:rFonts w:hint="default" w:ascii="Times New Roman" w:hAnsi="Times New Roman" w:eastAsia="仿宋_GB2312" w:cs="Times New Roman"/>
          <w:color w:val="auto"/>
          <w:sz w:val="32"/>
          <w:szCs w:val="32"/>
          <w:highlight w:val="none"/>
          <w:lang w:val="en-US" w:eastAsia="zh-CN"/>
        </w:rPr>
        <w:t>显著</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w:t>
      </w:r>
    </w:p>
    <w:p>
      <w:pPr>
        <w:spacing w:line="600" w:lineRule="exact"/>
        <w:ind w:firstLine="640" w:firstLineChars="200"/>
        <w:outlineLvl w:val="0"/>
        <w:rPr>
          <w:rFonts w:hint="eastAsia" w:eastAsia="仿宋_GB2312" w:cs="Times New Roman"/>
          <w:color w:val="FF0000"/>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促进全区安全生产形势持续稳定发展</w:t>
      </w:r>
      <w:r>
        <w:rPr>
          <w:rFonts w:hint="eastAsia" w:eastAsia="仿宋_GB2312" w:cs="Times New Roman"/>
          <w:color w:val="FF0000"/>
          <w:sz w:val="32"/>
          <w:szCs w:val="32"/>
          <w:highlight w:val="none"/>
          <w:lang w:val="en-US" w:eastAsia="zh-CN"/>
        </w:rPr>
        <w:t>，</w:t>
      </w:r>
      <w:r>
        <w:rPr>
          <w:rFonts w:hint="default" w:ascii="Times New Roman" w:hAnsi="Times New Roman" w:eastAsia="仿宋_GB2312" w:cs="Times New Roman"/>
          <w:sz w:val="32"/>
          <w:szCs w:val="32"/>
          <w:highlight w:val="none"/>
        </w:rPr>
        <w:t>指标值：显著，实际完成值：</w:t>
      </w:r>
      <w:r>
        <w:rPr>
          <w:rFonts w:hint="default" w:ascii="Times New Roman" w:hAnsi="Times New Roman" w:eastAsia="仿宋_GB2312" w:cs="Times New Roman"/>
          <w:sz w:val="32"/>
          <w:szCs w:val="32"/>
          <w:highlight w:val="none"/>
          <w:lang w:val="en-US" w:eastAsia="zh-CN"/>
        </w:rPr>
        <w:t>显著</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color w:val="FF0000"/>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Style w:val="5"/>
        <w:ind w:firstLine="640" w:firstLineChars="200"/>
        <w:rPr>
          <w:rFonts w:hint="default"/>
          <w:lang w:val="en-US" w:eastAsia="zh-CN"/>
        </w:rPr>
      </w:pPr>
      <w:r>
        <w:rPr>
          <w:rFonts w:hint="eastAsia" w:ascii="仿宋_GB2312" w:hAnsi="仿宋_GB2312" w:eastAsia="仿宋_GB2312" w:cs="仿宋_GB2312"/>
          <w:sz w:val="32"/>
          <w:szCs w:val="32"/>
          <w:highlight w:val="none"/>
          <w:lang w:val="en-US" w:eastAsia="zh-CN"/>
        </w:rPr>
        <w:t>满意度指标：该项目年初未设置满意度指标。</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2023年国家和自治区安全生产帮扶指导及监督检查</w:t>
      </w:r>
      <w:r>
        <w:rPr>
          <w:rFonts w:hint="default" w:ascii="Times New Roman" w:hAnsi="Times New Roman" w:eastAsia="仿宋_GB2312" w:cs="Times New Roman"/>
          <w:sz w:val="32"/>
          <w:szCs w:val="32"/>
          <w:highlight w:val="none"/>
        </w:rPr>
        <w:t>项目所包含的全部项目内容项目年初预算</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万元，全年预算</w:t>
      </w:r>
      <w:r>
        <w:rPr>
          <w:rFonts w:hint="default" w:ascii="Times New Roman" w:hAnsi="Times New Roman" w:eastAsia="仿宋_GB2312" w:cs="Times New Roman"/>
          <w:sz w:val="32"/>
          <w:szCs w:val="32"/>
          <w:highlight w:val="none"/>
          <w:lang w:val="en-US" w:eastAsia="zh-CN"/>
        </w:rPr>
        <w:t>1173.81</w:t>
      </w:r>
      <w:r>
        <w:rPr>
          <w:rFonts w:hint="default" w:ascii="Times New Roman" w:hAnsi="Times New Roman" w:eastAsia="仿宋_GB2312" w:cs="Times New Roman"/>
          <w:sz w:val="32"/>
          <w:szCs w:val="32"/>
          <w:highlight w:val="none"/>
        </w:rPr>
        <w:t>万元，实际支出</w:t>
      </w:r>
      <w:r>
        <w:rPr>
          <w:rFonts w:hint="default" w:ascii="Times New Roman" w:hAnsi="Times New Roman" w:eastAsia="仿宋_GB2312" w:cs="Times New Roman"/>
          <w:sz w:val="32"/>
          <w:szCs w:val="32"/>
          <w:highlight w:val="none"/>
          <w:lang w:val="en-US" w:eastAsia="zh-CN"/>
        </w:rPr>
        <w:t>1173.37</w:t>
      </w:r>
      <w:r>
        <w:rPr>
          <w:rFonts w:hint="default" w:ascii="Times New Roman" w:hAnsi="Times New Roman" w:eastAsia="仿宋_GB2312" w:cs="Times New Roman"/>
          <w:sz w:val="32"/>
          <w:szCs w:val="32"/>
          <w:highlight w:val="none"/>
        </w:rPr>
        <w:t>万元，预算执行率为</w:t>
      </w:r>
      <w:r>
        <w:rPr>
          <w:rFonts w:hint="default" w:ascii="Times New Roman" w:hAnsi="Times New Roman" w:eastAsia="仿宋_GB2312" w:cs="Times New Roman"/>
          <w:sz w:val="32"/>
          <w:szCs w:val="32"/>
          <w:highlight w:val="none"/>
          <w:lang w:val="en-US" w:eastAsia="zh-CN"/>
        </w:rPr>
        <w:t>99.96</w:t>
      </w:r>
      <w:r>
        <w:rPr>
          <w:rFonts w:hint="default" w:ascii="Times New Roman" w:hAnsi="Times New Roman" w:eastAsia="仿宋_GB2312" w:cs="Times New Roman"/>
          <w:sz w:val="32"/>
          <w:szCs w:val="32"/>
          <w:highlight w:val="none"/>
        </w:rPr>
        <w:t>%，项目绩效指标总体完成率为</w:t>
      </w:r>
      <w:r>
        <w:rPr>
          <w:rFonts w:hint="eastAsia" w:eastAsia="仿宋_GB2312" w:cs="Times New Roman"/>
          <w:sz w:val="32"/>
          <w:szCs w:val="32"/>
          <w:highlight w:val="none"/>
          <w:lang w:val="en-US" w:eastAsia="zh-CN"/>
        </w:rPr>
        <w:t>99.25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Hans"/>
        </w:rPr>
        <w:t>总体</w:t>
      </w:r>
      <w:r>
        <w:rPr>
          <w:rFonts w:hint="default" w:ascii="Times New Roman" w:hAnsi="Times New Roman" w:eastAsia="仿宋_GB2312" w:cs="Times New Roman"/>
          <w:sz w:val="32"/>
          <w:szCs w:val="32"/>
          <w:highlight w:val="none"/>
        </w:rPr>
        <w:t>偏差率为</w:t>
      </w:r>
      <w:r>
        <w:rPr>
          <w:rFonts w:hint="default" w:ascii="Times New Roman" w:hAnsi="Times New Roman" w:eastAsia="仿宋_GB2312" w:cs="Times New Roman"/>
          <w:sz w:val="32"/>
          <w:szCs w:val="32"/>
          <w:highlight w:val="none"/>
          <w:lang w:val="en-US" w:eastAsia="zh-CN"/>
        </w:rPr>
        <w:t>0</w:t>
      </w:r>
      <w:r>
        <w:rPr>
          <w:rFonts w:hint="eastAsia" w:eastAsia="仿宋_GB2312" w:cs="Times New Roman"/>
          <w:sz w:val="32"/>
          <w:szCs w:val="32"/>
          <w:highlight w:val="none"/>
          <w:lang w:val="en-US" w:eastAsia="zh-CN"/>
        </w:rPr>
        <w:t>.71</w:t>
      </w:r>
      <w:r>
        <w:rPr>
          <w:rFonts w:hint="default" w:ascii="Times New Roman" w:hAnsi="Times New Roman" w:eastAsia="仿宋_GB2312" w:cs="Times New Roman"/>
          <w:sz w:val="32"/>
          <w:szCs w:val="32"/>
          <w:highlight w:val="none"/>
        </w:rPr>
        <w:t>%。偏差原因</w:t>
      </w:r>
      <w:r>
        <w:rPr>
          <w:rFonts w:hint="eastAsia" w:eastAsia="仿宋_GB2312" w:cs="Times New Roman"/>
          <w:sz w:val="32"/>
          <w:szCs w:val="32"/>
          <w:highlight w:val="none"/>
          <w:lang w:val="en-US" w:eastAsia="zh-CN"/>
        </w:rPr>
        <w:t>为：</w:t>
      </w:r>
      <w:r>
        <w:rPr>
          <w:rFonts w:hint="eastAsia" w:eastAsia="仿宋_GB2312" w:cs="Times New Roman"/>
          <w:color w:val="auto"/>
          <w:sz w:val="32"/>
          <w:szCs w:val="32"/>
          <w:highlight w:val="none"/>
          <w:lang w:val="en-US" w:eastAsia="zh-CN"/>
        </w:rPr>
        <w:t>由于后期</w:t>
      </w:r>
      <w:r>
        <w:rPr>
          <w:rFonts w:hint="default" w:ascii="Times New Roman" w:hAnsi="Times New Roman" w:eastAsia="仿宋_GB2312" w:cs="Times New Roman"/>
          <w:color w:val="auto"/>
          <w:sz w:val="32"/>
          <w:szCs w:val="32"/>
          <w:highlight w:val="none"/>
          <w:lang w:val="en-US" w:eastAsia="zh-CN"/>
        </w:rPr>
        <w:t>经费不足，</w:t>
      </w:r>
      <w:r>
        <w:rPr>
          <w:rFonts w:hint="eastAsia" w:eastAsia="仿宋_GB2312" w:cs="Times New Roman"/>
          <w:sz w:val="32"/>
          <w:szCs w:val="32"/>
          <w:highlight w:val="none"/>
          <w:lang w:val="en-US" w:eastAsia="zh-CN"/>
        </w:rPr>
        <w:t>我单位已暂停开展回头看项目。</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六、主要经验及做法、存在的问题及原因分析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pStyle w:val="11"/>
        <w:spacing w:before="0" w:after="0" w:line="560" w:lineRule="exact"/>
        <w:ind w:firstLine="643" w:firstLineChars="200"/>
        <w:jc w:val="left"/>
        <w:rPr>
          <w:rFonts w:hint="default" w:ascii="Times New Roman" w:hAnsi="Times New Roman" w:eastAsia="仿宋_GB2312" w:cs="Times New Roman"/>
          <w:b w:val="0"/>
          <w:bCs w:val="0"/>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一是</w:t>
      </w:r>
      <w:r>
        <w:rPr>
          <w:rFonts w:hint="eastAsia" w:ascii="Times New Roman" w:hAnsi="Times New Roman" w:eastAsia="仿宋_GB2312" w:cs="Times New Roman"/>
          <w:b w:val="0"/>
          <w:bCs w:val="0"/>
          <w:sz w:val="32"/>
          <w:szCs w:val="32"/>
          <w:highlight w:val="none"/>
          <w:lang w:val="en-US" w:eastAsia="zh-CN"/>
        </w:rPr>
        <w:t>全面完成各项工作任务。</w:t>
      </w:r>
      <w:r>
        <w:rPr>
          <w:rFonts w:hint="default" w:ascii="Times New Roman" w:hAnsi="Times New Roman" w:eastAsia="仿宋_GB2312" w:cs="Times New Roman"/>
          <w:b w:val="0"/>
          <w:bCs w:val="0"/>
          <w:sz w:val="32"/>
          <w:szCs w:val="32"/>
          <w:highlight w:val="none"/>
          <w:lang w:val="en-US" w:eastAsia="zh-CN"/>
        </w:rPr>
        <w:t>按照自治区党委马兴瑞书记与应急管理部王祥喜部长关于国家帮扶指导自治区矿山安全生产工作的部署安排，国家矿山安全帮扶指导工作组就加强新疆矿山领域安全生产工作开展了为期4个月的帮扶指导工作，对伊犁州、昌吉州、哈密市三个重点州</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市</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进行了帮扶指导和乌鲁木齐市等十个地</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州、市</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进行了示范检查指导，圆满完成了各项工作任务。同时，自治区成立矿山安全帮扶指导组，在熟悉掌握检查模式和标准的基础上，对国家帮扶指导以外的地县两级政府、矿山监管部门和矿山企业进行全覆盖帮扶检查，成效显著。帮扶指导期间，国家和自治区帮扶指导组共检查矿山企业 354家</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煤矿 121家、非煤矿山 233 家</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发现一般问题隐患10726项，重大隐患792项。</w:t>
      </w:r>
    </w:p>
    <w:p>
      <w:pPr>
        <w:pStyle w:val="11"/>
        <w:spacing w:before="0" w:after="0" w:line="560" w:lineRule="exact"/>
        <w:ind w:firstLine="643" w:firstLineChars="200"/>
        <w:jc w:val="left"/>
        <w:rPr>
          <w:rFonts w:hint="default"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二是</w:t>
      </w:r>
      <w:r>
        <w:rPr>
          <w:rFonts w:hint="default" w:ascii="Times New Roman" w:hAnsi="Times New Roman" w:eastAsia="仿宋_GB2312" w:cs="Times New Roman"/>
          <w:b w:val="0"/>
          <w:bCs w:val="0"/>
          <w:sz w:val="32"/>
          <w:szCs w:val="32"/>
          <w:highlight w:val="none"/>
          <w:lang w:val="en-US" w:eastAsia="zh-CN"/>
        </w:rPr>
        <w:t>加强培训指导，提升监管</w:t>
      </w:r>
      <w:r>
        <w:rPr>
          <w:rFonts w:hint="eastAsia" w:ascii="Times New Roman" w:hAnsi="Times New Roman" w:eastAsia="仿宋_GB2312" w:cs="Times New Roman"/>
          <w:b w:val="0"/>
          <w:bCs w:val="0"/>
          <w:sz w:val="32"/>
          <w:szCs w:val="32"/>
          <w:highlight w:val="none"/>
          <w:lang w:val="en-US" w:eastAsia="zh-CN"/>
        </w:rPr>
        <w:t>（管理）</w:t>
      </w:r>
      <w:r>
        <w:rPr>
          <w:rFonts w:hint="default" w:ascii="Times New Roman" w:hAnsi="Times New Roman" w:eastAsia="仿宋_GB2312" w:cs="Times New Roman"/>
          <w:b w:val="0"/>
          <w:bCs w:val="0"/>
          <w:sz w:val="32"/>
          <w:szCs w:val="32"/>
          <w:highlight w:val="none"/>
          <w:lang w:val="en-US" w:eastAsia="zh-CN"/>
        </w:rPr>
        <w:t>效能。邀请国家矿山帮扶指导组的优秀监察干部和具有丰富经验的行业领域专家，举办为期7天的自治区矿山安全监管</w:t>
      </w:r>
      <w:r>
        <w:rPr>
          <w:rFonts w:hint="eastAsia" w:ascii="Times New Roman" w:hAnsi="Times New Roman" w:eastAsia="仿宋_GB2312" w:cs="Times New Roman"/>
          <w:b w:val="0"/>
          <w:bCs w:val="0"/>
          <w:sz w:val="32"/>
          <w:szCs w:val="32"/>
          <w:highlight w:val="none"/>
          <w:lang w:val="en-US" w:eastAsia="zh-CN"/>
        </w:rPr>
        <w:t>（管理）</w:t>
      </w:r>
      <w:r>
        <w:rPr>
          <w:rFonts w:hint="default" w:ascii="Times New Roman" w:hAnsi="Times New Roman" w:eastAsia="仿宋_GB2312" w:cs="Times New Roman"/>
          <w:b w:val="0"/>
          <w:bCs w:val="0"/>
          <w:sz w:val="32"/>
          <w:szCs w:val="32"/>
          <w:highlight w:val="none"/>
          <w:lang w:val="en-US" w:eastAsia="zh-CN"/>
        </w:rPr>
        <w:t>能力提升培训班，采取</w:t>
      </w:r>
      <w:r>
        <w:rPr>
          <w:rFonts w:hint="eastAsia" w:ascii="仿宋_GB2312" w:hAnsi="仿宋_GB2312" w:eastAsia="仿宋_GB2312" w:cs="仿宋_GB2312"/>
          <w:b w:val="0"/>
          <w:bCs w:val="0"/>
          <w:sz w:val="32"/>
          <w:szCs w:val="32"/>
          <w:highlight w:val="none"/>
          <w:lang w:val="en-US" w:eastAsia="zh-CN"/>
        </w:rPr>
        <w:t>“集中授课+线上培训”</w:t>
      </w:r>
      <w:r>
        <w:rPr>
          <w:rFonts w:hint="default" w:ascii="Times New Roman" w:hAnsi="Times New Roman" w:eastAsia="仿宋_GB2312" w:cs="Times New Roman"/>
          <w:b w:val="0"/>
          <w:bCs w:val="0"/>
          <w:sz w:val="32"/>
          <w:szCs w:val="32"/>
          <w:highlight w:val="none"/>
          <w:lang w:val="en-US" w:eastAsia="zh-CN"/>
        </w:rPr>
        <w:t>相结合的方式，分层次、分单元对地县两级政府分管负责同志、应急管理部门负责同志、矿山安全监管人员以及矿山企业安全管理人员进行培训，全区共5750人次参训，有效提升了我区矿山安全监管干部监管能力和矿山企业安全管理水平。举办自治区煤矿安全监管人员线下培训班，围绕重大事故隐患判定标准、煤矿隐蔽致灾因素普查治理等内容对地县两级146名矿山安全监管人员进行集中培训，切实提高煤矿安全监管人员能力水平。举办煤矿安全监管骨干能力提升培训班，组织50名全区各级应急管理部门煤矿安全监管干部在中国矿业大学</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徐州</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开展了为期10天的专题培训，进一步提升全区各级矿山安全监管干部骨干专业化能力素质。在应急管理部王祥喜部长大力支持下，举办新疆矿山安全监管专题培训班，分两批次组织200名从事矿山安全监管的全区各级应急管理部门干部在应急管理部干部培训学院开展了为期8天专题培训，解决“本领恐慌”、能力不足的问题，提高了矿山监管干部的能力和水平。举办自治区非煤矿山矿长培训班，对全区正常生产建设地下非煤矿山矿长进行培训，就《中共中央办公厅 国务院办公厅关于进一步加强矿山安全生产工作的意见》进行宣贯解读，切实强化矿山企业主要负责人依法办矿、依法管矿意识</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提升举一反三查改问题隐患的积极性</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主动性。</w:t>
      </w:r>
    </w:p>
    <w:p>
      <w:pPr>
        <w:spacing w:line="560" w:lineRule="exact"/>
        <w:ind w:firstLine="643" w:firstLineChars="200"/>
        <w:rPr>
          <w:rFonts w:hint="default"/>
          <w:lang w:val="en-US" w:eastAsia="zh-CN"/>
        </w:rPr>
      </w:pPr>
      <w:r>
        <w:rPr>
          <w:rFonts w:hint="eastAsia" w:eastAsia="仿宋_GB2312" w:cs="Times New Roman"/>
          <w:b/>
          <w:bCs/>
          <w:sz w:val="32"/>
          <w:szCs w:val="32"/>
          <w:highlight w:val="none"/>
          <w:lang w:val="en-US" w:eastAsia="zh-CN"/>
        </w:rPr>
        <w:t>三是</w:t>
      </w:r>
      <w:r>
        <w:rPr>
          <w:rFonts w:hint="eastAsia" w:eastAsia="仿宋_GB2312" w:cs="Times New Roman"/>
          <w:b w:val="0"/>
          <w:bCs w:val="0"/>
          <w:sz w:val="32"/>
          <w:szCs w:val="32"/>
          <w:highlight w:val="none"/>
          <w:lang w:val="en-US" w:eastAsia="zh-CN"/>
        </w:rPr>
        <w:t>全覆盖进行矿山安全生产综合整治“回头看”。制定印发了《关于开展自治区矿山安全生产综合整治“回头看”检查的通知》，成立10个检查组，对除克拉玛依市以外的13个地（州，市）开展矿山安全综合整治“回头看”，督促问题隐患切实整改到位，进一步巩固帮扶指导成果，夯实矿山安全生产基础。截至目前，一般隐患已整改10391项、重大隐患已整改 771项，整改完成率分别为 96.88%和 97.35%。</w:t>
      </w:r>
    </w:p>
    <w:p>
      <w:pPr>
        <w:keepNext/>
        <w:keepLines/>
        <w:numPr>
          <w:ilvl w:val="0"/>
          <w:numId w:val="4"/>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560" w:lineRule="exact"/>
        <w:ind w:firstLine="640" w:firstLineChars="200"/>
        <w:outlineLvl w:val="9"/>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回头看”过程中发现部分矿山企业问题隐患整改不到位，走形式，走过场。主要因为这些企业隐患排查治理主动性不强，举一反三发现问题能力不足。一些矿山企业主体责任落实不到位，汲取事故教训不深刻，没有把过去的事故和别人的事故当成自己的事故来对待，而是心存侥幸、思想麻痹，缺乏主动找问题、查</w:t>
      </w:r>
      <w:r>
        <w:rPr>
          <w:rFonts w:hint="eastAsia" w:eastAsia="仿宋_GB2312" w:cs="Times New Roman"/>
          <w:sz w:val="32"/>
          <w:szCs w:val="32"/>
          <w:highlight w:val="none"/>
        </w:rPr>
        <w:t>隐患的意识和能力，企业主动自查发现的问题少，被动接受检查及开展检查发现的问题多。</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pacing w:line="560" w:lineRule="exact"/>
        <w:ind w:firstLine="640" w:firstLineChars="200"/>
        <w:rPr>
          <w:rFonts w:hint="eastAsia" w:eastAsia="黑体"/>
          <w:sz w:val="32"/>
          <w:szCs w:val="32"/>
          <w:highlight w:val="none"/>
          <w:lang w:eastAsia="zh-Hans"/>
        </w:rPr>
      </w:pPr>
      <w:r>
        <w:rPr>
          <w:rFonts w:hint="eastAsia" w:ascii="仿宋_GB2312" w:hAnsi="仿宋_GB2312" w:eastAsia="仿宋_GB2312" w:cs="仿宋_GB2312"/>
          <w:sz w:val="32"/>
          <w:szCs w:val="32"/>
          <w:highlight w:val="none"/>
          <w:lang w:val="en-US" w:eastAsia="zh-CN"/>
        </w:rPr>
        <w:t>无。</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pPr>
        <w:pStyle w:val="14"/>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11"/>
        <w:rPr>
          <w:rFonts w:ascii="Times New Roman" w:hAnsi="Times New Roman" w:eastAsia="黑体"/>
          <w:b w:val="0"/>
          <w:bCs w:val="0"/>
        </w:rPr>
      </w:pPr>
    </w:p>
    <w:p>
      <w:pPr>
        <w:pStyle w:val="11"/>
        <w:jc w:val="both"/>
        <w:rPr>
          <w:rFonts w:ascii="Times New Roman" w:hAnsi="Times New Roma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20"/>
        <w:ind w:firstLine="562"/>
        <w:jc w:val="center"/>
        <w:rPr>
          <w:sz w:val="28"/>
          <w:szCs w:val="40"/>
        </w:rPr>
      </w:pPr>
      <w:bookmarkStart w:id="3" w:name="_Toc30064_WPSOffice_Level1"/>
      <w:bookmarkStart w:id="4" w:name="_Toc26499_WPSOffice_Level2"/>
      <w:r>
        <w:rPr>
          <w:rFonts w:hint="default"/>
          <w:b/>
          <w:bCs/>
          <w:sz w:val="28"/>
          <w:szCs w:val="40"/>
          <w:lang w:val="en-US" w:eastAsia="zh-CN"/>
        </w:rPr>
        <w:t>2023</w:t>
      </w:r>
      <w:r>
        <w:rPr>
          <w:rFonts w:hint="eastAsia"/>
          <w:b/>
          <w:bCs/>
          <w:sz w:val="28"/>
          <w:szCs w:val="40"/>
          <w:lang w:val="en-US" w:eastAsia="zh-CN"/>
        </w:rPr>
        <w:t>年国家和自治区安全生产帮扶指导及监督检查项目</w:t>
      </w:r>
      <w:bookmarkStart w:id="5" w:name="_GoBack"/>
      <w:bookmarkEnd w:id="5"/>
      <w:r>
        <w:rPr>
          <w:rFonts w:hint="eastAsia"/>
          <w:b/>
          <w:bCs/>
          <w:sz w:val="28"/>
          <w:szCs w:val="40"/>
        </w:rPr>
        <w:t>绩效评价指标体系综合评分表</w:t>
      </w:r>
      <w:bookmarkEnd w:id="3"/>
      <w:bookmarkEnd w:id="4"/>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27"/>
        <w:gridCol w:w="764"/>
        <w:gridCol w:w="873"/>
        <w:gridCol w:w="2352"/>
        <w:gridCol w:w="5207"/>
        <w:gridCol w:w="1299"/>
        <w:gridCol w:w="13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6"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205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536"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6" w:type="pct"/>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30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51"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536"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51"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536"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51" w:type="pct"/>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536"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6" w:type="pct"/>
            <w:vMerge w:val="continue"/>
            <w:shd w:val="clear" w:color="auto" w:fill="FFFFFF"/>
            <w:vAlign w:val="center"/>
          </w:tcPr>
          <w:p>
            <w:pPr>
              <w:widowControl/>
              <w:spacing w:line="0" w:lineRule="atLeast"/>
              <w:jc w:val="center"/>
              <w:rPr>
                <w:color w:val="000000"/>
                <w:kern w:val="0"/>
                <w:sz w:val="22"/>
                <w:szCs w:val="22"/>
              </w:rPr>
            </w:pPr>
          </w:p>
        </w:tc>
        <w:tc>
          <w:tcPr>
            <w:tcW w:w="301"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536"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51"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6" w:type="pct"/>
            <w:vMerge w:val="continue"/>
            <w:shd w:val="clear" w:color="auto" w:fill="FFFFFF"/>
            <w:vAlign w:val="center"/>
          </w:tcPr>
          <w:p>
            <w:pPr>
              <w:widowControl/>
              <w:spacing w:line="0" w:lineRule="atLeast"/>
              <w:jc w:val="center"/>
              <w:rPr>
                <w:color w:val="000000"/>
                <w:kern w:val="0"/>
                <w:sz w:val="22"/>
                <w:szCs w:val="22"/>
              </w:rPr>
            </w:pPr>
          </w:p>
        </w:tc>
        <w:tc>
          <w:tcPr>
            <w:tcW w:w="301"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51"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6" w:type="pct"/>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30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vMerge w:val="continue"/>
            <w:shd w:val="clear" w:color="auto" w:fill="FFFFFF"/>
            <w:vAlign w:val="center"/>
          </w:tcPr>
          <w:p>
            <w:pPr>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51" w:type="pct"/>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6" w:type="pct"/>
            <w:vMerge w:val="continue"/>
            <w:shd w:val="clear" w:color="auto" w:fill="FFFFFF"/>
            <w:vAlign w:val="center"/>
          </w:tcPr>
          <w:p>
            <w:pPr>
              <w:widowControl/>
              <w:spacing w:line="0" w:lineRule="atLeast"/>
              <w:jc w:val="center"/>
              <w:rPr>
                <w:color w:val="000000"/>
                <w:kern w:val="0"/>
                <w:sz w:val="22"/>
                <w:szCs w:val="22"/>
              </w:rPr>
            </w:pPr>
          </w:p>
        </w:tc>
        <w:tc>
          <w:tcPr>
            <w:tcW w:w="301"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536"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6"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6"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6" w:type="pct"/>
            <w:vMerge w:val="continue"/>
            <w:shd w:val="clear" w:color="auto" w:fill="FFFFFF"/>
            <w:vAlign w:val="center"/>
          </w:tcPr>
          <w:p>
            <w:pPr>
              <w:widowControl/>
              <w:spacing w:line="0" w:lineRule="atLeast"/>
              <w:jc w:val="center"/>
              <w:rPr>
                <w:color w:val="000000"/>
                <w:kern w:val="0"/>
                <w:sz w:val="22"/>
                <w:szCs w:val="22"/>
              </w:rPr>
            </w:pPr>
          </w:p>
        </w:tc>
        <w:tc>
          <w:tcPr>
            <w:tcW w:w="30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6"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6" w:type="pct"/>
            <w:vMerge w:val="continue"/>
            <w:shd w:val="clear" w:color="auto" w:fill="FFFFFF"/>
            <w:vAlign w:val="center"/>
          </w:tcPr>
          <w:p>
            <w:pPr>
              <w:spacing w:line="0" w:lineRule="atLeast"/>
              <w:jc w:val="center"/>
              <w:rPr>
                <w:color w:val="000000"/>
                <w:kern w:val="0"/>
                <w:sz w:val="22"/>
                <w:szCs w:val="22"/>
              </w:rPr>
            </w:pPr>
          </w:p>
        </w:tc>
        <w:tc>
          <w:tcPr>
            <w:tcW w:w="301" w:type="pct"/>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6"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pPr>
              <w:widowControl/>
              <w:spacing w:line="0" w:lineRule="atLeast"/>
              <w:jc w:val="center"/>
              <w:rPr>
                <w:color w:val="000000"/>
                <w:kern w:val="0"/>
                <w:sz w:val="22"/>
                <w:szCs w:val="22"/>
              </w:rPr>
            </w:pPr>
          </w:p>
        </w:tc>
        <w:tc>
          <w:tcPr>
            <w:tcW w:w="30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6"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6"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30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2051" w:type="pct"/>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6"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6" w:type="pct"/>
            <w:vMerge w:val="continue"/>
            <w:shd w:val="clear" w:color="auto" w:fill="FFFFFF"/>
            <w:vAlign w:val="center"/>
          </w:tcPr>
          <w:p>
            <w:pPr>
              <w:widowControl/>
              <w:spacing w:line="0" w:lineRule="atLeast"/>
              <w:jc w:val="center"/>
              <w:rPr>
                <w:color w:val="000000"/>
                <w:kern w:val="0"/>
                <w:sz w:val="22"/>
                <w:szCs w:val="22"/>
              </w:rPr>
            </w:pPr>
          </w:p>
        </w:tc>
        <w:tc>
          <w:tcPr>
            <w:tcW w:w="301"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51"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6"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04" w:hRule="atLeast"/>
          <w:jc w:val="center"/>
        </w:trPr>
        <w:tc>
          <w:tcPr>
            <w:tcW w:w="3950" w:type="pct"/>
            <w:gridSpan w:val="5"/>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b/>
                <w:bCs/>
                <w:color w:val="000000"/>
                <w:kern w:val="0"/>
                <w:sz w:val="22"/>
                <w:szCs w:val="22"/>
                <w:lang w:val="en-US" w:eastAsia="zh-CN"/>
              </w:rPr>
              <w:t>合计</w:t>
            </w:r>
          </w:p>
        </w:tc>
        <w:tc>
          <w:tcPr>
            <w:tcW w:w="512" w:type="pct"/>
            <w:shd w:val="clear" w:color="000000" w:fill="FFFFFF"/>
            <w:vAlign w:val="center"/>
          </w:tcPr>
          <w:p>
            <w:pPr>
              <w:widowControl/>
              <w:spacing w:line="0" w:lineRule="atLeast"/>
              <w:jc w:val="center"/>
              <w:rPr>
                <w:rFonts w:hint="default" w:eastAsia="宋体"/>
                <w:b w:val="0"/>
                <w:bCs w:val="0"/>
                <w:color w:val="000000"/>
                <w:kern w:val="0"/>
                <w:sz w:val="22"/>
                <w:szCs w:val="22"/>
                <w:lang w:val="en-US" w:eastAsia="zh-CN"/>
              </w:rPr>
            </w:pPr>
            <w:r>
              <w:rPr>
                <w:rFonts w:hint="eastAsia"/>
                <w:b/>
                <w:bCs/>
                <w:color w:val="000000"/>
                <w:kern w:val="0"/>
                <w:sz w:val="22"/>
                <w:szCs w:val="22"/>
                <w:lang w:val="en-US" w:eastAsia="zh-CN"/>
              </w:rPr>
              <w:t>100</w:t>
            </w:r>
          </w:p>
        </w:tc>
        <w:tc>
          <w:tcPr>
            <w:tcW w:w="536" w:type="pct"/>
            <w:shd w:val="clear" w:color="000000" w:fill="FFFFFF"/>
            <w:vAlign w:val="center"/>
          </w:tcPr>
          <w:p>
            <w:pPr>
              <w:widowControl/>
              <w:spacing w:line="0" w:lineRule="atLeast"/>
              <w:jc w:val="center"/>
              <w:rPr>
                <w:rFonts w:hint="default" w:eastAsia="宋体"/>
                <w:b w:val="0"/>
                <w:bCs w:val="0"/>
                <w:color w:val="000000"/>
                <w:kern w:val="0"/>
                <w:sz w:val="22"/>
                <w:szCs w:val="22"/>
                <w:highlight w:val="none"/>
                <w:lang w:val="en-US" w:eastAsia="zh-CN"/>
              </w:rPr>
            </w:pPr>
            <w:r>
              <w:rPr>
                <w:rFonts w:hint="eastAsia"/>
                <w:b/>
                <w:bCs/>
                <w:color w:val="000000"/>
                <w:kern w:val="0"/>
                <w:sz w:val="22"/>
                <w:szCs w:val="22"/>
                <w:highlight w:val="none"/>
                <w:lang w:val="en-US" w:eastAsia="zh-CN"/>
              </w:rPr>
              <w:fldChar w:fldCharType="begin"/>
            </w:r>
            <w:r>
              <w:rPr>
                <w:rFonts w:hint="eastAsia"/>
                <w:b/>
                <w:bCs/>
                <w:color w:val="000000"/>
                <w:kern w:val="0"/>
                <w:sz w:val="22"/>
                <w:szCs w:val="22"/>
                <w:highlight w:val="none"/>
                <w:lang w:val="en-US" w:eastAsia="zh-CN"/>
              </w:rPr>
              <w:instrText xml:space="preserve"> = sum(G2:G18) \* MERGEFORMAT </w:instrText>
            </w:r>
            <w:r>
              <w:rPr>
                <w:rFonts w:hint="eastAsia"/>
                <w:b/>
                <w:bCs/>
                <w:color w:val="000000"/>
                <w:kern w:val="0"/>
                <w:sz w:val="22"/>
                <w:szCs w:val="22"/>
                <w:highlight w:val="none"/>
                <w:lang w:val="en-US" w:eastAsia="zh-CN"/>
              </w:rPr>
              <w:fldChar w:fldCharType="separate"/>
            </w:r>
            <w:r>
              <w:rPr>
                <w:rFonts w:hint="eastAsia"/>
                <w:b/>
                <w:bCs/>
                <w:color w:val="000000"/>
                <w:kern w:val="0"/>
                <w:sz w:val="22"/>
                <w:szCs w:val="22"/>
                <w:highlight w:val="none"/>
                <w:lang w:val="en-US" w:eastAsia="zh-CN"/>
              </w:rPr>
              <w:t>99.37</w:t>
            </w:r>
            <w:r>
              <w:rPr>
                <w:rFonts w:hint="eastAsia"/>
                <w:b/>
                <w:bCs/>
                <w:color w:val="000000"/>
                <w:kern w:val="0"/>
                <w:sz w:val="22"/>
                <w:szCs w:val="22"/>
                <w:highlight w:val="none"/>
                <w:lang w:val="en-US" w:eastAsia="zh-CN"/>
              </w:rPr>
              <w:fldChar w:fldCharType="end"/>
            </w: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832878-5793-4A54-A5C2-E3B5B7A572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379028F-15F6-4501-863E-EE6E258D4FD8}"/>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84A77ECD-2EAB-41EB-AA06-4722D81D8280}"/>
  </w:font>
  <w:font w:name="华文中宋">
    <w:panose1 w:val="02010600040101010101"/>
    <w:charset w:val="86"/>
    <w:family w:val="auto"/>
    <w:pitch w:val="default"/>
    <w:sig w:usb0="00000287" w:usb1="080F0000" w:usb2="00000000" w:usb3="00000000" w:csb0="0004009F" w:csb1="DFD70000"/>
    <w:embedRegular r:id="rId4" w:fontKey="{7CF63FAD-9D4F-4793-93ED-C361D0D44F46}"/>
  </w:font>
  <w:font w:name="方正小标宋简体">
    <w:altName w:val="Arial Unicode MS"/>
    <w:panose1 w:val="02010601030101010101"/>
    <w:charset w:val="86"/>
    <w:family w:val="auto"/>
    <w:pitch w:val="default"/>
    <w:sig w:usb0="00000000" w:usb1="00000000" w:usb2="00000000" w:usb3="00000000" w:csb0="00040000" w:csb1="00000000"/>
    <w:embedRegular r:id="rId5" w:fontKey="{7819C92C-44DF-461F-9E11-5D894B8D91DA}"/>
  </w:font>
  <w:font w:name="楷体_GB2312">
    <w:panose1 w:val="02010609030101010101"/>
    <w:charset w:val="86"/>
    <w:family w:val="auto"/>
    <w:pitch w:val="default"/>
    <w:sig w:usb0="00000001" w:usb1="080E0000" w:usb2="00000000" w:usb3="00000000" w:csb0="00040000" w:csb1="00000000"/>
    <w:embedRegular r:id="rId6" w:fontKey="{A8B3F605-E1D0-4FA5-B657-D774036B5F77}"/>
  </w:font>
  <w:font w:name="方正仿宋_GBK">
    <w:panose1 w:val="03000509000000000000"/>
    <w:charset w:val="86"/>
    <w:family w:val="auto"/>
    <w:pitch w:val="default"/>
    <w:sig w:usb0="00000001" w:usb1="080E0000" w:usb2="00000000" w:usb3="00000000" w:csb0="00040000" w:csb1="00000000"/>
    <w:embedRegular r:id="rId7" w:fontKey="{6A688BAE-5739-403A-AECD-5B9959DDDEB8}"/>
  </w:font>
  <w:font w:name="楷体">
    <w:panose1 w:val="02010609060101010101"/>
    <w:charset w:val="86"/>
    <w:family w:val="modern"/>
    <w:pitch w:val="default"/>
    <w:sig w:usb0="800002BF" w:usb1="38CF7CFA" w:usb2="00000016" w:usb3="00000000" w:csb0="00040001" w:csb1="00000000"/>
    <w:embedRegular r:id="rId8" w:fontKey="{8E7A4D96-0B24-40A3-A2A2-B11F5CD08196}"/>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Theme="minorEastAsia" w:hAnsiTheme="minorEastAsia" w:eastAsiaTheme="minorEastAsia" w:cstheme="minorEastAsia"/>
        <w:sz w:val="28"/>
        <w:szCs w:val="28"/>
      </w:rPr>
      <w:id w:val="422003363"/>
    </w:sdtPr>
    <w:sdtEndPr>
      <w:rPr>
        <w:rFonts w:hint="eastAsia" w:asciiTheme="minorEastAsia" w:hAnsiTheme="minorEastAsia" w:eastAsiaTheme="minorEastAsia" w:cstheme="minorEastAsia"/>
        <w:sz w:val="28"/>
        <w:szCs w:val="28"/>
      </w:rPr>
    </w:sdtEndPr>
    <w:sdtContent>
      <w:p>
        <w:pPr>
          <w:pStyle w:val="9"/>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13</w:t>
        </w:r>
        <w:r>
          <w:rPr>
            <w:rFonts w:hint="eastAsia" w:asciiTheme="minorEastAsia" w:hAnsiTheme="minorEastAsia" w:eastAsiaTheme="minorEastAsia" w:cstheme="minorEastAsia"/>
            <w:sz w:val="28"/>
            <w:szCs w:val="28"/>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ascii="楷体" w:hAnsi="楷体" w:eastAsia="楷体" w:cs="楷体"/>
      </w:rPr>
    </w:lvl>
  </w:abstractNum>
  <w:abstractNum w:abstractNumId="3">
    <w:nsid w:val="6FAA0AB1"/>
    <w:multiLevelType w:val="singleLevel"/>
    <w:tmpl w:val="6FAA0AB1"/>
    <w:lvl w:ilvl="0" w:tentative="0">
      <w:start w:val="2"/>
      <w:numFmt w:val="chineseCounting"/>
      <w:suff w:val="nothing"/>
      <w:lvlText w:val="（%1）"/>
      <w:lvlJc w:val="left"/>
      <w:rPr>
        <w:rFonts w:hint="eastAsia" w:ascii="楷体" w:hAnsi="楷体" w:eastAsia="楷体" w:cs="楷体"/>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E5411B"/>
    <w:rsid w:val="06870471"/>
    <w:rsid w:val="07397B77"/>
    <w:rsid w:val="08896A56"/>
    <w:rsid w:val="099D2DE5"/>
    <w:rsid w:val="09AF5ECF"/>
    <w:rsid w:val="0DBD35CD"/>
    <w:rsid w:val="13471461"/>
    <w:rsid w:val="13B90F01"/>
    <w:rsid w:val="159C637B"/>
    <w:rsid w:val="181066D2"/>
    <w:rsid w:val="1C671E73"/>
    <w:rsid w:val="1FC26755"/>
    <w:rsid w:val="267E2763"/>
    <w:rsid w:val="28A44C56"/>
    <w:rsid w:val="30297EDA"/>
    <w:rsid w:val="349621CE"/>
    <w:rsid w:val="35A4229C"/>
    <w:rsid w:val="38CA40DD"/>
    <w:rsid w:val="395F2B56"/>
    <w:rsid w:val="3B6D679C"/>
    <w:rsid w:val="3BECE841"/>
    <w:rsid w:val="3C2459F9"/>
    <w:rsid w:val="3FF7797D"/>
    <w:rsid w:val="4743164D"/>
    <w:rsid w:val="47D77DC3"/>
    <w:rsid w:val="4D277515"/>
    <w:rsid w:val="51A654C5"/>
    <w:rsid w:val="5BE10DB9"/>
    <w:rsid w:val="5BFF6039"/>
    <w:rsid w:val="5D76A616"/>
    <w:rsid w:val="5D7F20B9"/>
    <w:rsid w:val="5DAC7D0E"/>
    <w:rsid w:val="5F98B5AF"/>
    <w:rsid w:val="5FFE8511"/>
    <w:rsid w:val="5FFEACE2"/>
    <w:rsid w:val="610063B0"/>
    <w:rsid w:val="62782AD0"/>
    <w:rsid w:val="643EE26D"/>
    <w:rsid w:val="6538040D"/>
    <w:rsid w:val="6BBE3BE4"/>
    <w:rsid w:val="6F5C41AC"/>
    <w:rsid w:val="6FAF6C78"/>
    <w:rsid w:val="703D260A"/>
    <w:rsid w:val="7317C656"/>
    <w:rsid w:val="734ED73F"/>
    <w:rsid w:val="75502DDF"/>
    <w:rsid w:val="75B02D47"/>
    <w:rsid w:val="769D38C5"/>
    <w:rsid w:val="774144AB"/>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2">
    <w:name w:val="heading 4"/>
    <w:basedOn w:val="1"/>
    <w:next w:val="1"/>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character" w:default="1" w:styleId="16">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3"/>
    <w:autoRedefine/>
    <w:qFormat/>
    <w:uiPriority w:val="0"/>
    <w:pPr>
      <w:jc w:val="left"/>
    </w:pPr>
  </w:style>
  <w:style w:type="paragraph" w:styleId="5">
    <w:name w:val="Salutation"/>
    <w:basedOn w:val="1"/>
    <w:next w:val="1"/>
    <w:autoRedefine/>
    <w:qFormat/>
    <w:uiPriority w:val="0"/>
  </w:style>
  <w:style w:type="paragraph" w:styleId="6">
    <w:name w:val="Body Text"/>
    <w:basedOn w:val="1"/>
    <w:autoRedefine/>
    <w:qFormat/>
    <w:uiPriority w:val="0"/>
    <w:pPr>
      <w:spacing w:after="120"/>
    </w:pPr>
  </w:style>
  <w:style w:type="paragraph" w:styleId="7">
    <w:name w:val="Body Text Indent"/>
    <w:basedOn w:val="1"/>
    <w:autoRedefine/>
    <w:qFormat/>
    <w:uiPriority w:val="0"/>
    <w:pPr>
      <w:spacing w:after="120"/>
      <w:ind w:left="420" w:leftChars="200"/>
    </w:pPr>
    <w:rPr>
      <w:rFonts w:ascii="Calibri" w:hAnsi="Calibri"/>
    </w:rPr>
  </w:style>
  <w:style w:type="paragraph" w:styleId="8">
    <w:name w:val="Balloon Text"/>
    <w:basedOn w:val="1"/>
    <w:link w:val="21"/>
    <w:autoRedefine/>
    <w:qFormat/>
    <w:uiPriority w:val="0"/>
    <w:rPr>
      <w:sz w:val="18"/>
      <w:szCs w:val="18"/>
    </w:rPr>
  </w:style>
  <w:style w:type="paragraph" w:styleId="9">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autoRedefine/>
    <w:qFormat/>
    <w:uiPriority w:val="0"/>
    <w:rPr>
      <w:b/>
      <w:bCs/>
    </w:rPr>
  </w:style>
  <w:style w:type="paragraph" w:styleId="13">
    <w:name w:val="Body Text First Indent"/>
    <w:basedOn w:val="6"/>
    <w:autoRedefine/>
    <w:qFormat/>
    <w:uiPriority w:val="0"/>
    <w:pPr>
      <w:spacing w:after="0"/>
      <w:ind w:firstLine="200" w:firstLineChars="200"/>
    </w:pPr>
  </w:style>
  <w:style w:type="paragraph" w:styleId="14">
    <w:name w:val="Body Text First Indent 2"/>
    <w:basedOn w:val="7"/>
    <w:autoRedefine/>
    <w:qFormat/>
    <w:uiPriority w:val="0"/>
    <w:pPr>
      <w:ind w:firstLine="420" w:firstLineChars="200"/>
    </w:pPr>
  </w:style>
  <w:style w:type="character" w:styleId="17">
    <w:name w:val="Strong"/>
    <w:basedOn w:val="16"/>
    <w:autoRedefine/>
    <w:qFormat/>
    <w:uiPriority w:val="0"/>
    <w:rPr>
      <w:b/>
      <w:bCs/>
    </w:rPr>
  </w:style>
  <w:style w:type="character" w:styleId="18">
    <w:name w:val="annotation reference"/>
    <w:basedOn w:val="16"/>
    <w:autoRedefine/>
    <w:qFormat/>
    <w:uiPriority w:val="0"/>
    <w:rPr>
      <w:sz w:val="21"/>
      <w:szCs w:val="21"/>
    </w:rPr>
  </w:style>
  <w:style w:type="character" w:customStyle="1" w:styleId="19">
    <w:name w:val="fontstyle01"/>
    <w:autoRedefine/>
    <w:qFormat/>
    <w:uiPriority w:val="0"/>
    <w:rPr>
      <w:rFonts w:ascii="仿宋_GB2312" w:hAnsi="仿宋_GB2312" w:eastAsia="仿宋_GB2312" w:cs="仿宋_GB2312"/>
      <w:color w:val="000000"/>
      <w:sz w:val="32"/>
      <w:szCs w:val="32"/>
    </w:rPr>
  </w:style>
  <w:style w:type="paragraph" w:customStyle="1" w:styleId="20">
    <w:name w:val="闻政-正文段落文字"/>
    <w:basedOn w:val="1"/>
    <w:autoRedefine/>
    <w:qFormat/>
    <w:uiPriority w:val="3"/>
    <w:pPr>
      <w:spacing w:line="500" w:lineRule="exact"/>
      <w:ind w:firstLine="200"/>
    </w:pPr>
    <w:rPr>
      <w:kern w:val="0"/>
      <w:szCs w:val="28"/>
    </w:rPr>
  </w:style>
  <w:style w:type="character" w:customStyle="1" w:styleId="21">
    <w:name w:val="批注框文本 字符"/>
    <w:basedOn w:val="16"/>
    <w:link w:val="8"/>
    <w:autoRedefine/>
    <w:qFormat/>
    <w:uiPriority w:val="0"/>
    <w:rPr>
      <w:rFonts w:ascii="Times New Roman" w:hAnsi="Times New Roman" w:eastAsia="宋体" w:cs="Times New Roman"/>
      <w:kern w:val="2"/>
      <w:sz w:val="18"/>
      <w:szCs w:val="18"/>
    </w:rPr>
  </w:style>
  <w:style w:type="character" w:customStyle="1" w:styleId="22">
    <w:name w:val="页眉 字符"/>
    <w:basedOn w:val="16"/>
    <w:link w:val="10"/>
    <w:autoRedefine/>
    <w:qFormat/>
    <w:uiPriority w:val="0"/>
    <w:rPr>
      <w:rFonts w:ascii="Times New Roman" w:hAnsi="Times New Roman" w:eastAsia="宋体" w:cs="Times New Roman"/>
      <w:kern w:val="2"/>
      <w:sz w:val="18"/>
      <w:szCs w:val="18"/>
    </w:rPr>
  </w:style>
  <w:style w:type="character" w:customStyle="1" w:styleId="23">
    <w:name w:val="批注文字 字符"/>
    <w:basedOn w:val="16"/>
    <w:link w:val="4"/>
    <w:autoRedefine/>
    <w:qFormat/>
    <w:uiPriority w:val="0"/>
    <w:rPr>
      <w:rFonts w:ascii="Times New Roman" w:hAnsi="Times New Roman" w:eastAsia="宋体" w:cs="Times New Roman"/>
      <w:kern w:val="2"/>
      <w:sz w:val="21"/>
      <w:szCs w:val="24"/>
    </w:rPr>
  </w:style>
  <w:style w:type="character" w:customStyle="1" w:styleId="24">
    <w:name w:val="批注主题 字符"/>
    <w:basedOn w:val="23"/>
    <w:link w:val="12"/>
    <w:autoRedefine/>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8469</Words>
  <Characters>8724</Characters>
  <Lines>58</Lines>
  <Paragraphs>16</Paragraphs>
  <TotalTime>8</TotalTime>
  <ScaleCrop>false</ScaleCrop>
  <LinksUpToDate>false</LinksUpToDate>
  <CharactersWithSpaces>8775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  </cp:lastModifiedBy>
  <dcterms:modified xsi:type="dcterms:W3CDTF">2024-03-20T08:04:54Z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F5C1A45C14B641DD9B423D5DB2A4088E_13</vt:lpwstr>
  </property>
</Properties>
</file>