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lang w:eastAsia="zh-CN"/>
        </w:rPr>
        <w:t>危险化学品登记工作经费</w:t>
      </w:r>
      <w:r>
        <w:rPr>
          <w:rFonts w:eastAsia="方正小标宋_GBK"/>
          <w:kern w:val="0"/>
          <w:sz w:val="48"/>
          <w:szCs w:val="48"/>
        </w:rPr>
        <w:t>资金项目支出绩效评价报告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11"/>
      </w:pPr>
    </w:p>
    <w:p>
      <w:pPr>
        <w:spacing w:line="540" w:lineRule="exact"/>
        <w:jc w:val="center"/>
        <w:rPr>
          <w:rFonts w:eastAsia="仿宋_GB2312"/>
          <w:kern w:val="0"/>
          <w:sz w:val="30"/>
          <w:szCs w:val="30"/>
        </w:rPr>
      </w:pPr>
    </w:p>
    <w:p>
      <w:pPr>
        <w:pStyle w:val="11"/>
      </w:pPr>
    </w:p>
    <w:p/>
    <w:p>
      <w:pPr>
        <w:spacing w:line="700" w:lineRule="exact"/>
        <w:ind w:firstLine="320" w:firstLineChars="100"/>
        <w:jc w:val="left"/>
        <w:rPr>
          <w:rFonts w:hint="eastAsia" w:eastAsia="仿宋_GB2312"/>
          <w:kern w:val="0"/>
          <w:sz w:val="32"/>
          <w:szCs w:val="32"/>
          <w:lang w:eastAsia="zh-CN"/>
        </w:rPr>
      </w:pPr>
      <w:r>
        <w:rPr>
          <w:rFonts w:hint="eastAsia" w:eastAsia="仿宋_GB2312"/>
          <w:kern w:val="0"/>
          <w:sz w:val="32"/>
          <w:szCs w:val="32"/>
        </w:rPr>
        <w:t>项目名称：</w:t>
      </w:r>
      <w:r>
        <w:rPr>
          <w:rFonts w:hint="eastAsia" w:eastAsia="仿宋_GB2312"/>
          <w:kern w:val="0"/>
          <w:sz w:val="32"/>
          <w:szCs w:val="32"/>
          <w:lang w:eastAsia="zh-CN"/>
        </w:rPr>
        <w:t>危险化学品登记工作经费</w:t>
      </w:r>
    </w:p>
    <w:p>
      <w:pPr>
        <w:spacing w:line="700" w:lineRule="exact"/>
        <w:jc w:val="left"/>
        <w:rPr>
          <w:rFonts w:hint="eastAsia" w:eastAsia="仿宋_GB2312"/>
          <w:kern w:val="0"/>
          <w:sz w:val="32"/>
          <w:szCs w:val="32"/>
          <w:lang w:eastAsia="zh-CN"/>
        </w:rPr>
      </w:pPr>
      <w:r>
        <w:rPr>
          <w:rFonts w:hint="eastAsia" w:eastAsia="仿宋_GB2312"/>
          <w:kern w:val="0"/>
          <w:sz w:val="32"/>
          <w:szCs w:val="32"/>
        </w:rPr>
        <w:t xml:space="preserve"> </w:t>
      </w:r>
      <w:r>
        <w:rPr>
          <w:rFonts w:hint="eastAsia" w:eastAsia="仿宋_GB2312"/>
          <w:kern w:val="0"/>
          <w:sz w:val="32"/>
          <w:szCs w:val="32"/>
          <w:lang w:val="en-US" w:eastAsia="zh-CN"/>
        </w:rPr>
        <w:t xml:space="preserve"> </w:t>
      </w:r>
      <w:r>
        <w:rPr>
          <w:rFonts w:hint="eastAsia" w:eastAsia="仿宋_GB2312"/>
          <w:kern w:val="0"/>
          <w:sz w:val="32"/>
          <w:szCs w:val="32"/>
        </w:rPr>
        <w:t>实施单位（公章）：</w:t>
      </w:r>
      <w:r>
        <w:rPr>
          <w:rFonts w:hint="eastAsia" w:eastAsia="仿宋_GB2312"/>
          <w:kern w:val="0"/>
          <w:sz w:val="32"/>
          <w:szCs w:val="32"/>
          <w:lang w:eastAsia="zh-CN"/>
        </w:rPr>
        <w:t>新疆维吾尔自治区安全科学技术研究院</w:t>
      </w:r>
    </w:p>
    <w:p>
      <w:pPr>
        <w:spacing w:line="700" w:lineRule="exact"/>
        <w:ind w:firstLine="320" w:firstLineChars="100"/>
        <w:jc w:val="left"/>
        <w:rPr>
          <w:rFonts w:hint="eastAsia" w:eastAsia="仿宋_GB2312"/>
          <w:kern w:val="0"/>
          <w:sz w:val="32"/>
          <w:szCs w:val="32"/>
          <w:lang w:eastAsia="zh-CN"/>
        </w:rPr>
      </w:pPr>
      <w:r>
        <w:rPr>
          <w:rFonts w:hint="eastAsia" w:eastAsia="仿宋_GB2312"/>
          <w:kern w:val="0"/>
          <w:sz w:val="32"/>
          <w:szCs w:val="32"/>
        </w:rPr>
        <w:t>主管部门（公章）：</w:t>
      </w:r>
      <w:r>
        <w:rPr>
          <w:rFonts w:hint="eastAsia" w:eastAsia="仿宋_GB2312"/>
          <w:kern w:val="0"/>
          <w:sz w:val="32"/>
          <w:szCs w:val="32"/>
          <w:lang w:eastAsia="zh-CN"/>
        </w:rPr>
        <w:t>新疆维吾尔自治区应急管理厅</w:t>
      </w:r>
    </w:p>
    <w:p>
      <w:pPr>
        <w:spacing w:line="700" w:lineRule="exact"/>
        <w:ind w:firstLine="320" w:firstLineChars="100"/>
        <w:jc w:val="left"/>
        <w:rPr>
          <w:rFonts w:eastAsia="仿宋_GB2312"/>
          <w:kern w:val="0"/>
          <w:sz w:val="32"/>
          <w:szCs w:val="32"/>
        </w:rPr>
      </w:pPr>
      <w:r>
        <w:rPr>
          <w:rFonts w:hint="eastAsia" w:eastAsia="仿宋_GB2312"/>
          <w:kern w:val="0"/>
          <w:sz w:val="32"/>
          <w:szCs w:val="32"/>
        </w:rPr>
        <w:t>项目负责人（签章）：</w:t>
      </w:r>
      <w:r>
        <w:rPr>
          <w:rFonts w:hint="eastAsia" w:eastAsia="仿宋_GB2312"/>
          <w:kern w:val="0"/>
          <w:sz w:val="32"/>
          <w:szCs w:val="32"/>
          <w:lang w:eastAsia="zh-CN"/>
        </w:rPr>
        <w:t>梅晶</w:t>
      </w:r>
    </w:p>
    <w:p>
      <w:pPr>
        <w:spacing w:line="700" w:lineRule="exact"/>
        <w:ind w:firstLine="320" w:firstLineChars="100"/>
        <w:jc w:val="left"/>
        <w:rPr>
          <w:rFonts w:eastAsia="仿宋_GB2312"/>
          <w:kern w:val="0"/>
          <w:sz w:val="32"/>
          <w:szCs w:val="32"/>
        </w:rPr>
      </w:pPr>
      <w:r>
        <w:rPr>
          <w:rFonts w:hint="eastAsia" w:eastAsia="仿宋_GB2312"/>
          <w:kern w:val="0"/>
          <w:sz w:val="32"/>
          <w:szCs w:val="32"/>
        </w:rPr>
        <w:t>填报时间：</w:t>
      </w:r>
      <w:r>
        <w:rPr>
          <w:rFonts w:hint="eastAsia" w:eastAsia="仿宋_GB2312"/>
          <w:kern w:val="0"/>
          <w:sz w:val="32"/>
          <w:szCs w:val="32"/>
          <w:lang w:val="en-US" w:eastAsia="zh-CN"/>
        </w:rPr>
        <w:t>2024年3月15日</w:t>
      </w:r>
    </w:p>
    <w:p>
      <w:pPr>
        <w:spacing w:line="540" w:lineRule="exact"/>
        <w:rPr>
          <w:rFonts w:eastAsia="仿宋_GB2312"/>
          <w:kern w:val="0"/>
          <w:sz w:val="30"/>
          <w:szCs w:val="30"/>
        </w:rPr>
      </w:pPr>
    </w:p>
    <w:p>
      <w:pPr>
        <w:spacing w:line="540" w:lineRule="exact"/>
        <w:ind w:firstLine="640"/>
        <w:rPr>
          <w:rStyle w:val="17"/>
          <w:rFonts w:eastAsia="黑体"/>
          <w:b w:val="0"/>
          <w:spacing w:val="-4"/>
          <w:sz w:val="32"/>
          <w:szCs w:val="32"/>
        </w:rPr>
      </w:pPr>
    </w:p>
    <w:p>
      <w:pPr>
        <w:spacing w:line="540" w:lineRule="exact"/>
        <w:rPr>
          <w:rStyle w:val="17"/>
          <w:rFonts w:eastAsia="黑体"/>
          <w:b w:val="0"/>
          <w:spacing w:val="-4"/>
          <w:sz w:val="32"/>
          <w:szCs w:val="32"/>
        </w:rPr>
      </w:pPr>
    </w:p>
    <w:p>
      <w:pPr>
        <w:spacing w:line="560" w:lineRule="exact"/>
        <w:ind w:firstLine="640" w:firstLineChars="200"/>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1、项目背景</w:t>
      </w:r>
    </w:p>
    <w:p>
      <w:pPr>
        <w:pStyle w:val="11"/>
        <w:numPr>
          <w:ilvl w:val="0"/>
          <w:numId w:val="0"/>
        </w:numPr>
        <w:spacing w:before="0" w:after="0" w:line="560" w:lineRule="exact"/>
        <w:ind w:firstLine="640" w:firstLineChars="200"/>
        <w:jc w:val="both"/>
        <w:rPr>
          <w:rFonts w:ascii="Times New Roman" w:hAnsi="Times New Roman" w:eastAsia="仿宋_GB2312"/>
          <w:kern w:val="2"/>
        </w:rPr>
      </w:pPr>
      <w:r>
        <w:rPr>
          <w:rFonts w:hint="eastAsia" w:ascii="仿宋_GB2312" w:hAnsi="仿宋_GB2312" w:eastAsia="仿宋_GB2312" w:cs="仿宋_GB2312"/>
          <w:b w:val="0"/>
          <w:bCs w:val="0"/>
          <w:kern w:val="2"/>
          <w:sz w:val="32"/>
          <w:szCs w:val="32"/>
          <w:highlight w:val="none"/>
          <w:lang w:val="en-US" w:eastAsia="zh-CN" w:bidi="ar-SA"/>
        </w:rPr>
        <w:t>自治区危险化学品登记经费是依据《中华人民共和国安全生产法》（主席令第13号）、《危险化学品安全管理条例（2013修）》（国务院令第645号）和《危险化学品登记管理办法》（国家安监总局令第53号），自治区危险化学品登记注册管理办公室承办自治区及新疆生产建设兵团危险化学品登记的具体工作和技术管理工作。</w:t>
      </w:r>
    </w:p>
    <w:p>
      <w:pPr>
        <w:pStyle w:val="11"/>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（1）项目主要内容：</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自治区危险化学品登记注册管理办公室组织自治区及兵团危险化学品生产和进口企业登记工作；对登记企业申报材料的规范性、内容一致性进行审查；负责危险化学品登记信息的统计分析和现场核查；建立危险化学品登记信息数据库，提供危险化学品事故预防与应急救援信息支持；开展化学品物理危险性鉴定工作，开展登记培训及指导企业实施危险化学品登记工作。</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（2）项目实施情况：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2023年，新疆登记完成了104家危险化学品生产企业的登记材料审核及发证。危险化学品现场核查企业数量完成了105家，现场核查按时完成率为100%。购置设备数量1台（液体氧化性测定仪），设备验收合格率为100%。</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根据国家化学品登记中心具体通知落实相关工作，2023年12月底前完成各项工作指标，显著提升全区安全生产能力水平。</w:t>
      </w:r>
    </w:p>
    <w:p>
      <w:pPr>
        <w:spacing w:line="560" w:lineRule="exact"/>
        <w:ind w:firstLine="643" w:firstLineChars="200"/>
        <w:rPr>
          <w:rFonts w:eastAsia="仿宋_GB2312"/>
          <w:b/>
          <w:bCs/>
          <w:sz w:val="32"/>
          <w:szCs w:val="32"/>
        </w:rPr>
      </w:pPr>
      <w:r>
        <w:rPr>
          <w:rFonts w:eastAsia="仿宋_GB2312"/>
          <w:b/>
          <w:bCs/>
          <w:sz w:val="32"/>
          <w:szCs w:val="32"/>
        </w:rPr>
        <w:t>3、资金投入和使用情况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该项目年初预算数70万元，全年预算数70万元，实际总投入70万元，该项目资金已全部落实到位，资金来源为一般公共预算。</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该项目年初预算数70万元，全年预算数70万元，全年执行数70万元，预算执行率为100%，主要用于：危险化学品登记相关工作，其中：化学品物理危险性鉴定22.9万元；危险化学品登记现场核查47.1万元。</w:t>
      </w:r>
    </w:p>
    <w:p>
      <w:pPr>
        <w:spacing w:line="560" w:lineRule="exact"/>
        <w:ind w:firstLine="643" w:firstLineChars="200"/>
        <w:rPr>
          <w:rFonts w:eastAsia="楷体_GB2312"/>
          <w:b/>
          <w:bCs/>
          <w:i/>
          <w:i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1、总体目标</w:t>
      </w:r>
    </w:p>
    <w:p>
      <w:pPr>
        <w:spacing w:line="560" w:lineRule="exact"/>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通过实施本项目进一步完善自治区危险化学品数据库，充分发挥危险化学品登记注册的作用，为建立化学品事故应急网络打下基础，为全区危险化学品安全的全程监控实现动态管理创造条件，为安全监管部门进行危险化学品监督管理、事故预防和化学品事故应急救援提供信息和技术支持。</w:t>
      </w:r>
    </w:p>
    <w:p>
      <w:pPr>
        <w:numPr>
          <w:ilvl w:val="0"/>
          <w:numId w:val="1"/>
        </w:numPr>
        <w:spacing w:line="560" w:lineRule="exact"/>
        <w:ind w:left="0" w:leftChars="0" w:firstLine="640" w:firstLineChars="200"/>
        <w:rPr>
          <w:rFonts w:eastAsia="仿宋_GB2312"/>
          <w:sz w:val="32"/>
          <w:szCs w:val="32"/>
        </w:rPr>
      </w:pPr>
      <w:r>
        <w:rPr>
          <w:rFonts w:eastAsia="仿宋_GB2312"/>
          <w:sz w:val="32"/>
          <w:szCs w:val="32"/>
        </w:rPr>
        <w:t>阶段性目标</w:t>
      </w:r>
    </w:p>
    <w:p>
      <w:pPr>
        <w:spacing w:line="560" w:lineRule="exact"/>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为树立安全发展理念，坚持“安全第一、预防为主、综合治理”的方针，加强危险化学品安全管理，进一步完善自治区危险化学品数据库，评价和公开危险化学品的危险特性，开展化学品物理危险性鉴定，预防和控制危险化学品危害，充分发挥危险化学品登记注册的作用，为建立化学品事故应急网络打下基础，为全区危险化学品安全的全程监控实现动态管理创造条件，为安全监管部门进行危险化学品监督管理，事故预防和化学品事故应急救援提供信息和技术支持。分别设定一级目标三个（包括：产出指标、效益指标、满意度指标）、二级目标6个（包括：数量指标、成本指标、质量指标、时效指标、经济益指标、满意度指标）、三级目标12个（包括：现场核查企业数量、受理危险化学品登记企业数量、购置设备数量、设备验收合格率、现场核查按时完成率、资金支付及时率、设备检定维护费用、设备采购成本控制数、业务活动费、现场核查专家咨询费或委托服务费、有效提升全区安全生产能力水平、危险化学品登记企业对于受理工作满意度）。</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pStyle w:val="20"/>
        <w:spacing w:line="560" w:lineRule="exact"/>
        <w:ind w:firstLine="640" w:firstLineChars="200"/>
        <w:rPr>
          <w:rFonts w:eastAsia="方正仿宋_GBK" w:cs="方正仿宋_GBK"/>
          <w:sz w:val="32"/>
          <w:szCs w:val="32"/>
        </w:rPr>
      </w:pPr>
      <w:r>
        <w:rPr>
          <w:rFonts w:eastAsia="仿宋_GB2312"/>
          <w:sz w:val="32"/>
          <w:szCs w:val="32"/>
        </w:rPr>
        <w:t>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危险化学品登记工作经费</w:t>
      </w:r>
      <w:r>
        <w:rPr>
          <w:rFonts w:hint="eastAsia" w:ascii="仿宋_GB2312" w:hAnsi="仿宋_GB2312" w:eastAsia="仿宋_GB2312" w:cs="仿宋_GB2312"/>
          <w:sz w:val="32"/>
          <w:szCs w:val="32"/>
        </w:rPr>
        <w:t>项目所包含的全部项目内容。</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w:t>
      </w:r>
      <w:r>
        <w:rPr>
          <w:rFonts w:hint="eastAsia" w:ascii="仿宋_GB2312" w:hAnsi="仿宋_GB2312" w:eastAsia="仿宋_GB2312" w:cs="仿宋_GB2312"/>
          <w:sz w:val="32"/>
          <w:szCs w:val="32"/>
          <w:lang w:val="en-US" w:eastAsia="zh-CN"/>
        </w:rPr>
        <w:t>项目立项、</w:t>
      </w:r>
      <w:r>
        <w:rPr>
          <w:rFonts w:hint="eastAsia" w:ascii="仿宋_GB2312" w:hAnsi="仿宋_GB2312" w:eastAsia="仿宋_GB2312" w:cs="仿宋_GB2312"/>
          <w:sz w:val="32"/>
          <w:szCs w:val="32"/>
        </w:rPr>
        <w:t>绩效目标、</w:t>
      </w:r>
      <w:r>
        <w:rPr>
          <w:rFonts w:hint="eastAsia" w:ascii="仿宋_GB2312" w:hAnsi="仿宋_GB2312" w:eastAsia="仿宋_GB2312" w:cs="仿宋_GB2312"/>
          <w:sz w:val="32"/>
          <w:szCs w:val="32"/>
          <w:lang w:val="en-US" w:eastAsia="zh-CN"/>
        </w:rPr>
        <w:t>资金投入</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过程</w:t>
      </w:r>
      <w:r>
        <w:rPr>
          <w:rFonts w:hint="eastAsia" w:ascii="仿宋_GB2312" w:hAnsi="仿宋_GB2312" w:eastAsia="仿宋_GB2312" w:cs="仿宋_GB2312"/>
          <w:sz w:val="32"/>
          <w:szCs w:val="32"/>
        </w:rPr>
        <w:t>（包括资金</w:t>
      </w:r>
      <w:r>
        <w:rPr>
          <w:rFonts w:hint="eastAsia" w:ascii="仿宋_GB2312" w:hAnsi="仿宋_GB2312" w:eastAsia="仿宋_GB2312" w:cs="仿宋_GB2312"/>
          <w:sz w:val="32"/>
          <w:szCs w:val="32"/>
          <w:lang w:val="en-US" w:eastAsia="zh-CN"/>
        </w:rPr>
        <w:t>管理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组织</w:t>
      </w:r>
      <w:r>
        <w:rPr>
          <w:rFonts w:hint="eastAsia" w:ascii="仿宋_GB2312" w:hAnsi="仿宋_GB2312" w:eastAsia="仿宋_GB2312" w:cs="仿宋_GB2312"/>
          <w:sz w:val="32"/>
          <w:szCs w:val="32"/>
        </w:rPr>
        <w:t>实施）、项目产出（包括项目产出数量、产出质量、产出时效和产出成本）</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项目效益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实施效益、满意度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四个维度对</w:t>
      </w:r>
      <w:r>
        <w:rPr>
          <w:rFonts w:hint="eastAsia" w:ascii="仿宋_GB2312" w:hAnsi="仿宋_GB2312" w:eastAsia="仿宋_GB2312" w:cs="仿宋_GB2312"/>
          <w:sz w:val="32"/>
          <w:szCs w:val="32"/>
          <w:lang w:eastAsia="zh-CN"/>
        </w:rPr>
        <w:t>危险化学品登记工作经费</w:t>
      </w:r>
      <w:r>
        <w:rPr>
          <w:rFonts w:hint="eastAsia" w:ascii="仿宋_GB2312" w:hAnsi="仿宋_GB2312" w:eastAsia="仿宋_GB2312" w:cs="仿宋_GB2312"/>
          <w:sz w:val="32"/>
          <w:szCs w:val="32"/>
        </w:rPr>
        <w:t>进行评价，评价核心为</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资金的支出完成情况和效果。</w:t>
      </w:r>
    </w:p>
    <w:p>
      <w:pPr>
        <w:spacing w:line="560" w:lineRule="exact"/>
        <w:ind w:firstLine="643" w:firstLineChars="200"/>
      </w:pPr>
      <w:r>
        <w:rPr>
          <w:rFonts w:eastAsia="楷体_GB2312"/>
          <w:b/>
          <w:bCs/>
          <w:sz w:val="32"/>
          <w:szCs w:val="32"/>
        </w:rPr>
        <w:t>（二）绩效评价原则、评价指标体系（详情见表1）、评价方法、评价标准。</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1"/>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11"/>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绩效评价标准通常包括计划标准、行业标准、历史标准等，用于对绩效指标完成情况进行比较、分析、评价。</w:t>
      </w:r>
      <w:r>
        <w:rPr>
          <w:rFonts w:hint="eastAsia" w:eastAsia="仿宋_GB2312"/>
          <w:color w:val="000000"/>
          <w:spacing w:val="17"/>
          <w:sz w:val="32"/>
          <w:szCs w:val="32"/>
          <w:highlight w:val="none"/>
        </w:rPr>
        <w:t>本次评价主要采用了</w:t>
      </w:r>
      <w:r>
        <w:rPr>
          <w:rFonts w:hint="eastAsia" w:eastAsia="仿宋_GB2312"/>
          <w:color w:val="000000"/>
          <w:spacing w:val="17"/>
          <w:sz w:val="32"/>
          <w:szCs w:val="32"/>
        </w:rPr>
        <w:t>计划标准、行业标准、历史标准。</w:t>
      </w:r>
    </w:p>
    <w:p>
      <w:pPr>
        <w:spacing w:line="560" w:lineRule="exact"/>
        <w:ind w:firstLine="711" w:firstLineChars="200"/>
        <w:rPr>
          <w:rFonts w:eastAsia="仿宋_GB2312"/>
          <w:color w:val="000000"/>
          <w:spacing w:val="17"/>
          <w:sz w:val="32"/>
          <w:szCs w:val="32"/>
        </w:rPr>
      </w:pPr>
      <w:bookmarkStart w:id="0" w:name="_Toc17882"/>
      <w:bookmarkStart w:id="1" w:name="_Toc31464"/>
      <w:r>
        <w:rPr>
          <w:rFonts w:hint="eastAsia" w:eastAsia="仿宋_GB2312"/>
          <w:b/>
          <w:bCs/>
          <w:color w:val="000000"/>
          <w:spacing w:val="17"/>
          <w:sz w:val="32"/>
          <w:szCs w:val="32"/>
        </w:rPr>
        <w:t>计划标准：</w:t>
      </w:r>
      <w:r>
        <w:rPr>
          <w:rFonts w:hint="eastAsia" w:eastAsia="仿宋_GB2312"/>
          <w:color w:val="000000"/>
          <w:spacing w:val="17"/>
          <w:sz w:val="32"/>
          <w:szCs w:val="32"/>
        </w:rPr>
        <w:t>指以预先制定的目标、计划、预算、定额等作为评价标准。</w:t>
      </w:r>
      <w:bookmarkEnd w:id="0"/>
      <w:bookmarkEnd w:id="1"/>
    </w:p>
    <w:p>
      <w:pPr>
        <w:spacing w:line="560" w:lineRule="exact"/>
        <w:ind w:firstLine="711" w:firstLineChars="200"/>
        <w:rPr>
          <w:rFonts w:eastAsia="仿宋_GB2312"/>
          <w:color w:val="000000"/>
          <w:spacing w:val="17"/>
          <w:sz w:val="32"/>
          <w:szCs w:val="32"/>
        </w:rPr>
      </w:pPr>
      <w:bookmarkStart w:id="2" w:name="_Toc5633"/>
      <w:bookmarkStart w:id="3" w:name="_Toc2318"/>
      <w:r>
        <w:rPr>
          <w:rFonts w:hint="eastAsia" w:eastAsia="仿宋_GB2312"/>
          <w:b/>
          <w:bCs/>
          <w:color w:val="000000"/>
          <w:spacing w:val="17"/>
          <w:sz w:val="32"/>
          <w:szCs w:val="32"/>
        </w:rPr>
        <w:t>行业标准：</w:t>
      </w:r>
      <w:r>
        <w:rPr>
          <w:rFonts w:hint="eastAsia" w:eastAsia="仿宋_GB2312"/>
          <w:color w:val="000000"/>
          <w:spacing w:val="17"/>
          <w:sz w:val="32"/>
          <w:szCs w:val="32"/>
        </w:rPr>
        <w:t>指参照国家公布的行业指标数据制定的评价标准。</w:t>
      </w:r>
      <w:bookmarkEnd w:id="2"/>
      <w:bookmarkEnd w:id="3"/>
    </w:p>
    <w:p>
      <w:pPr>
        <w:spacing w:line="560" w:lineRule="exact"/>
        <w:ind w:firstLine="711" w:firstLineChars="200"/>
        <w:rPr>
          <w:rFonts w:eastAsia="仿宋_GB2312"/>
          <w:color w:val="000000"/>
          <w:spacing w:val="17"/>
          <w:sz w:val="32"/>
          <w:szCs w:val="32"/>
        </w:rPr>
      </w:pPr>
      <w:bookmarkStart w:id="4" w:name="_Toc430"/>
      <w:bookmarkStart w:id="5" w:name="_Toc16028"/>
      <w:r>
        <w:rPr>
          <w:rFonts w:hint="eastAsia" w:eastAsia="仿宋_GB2312"/>
          <w:b/>
          <w:bCs/>
          <w:color w:val="000000"/>
          <w:spacing w:val="17"/>
          <w:sz w:val="32"/>
          <w:szCs w:val="32"/>
        </w:rPr>
        <w:t>历史标准：</w:t>
      </w:r>
      <w:r>
        <w:rPr>
          <w:rFonts w:hint="eastAsia" w:eastAsia="仿宋_GB2312"/>
          <w:color w:val="000000"/>
          <w:spacing w:val="17"/>
          <w:sz w:val="32"/>
          <w:szCs w:val="32"/>
        </w:rPr>
        <w:t>指参照历史数据制定的评价标准，为体现绩效改进的原则，在可实现的条件下应当确定相对较高的评价标准。</w:t>
      </w:r>
      <w:bookmarkEnd w:id="4"/>
      <w:bookmarkEnd w:id="5"/>
    </w:p>
    <w:p>
      <w:pPr>
        <w:pStyle w:val="11"/>
        <w:numPr>
          <w:ilvl w:val="0"/>
          <w:numId w:val="2"/>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3"/>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pPr>
        <w:pStyle w:val="11"/>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 xml:space="preserve">总得分为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分，属于“优”。其中，项目决策类指标权重为20分，得分为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分，得分率</w:t>
      </w:r>
      <w:r>
        <w:rPr>
          <w:rFonts w:hint="eastAsia" w:ascii="Times New Roman" w:hAnsi="Times New Roman" w:eastAsia="仿宋_GB2312"/>
          <w:b w:val="0"/>
          <w:bCs w:val="0"/>
          <w:highlight w:val="none"/>
          <w:lang w:val="en-US" w:eastAsia="zh-CN"/>
        </w:rPr>
        <w:t>为100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28"/>
          <w:szCs w:val="28"/>
        </w:rPr>
      </w:pPr>
      <w:r>
        <w:rPr>
          <w:rFonts w:ascii="Times New Roman" w:hAnsi="Times New Roman" w:eastAsia="仿宋_GB2312"/>
          <w:sz w:val="28"/>
          <w:szCs w:val="28"/>
        </w:rPr>
        <w:t>表1综合评分表</w:t>
      </w:r>
    </w:p>
    <w:tbl>
      <w:tblPr>
        <w:tblStyle w:val="15"/>
        <w:tblW w:w="8759" w:type="dxa"/>
        <w:jc w:val="center"/>
        <w:tblLayout w:type="fixed"/>
        <w:tblCellMar>
          <w:top w:w="0" w:type="dxa"/>
          <w:left w:w="108" w:type="dxa"/>
          <w:bottom w:w="0" w:type="dxa"/>
          <w:right w:w="108" w:type="dxa"/>
        </w:tblCellMar>
      </w:tblPr>
      <w:tblGrid>
        <w:gridCol w:w="3623"/>
        <w:gridCol w:w="2674"/>
        <w:gridCol w:w="2462"/>
      </w:tblGrid>
      <w:tr>
        <w:tblPrEx>
          <w:tblCellMar>
            <w:top w:w="0" w:type="dxa"/>
            <w:left w:w="108" w:type="dxa"/>
            <w:bottom w:w="0" w:type="dxa"/>
            <w:right w:w="108" w:type="dxa"/>
          </w:tblCellMar>
        </w:tblPrEx>
        <w:trPr>
          <w:trHeight w:val="448" w:hRule="atLeast"/>
          <w:tblHeader/>
          <w:jc w:val="center"/>
        </w:trPr>
        <w:tc>
          <w:tcPr>
            <w:tcW w:w="3623"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4"/>
                <w:szCs w:val="24"/>
              </w:rPr>
            </w:pPr>
            <w:r>
              <w:rPr>
                <w:rFonts w:hint="default" w:ascii="Times New Roman" w:hAnsi="Times New Roman" w:eastAsia="仿宋_GB2312" w:cs="Times New Roman"/>
                <w:b/>
                <w:bCs/>
                <w:color w:val="000000"/>
                <w:sz w:val="24"/>
                <w:szCs w:val="24"/>
              </w:rPr>
              <w:t>一级指标</w:t>
            </w:r>
          </w:p>
        </w:tc>
        <w:tc>
          <w:tcPr>
            <w:tcW w:w="2674"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4"/>
                <w:szCs w:val="24"/>
              </w:rPr>
            </w:pPr>
            <w:r>
              <w:rPr>
                <w:rFonts w:hint="default" w:ascii="Times New Roman" w:hAnsi="Times New Roman" w:eastAsia="仿宋_GB2312" w:cs="Times New Roman"/>
                <w:b/>
                <w:bCs/>
                <w:color w:val="000000"/>
                <w:sz w:val="24"/>
                <w:szCs w:val="24"/>
              </w:rPr>
              <w:t>权重分</w:t>
            </w:r>
          </w:p>
        </w:tc>
        <w:tc>
          <w:tcPr>
            <w:tcW w:w="2462"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4"/>
                <w:szCs w:val="24"/>
              </w:rPr>
            </w:pPr>
            <w:r>
              <w:rPr>
                <w:rFonts w:hint="default" w:ascii="Times New Roman" w:hAnsi="Times New Roman" w:eastAsia="仿宋_GB2312" w:cs="Times New Roman"/>
                <w:b/>
                <w:bCs/>
                <w:color w:val="000000"/>
                <w:sz w:val="24"/>
                <w:szCs w:val="24"/>
              </w:rPr>
              <w:t>得分</w:t>
            </w:r>
          </w:p>
        </w:tc>
      </w:tr>
      <w:tr>
        <w:tblPrEx>
          <w:tblCellMar>
            <w:top w:w="0" w:type="dxa"/>
            <w:left w:w="108" w:type="dxa"/>
            <w:bottom w:w="0" w:type="dxa"/>
            <w:right w:w="108" w:type="dxa"/>
          </w:tblCellMar>
        </w:tblPrEx>
        <w:trPr>
          <w:trHeight w:val="340" w:hRule="atLeast"/>
          <w:jc w:val="center"/>
        </w:trPr>
        <w:tc>
          <w:tcPr>
            <w:tcW w:w="3623"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项目决策</w:t>
            </w:r>
          </w:p>
        </w:tc>
        <w:tc>
          <w:tcPr>
            <w:tcW w:w="2674"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20</w:t>
            </w:r>
          </w:p>
        </w:tc>
        <w:tc>
          <w:tcPr>
            <w:tcW w:w="2462"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val="en-US" w:eastAsia="zh-CN"/>
              </w:rPr>
              <w:t>20</w:t>
            </w:r>
          </w:p>
        </w:tc>
      </w:tr>
      <w:tr>
        <w:tblPrEx>
          <w:tblCellMar>
            <w:top w:w="0" w:type="dxa"/>
            <w:left w:w="108" w:type="dxa"/>
            <w:bottom w:w="0" w:type="dxa"/>
            <w:right w:w="108" w:type="dxa"/>
          </w:tblCellMar>
        </w:tblPrEx>
        <w:trPr>
          <w:trHeight w:val="340" w:hRule="atLeast"/>
          <w:jc w:val="center"/>
        </w:trPr>
        <w:tc>
          <w:tcPr>
            <w:tcW w:w="3623"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项目过程</w:t>
            </w:r>
          </w:p>
        </w:tc>
        <w:tc>
          <w:tcPr>
            <w:tcW w:w="2674"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20</w:t>
            </w:r>
          </w:p>
        </w:tc>
        <w:tc>
          <w:tcPr>
            <w:tcW w:w="2462"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sz w:val="24"/>
                <w:szCs w:val="24"/>
                <w:lang w:val="en-US" w:eastAsia="zh-CN"/>
              </w:rPr>
              <w:t>20</w:t>
            </w:r>
          </w:p>
        </w:tc>
      </w:tr>
      <w:tr>
        <w:tblPrEx>
          <w:tblCellMar>
            <w:top w:w="0" w:type="dxa"/>
            <w:left w:w="108" w:type="dxa"/>
            <w:bottom w:w="0" w:type="dxa"/>
            <w:right w:w="108" w:type="dxa"/>
          </w:tblCellMar>
        </w:tblPrEx>
        <w:trPr>
          <w:trHeight w:val="340" w:hRule="atLeast"/>
          <w:jc w:val="center"/>
        </w:trPr>
        <w:tc>
          <w:tcPr>
            <w:tcW w:w="3623"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项目产出</w:t>
            </w:r>
          </w:p>
        </w:tc>
        <w:tc>
          <w:tcPr>
            <w:tcW w:w="2674"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40</w:t>
            </w:r>
          </w:p>
        </w:tc>
        <w:tc>
          <w:tcPr>
            <w:tcW w:w="2462"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4"/>
                <w:szCs w:val="24"/>
                <w:lang w:val="en-US"/>
              </w:rPr>
            </w:pPr>
            <w:r>
              <w:rPr>
                <w:rFonts w:hint="eastAsia" w:eastAsia="仿宋_GB2312" w:cs="Times New Roman"/>
                <w:color w:val="000000"/>
                <w:sz w:val="24"/>
                <w:szCs w:val="24"/>
                <w:lang w:val="en-US" w:eastAsia="zh-CN"/>
              </w:rPr>
              <w:t>40</w:t>
            </w:r>
          </w:p>
        </w:tc>
      </w:tr>
      <w:tr>
        <w:tblPrEx>
          <w:tblCellMar>
            <w:top w:w="0" w:type="dxa"/>
            <w:left w:w="108" w:type="dxa"/>
            <w:bottom w:w="0" w:type="dxa"/>
            <w:right w:w="108" w:type="dxa"/>
          </w:tblCellMar>
        </w:tblPrEx>
        <w:trPr>
          <w:trHeight w:val="340" w:hRule="atLeast"/>
          <w:jc w:val="center"/>
        </w:trPr>
        <w:tc>
          <w:tcPr>
            <w:tcW w:w="3623"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项目效益</w:t>
            </w:r>
          </w:p>
        </w:tc>
        <w:tc>
          <w:tcPr>
            <w:tcW w:w="2674"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20</w:t>
            </w:r>
          </w:p>
        </w:tc>
        <w:tc>
          <w:tcPr>
            <w:tcW w:w="2462"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val="en-US" w:eastAsia="zh-CN"/>
              </w:rPr>
              <w:t>20</w:t>
            </w:r>
          </w:p>
        </w:tc>
      </w:tr>
      <w:tr>
        <w:tblPrEx>
          <w:tblCellMar>
            <w:top w:w="0" w:type="dxa"/>
            <w:left w:w="108" w:type="dxa"/>
            <w:bottom w:w="0" w:type="dxa"/>
            <w:right w:w="108" w:type="dxa"/>
          </w:tblCellMar>
        </w:tblPrEx>
        <w:trPr>
          <w:trHeight w:val="340" w:hRule="atLeast"/>
          <w:jc w:val="center"/>
        </w:trPr>
        <w:tc>
          <w:tcPr>
            <w:tcW w:w="3623"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4"/>
                <w:szCs w:val="24"/>
              </w:rPr>
            </w:pPr>
            <w:r>
              <w:rPr>
                <w:rFonts w:hint="default" w:ascii="Times New Roman" w:hAnsi="Times New Roman" w:eastAsia="仿宋_GB2312" w:cs="Times New Roman"/>
                <w:b/>
                <w:bCs/>
                <w:color w:val="000000"/>
                <w:sz w:val="24"/>
                <w:szCs w:val="24"/>
              </w:rPr>
              <w:t>合计</w:t>
            </w:r>
          </w:p>
        </w:tc>
        <w:tc>
          <w:tcPr>
            <w:tcW w:w="2674"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4"/>
                <w:szCs w:val="24"/>
                <w:lang w:val="en-US" w:eastAsia="zh-CN"/>
              </w:rPr>
            </w:pPr>
            <w:r>
              <w:rPr>
                <w:rFonts w:hint="default" w:ascii="Times New Roman" w:hAnsi="Times New Roman" w:eastAsia="仿宋_GB2312" w:cs="Times New Roman"/>
                <w:b/>
                <w:bCs/>
                <w:color w:val="000000"/>
                <w:sz w:val="24"/>
                <w:szCs w:val="24"/>
                <w:lang w:val="en-US" w:eastAsia="zh-CN"/>
              </w:rPr>
              <w:t>100</w:t>
            </w:r>
          </w:p>
        </w:tc>
        <w:tc>
          <w:tcPr>
            <w:tcW w:w="2462"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4"/>
                <w:szCs w:val="24"/>
                <w:lang w:val="en-US"/>
              </w:rPr>
            </w:pPr>
            <w:r>
              <w:rPr>
                <w:rFonts w:hint="eastAsia" w:eastAsia="仿宋_GB2312" w:cs="Times New Roman"/>
                <w:b/>
                <w:bCs/>
                <w:color w:val="000000"/>
                <w:sz w:val="24"/>
                <w:szCs w:val="24"/>
                <w:lang w:val="en-US" w:eastAsia="zh-CN"/>
              </w:rPr>
              <w:t>100</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11"/>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项目决策类指标包括项目立项、绩效目标和资金投入三方面的内容，由9个三级指标构成，权重分值为20分，实际得分20分，得分率为100%。</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11"/>
        <w:numPr>
          <w:ilvl w:val="0"/>
          <w:numId w:val="4"/>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实际得分20分，得分率为100%。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总投资70万元，财政资金及时足额到位，到位率100%，</w:t>
      </w:r>
      <w:r>
        <w:rPr>
          <w:rFonts w:hint="eastAsia" w:ascii="仿宋_GB2312" w:hAnsi="仿宋_GB2312" w:eastAsia="仿宋_GB2312" w:cs="仿宋_GB2312"/>
          <w:sz w:val="32"/>
          <w:szCs w:val="32"/>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预算资金支出70万元，预算执行率为100%。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13"/>
        <w:numPr>
          <w:ilvl w:val="0"/>
          <w:numId w:val="4"/>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lang w:val="en-US" w:eastAsia="zh-CN"/>
        </w:rPr>
        <w:t>情况</w:t>
      </w:r>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lang w:val="en-US" w:eastAsia="zh-CN"/>
        </w:rPr>
        <w:t>个三级指标构成，权重分为40分，</w:t>
      </w:r>
      <w:r>
        <w:rPr>
          <w:rFonts w:hint="eastAsia" w:ascii="仿宋_GB2312" w:hAnsi="仿宋_GB2312" w:eastAsia="仿宋_GB2312" w:cs="仿宋_GB2312"/>
          <w:sz w:val="32"/>
          <w:szCs w:val="32"/>
          <w:highlight w:val="none"/>
          <w:lang w:val="en-US" w:eastAsia="zh-CN"/>
        </w:rPr>
        <w:t>实际得分40分，得分率为100%。</w:t>
      </w:r>
      <w:r>
        <w:rPr>
          <w:rFonts w:hint="eastAsia" w:ascii="仿宋_GB2312" w:hAnsi="仿宋_GB2312" w:eastAsia="仿宋_GB2312" w:cs="仿宋_GB2312"/>
          <w:sz w:val="32"/>
          <w:szCs w:val="32"/>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指标1：现场核查企业数量，指标值：</w:t>
      </w:r>
      <w:r>
        <w:rPr>
          <w:rFonts w:hint="eastAsia" w:ascii="仿宋_GB2312" w:hAnsi="仿宋_GB2312" w:eastAsia="仿宋_GB2312" w:cs="仿宋_GB2312"/>
          <w:sz w:val="32"/>
          <w:szCs w:val="32"/>
          <w:highlight w:val="none"/>
          <w:lang w:val="en-US" w:eastAsia="zh-CN"/>
        </w:rPr>
        <w:t>55家</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55家</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：受理危险化学品登记企业数量，指标值：</w:t>
      </w:r>
      <w:r>
        <w:rPr>
          <w:rFonts w:hint="eastAsia" w:ascii="仿宋_GB2312" w:hAnsi="仿宋_GB2312" w:eastAsia="仿宋_GB2312" w:cs="仿宋_GB2312"/>
          <w:sz w:val="32"/>
          <w:szCs w:val="32"/>
          <w:highlight w:val="none"/>
          <w:lang w:val="en-US" w:eastAsia="zh-CN"/>
        </w:rPr>
        <w:t>100家</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104家</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104</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lang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：购置设备数量，指标值：</w:t>
      </w:r>
      <w:r>
        <w:rPr>
          <w:rFonts w:hint="eastAsia" w:ascii="仿宋_GB2312" w:hAnsi="仿宋_GB2312" w:eastAsia="仿宋_GB2312" w:cs="仿宋_GB2312"/>
          <w:sz w:val="32"/>
          <w:szCs w:val="32"/>
          <w:highlight w:val="none"/>
          <w:lang w:val="en-US" w:eastAsia="zh-CN"/>
        </w:rPr>
        <w:t>1台/套</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1台/套,</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指标1：设备验收合格率，指标值：100%，实际完成值：100%，指标完成率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指标1：现场核查按时完成率，指标值：100%，实际完成值：100%，指标完成率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：资金支付及时率，指标值：100%，实际完成值：100%，指标完成率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指标1：设备检定维护费用，指标值：4万元，实际完成值：4万元，指标完成率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：设备采购成本控制数，指标值：18.9万元，实际完成值：18.9万元，指标完成率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：现场核查专家咨询费或委托服务费，指标值：27.5万元，实际完成值：27.5万元，指标完成率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：业务活动费，指标值：19.6万元，实际完成值：</w:t>
      </w:r>
      <w:r>
        <w:rPr>
          <w:rFonts w:hint="eastAsia" w:ascii="仿宋_GB2312" w:hAnsi="仿宋_GB2312" w:eastAsia="仿宋_GB2312" w:cs="仿宋_GB2312"/>
          <w:sz w:val="32"/>
          <w:szCs w:val="32"/>
          <w:highlight w:val="none"/>
          <w:lang w:val="en-US" w:eastAsia="zh-CN"/>
        </w:rPr>
        <w:t>19.6</w:t>
      </w:r>
      <w:r>
        <w:rPr>
          <w:rFonts w:hint="eastAsia" w:ascii="仿宋_GB2312" w:hAnsi="仿宋_GB2312" w:eastAsia="仿宋_GB2312" w:cs="仿宋_GB2312"/>
          <w:sz w:val="32"/>
          <w:szCs w:val="32"/>
          <w:highlight w:val="none"/>
        </w:rPr>
        <w:t>万元，指标完成率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pStyle w:val="13"/>
        <w:numPr>
          <w:ilvl w:val="0"/>
          <w:numId w:val="4"/>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eastAsia="仿宋_GB2312" w:cs="仿宋_GB2312"/>
          <w:sz w:val="32"/>
          <w:szCs w:val="32"/>
          <w:highlight w:val="none"/>
          <w:lang w:val="en-US" w:eastAsia="zh-CN"/>
        </w:rPr>
        <w:t>2个三级指标构成，权重分为20分，实际得分20分，得分率为100%。</w:t>
      </w:r>
      <w:r>
        <w:rPr>
          <w:rFonts w:hint="eastAsia" w:ascii="仿宋_GB2312" w:hAnsi="仿宋_GB2312" w:eastAsia="仿宋_GB2312" w:cs="仿宋_GB2312"/>
          <w:sz w:val="32"/>
          <w:szCs w:val="32"/>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val="en-US" w:eastAsia="zh-CN"/>
        </w:rPr>
        <w:t>有效提升全区安全生产能力水平</w:t>
      </w:r>
      <w:r>
        <w:rPr>
          <w:rFonts w:hint="eastAsia" w:ascii="仿宋_GB2312" w:hAnsi="仿宋_GB2312" w:eastAsia="仿宋_GB2312" w:cs="仿宋_GB2312"/>
          <w:sz w:val="32"/>
          <w:szCs w:val="32"/>
          <w:highlight w:val="none"/>
        </w:rPr>
        <w:t>，指标值：显著提升，实际完成值：显著提升，指标完成率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shd w:val="clear"/>
        <w:spacing w:line="600" w:lineRule="exact"/>
        <w:ind w:firstLine="640" w:firstLineChars="200"/>
        <w:outlineLvl w:val="0"/>
        <w:rPr>
          <w:rFonts w:hint="default"/>
          <w:lang w:val="en-US"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val="en-US" w:eastAsia="zh-CN"/>
        </w:rPr>
        <w:t>危险化学品登记企业对于受理工作满意度</w:t>
      </w:r>
      <w:r>
        <w:rPr>
          <w:rFonts w:hint="eastAsia" w:ascii="仿宋_GB2312" w:hAnsi="仿宋_GB2312" w:eastAsia="仿宋_GB2312" w:cs="仿宋_GB2312"/>
          <w:sz w:val="32"/>
          <w:szCs w:val="32"/>
          <w:highlight w:val="none"/>
        </w:rPr>
        <w:t>，指标值：&gt;=90%，实际完成值：100%，指标完成率</w:t>
      </w:r>
      <w:r>
        <w:rPr>
          <w:rFonts w:hint="eastAsia" w:ascii="仿宋_GB2312" w:hAnsi="仿宋_GB2312" w:eastAsia="仿宋_GB2312" w:cs="仿宋_GB2312"/>
          <w:sz w:val="32"/>
          <w:szCs w:val="32"/>
          <w:highlight w:val="none"/>
          <w:lang w:val="en-US" w:eastAsia="zh-CN"/>
        </w:rPr>
        <w:t>111.11</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rPr>
          <w:rFonts w:hint="default" w:eastAsia="方正仿宋_GBK" w:cs="方正仿宋_GBK"/>
          <w:sz w:val="32"/>
          <w:szCs w:val="32"/>
          <w:highlight w:val="none"/>
          <w:lang w:val="en-US" w:eastAsia="zh-CN"/>
        </w:rPr>
      </w:pPr>
      <w:r>
        <w:rPr>
          <w:rFonts w:hint="eastAsia" w:eastAsia="方正仿宋_GBK" w:cs="方正仿宋_GBK"/>
          <w:sz w:val="32"/>
          <w:szCs w:val="32"/>
          <w:highlight w:val="none"/>
          <w:lang w:eastAsia="zh-CN"/>
        </w:rPr>
        <w:t>危险化学品登记工作经费</w:t>
      </w:r>
      <w:r>
        <w:rPr>
          <w:rFonts w:hint="eastAsia" w:eastAsia="方正仿宋_GBK" w:cs="方正仿宋_GBK"/>
          <w:sz w:val="32"/>
          <w:szCs w:val="32"/>
          <w:highlight w:val="none"/>
        </w:rPr>
        <w:t>项目年初预算</w:t>
      </w:r>
      <w:r>
        <w:rPr>
          <w:rFonts w:hint="eastAsia" w:eastAsia="方正仿宋_GBK" w:cs="方正仿宋_GBK"/>
          <w:sz w:val="32"/>
          <w:szCs w:val="32"/>
          <w:highlight w:val="none"/>
          <w:lang w:val="en-US" w:eastAsia="zh-CN"/>
        </w:rPr>
        <w:t>70</w:t>
      </w:r>
      <w:r>
        <w:rPr>
          <w:rFonts w:hint="eastAsia" w:eastAsia="方正仿宋_GBK" w:cs="方正仿宋_GBK"/>
          <w:sz w:val="32"/>
          <w:szCs w:val="32"/>
          <w:highlight w:val="none"/>
        </w:rPr>
        <w:t>万元，全年预算</w:t>
      </w:r>
      <w:r>
        <w:rPr>
          <w:rFonts w:hint="eastAsia" w:eastAsia="方正仿宋_GBK" w:cs="方正仿宋_GBK"/>
          <w:sz w:val="32"/>
          <w:szCs w:val="32"/>
          <w:highlight w:val="none"/>
          <w:lang w:val="en-US" w:eastAsia="zh-CN"/>
        </w:rPr>
        <w:t>70</w:t>
      </w:r>
      <w:r>
        <w:rPr>
          <w:rFonts w:hint="eastAsia" w:eastAsia="方正仿宋_GBK" w:cs="方正仿宋_GBK"/>
          <w:sz w:val="32"/>
          <w:szCs w:val="32"/>
          <w:highlight w:val="none"/>
        </w:rPr>
        <w:t>万元，实际支出</w:t>
      </w:r>
      <w:r>
        <w:rPr>
          <w:rFonts w:hint="eastAsia" w:eastAsia="方正仿宋_GBK" w:cs="方正仿宋_GBK"/>
          <w:sz w:val="32"/>
          <w:szCs w:val="32"/>
          <w:highlight w:val="none"/>
          <w:lang w:val="en-US" w:eastAsia="zh-CN"/>
        </w:rPr>
        <w:t>70</w:t>
      </w:r>
      <w:r>
        <w:rPr>
          <w:rFonts w:hint="eastAsia" w:eastAsia="方正仿宋_GBK" w:cs="方正仿宋_GBK"/>
          <w:sz w:val="32"/>
          <w:szCs w:val="32"/>
          <w:highlight w:val="none"/>
        </w:rPr>
        <w:t>万元，预算执行率为</w:t>
      </w:r>
      <w:r>
        <w:rPr>
          <w:rFonts w:hint="eastAsia" w:eastAsia="方正仿宋_GBK" w:cs="方正仿宋_GBK"/>
          <w:sz w:val="32"/>
          <w:szCs w:val="32"/>
          <w:highlight w:val="none"/>
          <w:lang w:val="en-US" w:eastAsia="zh-CN"/>
        </w:rPr>
        <w:t>100</w:t>
      </w:r>
      <w:r>
        <w:rPr>
          <w:rFonts w:hint="eastAsia" w:eastAsia="方正仿宋_GBK" w:cs="方正仿宋_GBK"/>
          <w:sz w:val="32"/>
          <w:szCs w:val="32"/>
          <w:highlight w:val="none"/>
        </w:rPr>
        <w:t>%，项目绩效指标总体完成率为</w:t>
      </w:r>
      <w:r>
        <w:rPr>
          <w:rFonts w:hint="eastAsia" w:eastAsia="方正仿宋_GBK" w:cs="方正仿宋_GBK"/>
          <w:sz w:val="32"/>
          <w:szCs w:val="32"/>
          <w:highlight w:val="none"/>
          <w:lang w:val="en-US" w:eastAsia="zh-CN"/>
        </w:rPr>
        <w:t>101.26</w:t>
      </w:r>
      <w:r>
        <w:rPr>
          <w:rFonts w:hint="eastAsia" w:eastAsia="方正仿宋_GBK" w:cs="方正仿宋_GBK"/>
          <w:sz w:val="32"/>
          <w:szCs w:val="32"/>
          <w:highlight w:val="none"/>
        </w:rPr>
        <w:t>%，</w:t>
      </w:r>
      <w:r>
        <w:rPr>
          <w:rFonts w:hint="eastAsia" w:eastAsia="方正仿宋_GBK" w:cs="方正仿宋_GBK"/>
          <w:sz w:val="32"/>
          <w:szCs w:val="32"/>
          <w:highlight w:val="none"/>
          <w:lang w:eastAsia="zh-Hans"/>
        </w:rPr>
        <w:t>总体</w:t>
      </w:r>
      <w:r>
        <w:rPr>
          <w:rFonts w:hint="eastAsia" w:eastAsia="方正仿宋_GBK" w:cs="方正仿宋_GBK"/>
          <w:sz w:val="32"/>
          <w:szCs w:val="32"/>
          <w:highlight w:val="none"/>
        </w:rPr>
        <w:t>偏差率为</w:t>
      </w:r>
      <w:r>
        <w:rPr>
          <w:rFonts w:hint="eastAsia" w:eastAsia="方正仿宋_GBK" w:cs="方正仿宋_GBK"/>
          <w:sz w:val="32"/>
          <w:szCs w:val="32"/>
          <w:highlight w:val="none"/>
          <w:lang w:val="en-US" w:eastAsia="zh-CN"/>
        </w:rPr>
        <w:t>1.26</w:t>
      </w:r>
      <w:r>
        <w:rPr>
          <w:rFonts w:hint="eastAsia" w:eastAsia="方正仿宋_GBK" w:cs="方正仿宋_GBK"/>
          <w:sz w:val="32"/>
          <w:szCs w:val="32"/>
          <w:highlight w:val="none"/>
        </w:rPr>
        <w:t>%</w:t>
      </w:r>
      <w:r>
        <w:rPr>
          <w:rFonts w:hint="eastAsia" w:eastAsia="方正仿宋_GBK" w:cs="方正仿宋_GBK"/>
          <w:sz w:val="32"/>
          <w:szCs w:val="32"/>
          <w:highlight w:val="none"/>
          <w:lang w:eastAsia="zh-CN"/>
        </w:rPr>
        <w:t>。</w:t>
      </w:r>
      <w:r>
        <w:rPr>
          <w:rFonts w:hint="eastAsia" w:eastAsia="方正仿宋_GBK" w:cs="方正仿宋_GBK"/>
          <w:sz w:val="32"/>
          <w:szCs w:val="32"/>
          <w:highlight w:val="none"/>
          <w:lang w:val="en-US" w:eastAsia="zh-CN"/>
        </w:rPr>
        <w:t>偏差原因为受理危险化学品登记企业数量比原计划多出4家，且企业满意度较高。</w:t>
      </w:r>
    </w:p>
    <w:p>
      <w:pPr>
        <w:spacing w:line="560" w:lineRule="exact"/>
        <w:ind w:firstLine="640" w:firstLineChars="200"/>
        <w:rPr>
          <w:rStyle w:val="19"/>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pPr>
        <w:spacing w:line="560" w:lineRule="exact"/>
        <w:ind w:firstLine="627" w:firstLineChars="200"/>
        <w:rPr>
          <w:rFonts w:eastAsia="楷体"/>
          <w:b/>
          <w:spacing w:val="-4"/>
          <w:sz w:val="32"/>
          <w:szCs w:val="32"/>
        </w:rPr>
      </w:pPr>
      <w:r>
        <w:rPr>
          <w:rFonts w:eastAsia="楷体"/>
          <w:b/>
          <w:spacing w:val="-4"/>
          <w:sz w:val="32"/>
          <w:szCs w:val="32"/>
        </w:rPr>
        <w:t>（一）主要经验及做法</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严格落实《关于印发〈2023年化学品登记和鉴定分类专项执法检查工作方案〉的通知》文件要求，积极开展危险化学品登记、“一书一签”、鉴定分类等企业法定义务落实情况的执法检查，完成执法企业共48家，其中执法清单中的企业33家，自治区化学品登记和鉴定分类专项执法检查完成率100%。</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充分开发利用登记数据，开展安全生产科研项目等工作。一是借助危化登记相关数据，共计开展</w:t>
      </w:r>
      <w:r>
        <w:rPr>
          <w:rFonts w:hint="eastAsia" w:ascii="仿宋_GB2312" w:hAnsi="仿宋_GB2312" w:eastAsia="仿宋_GB2312" w:cs="仿宋_GB2312"/>
          <w:sz w:val="32"/>
          <w:szCs w:val="32"/>
          <w:lang w:val="en-US" w:eastAsia="zh-CN"/>
        </w:rPr>
        <w:t>4个化工园区认定工作，</w:t>
      </w:r>
      <w:r>
        <w:rPr>
          <w:rFonts w:hint="default" w:ascii="仿宋_GB2312" w:hAnsi="仿宋_GB2312" w:eastAsia="仿宋_GB2312" w:cs="仿宋_GB2312"/>
          <w:sz w:val="32"/>
          <w:szCs w:val="32"/>
          <w:lang w:val="en-US" w:eastAsia="zh-CN"/>
        </w:rPr>
        <w:t>开展</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家危险化学品企业风险评估工作</w:t>
      </w:r>
      <w:r>
        <w:rPr>
          <w:rFonts w:hint="eastAsia" w:ascii="仿宋_GB2312" w:hAnsi="仿宋_GB2312" w:eastAsia="仿宋_GB2312" w:cs="仿宋_GB2312"/>
          <w:sz w:val="32"/>
          <w:szCs w:val="32"/>
          <w:lang w:val="en-US" w:eastAsia="zh-CN"/>
        </w:rPr>
        <w:t>，开展伊犁州、伊吾县工业园区、库尔勒经济技术开发区、克拉玛依区等地的安全生产隐患排查工作。二是</w:t>
      </w:r>
      <w:r>
        <w:rPr>
          <w:rFonts w:hint="default" w:ascii="仿宋_GB2312" w:hAnsi="仿宋_GB2312" w:eastAsia="仿宋_GB2312" w:cs="仿宋_GB2312"/>
          <w:sz w:val="32"/>
          <w:szCs w:val="32"/>
          <w:lang w:val="en-US" w:eastAsia="zh-CN"/>
        </w:rPr>
        <w:t>协助厅危化处</w:t>
      </w:r>
      <w:r>
        <w:rPr>
          <w:rFonts w:hint="eastAsia" w:ascii="仿宋_GB2312" w:hAnsi="仿宋_GB2312" w:eastAsia="仿宋_GB2312" w:cs="仿宋_GB2312"/>
          <w:sz w:val="32"/>
          <w:szCs w:val="32"/>
          <w:lang w:val="en-US" w:eastAsia="zh-CN"/>
        </w:rPr>
        <w:t>做好</w:t>
      </w:r>
      <w:r>
        <w:rPr>
          <w:rFonts w:hint="default" w:ascii="仿宋_GB2312" w:hAnsi="仿宋_GB2312" w:eastAsia="仿宋_GB2312" w:cs="仿宋_GB2312"/>
          <w:sz w:val="32"/>
          <w:szCs w:val="32"/>
          <w:lang w:val="en-US" w:eastAsia="zh-CN"/>
        </w:rPr>
        <w:t>危化品企业两类重点人员</w:t>
      </w:r>
      <w:r>
        <w:rPr>
          <w:rFonts w:hint="eastAsia" w:ascii="仿宋_GB2312" w:hAnsi="仿宋_GB2312" w:eastAsia="仿宋_GB2312" w:cs="仿宋_GB2312"/>
          <w:sz w:val="32"/>
          <w:szCs w:val="32"/>
          <w:lang w:val="en-US" w:eastAsia="zh-CN"/>
        </w:rPr>
        <w:t>及工伤预防能力提升培训工程统计工作。</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充分利用登记数据，为自治区危险化学品案件侦办提供信息与技术支持。协助新疆兵团第十二师公安局侦办加油加气站生产销售伪劣产品案件，协助阿克苏市公安局办理非法购买、储存危险物质（烟花爆竹）案件。</w:t>
      </w:r>
    </w:p>
    <w:p>
      <w:pPr>
        <w:keepNext/>
        <w:keepLines/>
        <w:numPr>
          <w:ilvl w:val="0"/>
          <w:numId w:val="5"/>
        </w:numPr>
        <w:spacing w:line="560" w:lineRule="exact"/>
        <w:ind w:firstLine="643" w:firstLineChars="200"/>
        <w:rPr>
          <w:rFonts w:eastAsia="楷体_GB2312"/>
          <w:b/>
          <w:bCs/>
          <w:sz w:val="32"/>
          <w:szCs w:val="32"/>
        </w:rPr>
      </w:pPr>
      <w:r>
        <w:rPr>
          <w:rFonts w:eastAsia="楷体_GB2312"/>
          <w:b/>
          <w:bCs/>
          <w:sz w:val="32"/>
          <w:szCs w:val="32"/>
        </w:rPr>
        <w:t>存在的问题及原因分析</w:t>
      </w:r>
    </w:p>
    <w:p>
      <w:pPr>
        <w:ind w:firstLine="640" w:firstLineChars="200"/>
        <w:rPr>
          <w:rFonts w:hint="eastAsia" w:ascii="宋体" w:hAnsi="宋体" w:eastAsia="仿宋_GB2312"/>
          <w:color w:val="auto"/>
          <w:lang w:eastAsia="zh-CN"/>
        </w:rPr>
      </w:pPr>
      <w:r>
        <w:rPr>
          <w:rFonts w:hint="eastAsia" w:ascii="仿宋_GB2312" w:hAnsi="仿宋_GB2312" w:eastAsia="仿宋_GB2312" w:cs="仿宋_GB2312"/>
          <w:sz w:val="32"/>
          <w:szCs w:val="32"/>
          <w:lang w:val="en-US" w:eastAsia="zh-CN"/>
        </w:rPr>
        <w:t>进口企业登记推进缓慢。危险化学品进口企业的相关行政许可办理未对危化登记做具体要求，企业对危化登记了解较少，而危险化学品进口企业的管理涉及海关、进出口检验检疫局等多个部门，协调较为困难，登记办无法获取全区危险化学品进口企业信息，无法及时督促危险化学品进口企业进行危化登记工作，导致危险化学品进口企业登记工作推进缓慢。</w:t>
      </w:r>
    </w:p>
    <w:p>
      <w:pPr>
        <w:numPr>
          <w:ilvl w:val="0"/>
          <w:numId w:val="6"/>
        </w:numPr>
        <w:spacing w:line="560" w:lineRule="exact"/>
        <w:ind w:firstLine="640" w:firstLineChars="200"/>
        <w:rPr>
          <w:rFonts w:eastAsia="黑体"/>
          <w:sz w:val="32"/>
          <w:szCs w:val="32"/>
        </w:rPr>
      </w:pPr>
      <w:r>
        <w:rPr>
          <w:rFonts w:eastAsia="黑体"/>
          <w:sz w:val="32"/>
          <w:szCs w:val="32"/>
        </w:rPr>
        <w:t>有关建议</w:t>
      </w:r>
    </w:p>
    <w:p>
      <w:pPr>
        <w:pStyle w:val="2"/>
        <w:keepNext/>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无。</w:t>
      </w:r>
    </w:p>
    <w:p>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6" w:name="page8"/>
      <w:bookmarkEnd w:id="6"/>
      <w:r>
        <w:rPr>
          <w:rFonts w:eastAsia="黑体"/>
          <w:sz w:val="32"/>
          <w:szCs w:val="32"/>
        </w:rPr>
        <w:t>明的问题</w:t>
      </w:r>
    </w:p>
    <w:p>
      <w:pPr>
        <w:pStyle w:val="14"/>
        <w:spacing w:after="0" w:line="560" w:lineRule="exact"/>
        <w:ind w:left="0" w:leftChars="0" w:firstLine="640"/>
        <w:rPr>
          <w:rFonts w:ascii="Times New Roman" w:hAnsi="Times New Roman" w:eastAsia="黑体"/>
          <w:b w:val="0"/>
          <w:bCs w:val="0"/>
        </w:rPr>
      </w:pPr>
      <w:bookmarkStart w:id="9" w:name="_GoBack"/>
      <w:bookmarkEnd w:id="9"/>
      <w:r>
        <w:rPr>
          <w:rFonts w:hint="eastAsia" w:ascii="仿宋_GB2312" w:hAnsi="仿宋_GB2312" w:eastAsia="仿宋_GB2312" w:cs="仿宋_GB2312"/>
          <w:sz w:val="32"/>
          <w:szCs w:val="32"/>
          <w:lang w:eastAsia="zh-Hans"/>
        </w:rPr>
        <w:t>本项目无其他需说明的问题。</w:t>
      </w:r>
    </w:p>
    <w:p>
      <w:pPr>
        <w:pStyle w:val="11"/>
        <w:jc w:val="both"/>
        <w:rPr>
          <w:rFonts w:ascii="Times New Roman" w:hAnsi="Times New Roman"/>
        </w:rPr>
        <w:sectPr>
          <w:pgSz w:w="11906" w:h="16838"/>
          <w:pgMar w:top="1440" w:right="1558" w:bottom="1440" w:left="1800" w:header="851" w:footer="992" w:gutter="0"/>
          <w:cols w:space="425" w:num="1"/>
          <w:docGrid w:type="lines" w:linePitch="312" w:charSpace="0"/>
        </w:sectPr>
      </w:pPr>
    </w:p>
    <w:p>
      <w:pPr>
        <w:spacing w:line="600" w:lineRule="exact"/>
        <w:rPr>
          <w:rFonts w:hint="eastAsia" w:ascii="黑体" w:hAnsi="黑体" w:eastAsia="黑体" w:cs="黑体"/>
        </w:rPr>
      </w:pPr>
      <w:r>
        <w:rPr>
          <w:rFonts w:hint="eastAsia" w:ascii="黑体" w:hAnsi="黑体" w:eastAsia="黑体" w:cs="黑体"/>
          <w:bCs/>
          <w:sz w:val="32"/>
          <w:szCs w:val="32"/>
        </w:rPr>
        <w:t>附件1</w:t>
      </w:r>
    </w:p>
    <w:p>
      <w:pPr>
        <w:pStyle w:val="20"/>
        <w:ind w:firstLine="562"/>
        <w:jc w:val="center"/>
        <w:rPr>
          <w:sz w:val="28"/>
          <w:szCs w:val="40"/>
        </w:rPr>
      </w:pPr>
      <w:bookmarkStart w:id="7" w:name="_Toc30064_WPSOffice_Level1"/>
      <w:bookmarkStart w:id="8" w:name="_Toc26499_WPSOffice_Level2"/>
      <w:r>
        <w:rPr>
          <w:rFonts w:hint="eastAsia"/>
          <w:b/>
          <w:bCs/>
          <w:sz w:val="28"/>
          <w:szCs w:val="40"/>
          <w:highlight w:val="none"/>
          <w:lang w:eastAsia="zh-CN"/>
        </w:rPr>
        <w:t>危险化学品登记工作经费</w:t>
      </w:r>
      <w:r>
        <w:rPr>
          <w:rFonts w:hint="eastAsia"/>
          <w:b/>
          <w:bCs/>
          <w:sz w:val="28"/>
          <w:szCs w:val="40"/>
          <w:highlight w:val="none"/>
        </w:rPr>
        <w:t>项目</w:t>
      </w:r>
      <w:r>
        <w:rPr>
          <w:rFonts w:hint="eastAsia"/>
          <w:b/>
          <w:bCs/>
          <w:sz w:val="28"/>
          <w:szCs w:val="40"/>
        </w:rPr>
        <w:t>绩效评价指标体系综合评分表</w:t>
      </w:r>
      <w:bookmarkEnd w:id="7"/>
      <w:bookmarkEnd w:id="8"/>
    </w:p>
    <w:tbl>
      <w:tblPr>
        <w:tblStyle w:val="15"/>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29"/>
        <w:gridCol w:w="764"/>
        <w:gridCol w:w="873"/>
        <w:gridCol w:w="2352"/>
        <w:gridCol w:w="5204"/>
        <w:gridCol w:w="1299"/>
        <w:gridCol w:w="136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2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20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29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829"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2"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204"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29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2"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29"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2"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204"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29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2"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29"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2"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204"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299"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2"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29"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2"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204"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299"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2"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29"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2"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204"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29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2"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29"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2"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204"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29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2"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29"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2"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204"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299"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2"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29"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2"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204"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29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2"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29"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2"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204"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299"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2"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29"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2"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204"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299"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2"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29"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2"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204"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299"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2"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2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2"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204"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299"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2" w:type="dxa"/>
            <w:shd w:val="clear" w:color="000000" w:fill="FFFFFF"/>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29"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2"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204"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99"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2"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29"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2"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204"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299"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2"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29"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2"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204"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299"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2"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2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2"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204"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29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2" w:type="dxa"/>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29"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2"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204"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299"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2"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04" w:hRule="atLeast"/>
          <w:jc w:val="center"/>
        </w:trPr>
        <w:tc>
          <w:tcPr>
            <w:tcW w:w="10022" w:type="dxa"/>
            <w:gridSpan w:val="5"/>
            <w:shd w:val="clear" w:color="auto" w:fill="FFFFFF"/>
            <w:vAlign w:val="center"/>
          </w:tcPr>
          <w:p>
            <w:pPr>
              <w:widowControl/>
              <w:spacing w:line="0" w:lineRule="atLeast"/>
              <w:jc w:val="center"/>
              <w:rPr>
                <w:rFonts w:hint="eastAsia" w:eastAsia="宋体"/>
                <w:color w:val="000000"/>
                <w:kern w:val="0"/>
                <w:sz w:val="22"/>
                <w:szCs w:val="22"/>
                <w:lang w:val="en-US" w:eastAsia="zh-CN"/>
              </w:rPr>
            </w:pPr>
            <w:r>
              <w:rPr>
                <w:rFonts w:hint="eastAsia"/>
                <w:b/>
                <w:bCs/>
                <w:color w:val="000000"/>
                <w:kern w:val="0"/>
                <w:sz w:val="22"/>
                <w:szCs w:val="22"/>
                <w:lang w:val="en-US" w:eastAsia="zh-CN"/>
              </w:rPr>
              <w:t>合计</w:t>
            </w:r>
          </w:p>
        </w:tc>
        <w:tc>
          <w:tcPr>
            <w:tcW w:w="1299" w:type="dxa"/>
            <w:shd w:val="clear" w:color="000000" w:fill="FFFFFF"/>
            <w:vAlign w:val="center"/>
          </w:tcPr>
          <w:p>
            <w:pPr>
              <w:widowControl/>
              <w:spacing w:line="0" w:lineRule="atLeast"/>
              <w:jc w:val="center"/>
              <w:rPr>
                <w:rFonts w:hint="default" w:eastAsia="宋体"/>
                <w:b w:val="0"/>
                <w:bCs w:val="0"/>
                <w:color w:val="000000"/>
                <w:kern w:val="0"/>
                <w:sz w:val="22"/>
                <w:szCs w:val="22"/>
                <w:lang w:val="en-US" w:eastAsia="zh-CN"/>
              </w:rPr>
            </w:pPr>
            <w:r>
              <w:rPr>
                <w:rFonts w:hint="eastAsia"/>
                <w:b/>
                <w:bCs/>
                <w:color w:val="000000"/>
                <w:kern w:val="0"/>
                <w:sz w:val="22"/>
                <w:szCs w:val="22"/>
                <w:lang w:val="en-US" w:eastAsia="zh-CN"/>
              </w:rPr>
              <w:t>100</w:t>
            </w:r>
          </w:p>
        </w:tc>
        <w:tc>
          <w:tcPr>
            <w:tcW w:w="1362" w:type="dxa"/>
            <w:shd w:val="clear" w:color="000000" w:fill="FFFFFF"/>
            <w:vAlign w:val="center"/>
          </w:tcPr>
          <w:p>
            <w:pPr>
              <w:widowControl/>
              <w:spacing w:line="0" w:lineRule="atLeast"/>
              <w:jc w:val="center"/>
              <w:rPr>
                <w:rFonts w:hint="default" w:eastAsia="宋体"/>
                <w:b w:val="0"/>
                <w:bCs w:val="0"/>
                <w:color w:val="000000"/>
                <w:kern w:val="0"/>
                <w:sz w:val="22"/>
                <w:szCs w:val="22"/>
                <w:highlight w:val="yellow"/>
                <w:lang w:val="en-US" w:eastAsia="zh-CN"/>
              </w:rPr>
            </w:pPr>
            <w:r>
              <w:rPr>
                <w:rFonts w:hint="eastAsia"/>
                <w:b/>
                <w:bCs/>
                <w:color w:val="000000"/>
                <w:kern w:val="0"/>
                <w:sz w:val="22"/>
                <w:szCs w:val="22"/>
                <w:highlight w:val="none"/>
                <w:lang w:val="en-US" w:eastAsia="zh-CN"/>
              </w:rPr>
              <w:t>100</w:t>
            </w:r>
          </w:p>
        </w:tc>
      </w:tr>
    </w:tbl>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9D205F"/>
    <w:multiLevelType w:val="singleLevel"/>
    <w:tmpl w:val="D49D205F"/>
    <w:lvl w:ilvl="0" w:tentative="0">
      <w:start w:val="7"/>
      <w:numFmt w:val="chineseCounting"/>
      <w:suff w:val="nothing"/>
      <w:lvlText w:val="%1、"/>
      <w:lvlJc w:val="left"/>
      <w:rPr>
        <w:rFonts w:hint="eastAsia"/>
      </w:rPr>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 w:name="KSO_WPS_MARK_KEY" w:val="f65ffa2b-c514-4342-a62c-db10a4d0783a"/>
  </w:docVars>
  <w:rsids>
    <w:rsidRoot w:val="FF6C4049"/>
    <w:rsid w:val="006F7242"/>
    <w:rsid w:val="007B168A"/>
    <w:rsid w:val="008B2CFE"/>
    <w:rsid w:val="00F26FF6"/>
    <w:rsid w:val="07397B77"/>
    <w:rsid w:val="08896A56"/>
    <w:rsid w:val="099D2DE5"/>
    <w:rsid w:val="09AF5ECF"/>
    <w:rsid w:val="13471461"/>
    <w:rsid w:val="13B90F01"/>
    <w:rsid w:val="155D3D08"/>
    <w:rsid w:val="159C637B"/>
    <w:rsid w:val="181066D2"/>
    <w:rsid w:val="1C671E73"/>
    <w:rsid w:val="1FC26755"/>
    <w:rsid w:val="30297EDA"/>
    <w:rsid w:val="349621CE"/>
    <w:rsid w:val="38CA40DD"/>
    <w:rsid w:val="395F2B56"/>
    <w:rsid w:val="3BE43C7D"/>
    <w:rsid w:val="3BECE841"/>
    <w:rsid w:val="3FF7797D"/>
    <w:rsid w:val="46EB4D6C"/>
    <w:rsid w:val="4D277515"/>
    <w:rsid w:val="5BE10DB9"/>
    <w:rsid w:val="5BFF6039"/>
    <w:rsid w:val="5D76A616"/>
    <w:rsid w:val="5D7F20B9"/>
    <w:rsid w:val="5DAC7D0E"/>
    <w:rsid w:val="5F98B5AF"/>
    <w:rsid w:val="5FFE8511"/>
    <w:rsid w:val="5FFEACE2"/>
    <w:rsid w:val="62782AD0"/>
    <w:rsid w:val="643EE26D"/>
    <w:rsid w:val="68E216B7"/>
    <w:rsid w:val="6BBE3BE4"/>
    <w:rsid w:val="6F5C41AC"/>
    <w:rsid w:val="6FAF6C78"/>
    <w:rsid w:val="6FD54E8A"/>
    <w:rsid w:val="711959F9"/>
    <w:rsid w:val="7317C656"/>
    <w:rsid w:val="734ED73F"/>
    <w:rsid w:val="769D38C5"/>
    <w:rsid w:val="77FD8BE9"/>
    <w:rsid w:val="79A9BD3F"/>
    <w:rsid w:val="7B7610C6"/>
    <w:rsid w:val="7BFB578B"/>
    <w:rsid w:val="7BFFFDD0"/>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autoRedefine/>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2">
    <w:name w:val="heading 4"/>
    <w:basedOn w:val="1"/>
    <w:next w:val="1"/>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character" w:default="1" w:styleId="16">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4">
    <w:name w:val="annotation text"/>
    <w:basedOn w:val="1"/>
    <w:link w:val="23"/>
    <w:autoRedefine/>
    <w:qFormat/>
    <w:uiPriority w:val="0"/>
    <w:pPr>
      <w:jc w:val="left"/>
    </w:pPr>
  </w:style>
  <w:style w:type="paragraph" w:styleId="5">
    <w:name w:val="Body Text"/>
    <w:basedOn w:val="1"/>
    <w:autoRedefine/>
    <w:qFormat/>
    <w:uiPriority w:val="0"/>
    <w:pPr>
      <w:spacing w:after="120"/>
    </w:pPr>
  </w:style>
  <w:style w:type="paragraph" w:styleId="6">
    <w:name w:val="Body Text Indent"/>
    <w:basedOn w:val="1"/>
    <w:autoRedefine/>
    <w:qFormat/>
    <w:uiPriority w:val="0"/>
    <w:pPr>
      <w:spacing w:after="120"/>
      <w:ind w:left="420" w:leftChars="200"/>
    </w:pPr>
    <w:rPr>
      <w:rFonts w:ascii="Calibri" w:hAnsi="Calibri"/>
    </w:rPr>
  </w:style>
  <w:style w:type="paragraph" w:styleId="7">
    <w:name w:val="Balloon Text"/>
    <w:basedOn w:val="1"/>
    <w:link w:val="21"/>
    <w:autoRedefine/>
    <w:qFormat/>
    <w:uiPriority w:val="0"/>
    <w:rPr>
      <w:sz w:val="18"/>
      <w:szCs w:val="18"/>
    </w:rPr>
  </w:style>
  <w:style w:type="paragraph" w:styleId="8">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kern w:val="0"/>
      <w:sz w:val="24"/>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autoRedefine/>
    <w:qFormat/>
    <w:uiPriority w:val="0"/>
    <w:rPr>
      <w:b/>
      <w:bCs/>
    </w:rPr>
  </w:style>
  <w:style w:type="paragraph" w:styleId="13">
    <w:name w:val="Body Text First Indent"/>
    <w:basedOn w:val="5"/>
    <w:autoRedefine/>
    <w:qFormat/>
    <w:uiPriority w:val="0"/>
    <w:pPr>
      <w:spacing w:after="0"/>
      <w:ind w:firstLine="200" w:firstLineChars="200"/>
    </w:pPr>
  </w:style>
  <w:style w:type="paragraph" w:styleId="14">
    <w:name w:val="Body Text First Indent 2"/>
    <w:basedOn w:val="6"/>
    <w:autoRedefine/>
    <w:qFormat/>
    <w:uiPriority w:val="0"/>
    <w:pPr>
      <w:ind w:firstLine="420" w:firstLineChars="200"/>
    </w:pPr>
  </w:style>
  <w:style w:type="character" w:styleId="17">
    <w:name w:val="Strong"/>
    <w:basedOn w:val="16"/>
    <w:autoRedefine/>
    <w:qFormat/>
    <w:uiPriority w:val="0"/>
    <w:rPr>
      <w:b/>
      <w:bCs/>
    </w:rPr>
  </w:style>
  <w:style w:type="character" w:styleId="18">
    <w:name w:val="annotation reference"/>
    <w:basedOn w:val="16"/>
    <w:autoRedefine/>
    <w:qFormat/>
    <w:uiPriority w:val="0"/>
    <w:rPr>
      <w:sz w:val="21"/>
      <w:szCs w:val="21"/>
    </w:rPr>
  </w:style>
  <w:style w:type="character" w:customStyle="1" w:styleId="19">
    <w:name w:val="fontstyle01"/>
    <w:autoRedefine/>
    <w:qFormat/>
    <w:uiPriority w:val="0"/>
    <w:rPr>
      <w:rFonts w:ascii="仿宋_GB2312" w:hAnsi="仿宋_GB2312" w:eastAsia="仿宋_GB2312" w:cs="仿宋_GB2312"/>
      <w:color w:val="000000"/>
      <w:sz w:val="32"/>
      <w:szCs w:val="32"/>
    </w:rPr>
  </w:style>
  <w:style w:type="paragraph" w:customStyle="1" w:styleId="20">
    <w:name w:val="闻政-正文段落文字"/>
    <w:basedOn w:val="1"/>
    <w:autoRedefine/>
    <w:qFormat/>
    <w:uiPriority w:val="3"/>
    <w:pPr>
      <w:spacing w:line="500" w:lineRule="exact"/>
      <w:ind w:firstLine="200"/>
    </w:pPr>
    <w:rPr>
      <w:kern w:val="0"/>
      <w:szCs w:val="28"/>
    </w:rPr>
  </w:style>
  <w:style w:type="character" w:customStyle="1" w:styleId="21">
    <w:name w:val="批注框文本 字符"/>
    <w:basedOn w:val="16"/>
    <w:link w:val="7"/>
    <w:autoRedefine/>
    <w:qFormat/>
    <w:uiPriority w:val="0"/>
    <w:rPr>
      <w:rFonts w:ascii="Times New Roman" w:hAnsi="Times New Roman" w:eastAsia="宋体" w:cs="Times New Roman"/>
      <w:kern w:val="2"/>
      <w:sz w:val="18"/>
      <w:szCs w:val="18"/>
    </w:rPr>
  </w:style>
  <w:style w:type="character" w:customStyle="1" w:styleId="22">
    <w:name w:val="页眉 字符"/>
    <w:basedOn w:val="16"/>
    <w:link w:val="9"/>
    <w:autoRedefine/>
    <w:qFormat/>
    <w:uiPriority w:val="0"/>
    <w:rPr>
      <w:rFonts w:ascii="Times New Roman" w:hAnsi="Times New Roman" w:eastAsia="宋体" w:cs="Times New Roman"/>
      <w:kern w:val="2"/>
      <w:sz w:val="18"/>
      <w:szCs w:val="18"/>
    </w:rPr>
  </w:style>
  <w:style w:type="character" w:customStyle="1" w:styleId="23">
    <w:name w:val="批注文字 字符"/>
    <w:basedOn w:val="16"/>
    <w:link w:val="4"/>
    <w:autoRedefine/>
    <w:qFormat/>
    <w:uiPriority w:val="0"/>
    <w:rPr>
      <w:rFonts w:ascii="Times New Roman" w:hAnsi="Times New Roman" w:eastAsia="宋体" w:cs="Times New Roman"/>
      <w:kern w:val="2"/>
      <w:sz w:val="21"/>
      <w:szCs w:val="24"/>
    </w:rPr>
  </w:style>
  <w:style w:type="character" w:customStyle="1" w:styleId="24">
    <w:name w:val="批注主题 字符"/>
    <w:basedOn w:val="23"/>
    <w:link w:val="12"/>
    <w:autoRedefine/>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8854</Words>
  <Characters>9144</Characters>
  <Lines>58</Lines>
  <Paragraphs>16</Paragraphs>
  <TotalTime>21</TotalTime>
  <ScaleCrop>false</ScaleCrop>
  <LinksUpToDate>false</LinksUpToDate>
  <CharactersWithSpaces>9181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  </cp:lastModifiedBy>
  <dcterms:modified xsi:type="dcterms:W3CDTF">2024-03-19T05:39:25Z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2752F507E3784C19A92A942DECC7B18F_13</vt:lpwstr>
  </property>
</Properties>
</file>