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自治区应急管理厅2023年度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pStyle w:val="7"/>
        <w:tabs>
          <w:tab w:val="right" w:pos="8306"/>
        </w:tabs>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（一）负责应急管理工作，指导各地各部门应对安全生产类、自然灾害类突发事件和综合防灾减灾救灾工作。负责安全生产综合监督管理和工矿商贸行业安全生产监督管理工作。</w:t>
      </w:r>
      <w:r>
        <w:rPr>
          <w:rFonts w:ascii="仿宋_GB2312" w:eastAsia="仿宋_GB2312"/>
          <w:sz w:val="32"/>
          <w:szCs w:val="32"/>
        </w:rPr>
        <w:br w:type="textWrapping"/>
      </w:r>
      <w:r>
        <w:rPr>
          <w:rFonts w:ascii="仿宋_GB2312" w:eastAsia="仿宋_GB2312"/>
          <w:sz w:val="32"/>
          <w:szCs w:val="32"/>
        </w:rPr>
        <w:t>　　（二）组织编制应急体系建设、安全生产和综合防灾减灾规划，起草相关法律法规草案，组织制定应急管理、安全生产类综合性法规、规章、标准、规范性文件并监督实施。</w:t>
      </w:r>
      <w:r>
        <w:rPr>
          <w:rFonts w:ascii="仿宋_GB2312" w:eastAsia="仿宋_GB2312"/>
          <w:sz w:val="32"/>
          <w:szCs w:val="32"/>
        </w:rPr>
        <w:br w:type="textWrapping"/>
      </w:r>
      <w:r>
        <w:rPr>
          <w:rFonts w:ascii="仿宋_GB2312" w:eastAsia="仿宋_GB2312"/>
          <w:sz w:val="32"/>
          <w:szCs w:val="32"/>
        </w:rPr>
        <w:t>　　（三）负责安全生产类、自然灾害类应急预案体系建设，建立完善事故灾难和自然灾害分级应对制度，组织编制自治区总体应急预案和安全生产类、自然灾害类专项预案，综合协调应急预案衔接工作，组织开展预案演练，推动应急避难设施建设。</w:t>
      </w:r>
      <w:r>
        <w:rPr>
          <w:rFonts w:ascii="仿宋_GB2312" w:eastAsia="仿宋_GB2312"/>
          <w:sz w:val="32"/>
          <w:szCs w:val="32"/>
        </w:rPr>
        <w:br w:type="textWrapping"/>
      </w:r>
      <w:r>
        <w:rPr>
          <w:rFonts w:ascii="仿宋_GB2312" w:eastAsia="仿宋_GB2312"/>
          <w:sz w:val="32"/>
          <w:szCs w:val="32"/>
        </w:rPr>
        <w:t>　　（四）牵头建立统一的应急管理信息系统，负责编制和落实信息传输渠道的规划和布局，建立监测预警和灾情报告制度，健全自然灾害信息资源获取和共享机制，依法统一发布灾情。</w:t>
      </w:r>
      <w:r>
        <w:rPr>
          <w:rFonts w:ascii="仿宋_GB2312" w:eastAsia="仿宋_GB2312"/>
          <w:sz w:val="32"/>
          <w:szCs w:val="32"/>
        </w:rPr>
        <w:br w:type="textWrapping"/>
      </w:r>
      <w:r>
        <w:rPr>
          <w:rFonts w:ascii="仿宋_GB2312" w:eastAsia="仿宋_GB2312"/>
          <w:sz w:val="32"/>
          <w:szCs w:val="32"/>
        </w:rPr>
        <w:t>　　（五）组织指导协调安全生产类、自然灾害类突发事件应急救援，承担自治区应对重大灾害指挥部工作，综合研判突发事件发展态势并提出应对建议，协助自治区党委、自治区人民政府指定的负责同志组织重大灾害应急处置工作。</w:t>
      </w:r>
      <w:r>
        <w:rPr>
          <w:rFonts w:ascii="仿宋_GB2312" w:eastAsia="仿宋_GB2312"/>
          <w:sz w:val="32"/>
          <w:szCs w:val="32"/>
        </w:rPr>
        <w:br w:type="textWrapping"/>
      </w:r>
      <w:r>
        <w:rPr>
          <w:rFonts w:ascii="仿宋_GB2312" w:eastAsia="仿宋_GB2312"/>
          <w:sz w:val="32"/>
          <w:szCs w:val="32"/>
        </w:rPr>
        <w:t>　　（六）统一协调指挥各类应急专业队伍，建立应急协调联动机制，推进应急指挥平台对接，衔接解放军和武警部队参与应急救援工作。</w:t>
      </w:r>
      <w:r>
        <w:rPr>
          <w:rFonts w:ascii="仿宋_GB2312" w:eastAsia="仿宋_GB2312"/>
          <w:sz w:val="32"/>
          <w:szCs w:val="32"/>
        </w:rPr>
        <w:br w:type="textWrapping"/>
      </w:r>
      <w:r>
        <w:rPr>
          <w:rFonts w:ascii="仿宋_GB2312" w:eastAsia="仿宋_GB2312"/>
          <w:sz w:val="32"/>
          <w:szCs w:val="32"/>
        </w:rPr>
        <w:t>　　（七）统筹应急救援力量建设，负责消防、森林和草原火灾扑救、抗洪抢险、地震和地质灾害救援、生产安全事故救援专业应急救援力量建设，管理指挥自治区综合性应急救援队伍，指导各地及社会应急救援力量建设。</w:t>
      </w:r>
      <w:r>
        <w:rPr>
          <w:rFonts w:ascii="仿宋_GB2312" w:eastAsia="仿宋_GB2312"/>
          <w:sz w:val="32"/>
          <w:szCs w:val="32"/>
        </w:rPr>
        <w:br w:type="textWrapping"/>
      </w:r>
      <w:r>
        <w:rPr>
          <w:rFonts w:ascii="仿宋_GB2312" w:eastAsia="仿宋_GB2312"/>
          <w:sz w:val="32"/>
          <w:szCs w:val="32"/>
        </w:rPr>
        <w:t>　　（八）负责消防管理工作，指导消防监督、火灾预防、火灾扑救等工作。</w:t>
      </w:r>
      <w:r>
        <w:rPr>
          <w:rFonts w:ascii="仿宋_GB2312" w:eastAsia="仿宋_GB2312"/>
          <w:sz w:val="32"/>
          <w:szCs w:val="32"/>
        </w:rPr>
        <w:br w:type="textWrapping"/>
      </w:r>
      <w:r>
        <w:rPr>
          <w:rFonts w:ascii="仿宋_GB2312" w:eastAsia="仿宋_GB2312"/>
          <w:sz w:val="32"/>
          <w:szCs w:val="32"/>
        </w:rPr>
        <w:t>　　（九）指导协调森林和草原火灾、水旱灾害、地震和地质灾害防治工作，负责自然灾害综合监测预警工作，指导开展自然灾害综合风险评估工作。</w:t>
      </w:r>
      <w:r>
        <w:rPr>
          <w:rFonts w:ascii="仿宋_GB2312" w:eastAsia="仿宋_GB2312"/>
          <w:sz w:val="32"/>
          <w:szCs w:val="32"/>
        </w:rPr>
        <w:br w:type="textWrapping"/>
      </w:r>
      <w:r>
        <w:rPr>
          <w:rFonts w:ascii="仿宋_GB2312" w:eastAsia="仿宋_GB2312"/>
          <w:sz w:val="32"/>
          <w:szCs w:val="32"/>
        </w:rPr>
        <w:t>　　（十）组织协调灾害救助工作，组织指导灾情核查、损失评估、救灾捐赠工作，管理、分配中央和自治区救灾款物并监督使用。</w:t>
      </w:r>
      <w:r>
        <w:rPr>
          <w:rFonts w:ascii="仿宋_GB2312" w:eastAsia="仿宋_GB2312"/>
          <w:sz w:val="32"/>
          <w:szCs w:val="32"/>
        </w:rPr>
        <w:br w:type="textWrapping"/>
      </w:r>
      <w:r>
        <w:rPr>
          <w:rFonts w:ascii="仿宋_GB2312" w:eastAsia="仿宋_GB2312"/>
          <w:sz w:val="32"/>
          <w:szCs w:val="32"/>
        </w:rPr>
        <w:t>　　（十一）依法行使安全生产综合监督管理职权，指导协调、监督检查各州市人民政府、各行政公署和自治区有关部门安全生产工作，组织开展安全生产巡查、考核工作。</w:t>
      </w:r>
      <w:r>
        <w:rPr>
          <w:rFonts w:ascii="仿宋_GB2312" w:eastAsia="仿宋_GB2312"/>
          <w:sz w:val="32"/>
          <w:szCs w:val="32"/>
        </w:rPr>
        <w:br w:type="textWrapping"/>
      </w:r>
      <w:r>
        <w:rPr>
          <w:rFonts w:ascii="仿宋_GB2312" w:eastAsia="仿宋_GB2312"/>
          <w:sz w:val="32"/>
          <w:szCs w:val="32"/>
        </w:rPr>
        <w:t>　　（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r>
        <w:rPr>
          <w:rFonts w:ascii="仿宋_GB2312" w:eastAsia="仿宋_GB2312"/>
          <w:sz w:val="32"/>
          <w:szCs w:val="32"/>
        </w:rPr>
        <w:br w:type="textWrapping"/>
      </w:r>
      <w:r>
        <w:rPr>
          <w:rFonts w:ascii="仿宋_GB2312" w:eastAsia="仿宋_GB2312"/>
          <w:sz w:val="32"/>
          <w:szCs w:val="32"/>
        </w:rPr>
        <w:t>　　（十三）依法组织指导生产安全事故调查处理，监督事故查处和责任追究落实情况。组织开展自然灾害类突发事件的调查评估工作。</w:t>
      </w:r>
      <w:r>
        <w:rPr>
          <w:rFonts w:ascii="仿宋_GB2312" w:eastAsia="仿宋_GB2312"/>
          <w:sz w:val="32"/>
          <w:szCs w:val="32"/>
        </w:rPr>
        <w:br w:type="textWrapping"/>
      </w:r>
      <w:r>
        <w:rPr>
          <w:rFonts w:ascii="仿宋_GB2312" w:eastAsia="仿宋_GB2312"/>
          <w:sz w:val="32"/>
          <w:szCs w:val="32"/>
        </w:rPr>
        <w:t>　　（十四）制定应急物资储备和应急救援装备规划并组织实施，会同自治区粮食和物资储备局等部门建立健全应急物资信息平台和调拨制度，在救灾时统一调度。</w:t>
      </w:r>
      <w:r>
        <w:rPr>
          <w:rFonts w:ascii="仿宋_GB2312" w:eastAsia="仿宋_GB2312"/>
          <w:sz w:val="32"/>
          <w:szCs w:val="32"/>
        </w:rPr>
        <w:br w:type="textWrapping"/>
      </w:r>
      <w:r>
        <w:rPr>
          <w:rFonts w:ascii="仿宋_GB2312" w:eastAsia="仿宋_GB2312"/>
          <w:sz w:val="32"/>
          <w:szCs w:val="32"/>
        </w:rPr>
        <w:t>　　（十五）负责应急管理、安全生产宣传教育和培训工作，组织指导自治区应急管理、安全生产的科学技术研究、推广应用和信息化建设工作。开展应急管理方面的对外合作与交流。</w:t>
      </w:r>
      <w:r>
        <w:rPr>
          <w:rFonts w:ascii="仿宋_GB2312" w:eastAsia="仿宋_GB2312"/>
          <w:sz w:val="32"/>
          <w:szCs w:val="32"/>
        </w:rPr>
        <w:br w:type="textWrapping"/>
      </w:r>
      <w:r>
        <w:rPr>
          <w:rFonts w:ascii="仿宋_GB2312" w:eastAsia="仿宋_GB2312"/>
          <w:sz w:val="32"/>
          <w:szCs w:val="32"/>
        </w:rPr>
        <w:t>　　（十六）完成自治区党委、自治区人民政府交办的其他任务。</w:t>
      </w:r>
      <w:r>
        <w:rPr>
          <w:rFonts w:ascii="仿宋_GB2312" w:eastAsia="仿宋_GB2312"/>
          <w:sz w:val="32"/>
          <w:szCs w:val="32"/>
        </w:rPr>
        <w:br w:type="textWrapping"/>
      </w:r>
      <w:r>
        <w:rPr>
          <w:rFonts w:ascii="仿宋_GB2312" w:eastAsia="仿宋_GB2312"/>
          <w:sz w:val="32"/>
          <w:szCs w:val="32"/>
        </w:rPr>
        <w:t>　　（十七）职能转变。应急管理厅应加强、优化、统筹自治区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自治区应急管理水平和防灾减灾救灾能力，防范化解重大安全风险。二是坚持以人为本，把确保人民群众生命安全放在首位，确保受灾群众基本生活，加强应急预案演练，增强全区公民防灾减灾意识，提升公众知识普及和自救互救技能，切实减少人员伤亡和财产损失。三是树立安全发展理念，坚持生命至上、安全第一，完善安全生产责任，坚决遏制重特大安全事故</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自治区应急管理厅</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rPr>
        <w:t>945</w:t>
      </w:r>
      <w:r>
        <w:rPr>
          <w:rFonts w:hint="eastAsia" w:ascii="仿宋_GB2312" w:eastAsia="仿宋_GB2312"/>
          <w:sz w:val="32"/>
          <w:szCs w:val="32"/>
        </w:rPr>
        <w:t>人，其中：在职人员</w:t>
      </w:r>
      <w:r>
        <w:rPr>
          <w:rFonts w:ascii="仿宋_GB2312" w:eastAsia="仿宋_GB2312"/>
          <w:sz w:val="32"/>
          <w:szCs w:val="32"/>
        </w:rPr>
        <w:t>507</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437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从部门决算单位构成看，自治区应急管理厅部门决算包括：自治区应急管理厅部门本级决算及所属单位决算。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自治区应急管理厅</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23</w:t>
      </w:r>
      <w:r>
        <w:rPr>
          <w:rFonts w:hint="eastAsia" w:ascii="仿宋_GB2312" w:hAnsi="黑体" w:eastAsia="仿宋_GB2312" w:cs="宋体"/>
          <w:bCs/>
          <w:kern w:val="0"/>
          <w:sz w:val="32"/>
          <w:szCs w:val="32"/>
        </w:rPr>
        <w:t>个处室，分别是：办公室、应急指挥中心、教育训练处、风险监测和综合减灾处、救援协调和预案管理处、火灾管理处、防汛抗旱处、地震和地质灾害救援处、危险化学品安全监管处、工贸安全监督管理处、综合执法监督局、矿山安全生产监督管理处、矿山安全监督管理处、非煤矿山安全监督管理处、安全生产综合协调处、救灾和物资保障处、政策法规处、调查评估和统计处、新闻宣传处、科技和信息处、人事处、机关党委、规划财务处</w:t>
      </w:r>
      <w:r>
        <w:rPr>
          <w:rFonts w:hint="eastAsia" w:ascii="仿宋_GB2312" w:hAnsi="宋体" w:eastAsia="仿宋_GB2312" w:cs="宋体"/>
          <w:kern w:val="0"/>
          <w:sz w:val="32"/>
          <w:szCs w:val="32"/>
        </w:rPr>
        <w:t>。</w:t>
      </w:r>
    </w:p>
    <w:p>
      <w:pPr>
        <w:ind w:firstLine="640" w:firstLineChars="200"/>
        <w:rPr>
          <w:rFonts w:ascii="仿宋" w:hAnsi="仿宋" w:eastAsia="仿宋" w:cs="仿宋"/>
          <w:color w:val="4D4D4D"/>
          <w:sz w:val="32"/>
          <w:szCs w:val="32"/>
          <w:shd w:val="clear" w:color="auto" w:fill="FFFFFF"/>
        </w:rPr>
      </w:pPr>
      <w:r>
        <w:rPr>
          <w:rFonts w:hint="eastAsia" w:ascii="仿宋_GB2312" w:eastAsia="仿宋_GB2312"/>
          <w:sz w:val="32"/>
          <w:szCs w:val="32"/>
        </w:rPr>
        <w:t>纳入自治区应急管理厅</w:t>
      </w:r>
      <w:r>
        <w:rPr>
          <w:rFonts w:ascii="仿宋_GB2312" w:eastAsia="仿宋_GB2312"/>
          <w:sz w:val="32"/>
          <w:szCs w:val="32"/>
        </w:rPr>
        <w:t>2023</w:t>
      </w:r>
      <w:r>
        <w:rPr>
          <w:rFonts w:hint="eastAsia" w:ascii="仿宋_GB2312" w:eastAsia="仿宋_GB2312"/>
          <w:sz w:val="32"/>
          <w:szCs w:val="32"/>
        </w:rPr>
        <w:t>年度部门决算编制范围的下属预算单位包括：</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1.新疆维吾尔自治区应急管理厅（机关）</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2.新疆维吾尔自治区应急管理厅信息中心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3.新疆维吾尔自治区安全科学技术研究院</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4.新疆维吾尔自治区安全生产应急救援中心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5.新疆维吾尔自治区矿山应急救援总队</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6.新疆维吾尔自治区应急管理宣传教育中心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7.新疆维吾尔自治区减灾中心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8.新疆维吾尔自治区自然灾害综合监测预警中心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9.新疆维吾尔自治区煤炭工业工程质量检测中心</w:t>
      </w:r>
    </w:p>
    <w:p>
      <w:pPr>
        <w:ind w:firstLine="640" w:firstLineChars="200"/>
        <w:rPr>
          <w:rFonts w:ascii="仿宋" w:hAnsi="仿宋" w:eastAsia="仿宋" w:cs="仿宋"/>
          <w:color w:val="4D4D4D"/>
          <w:sz w:val="32"/>
          <w:szCs w:val="32"/>
          <w:shd w:val="clear" w:color="auto" w:fill="FFFFFF"/>
        </w:rPr>
      </w:pPr>
      <w:r>
        <w:rPr>
          <w:rFonts w:hint="eastAsia" w:ascii="仿宋" w:hAnsi="仿宋" w:eastAsia="仿宋" w:cs="仿宋"/>
          <w:color w:val="4D4D4D"/>
          <w:sz w:val="32"/>
          <w:szCs w:val="32"/>
          <w:shd w:val="clear" w:color="auto" w:fill="FFFFFF"/>
        </w:rPr>
        <w:t>10.新疆维吾尔自治区矿山安全服务保障中心</w:t>
      </w:r>
    </w:p>
    <w:p>
      <w:pPr>
        <w:ind w:firstLine="640" w:firstLineChars="200"/>
        <w:rPr>
          <w:rFonts w:ascii="仿宋_GB2312" w:hAnsi="宋体" w:eastAsia="仿宋_GB2312" w:cs="宋体"/>
          <w:kern w:val="0"/>
          <w:sz w:val="32"/>
          <w:szCs w:val="32"/>
        </w:rPr>
      </w:pPr>
    </w:p>
    <w:p>
      <w:pPr>
        <w:rPr>
          <w:rFonts w:ascii="黑体" w:hAnsi="黑体" w:eastAsia="黑体"/>
          <w:sz w:val="32"/>
          <w:szCs w:val="32"/>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p>
    <w:p>
      <w:bookmarkStart w:id="8" w:name="_Toc5453"/>
      <w:bookmarkStart w:id="9" w:name="_Toc7643"/>
    </w:p>
    <w:bookmarkEnd w:id="8"/>
    <w:bookmarkEnd w:id="9"/>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10" w:name="_Toc25314"/>
      <w:bookmarkStart w:id="11" w:name="_Toc12566"/>
      <w:r>
        <w:rPr>
          <w:rFonts w:hint="eastAsia" w:ascii="黑体" w:hAnsi="黑体" w:eastAsia="黑体" w:cs="宋体"/>
          <w:bCs/>
          <w:kern w:val="0"/>
          <w:sz w:val="32"/>
          <w:szCs w:val="32"/>
        </w:rPr>
        <w:t>一、收入支出决算总体情况说明</w:t>
      </w:r>
      <w:bookmarkEnd w:id="10"/>
      <w:bookmarkEnd w:id="11"/>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年度收入总计35,893.88万元，</w:t>
      </w:r>
      <w:r>
        <w:rPr>
          <w:rFonts w:hint="eastAsia" w:ascii="仿宋_GB2312" w:eastAsia="仿宋_GB2312"/>
          <w:sz w:val="32"/>
          <w:szCs w:val="32"/>
        </w:rPr>
        <w:t>其中：本年收入合计</w:t>
      </w:r>
      <w:r>
        <w:rPr>
          <w:rFonts w:ascii="仿宋_GB2312" w:eastAsia="仿宋_GB2312"/>
          <w:sz w:val="32"/>
          <w:szCs w:val="32"/>
        </w:rPr>
        <w:t>34,499.16</w:t>
      </w:r>
      <w:r>
        <w:rPr>
          <w:rFonts w:hint="eastAsia" w:ascii="仿宋_GB2312" w:eastAsia="仿宋_GB2312"/>
          <w:sz w:val="32"/>
          <w:szCs w:val="32"/>
        </w:rPr>
        <w:t>万元，使用非财政拨款结余759.05万元，年初结转和结余635.67万元。</w:t>
      </w:r>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年度支出总计35,893.88万元，</w:t>
      </w:r>
      <w:r>
        <w:rPr>
          <w:rFonts w:hint="eastAsia" w:ascii="仿宋_GB2312" w:eastAsia="仿宋_GB2312"/>
          <w:sz w:val="32"/>
          <w:szCs w:val="32"/>
        </w:rPr>
        <w:t>其中：本年支出合计</w:t>
      </w:r>
      <w:r>
        <w:rPr>
          <w:rFonts w:ascii="仿宋_GB2312" w:eastAsia="仿宋_GB2312"/>
          <w:sz w:val="32"/>
          <w:szCs w:val="32"/>
        </w:rPr>
        <w:t>34,243.68</w:t>
      </w:r>
      <w:r>
        <w:rPr>
          <w:rFonts w:hint="eastAsia" w:ascii="仿宋_GB2312" w:eastAsia="仿宋_GB2312"/>
          <w:sz w:val="32"/>
          <w:szCs w:val="32"/>
        </w:rPr>
        <w:t>万元，结余分配703.50万元，年末结转和结余946.71万元。</w:t>
      </w:r>
    </w:p>
    <w:p>
      <w:pPr>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增加17,734.55万元，</w:t>
      </w:r>
      <w:r>
        <w:rPr>
          <w:rFonts w:ascii="仿宋_GB2312" w:eastAsia="仿宋_GB2312"/>
          <w:sz w:val="32"/>
          <w:szCs w:val="32"/>
        </w:rPr>
        <w:t>增长97.66</w:t>
      </w:r>
      <w:r>
        <w:rPr>
          <w:rFonts w:hint="eastAsia" w:ascii="仿宋_GB2312" w:eastAsia="仿宋_GB2312"/>
          <w:sz w:val="32"/>
          <w:szCs w:val="32"/>
        </w:rPr>
        <w:t>%，主要原因是：一是本年度新增自治区煤炭工业工程质量监测中心，新疆维吾尔自治区矿山安全服务保障中心转隶至本厅下属单位，相关经费增加；二是本年新增转隶、调入人员、新招录人员，基数调整，人员经费增加；三是本年度增加自治区安全生产综合基地项目资金、中央自然灾害救灾资金（森林草原航空消防补助资金）、安全生产及应急等专项资金，经费增加。</w:t>
      </w:r>
    </w:p>
    <w:p>
      <w:pPr>
        <w:ind w:firstLine="640" w:firstLineChars="200"/>
        <w:outlineLvl w:val="1"/>
        <w:rPr>
          <w:rFonts w:ascii="黑体" w:hAnsi="黑体" w:eastAsia="黑体" w:cs="宋体"/>
          <w:bCs/>
          <w:kern w:val="0"/>
          <w:sz w:val="32"/>
          <w:szCs w:val="32"/>
        </w:rPr>
      </w:pPr>
      <w:bookmarkStart w:id="12" w:name="_Toc12142"/>
      <w:bookmarkStart w:id="13" w:name="_Toc1979"/>
      <w:r>
        <w:rPr>
          <w:rFonts w:hint="eastAsia" w:ascii="黑体" w:hAnsi="黑体" w:eastAsia="黑体" w:cs="宋体"/>
          <w:bCs/>
          <w:kern w:val="0"/>
          <w:sz w:val="32"/>
          <w:szCs w:val="32"/>
        </w:rPr>
        <w:t>二、收入决算情况说明</w:t>
      </w:r>
      <w:bookmarkEnd w:id="12"/>
      <w:bookmarkEnd w:id="13"/>
    </w:p>
    <w:p>
      <w:pPr>
        <w:ind w:firstLine="643" w:firstLineChars="200"/>
        <w:rPr>
          <w:rFonts w:ascii="仿宋_GB2312" w:eastAsia="仿宋_GB2312"/>
          <w:sz w:val="32"/>
          <w:szCs w:val="32"/>
        </w:rPr>
      </w:pPr>
      <w:r>
        <w:rPr>
          <w:rFonts w:hint="eastAsia" w:ascii="仿宋_GB2312" w:eastAsia="仿宋_GB2312"/>
          <w:b/>
          <w:bCs/>
          <w:sz w:val="32"/>
          <w:szCs w:val="32"/>
        </w:rPr>
        <w:t>本年收入34,499.16万元，</w:t>
      </w:r>
      <w:r>
        <w:rPr>
          <w:rFonts w:hint="eastAsia" w:ascii="仿宋_GB2312" w:eastAsia="仿宋_GB2312"/>
          <w:sz w:val="32"/>
          <w:szCs w:val="32"/>
        </w:rPr>
        <w:t>其中：财政拨款收入</w:t>
      </w:r>
      <w:r>
        <w:rPr>
          <w:rFonts w:ascii="仿宋_GB2312" w:eastAsia="仿宋_GB2312"/>
          <w:sz w:val="32"/>
          <w:szCs w:val="32"/>
        </w:rPr>
        <w:t>26,378.67</w:t>
      </w:r>
      <w:r>
        <w:rPr>
          <w:rFonts w:hint="eastAsia" w:ascii="仿宋_GB2312" w:eastAsia="仿宋_GB2312"/>
          <w:sz w:val="32"/>
          <w:szCs w:val="32"/>
        </w:rPr>
        <w:t>万元，占76.46%；上级补助收入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650.00</w:t>
      </w:r>
      <w:r>
        <w:rPr>
          <w:rFonts w:hint="eastAsia" w:ascii="仿宋_GB2312" w:eastAsia="仿宋_GB2312"/>
          <w:sz w:val="32"/>
          <w:szCs w:val="32"/>
        </w:rPr>
        <w:t>万元，占1.88%；经营收入</w:t>
      </w:r>
      <w:r>
        <w:rPr>
          <w:rFonts w:ascii="仿宋_GB2312" w:eastAsia="仿宋_GB2312"/>
          <w:sz w:val="32"/>
          <w:szCs w:val="32"/>
        </w:rPr>
        <w:t>2,731.64</w:t>
      </w:r>
      <w:r>
        <w:rPr>
          <w:rFonts w:hint="eastAsia" w:ascii="仿宋_GB2312" w:eastAsia="仿宋_GB2312"/>
          <w:sz w:val="32"/>
          <w:szCs w:val="32"/>
        </w:rPr>
        <w:t>万元，占7.92%；附属单位上缴收入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4,738.85</w:t>
      </w:r>
      <w:r>
        <w:rPr>
          <w:rFonts w:hint="eastAsia" w:ascii="仿宋_GB2312" w:eastAsia="仿宋_GB2312"/>
          <w:sz w:val="32"/>
          <w:szCs w:val="32"/>
        </w:rPr>
        <w:t>万元，占13.74%。</w:t>
      </w:r>
    </w:p>
    <w:p>
      <w:pPr>
        <w:ind w:firstLine="640" w:firstLineChars="200"/>
        <w:outlineLvl w:val="1"/>
        <w:rPr>
          <w:rFonts w:ascii="黑体" w:hAnsi="黑体" w:eastAsia="黑体" w:cs="宋体"/>
          <w:bCs/>
          <w:kern w:val="0"/>
          <w:sz w:val="32"/>
          <w:szCs w:val="32"/>
        </w:rPr>
      </w:pPr>
      <w:bookmarkStart w:id="14" w:name="_Toc27961"/>
      <w:bookmarkStart w:id="15" w:name="_Toc13201"/>
      <w:r>
        <w:rPr>
          <w:rFonts w:hint="eastAsia" w:ascii="黑体" w:hAnsi="黑体" w:eastAsia="黑体" w:cs="宋体"/>
          <w:bCs/>
          <w:kern w:val="0"/>
          <w:sz w:val="32"/>
          <w:szCs w:val="32"/>
        </w:rPr>
        <w:t>三、支出决算情况说明</w:t>
      </w:r>
      <w:bookmarkEnd w:id="14"/>
      <w:bookmarkEnd w:id="15"/>
    </w:p>
    <w:p>
      <w:pPr>
        <w:ind w:firstLine="643" w:firstLineChars="200"/>
        <w:rPr>
          <w:rFonts w:ascii="仿宋_GB2312" w:eastAsia="仿宋_GB2312"/>
          <w:sz w:val="32"/>
          <w:szCs w:val="32"/>
        </w:rPr>
      </w:pPr>
      <w:r>
        <w:rPr>
          <w:rFonts w:hint="eastAsia" w:ascii="仿宋_GB2312" w:eastAsia="仿宋_GB2312"/>
          <w:b/>
          <w:bCs/>
          <w:sz w:val="32"/>
          <w:szCs w:val="32"/>
        </w:rPr>
        <w:t>本年支出34,243.68万元，</w:t>
      </w:r>
      <w:r>
        <w:rPr>
          <w:rFonts w:hint="eastAsia" w:ascii="仿宋_GB2312" w:eastAsia="仿宋_GB2312"/>
          <w:sz w:val="32"/>
          <w:szCs w:val="32"/>
        </w:rPr>
        <w:t>其中：基本支出</w:t>
      </w:r>
      <w:r>
        <w:rPr>
          <w:rFonts w:ascii="仿宋_GB2312" w:eastAsia="仿宋_GB2312"/>
          <w:sz w:val="32"/>
          <w:szCs w:val="32"/>
        </w:rPr>
        <w:t>12,264.48</w:t>
      </w:r>
      <w:r>
        <w:rPr>
          <w:rFonts w:hint="eastAsia" w:ascii="仿宋_GB2312" w:eastAsia="仿宋_GB2312"/>
          <w:sz w:val="32"/>
          <w:szCs w:val="32"/>
        </w:rPr>
        <w:t>万元，占35.82%；项目支出</w:t>
      </w:r>
      <w:r>
        <w:rPr>
          <w:rFonts w:ascii="仿宋_GB2312" w:eastAsia="仿宋_GB2312"/>
          <w:sz w:val="32"/>
          <w:szCs w:val="32"/>
        </w:rPr>
        <w:t>19,577.22</w:t>
      </w:r>
      <w:r>
        <w:rPr>
          <w:rFonts w:hint="eastAsia" w:ascii="仿宋_GB2312" w:eastAsia="仿宋_GB2312"/>
          <w:sz w:val="32"/>
          <w:szCs w:val="32"/>
        </w:rPr>
        <w:t>万元，占57.17%；上缴上级支出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2,401.98</w:t>
      </w:r>
      <w:r>
        <w:rPr>
          <w:rFonts w:hint="eastAsia" w:ascii="仿宋_GB2312" w:eastAsia="仿宋_GB2312"/>
          <w:sz w:val="32"/>
          <w:szCs w:val="32"/>
        </w:rPr>
        <w:t>万元，占</w:t>
      </w:r>
      <w:r>
        <w:rPr>
          <w:rFonts w:ascii="仿宋_GB2312" w:eastAsia="仿宋_GB2312"/>
          <w:sz w:val="32"/>
          <w:szCs w:val="32"/>
        </w:rPr>
        <w:t>7.01</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6" w:name="_Toc4393"/>
      <w:bookmarkStart w:id="17" w:name="_Toc26564"/>
      <w:r>
        <w:rPr>
          <w:rFonts w:hint="eastAsia" w:ascii="黑体" w:hAnsi="黑体" w:eastAsia="黑体" w:cs="宋体"/>
          <w:bCs/>
          <w:kern w:val="0"/>
          <w:sz w:val="32"/>
          <w:szCs w:val="32"/>
        </w:rPr>
        <w:t>四、财政拨款收入支出决算总体情况说明</w:t>
      </w:r>
      <w:bookmarkEnd w:id="16"/>
      <w:bookmarkEnd w:id="17"/>
    </w:p>
    <w:p>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2023年度财政拨款收入总计26,581.95万元，</w:t>
      </w:r>
      <w:r>
        <w:rPr>
          <w:rFonts w:hint="eastAsia" w:ascii="仿宋_GB2312" w:eastAsia="仿宋_GB2312"/>
          <w:sz w:val="32"/>
          <w:szCs w:val="32"/>
        </w:rPr>
        <w:t>其中：年初财政拨款结转和结余203.28万元，本年财政拨款收入26,378.67万元。</w:t>
      </w:r>
      <w:r>
        <w:rPr>
          <w:rFonts w:hint="eastAsia" w:ascii="仿宋_GB2312" w:eastAsia="仿宋_GB2312"/>
          <w:b/>
          <w:bCs/>
          <w:sz w:val="32"/>
          <w:szCs w:val="32"/>
        </w:rPr>
        <w:t>财政拨款支出总计26,581.95万元，</w:t>
      </w:r>
      <w:r>
        <w:rPr>
          <w:rFonts w:hint="eastAsia" w:ascii="仿宋_GB2312" w:eastAsia="仿宋_GB2312"/>
          <w:sz w:val="32"/>
          <w:szCs w:val="32"/>
        </w:rPr>
        <w:t>其中：年末财政拨款结转和结余61.47万元，本年财政拨款支出26,520.47万元。</w:t>
      </w:r>
    </w:p>
    <w:p>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增加10,983.57万元，增长70.41%，主要原因是：一是本年度新增自治区煤炭工业工程质量监测中心，新疆维吾尔自治区矿山安全服务保障中心转隶至本厅下属单位，相关经费增加；二是本年新增转隶、调入人员、新招录人员，基数调整，人员经费增加；三是本年度增加自治区安全生产综合基地项目资金、中央自然灾害救灾资金（森林草原航空消防补助资金）、安全生产及应急等专项资金，经费增加。</w:t>
      </w:r>
      <w:bookmarkStart w:id="18" w:name="_Toc20360"/>
      <w:bookmarkStart w:id="19" w:name="_Toc13833"/>
      <w:r>
        <w:rPr>
          <w:rFonts w:hint="eastAsia" w:ascii="仿宋_GB2312" w:eastAsia="仿宋_GB2312"/>
          <w:b/>
          <w:bCs/>
          <w:sz w:val="32"/>
          <w:szCs w:val="32"/>
        </w:rPr>
        <w:t>与年初预算相比，</w:t>
      </w:r>
      <w:r>
        <w:rPr>
          <w:rFonts w:hint="eastAsia" w:ascii="仿宋_GB2312" w:eastAsia="仿宋_GB2312"/>
          <w:sz w:val="32"/>
          <w:szCs w:val="32"/>
        </w:rPr>
        <w:t>年初预算数27,123.72万元，决算数26,581.95万元，预决算差异率-2.00%，主要原因是：本年度部分项目未执行完毕，年</w:t>
      </w:r>
      <w:r>
        <w:rPr>
          <w:rFonts w:hint="eastAsia" w:ascii="仿宋_GB2312" w:eastAsia="仿宋_GB2312"/>
          <w:sz w:val="32"/>
          <w:szCs w:val="32"/>
          <w:lang w:val="en-US" w:eastAsia="zh-CN"/>
        </w:rPr>
        <w:t>末结转</w:t>
      </w:r>
      <w:r>
        <w:rPr>
          <w:rFonts w:hint="eastAsia" w:ascii="仿宋_GB2312" w:eastAsia="仿宋_GB2312"/>
          <w:sz w:val="32"/>
          <w:szCs w:val="32"/>
        </w:rPr>
        <w:t>项目资金</w:t>
      </w:r>
      <w:r>
        <w:rPr>
          <w:rFonts w:hint="eastAsia" w:ascii="仿宋_GB2312" w:eastAsia="仿宋_GB2312"/>
          <w:sz w:val="32"/>
          <w:szCs w:val="32"/>
          <w:lang w:val="en-US" w:eastAsia="zh-CN"/>
        </w:rPr>
        <w:t>指标</w:t>
      </w:r>
      <w:r>
        <w:rPr>
          <w:rFonts w:hint="eastAsia" w:ascii="仿宋_GB2312" w:eastAsia="仿宋_GB2312"/>
          <w:sz w:val="32"/>
          <w:szCs w:val="32"/>
        </w:rPr>
        <w:t>，因此预算数大于决算数。</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8"/>
      <w:bookmarkEnd w:id="19"/>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2023年度一般公共预算财政拨款支出26,520.47万元，</w:t>
      </w:r>
      <w:r>
        <w:rPr>
          <w:rFonts w:hint="eastAsia" w:ascii="仿宋_GB2312" w:eastAsia="仿宋_GB2312"/>
          <w:sz w:val="32"/>
          <w:szCs w:val="32"/>
        </w:rPr>
        <w:t>占本年支出合计的</w:t>
      </w:r>
      <w:r>
        <w:rPr>
          <w:rFonts w:ascii="仿宋_GB2312" w:eastAsia="仿宋_GB2312"/>
          <w:sz w:val="32"/>
          <w:szCs w:val="32"/>
        </w:rPr>
        <w:t>77.45</w:t>
      </w:r>
      <w:r>
        <w:rPr>
          <w:rFonts w:hint="eastAsia" w:ascii="仿宋_GB2312" w:eastAsia="仿宋_GB2312"/>
          <w:sz w:val="32"/>
          <w:szCs w:val="32"/>
        </w:rPr>
        <w:t>%。</w:t>
      </w:r>
      <w:r>
        <w:rPr>
          <w:rFonts w:hint="eastAsia" w:ascii="仿宋_GB2312" w:eastAsia="仿宋_GB2312"/>
          <w:b/>
          <w:bCs/>
          <w:sz w:val="32"/>
          <w:szCs w:val="32"/>
        </w:rPr>
        <w:t>与上年相比，</w:t>
      </w:r>
      <w:r>
        <w:rPr>
          <w:rFonts w:ascii="仿宋_GB2312" w:eastAsia="仿宋_GB2312"/>
          <w:sz w:val="32"/>
          <w:szCs w:val="32"/>
        </w:rPr>
        <w:t>增加11,129.43</w:t>
      </w:r>
      <w:r>
        <w:rPr>
          <w:rFonts w:hint="eastAsia" w:ascii="仿宋_GB2312" w:eastAsia="仿宋_GB2312"/>
          <w:sz w:val="32"/>
          <w:szCs w:val="32"/>
        </w:rPr>
        <w:t>万元，</w:t>
      </w:r>
      <w:r>
        <w:rPr>
          <w:rFonts w:ascii="仿宋_GB2312" w:eastAsia="仿宋_GB2312"/>
          <w:sz w:val="32"/>
          <w:szCs w:val="32"/>
        </w:rPr>
        <w:t>增长72.31</w:t>
      </w:r>
      <w:r>
        <w:rPr>
          <w:rFonts w:hint="eastAsia" w:ascii="仿宋_GB2312" w:eastAsia="仿宋_GB2312"/>
          <w:sz w:val="32"/>
          <w:szCs w:val="32"/>
        </w:rPr>
        <w:t>%，主要原因是：一是本年度新增自治区煤炭工业工程质量监测中心，新疆维吾尔自治区矿山安全服务保障中心转隶至本厅下属单位，相关经费增加；二是本年新增转隶、调入人员、新招录人员，基数调整，人员经费增加；三是本年度增加自治区安全生产综合基地项目资金、中央自然灾害救灾资金（森林草原航空消防补助资金）、安全生产及应急等专项资金，经费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ascii="仿宋_GB2312" w:eastAsia="仿宋_GB2312"/>
          <w:sz w:val="32"/>
          <w:szCs w:val="32"/>
        </w:rPr>
        <w:t>27,123.72</w:t>
      </w:r>
      <w:r>
        <w:rPr>
          <w:rFonts w:hint="eastAsia" w:ascii="仿宋_GB2312" w:eastAsia="仿宋_GB2312"/>
          <w:sz w:val="32"/>
          <w:szCs w:val="32"/>
        </w:rPr>
        <w:t>万元，决算数</w:t>
      </w:r>
      <w:r>
        <w:rPr>
          <w:rFonts w:ascii="仿宋_GB2312" w:eastAsia="仿宋_GB2312"/>
          <w:sz w:val="32"/>
          <w:szCs w:val="32"/>
        </w:rPr>
        <w:t>26,520.47</w:t>
      </w:r>
      <w:r>
        <w:rPr>
          <w:rFonts w:hint="eastAsia" w:ascii="仿宋_GB2312" w:eastAsia="仿宋_GB2312"/>
          <w:sz w:val="32"/>
          <w:szCs w:val="32"/>
        </w:rPr>
        <w:t>万元，预决算差异率</w:t>
      </w:r>
      <w:r>
        <w:rPr>
          <w:rFonts w:ascii="仿宋_GB2312" w:eastAsia="仿宋_GB2312"/>
          <w:sz w:val="32"/>
          <w:szCs w:val="32"/>
        </w:rPr>
        <w:t>-2.22</w:t>
      </w:r>
      <w:r>
        <w:rPr>
          <w:rFonts w:hint="eastAsia" w:ascii="仿宋_GB2312" w:eastAsia="仿宋_GB2312"/>
          <w:sz w:val="32"/>
          <w:szCs w:val="32"/>
        </w:rPr>
        <w:t>%，主要原因是：本年度部分项目未执行完毕，年</w:t>
      </w:r>
      <w:r>
        <w:rPr>
          <w:rFonts w:hint="eastAsia" w:ascii="仿宋_GB2312" w:eastAsia="仿宋_GB2312"/>
          <w:sz w:val="32"/>
          <w:szCs w:val="32"/>
          <w:lang w:val="en-US" w:eastAsia="zh-CN"/>
        </w:rPr>
        <w:t>末结转</w:t>
      </w:r>
      <w:r>
        <w:rPr>
          <w:rFonts w:hint="eastAsia" w:ascii="仿宋_GB2312" w:eastAsia="仿宋_GB2312"/>
          <w:sz w:val="32"/>
          <w:szCs w:val="32"/>
        </w:rPr>
        <w:t>项目资金</w:t>
      </w:r>
      <w:r>
        <w:rPr>
          <w:rFonts w:hint="eastAsia" w:ascii="仿宋_GB2312" w:eastAsia="仿宋_GB2312"/>
          <w:sz w:val="32"/>
          <w:szCs w:val="32"/>
          <w:lang w:val="en-US" w:eastAsia="zh-CN"/>
        </w:rPr>
        <w:t>指标</w:t>
      </w:r>
      <w:r>
        <w:rPr>
          <w:rFonts w:hint="eastAsia" w:ascii="仿宋_GB2312" w:eastAsia="仿宋_GB2312"/>
          <w:sz w:val="32"/>
          <w:szCs w:val="32"/>
        </w:rPr>
        <w:t>，因此预算数大于决算数。</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1.社会保障和就业支出(类)1,942.68万元,占7.33%。</w:t>
      </w:r>
    </w:p>
    <w:p>
      <w:pPr>
        <w:ind w:firstLine="640" w:firstLineChars="200"/>
        <w:outlineLvl w:val="2"/>
        <w:rPr>
          <w:rFonts w:ascii="黑体" w:hAnsi="黑体" w:eastAsia="黑体"/>
          <w:sz w:val="32"/>
          <w:szCs w:val="32"/>
        </w:rPr>
      </w:pPr>
      <w:r>
        <w:rPr>
          <w:rFonts w:hint="eastAsia" w:ascii="仿宋_GB2312" w:eastAsia="仿宋_GB2312"/>
          <w:sz w:val="32"/>
          <w:szCs w:val="32"/>
        </w:rPr>
        <w:t>2.卫生健康支出(类)873.02万元,占3.29%。</w:t>
      </w:r>
    </w:p>
    <w:p>
      <w:pPr>
        <w:ind w:firstLine="640" w:firstLineChars="200"/>
        <w:outlineLvl w:val="2"/>
        <w:rPr>
          <w:rFonts w:ascii="黑体" w:hAnsi="黑体" w:eastAsia="黑体"/>
          <w:sz w:val="32"/>
          <w:szCs w:val="32"/>
        </w:rPr>
      </w:pPr>
      <w:r>
        <w:rPr>
          <w:rFonts w:hint="eastAsia" w:ascii="仿宋_GB2312" w:eastAsia="仿宋_GB2312"/>
          <w:sz w:val="32"/>
          <w:szCs w:val="32"/>
        </w:rPr>
        <w:t>3.农林水支出(类)53.31万元,占0.20%。</w:t>
      </w:r>
    </w:p>
    <w:p>
      <w:pPr>
        <w:ind w:firstLine="640" w:firstLineChars="200"/>
        <w:outlineLvl w:val="2"/>
        <w:rPr>
          <w:rFonts w:ascii="黑体" w:hAnsi="黑体" w:eastAsia="黑体"/>
          <w:sz w:val="32"/>
          <w:szCs w:val="32"/>
        </w:rPr>
      </w:pPr>
      <w:r>
        <w:rPr>
          <w:rFonts w:hint="eastAsia" w:ascii="仿宋_GB2312" w:eastAsia="仿宋_GB2312"/>
          <w:sz w:val="32"/>
          <w:szCs w:val="32"/>
        </w:rPr>
        <w:t>4.住房保障支出(类)668.13万元,占2.52%。</w:t>
      </w:r>
    </w:p>
    <w:p>
      <w:pPr>
        <w:ind w:firstLine="640" w:firstLineChars="200"/>
        <w:outlineLvl w:val="2"/>
        <w:rPr>
          <w:rFonts w:ascii="黑体" w:hAnsi="黑体" w:eastAsia="黑体"/>
          <w:sz w:val="32"/>
          <w:szCs w:val="32"/>
        </w:rPr>
      </w:pPr>
      <w:r>
        <w:rPr>
          <w:rFonts w:hint="eastAsia" w:ascii="仿宋_GB2312" w:eastAsia="仿宋_GB2312"/>
          <w:sz w:val="32"/>
          <w:szCs w:val="32"/>
        </w:rPr>
        <w:t>5.灾害防治及应急管理支出(类)22,983.33万元,占86.66%。</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1.社会保障和就业支出(类)行政事业单位养老支出(款)行政单位离退休(项):支出决算数为97.01万元，比上年决算减少9.51万元，下降8.93%</w:t>
      </w:r>
      <w:r>
        <w:rPr>
          <w:rFonts w:ascii="仿宋_GB2312" w:eastAsia="仿宋_GB2312"/>
          <w:sz w:val="32"/>
          <w:szCs w:val="32"/>
        </w:rPr>
        <w:t>,</w:t>
      </w:r>
      <w:r>
        <w:rPr>
          <w:rFonts w:hint="eastAsia" w:ascii="仿宋_GB2312" w:eastAsia="仿宋_GB2312"/>
          <w:sz w:val="32"/>
          <w:szCs w:val="32"/>
        </w:rPr>
        <w:t>主要原因是:本年度行政退休人员减少，相关经费减少。</w:t>
      </w:r>
    </w:p>
    <w:p>
      <w:pPr>
        <w:ind w:firstLine="640" w:firstLineChars="200"/>
        <w:outlineLvl w:val="1"/>
        <w:rPr>
          <w:rFonts w:ascii="黑体" w:hAnsi="黑体" w:eastAsia="黑体" w:cs="宋体"/>
          <w:bCs/>
          <w:kern w:val="0"/>
          <w:sz w:val="32"/>
          <w:szCs w:val="32"/>
        </w:rPr>
      </w:pPr>
      <w:bookmarkStart w:id="20" w:name="_Toc11146"/>
      <w:bookmarkStart w:id="21" w:name="_Toc30870"/>
      <w:r>
        <w:rPr>
          <w:rFonts w:hint="eastAsia" w:ascii="仿宋_GB2312" w:eastAsia="仿宋_GB2312"/>
          <w:sz w:val="32"/>
          <w:szCs w:val="32"/>
        </w:rPr>
        <w:t>2.社会保障和就业支出(类)行政事业单位养老支出(款)事业单位离退休(项):支出决算数为732.57万元，比上年决算增加647.76万元，增长763.78%</w:t>
      </w:r>
      <w:r>
        <w:rPr>
          <w:rFonts w:ascii="仿宋_GB2312" w:eastAsia="仿宋_GB2312"/>
          <w:sz w:val="32"/>
          <w:szCs w:val="32"/>
        </w:rPr>
        <w:t>,</w:t>
      </w:r>
      <w:r>
        <w:rPr>
          <w:rFonts w:hint="eastAsia" w:ascii="仿宋_GB2312" w:eastAsia="仿宋_GB2312"/>
          <w:sz w:val="32"/>
          <w:szCs w:val="32"/>
        </w:rPr>
        <w:t>主要原因是:本年度事业退休人员基础绩效工资经费增加。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3.社会保障和就业支出(类)行政事业单位养老支出(款)机关事业单位基本养老保险缴费支出(项):支出决算数为941.64万元，比上年决算增加474.55万元，增长101.60%</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主要原因是:本年新增转隶、调入人员、新招录人员，工资基数调增，机关事业单位基本养老保险缴费支出增加。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4.社会保障和就业支出(类)行政事业单位养老支出(款)机关事业单位职业年金缴费支出(项):支出决算数为171.46万元，比上年决算增加114.51万元，增长201.07%</w:t>
      </w:r>
      <w:r>
        <w:rPr>
          <w:rFonts w:ascii="仿宋_GB2312" w:eastAsia="仿宋_GB2312"/>
          <w:sz w:val="32"/>
          <w:szCs w:val="32"/>
        </w:rPr>
        <w:t>,</w:t>
      </w:r>
      <w:r>
        <w:rPr>
          <w:rFonts w:hint="eastAsia" w:ascii="仿宋_GB2312" w:eastAsia="仿宋_GB2312"/>
          <w:sz w:val="32"/>
          <w:szCs w:val="32"/>
        </w:rPr>
        <w:t>主要原因是:本年度新增退休人数较上年增加，人员调离，做实职业年金，经费增加。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5.卫生健康支出(类)行政事业单位医疗(款)行政单位医疗(项):支出决算数为130.43万元，比上年决算增加45.23万元，增长53.09%</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主要原因是:本年新增转隶、调入人员、新招录人员，工资基数调增，行政单位医疗支出增加。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6.卫生健康支出(类)行政事业单位医疗(款)事业单位医疗(项):支出决算数为322.77万元，比上年决算增加226.92万元，增长236.74%</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主要原因是:本年新增转隶、调入人员、新招录人员，工资基数调增，事业单位医疗支出增加。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7.卫生健康支出(类)行政事业单位医疗(款)公务员医疗补助(项):支出决算数为419.82万元，比上年决算增加260.32万元，增长163.21%</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主要原因是:本年新增转隶、调入人员、新招录人员，工资基数调增，公务员医疗补助支出增加。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8.农林水支出(类)水利(款)防汛(项):支出决算数为53.31万元，比上年决算增加26.62万元，增长99.74%</w:t>
      </w:r>
      <w:r>
        <w:rPr>
          <w:rFonts w:ascii="仿宋_GB2312" w:eastAsia="仿宋_GB2312"/>
          <w:sz w:val="32"/>
          <w:szCs w:val="32"/>
        </w:rPr>
        <w:t>,</w:t>
      </w:r>
      <w:r>
        <w:rPr>
          <w:rFonts w:hint="eastAsia" w:ascii="仿宋_GB2312" w:eastAsia="仿宋_GB2312"/>
          <w:sz w:val="32"/>
          <w:szCs w:val="32"/>
        </w:rPr>
        <w:t>主要原因是:本年自治区特大防汛补助费增加。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9.住房保障支出(类)住房改革支出(款)住房公积金(项):支出决算数为668.13万元，比上年决算增加402.83万元，增长151.84%</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主要原因是:本年新增转隶、调入人员、新招录人员，工资基数调增，住房公积金支出增加。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10.灾害防治及应急管理支出(类)应急管理事务(款)行政运行(项):支出决算数为2,614.92万元，比上年决算增加169.66万元，增长6.94%</w:t>
      </w:r>
      <w:r>
        <w:rPr>
          <w:rFonts w:ascii="仿宋_GB2312" w:eastAsia="仿宋_GB2312"/>
          <w:sz w:val="32"/>
          <w:szCs w:val="32"/>
        </w:rPr>
        <w:t>,</w:t>
      </w:r>
      <w:r>
        <w:rPr>
          <w:rFonts w:hint="eastAsia" w:ascii="仿宋_GB2312" w:eastAsia="仿宋_GB2312"/>
          <w:sz w:val="32"/>
          <w:szCs w:val="32"/>
        </w:rPr>
        <w:t>主要原因是:本年新增转隶、调入人员、新招录人员，工资基数调增，人员经费增加。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11.灾害防治及应急管理支出(类)应急管理事务(款)机关服务(项):支出决算数为190.09万元，比上年决算增加92.54万元，增长94.86%</w:t>
      </w:r>
      <w:r>
        <w:rPr>
          <w:rFonts w:ascii="仿宋_GB2312" w:eastAsia="仿宋_GB2312"/>
          <w:sz w:val="32"/>
          <w:szCs w:val="32"/>
        </w:rPr>
        <w:t>,</w:t>
      </w:r>
      <w:r>
        <w:rPr>
          <w:rFonts w:hint="eastAsia" w:ascii="仿宋_GB2312" w:eastAsia="仿宋_GB2312"/>
          <w:sz w:val="32"/>
          <w:szCs w:val="32"/>
        </w:rPr>
        <w:t>主要原因是:本年新增转隶、调入人员、新招录人员，基数调增，人员经费增加。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12.灾害防治及应急管理支出(类)应急管理事务(款)灾害风险防治(项):支出决算数为2,855.31万元，比上年决算增加247.75万元，增长9.50%</w:t>
      </w:r>
      <w:r>
        <w:rPr>
          <w:rFonts w:ascii="仿宋_GB2312" w:eastAsia="仿宋_GB2312"/>
          <w:sz w:val="32"/>
          <w:szCs w:val="32"/>
        </w:rPr>
        <w:t>,</w:t>
      </w:r>
      <w:r>
        <w:rPr>
          <w:rFonts w:hint="eastAsia" w:ascii="仿宋_GB2312" w:eastAsia="仿宋_GB2312"/>
          <w:sz w:val="32"/>
          <w:szCs w:val="32"/>
        </w:rPr>
        <w:t>主要原因是:本年增加自治区第一次全国自然灾害综合风险普查项目资金。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13.灾害防治及应急管理支出(类)应急管理事务(款)安全监管(项):支出决算数为4,336.93万元，比上年决算增加4,078.79万元，增长1,580.07%</w:t>
      </w:r>
      <w:r>
        <w:rPr>
          <w:rFonts w:ascii="仿宋_GB2312" w:eastAsia="仿宋_GB2312"/>
          <w:sz w:val="32"/>
          <w:szCs w:val="32"/>
        </w:rPr>
        <w:t>,</w:t>
      </w:r>
      <w:r>
        <w:rPr>
          <w:rFonts w:hint="eastAsia" w:ascii="仿宋_GB2312" w:eastAsia="仿宋_GB2312"/>
          <w:sz w:val="32"/>
          <w:szCs w:val="32"/>
        </w:rPr>
        <w:t>主要原因是:本年度2023年国家和自治区安全生产帮扶指导及监督检查专项资金增加。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14.灾害防治及应急管理支出(类)应急管理事务(款)应急救援(项):支出决算数为1,903.03万元，比上年决算增加316.40万元，增长19.94%</w:t>
      </w:r>
      <w:r>
        <w:rPr>
          <w:rFonts w:ascii="仿宋_GB2312" w:eastAsia="仿宋_GB2312"/>
          <w:sz w:val="32"/>
          <w:szCs w:val="32"/>
        </w:rPr>
        <w:t>,</w:t>
      </w:r>
      <w:r>
        <w:rPr>
          <w:rFonts w:hint="eastAsia" w:ascii="仿宋_GB2312" w:eastAsia="仿宋_GB2312"/>
          <w:sz w:val="32"/>
          <w:szCs w:val="32"/>
        </w:rPr>
        <w:t>主要原因是:本年矿山安全预防检查及矿山抢险救灾和战备实战训练项目经费增加。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15.灾害防治及应急管理支出(类)应急管理事务(款)应急管理(项):支出决算数为925.21万元，比上年决算减少1,305.49万元，下降58.52%</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根据工作计划安排2023年预算调整功能分类科目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16.灾害防治及应急管理支出(类)应急管理事务(款)事业运行(项):支出决算数为4,234.04万元，比上年决算增加4,234.04万元，增长100.00%</w:t>
      </w:r>
      <w:r>
        <w:rPr>
          <w:rFonts w:ascii="仿宋_GB2312" w:eastAsia="仿宋_GB2312"/>
          <w:sz w:val="32"/>
          <w:szCs w:val="32"/>
        </w:rPr>
        <w:t>,</w:t>
      </w:r>
      <w:r>
        <w:rPr>
          <w:rFonts w:hint="eastAsia" w:ascii="仿宋_GB2312" w:eastAsia="仿宋_GB2312"/>
          <w:sz w:val="32"/>
          <w:szCs w:val="32"/>
        </w:rPr>
        <w:t>主要原因是:本年度在职人员增加，相关人员经费增加。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17.灾害防治及应急管理支出(类)应急管理事务(款)其他应急管理支出(项):支出决算数为1,481.11万元，比上年决算减少2,875.43万元，下降66.00%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根据工作计划安排2023年预算调整功能分类科目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18.灾害防治及应急管理支出(类)矿山安全(款)矿山安全监察事务(项):支出决算数为147.00万元，比上年决算增加147.00万元，增长100.00%</w:t>
      </w:r>
      <w:r>
        <w:rPr>
          <w:rFonts w:ascii="仿宋_GB2312" w:eastAsia="仿宋_GB2312"/>
          <w:sz w:val="32"/>
          <w:szCs w:val="32"/>
        </w:rPr>
        <w:t>,</w:t>
      </w:r>
      <w:r>
        <w:rPr>
          <w:rFonts w:hint="eastAsia" w:ascii="仿宋_GB2312" w:eastAsia="仿宋_GB2312"/>
          <w:sz w:val="32"/>
          <w:szCs w:val="32"/>
        </w:rPr>
        <w:t>主要原因是:本年新增自治区煤炭建设项目工程质量监督管理项目资金</w:t>
      </w:r>
      <w:r>
        <w:rPr>
          <w:rFonts w:hint="eastAsia" w:ascii="仿宋_GB2312" w:eastAsia="仿宋_GB2312"/>
          <w:sz w:val="32"/>
          <w:szCs w:val="32"/>
          <w:lang w:val="en-US" w:eastAsia="zh-CN"/>
        </w:rPr>
        <w:t>和煤矿监管专项资金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19.灾害防治及应急管理支出(类)矿山安全(款)矿山应急救援事务(项):支出决算数为53.83万元，比上年决算减少11.42万元，下降17.50%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根据工作计划安排2023年预算调整功能分类科目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20.灾害防治及应急管理支出(类)矿山安全(款)事业运行(项):支出决算数为9.62万元，比上年决算增加9.62万元，增长100.00%</w:t>
      </w:r>
      <w:r>
        <w:rPr>
          <w:rFonts w:ascii="仿宋_GB2312" w:eastAsia="仿宋_GB2312"/>
          <w:sz w:val="32"/>
          <w:szCs w:val="32"/>
        </w:rPr>
        <w:t>,</w:t>
      </w:r>
      <w:r>
        <w:rPr>
          <w:rFonts w:hint="eastAsia" w:ascii="仿宋_GB2312" w:eastAsia="仿宋_GB2312"/>
          <w:sz w:val="32"/>
          <w:szCs w:val="32"/>
        </w:rPr>
        <w:t>主要原因是:本年度自治区矿山安全服务保障中心隶属于本部门，相关经费增加。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21.灾害防治及应急管理支出(类)自然灾害防治(款)森林草原防灾减灾(项):支出决算数为1,371.99万元，比上年决算增加976.48万元，增长246.89%</w:t>
      </w:r>
      <w:r>
        <w:rPr>
          <w:rFonts w:ascii="仿宋_GB2312" w:eastAsia="仿宋_GB2312"/>
          <w:sz w:val="32"/>
          <w:szCs w:val="32"/>
        </w:rPr>
        <w:t>,</w:t>
      </w:r>
      <w:r>
        <w:rPr>
          <w:rFonts w:hint="eastAsia" w:ascii="仿宋_GB2312" w:eastAsia="仿宋_GB2312"/>
          <w:sz w:val="32"/>
          <w:szCs w:val="32"/>
        </w:rPr>
        <w:t>主要原因是:本年2022年中央自然灾害救灾资金（森林草原航空消防补助资金）增加。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22.灾害防治及应急管理支出(类)自然灾害防治(款)其他自然灾害防治支出(项):支出决算数为135.46万元，比上年决算增加135.46万元，增长100.00%</w:t>
      </w:r>
      <w:r>
        <w:rPr>
          <w:rFonts w:ascii="仿宋_GB2312" w:eastAsia="仿宋_GB2312"/>
          <w:sz w:val="32"/>
          <w:szCs w:val="32"/>
        </w:rPr>
        <w:t>,</w:t>
      </w:r>
      <w:r>
        <w:rPr>
          <w:rFonts w:hint="eastAsia" w:ascii="仿宋_GB2312" w:eastAsia="仿宋_GB2312"/>
          <w:sz w:val="32"/>
          <w:szCs w:val="32"/>
        </w:rPr>
        <w:t>主要原因是:本年2023年自治区特大防汛补助费增加。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23.灾害防治及应急管理支出(类)其他灾害防治及应急管理支出(款)其他灾害防治及应急管理支出(项):支出决算数为2,724.79万元，比上年决算增加2,724.79万元，增长100.00%</w:t>
      </w:r>
      <w:r>
        <w:rPr>
          <w:rFonts w:ascii="仿宋_GB2312" w:eastAsia="仿宋_GB2312"/>
          <w:sz w:val="32"/>
          <w:szCs w:val="32"/>
        </w:rPr>
        <w:t>,</w:t>
      </w:r>
      <w:r>
        <w:rPr>
          <w:rFonts w:hint="eastAsia" w:ascii="仿宋_GB2312" w:eastAsia="仿宋_GB2312"/>
          <w:sz w:val="32"/>
          <w:szCs w:val="32"/>
        </w:rPr>
        <w:t>主要原因是:本年度新疆乌苏四棵树、吉木萨尔水西沟和奇台将军戈壁煤田火区灭火工程项目经费增加。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12,202.04</w:t>
      </w:r>
      <w:r>
        <w:rPr>
          <w:rFonts w:hint="eastAsia" w:ascii="仿宋_GB2312" w:eastAsia="仿宋_GB2312"/>
          <w:sz w:val="32"/>
          <w:szCs w:val="32"/>
        </w:rPr>
        <w:t>万元，其中：</w:t>
      </w:r>
      <w:r>
        <w:rPr>
          <w:rFonts w:hint="eastAsia" w:ascii="仿宋_GB2312" w:eastAsia="仿宋_GB2312"/>
          <w:b/>
          <w:bCs/>
          <w:sz w:val="32"/>
          <w:szCs w:val="32"/>
        </w:rPr>
        <w:t>人员经费11,220.41万元，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离休费、退休费、抚恤金、其他对个人和家庭的补助。</w:t>
      </w:r>
    </w:p>
    <w:p>
      <w:pPr>
        <w:ind w:firstLine="643" w:firstLineChars="200"/>
        <w:rPr>
          <w:rFonts w:ascii="仿宋_GB2312" w:hAnsi="宋体" w:eastAsia="仿宋_GB2312" w:cs="宋体"/>
          <w:kern w:val="0"/>
          <w:sz w:val="32"/>
          <w:szCs w:val="32"/>
        </w:rPr>
      </w:pPr>
      <w:r>
        <w:rPr>
          <w:rFonts w:hint="eastAsia" w:ascii="仿宋_GB2312" w:eastAsia="仿宋_GB2312"/>
          <w:b/>
          <w:bCs/>
          <w:sz w:val="32"/>
          <w:szCs w:val="32"/>
        </w:rPr>
        <w:t>公用经费981.63万元，</w:t>
      </w:r>
      <w:r>
        <w:rPr>
          <w:rFonts w:hint="eastAsia" w:ascii="仿宋_GB2312" w:eastAsia="仿宋_GB2312"/>
          <w:sz w:val="32"/>
          <w:szCs w:val="32"/>
        </w:rPr>
        <w:t>包括：办公费、印刷费、手续费、水费、电费、邮电费、取暖费、差旅费、因公出国（境）费用、维修（护）费、租赁费、培训费、公务接待费、专用材料费、专用燃料费、劳务费、委托业务费、工会经费、福利费、公务用车运行维护费、其他交通费用、税金及附加费用、其他商品和服务支出。</w:t>
      </w:r>
    </w:p>
    <w:p>
      <w:pPr>
        <w:ind w:firstLine="640" w:firstLineChars="200"/>
        <w:outlineLvl w:val="1"/>
        <w:rPr>
          <w:rFonts w:ascii="黑体" w:hAnsi="黑体" w:eastAsia="黑体" w:cs="宋体"/>
          <w:bCs/>
          <w:kern w:val="0"/>
          <w:sz w:val="32"/>
          <w:szCs w:val="32"/>
        </w:rPr>
      </w:pPr>
      <w:bookmarkStart w:id="22" w:name="_Toc7190"/>
      <w:bookmarkStart w:id="23" w:name="_Toc21518"/>
      <w:r>
        <w:rPr>
          <w:rFonts w:hint="eastAsia" w:ascii="黑体" w:hAnsi="黑体" w:eastAsia="黑体" w:cs="宋体"/>
          <w:bCs/>
          <w:kern w:val="0"/>
          <w:sz w:val="32"/>
          <w:szCs w:val="32"/>
        </w:rPr>
        <w:t>七、财政拨款“三公”经费支出决算情况说明</w:t>
      </w:r>
      <w:bookmarkEnd w:id="22"/>
      <w:bookmarkEnd w:id="23"/>
    </w:p>
    <w:p>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年度财政拨款“三公”经费支出</w:t>
      </w:r>
      <w:r>
        <w:rPr>
          <w:rFonts w:ascii="仿宋_GB2312" w:eastAsia="仿宋_GB2312"/>
          <w:b/>
          <w:bCs/>
          <w:sz w:val="32"/>
          <w:szCs w:val="32"/>
        </w:rPr>
        <w:t>166.24</w:t>
      </w:r>
      <w:r>
        <w:rPr>
          <w:rFonts w:hint="eastAsia" w:ascii="仿宋_GB2312" w:eastAsia="仿宋_GB2312"/>
          <w:b/>
          <w:bCs/>
          <w:sz w:val="32"/>
          <w:szCs w:val="32"/>
        </w:rPr>
        <w:t>万元，</w:t>
      </w:r>
      <w:r>
        <w:rPr>
          <w:rFonts w:hint="eastAsia" w:ascii="仿宋_GB2312" w:eastAsia="仿宋_GB2312"/>
          <w:sz w:val="32"/>
          <w:szCs w:val="32"/>
        </w:rPr>
        <w:t>比上年</w:t>
      </w:r>
      <w:r>
        <w:rPr>
          <w:rFonts w:ascii="仿宋_GB2312" w:eastAsia="仿宋_GB2312"/>
          <w:sz w:val="32"/>
          <w:szCs w:val="32"/>
        </w:rPr>
        <w:t>增加49.13</w:t>
      </w:r>
      <w:r>
        <w:rPr>
          <w:rFonts w:hint="eastAsia" w:ascii="仿宋_GB2312" w:eastAsia="仿宋_GB2312"/>
          <w:sz w:val="32"/>
          <w:szCs w:val="32"/>
        </w:rPr>
        <w:t>万元，</w:t>
      </w:r>
      <w:r>
        <w:rPr>
          <w:rFonts w:ascii="仿宋_GB2312" w:eastAsia="仿宋_GB2312"/>
          <w:sz w:val="32"/>
          <w:szCs w:val="32"/>
        </w:rPr>
        <w:t>增长41.95</w:t>
      </w:r>
      <w:r>
        <w:rPr>
          <w:rFonts w:hint="eastAsia" w:ascii="仿宋_GB2312" w:eastAsia="仿宋_GB2312"/>
          <w:sz w:val="32"/>
          <w:szCs w:val="32"/>
        </w:rPr>
        <w:t>%，主要原因是：</w:t>
      </w:r>
      <w:r>
        <w:rPr>
          <w:rFonts w:ascii="仿宋_GB2312" w:eastAsia="仿宋_GB2312"/>
          <w:sz w:val="32"/>
          <w:szCs w:val="32"/>
        </w:rPr>
        <w:t>一是本年度</w:t>
      </w:r>
      <w:r>
        <w:rPr>
          <w:rFonts w:hint="eastAsia" w:ascii="仿宋_GB2312" w:eastAsia="仿宋_GB2312"/>
          <w:sz w:val="32"/>
          <w:szCs w:val="32"/>
          <w:lang w:val="en-US" w:eastAsia="zh-CN"/>
        </w:rPr>
        <w:t>新增煤炭工业工程质量监测中心和自治区矿山安全服务保障中心两个单位</w:t>
      </w:r>
      <w:r>
        <w:rPr>
          <w:rFonts w:ascii="仿宋_GB2312" w:eastAsia="仿宋_GB2312"/>
          <w:sz w:val="32"/>
          <w:szCs w:val="32"/>
        </w:rPr>
        <w:t>，</w:t>
      </w:r>
      <w:r>
        <w:rPr>
          <w:rFonts w:hint="eastAsia" w:ascii="仿宋_GB2312" w:eastAsia="仿宋_GB2312"/>
          <w:sz w:val="32"/>
          <w:szCs w:val="32"/>
          <w:lang w:val="en-US" w:eastAsia="zh-CN"/>
        </w:rPr>
        <w:t>车辆增加，相应</w:t>
      </w:r>
      <w:r>
        <w:rPr>
          <w:rFonts w:ascii="仿宋_GB2312" w:eastAsia="仿宋_GB2312"/>
          <w:sz w:val="32"/>
          <w:szCs w:val="32"/>
        </w:rPr>
        <w:t>燃油经费支出增加；二是因疫情原因上年度公务接待较少，较上年度相比，本年度公务接待批次、公务接待人数都增加，相应经费支出增加；三是本年度人员出国学习，因公出国境费增加</w:t>
      </w:r>
      <w:r>
        <w:rPr>
          <w:rFonts w:hint="eastAsia" w:ascii="仿宋_GB2312" w:eastAsia="仿宋_GB2312"/>
          <w:sz w:val="32"/>
          <w:szCs w:val="32"/>
        </w:rPr>
        <w:t>。其中：因公出国（境）费支出</w:t>
      </w:r>
      <w:r>
        <w:rPr>
          <w:rFonts w:ascii="仿宋_GB2312" w:eastAsia="仿宋_GB2312"/>
          <w:sz w:val="32"/>
          <w:szCs w:val="32"/>
        </w:rPr>
        <w:t>13.65</w:t>
      </w:r>
      <w:r>
        <w:rPr>
          <w:rFonts w:hint="eastAsia" w:ascii="仿宋_GB2312" w:eastAsia="仿宋_GB2312"/>
          <w:sz w:val="32"/>
          <w:szCs w:val="32"/>
        </w:rPr>
        <w:t>万元，占</w:t>
      </w:r>
      <w:r>
        <w:rPr>
          <w:rFonts w:ascii="仿宋_GB2312" w:eastAsia="仿宋_GB2312"/>
          <w:sz w:val="32"/>
          <w:szCs w:val="32"/>
        </w:rPr>
        <w:t>8.21</w:t>
      </w:r>
      <w:r>
        <w:rPr>
          <w:rFonts w:hint="eastAsia" w:ascii="仿宋_GB2312" w:eastAsia="仿宋_GB2312"/>
          <w:sz w:val="32"/>
          <w:szCs w:val="32"/>
        </w:rPr>
        <w:t>%，比上年</w:t>
      </w:r>
      <w:r>
        <w:rPr>
          <w:rFonts w:ascii="仿宋_GB2312" w:eastAsia="仿宋_GB2312"/>
          <w:sz w:val="32"/>
          <w:szCs w:val="32"/>
        </w:rPr>
        <w:t>增加13.65</w:t>
      </w:r>
      <w:r>
        <w:rPr>
          <w:rFonts w:hint="eastAsia" w:ascii="仿宋_GB2312" w:eastAsia="仿宋_GB2312"/>
          <w:sz w:val="32"/>
          <w:szCs w:val="32"/>
        </w:rPr>
        <w:t>万元，</w:t>
      </w:r>
      <w:r>
        <w:rPr>
          <w:rFonts w:ascii="仿宋_GB2312" w:eastAsia="仿宋_GB2312"/>
          <w:sz w:val="32"/>
          <w:szCs w:val="32"/>
        </w:rPr>
        <w:t>增长100.00</w:t>
      </w:r>
      <w:r>
        <w:rPr>
          <w:rFonts w:hint="eastAsia" w:ascii="仿宋_GB2312" w:eastAsia="仿宋_GB2312"/>
          <w:sz w:val="32"/>
          <w:szCs w:val="32"/>
        </w:rPr>
        <w:t>%，主要原因是：</w:t>
      </w:r>
      <w:r>
        <w:rPr>
          <w:rFonts w:ascii="仿宋_GB2312" w:eastAsia="仿宋_GB2312"/>
          <w:sz w:val="32"/>
          <w:szCs w:val="32"/>
        </w:rPr>
        <w:t>本年度</w:t>
      </w:r>
      <w:r>
        <w:rPr>
          <w:rFonts w:hint="eastAsia" w:ascii="仿宋_GB2312" w:eastAsia="仿宋_GB2312"/>
          <w:sz w:val="32"/>
          <w:szCs w:val="32"/>
          <w:lang w:val="en-US" w:eastAsia="zh-CN"/>
        </w:rPr>
        <w:t>2</w:t>
      </w:r>
      <w:r>
        <w:rPr>
          <w:rFonts w:ascii="仿宋_GB2312" w:eastAsia="仿宋_GB2312"/>
          <w:sz w:val="32"/>
          <w:szCs w:val="32"/>
        </w:rPr>
        <w:t>人</w:t>
      </w:r>
      <w:r>
        <w:rPr>
          <w:rFonts w:hint="eastAsia" w:ascii="仿宋_GB2312" w:eastAsia="仿宋_GB2312"/>
          <w:sz w:val="32"/>
          <w:szCs w:val="32"/>
          <w:lang w:val="en-US" w:eastAsia="zh-CN"/>
        </w:rPr>
        <w:t>参加应急部组织的</w:t>
      </w:r>
      <w:r>
        <w:rPr>
          <w:rFonts w:ascii="仿宋_GB2312" w:eastAsia="仿宋_GB2312"/>
          <w:sz w:val="32"/>
          <w:szCs w:val="32"/>
        </w:rPr>
        <w:t>出国学习，因公出国境费增加</w:t>
      </w:r>
      <w:r>
        <w:rPr>
          <w:rFonts w:hint="eastAsia" w:ascii="仿宋_GB2312" w:eastAsia="仿宋_GB2312"/>
          <w:sz w:val="32"/>
          <w:szCs w:val="32"/>
        </w:rPr>
        <w:t>；公务用车购置及运行维护费支出</w:t>
      </w:r>
      <w:r>
        <w:rPr>
          <w:rFonts w:ascii="仿宋_GB2312" w:eastAsia="仿宋_GB2312"/>
          <w:sz w:val="32"/>
          <w:szCs w:val="32"/>
        </w:rPr>
        <w:t>148.18</w:t>
      </w:r>
      <w:r>
        <w:rPr>
          <w:rFonts w:hint="eastAsia" w:ascii="仿宋_GB2312" w:eastAsia="仿宋_GB2312"/>
          <w:sz w:val="32"/>
          <w:szCs w:val="32"/>
        </w:rPr>
        <w:t>万元，占</w:t>
      </w:r>
      <w:r>
        <w:rPr>
          <w:rFonts w:ascii="仿宋_GB2312" w:eastAsia="仿宋_GB2312"/>
          <w:sz w:val="32"/>
          <w:szCs w:val="32"/>
        </w:rPr>
        <w:t>89.14</w:t>
      </w:r>
      <w:r>
        <w:rPr>
          <w:rFonts w:hint="eastAsia" w:ascii="仿宋_GB2312" w:eastAsia="仿宋_GB2312"/>
          <w:sz w:val="32"/>
          <w:szCs w:val="32"/>
        </w:rPr>
        <w:t>%，比上年</w:t>
      </w:r>
      <w:r>
        <w:rPr>
          <w:rFonts w:ascii="仿宋_GB2312" w:eastAsia="仿宋_GB2312"/>
          <w:sz w:val="32"/>
          <w:szCs w:val="32"/>
        </w:rPr>
        <w:t>增加31.63</w:t>
      </w:r>
      <w:r>
        <w:rPr>
          <w:rFonts w:hint="eastAsia" w:ascii="仿宋_GB2312" w:eastAsia="仿宋_GB2312"/>
          <w:sz w:val="32"/>
          <w:szCs w:val="32"/>
        </w:rPr>
        <w:t>万元，</w:t>
      </w:r>
      <w:r>
        <w:rPr>
          <w:rFonts w:ascii="仿宋_GB2312" w:eastAsia="仿宋_GB2312"/>
          <w:sz w:val="32"/>
          <w:szCs w:val="32"/>
        </w:rPr>
        <w:t>增长27.14</w:t>
      </w:r>
      <w:r>
        <w:rPr>
          <w:rFonts w:hint="eastAsia" w:ascii="仿宋_GB2312" w:eastAsia="仿宋_GB2312"/>
          <w:sz w:val="32"/>
          <w:szCs w:val="32"/>
        </w:rPr>
        <w:t>%，主要原因是：</w:t>
      </w:r>
      <w:r>
        <w:rPr>
          <w:rFonts w:hint="eastAsia" w:ascii="仿宋_GB2312" w:eastAsia="仿宋_GB2312"/>
          <w:sz w:val="32"/>
          <w:szCs w:val="32"/>
          <w:lang w:val="en-US" w:eastAsia="zh-CN"/>
        </w:rPr>
        <w:t>新增煤炭工业工程质量监测中心和自治区矿山安全服务保障中心两个单位</w:t>
      </w:r>
      <w:r>
        <w:rPr>
          <w:rFonts w:ascii="仿宋_GB2312" w:eastAsia="仿宋_GB2312"/>
          <w:sz w:val="32"/>
          <w:szCs w:val="32"/>
        </w:rPr>
        <w:t>，</w:t>
      </w:r>
      <w:r>
        <w:rPr>
          <w:rFonts w:hint="eastAsia" w:ascii="仿宋_GB2312" w:eastAsia="仿宋_GB2312"/>
          <w:sz w:val="32"/>
          <w:szCs w:val="32"/>
          <w:lang w:val="en-US" w:eastAsia="zh-CN"/>
        </w:rPr>
        <w:t>车辆增加，相应</w:t>
      </w:r>
      <w:r>
        <w:rPr>
          <w:rFonts w:ascii="仿宋_GB2312" w:eastAsia="仿宋_GB2312"/>
          <w:sz w:val="32"/>
          <w:szCs w:val="32"/>
        </w:rPr>
        <w:t>燃油经费支出增加</w:t>
      </w:r>
      <w:r>
        <w:rPr>
          <w:rFonts w:hint="eastAsia" w:ascii="仿宋_GB2312" w:eastAsia="仿宋_GB2312"/>
          <w:sz w:val="32"/>
          <w:szCs w:val="32"/>
        </w:rPr>
        <w:t>；公务接待费支出</w:t>
      </w:r>
      <w:r>
        <w:rPr>
          <w:rFonts w:ascii="仿宋_GB2312" w:eastAsia="仿宋_GB2312"/>
          <w:sz w:val="32"/>
          <w:szCs w:val="32"/>
        </w:rPr>
        <w:t>4.41</w:t>
      </w:r>
      <w:r>
        <w:rPr>
          <w:rFonts w:hint="eastAsia" w:ascii="仿宋_GB2312" w:eastAsia="仿宋_GB2312"/>
          <w:sz w:val="32"/>
          <w:szCs w:val="32"/>
        </w:rPr>
        <w:t>万元，占</w:t>
      </w:r>
      <w:r>
        <w:rPr>
          <w:rFonts w:ascii="仿宋_GB2312" w:eastAsia="仿宋_GB2312"/>
          <w:sz w:val="32"/>
          <w:szCs w:val="32"/>
        </w:rPr>
        <w:t>2.65</w:t>
      </w:r>
      <w:r>
        <w:rPr>
          <w:rFonts w:hint="eastAsia" w:ascii="仿宋_GB2312" w:eastAsia="仿宋_GB2312"/>
          <w:sz w:val="32"/>
          <w:szCs w:val="32"/>
        </w:rPr>
        <w:t>%，比上年</w:t>
      </w:r>
      <w:r>
        <w:rPr>
          <w:rFonts w:ascii="仿宋_GB2312" w:eastAsia="仿宋_GB2312"/>
          <w:sz w:val="32"/>
          <w:szCs w:val="32"/>
        </w:rPr>
        <w:t>增加3.85</w:t>
      </w:r>
      <w:r>
        <w:rPr>
          <w:rFonts w:hint="eastAsia" w:ascii="仿宋_GB2312" w:eastAsia="仿宋_GB2312"/>
          <w:sz w:val="32"/>
          <w:szCs w:val="32"/>
        </w:rPr>
        <w:t>万元，</w:t>
      </w:r>
      <w:r>
        <w:rPr>
          <w:rFonts w:ascii="仿宋_GB2312" w:eastAsia="仿宋_GB2312"/>
          <w:sz w:val="32"/>
          <w:szCs w:val="32"/>
        </w:rPr>
        <w:t>增长687.50</w:t>
      </w:r>
      <w:r>
        <w:rPr>
          <w:rFonts w:hint="eastAsia" w:ascii="仿宋_GB2312" w:eastAsia="仿宋_GB2312"/>
          <w:sz w:val="32"/>
          <w:szCs w:val="32"/>
        </w:rPr>
        <w:t>%，主要原因是：</w:t>
      </w:r>
      <w:r>
        <w:rPr>
          <w:rFonts w:ascii="仿宋_GB2312" w:eastAsia="仿宋_GB2312"/>
          <w:sz w:val="32"/>
          <w:szCs w:val="32"/>
        </w:rPr>
        <w:t>因疫情原因上年度公务接待较少，较上年度相比，本年度公务接待批次、公务接待人数都增加，相应经费支出增加</w:t>
      </w:r>
      <w:r>
        <w:rPr>
          <w:rFonts w:hint="eastAsia" w:ascii="仿宋_GB2312" w:eastAsia="仿宋_GB2312"/>
          <w:sz w:val="32"/>
          <w:szCs w:val="32"/>
        </w:rPr>
        <w:t>。</w:t>
      </w:r>
    </w:p>
    <w:p>
      <w:pPr>
        <w:ind w:firstLine="643" w:firstLineChars="200"/>
        <w:rPr>
          <w:rFonts w:ascii="仿宋_GB2312" w:eastAsia="仿宋_GB2312"/>
          <w:b/>
          <w:bCs/>
          <w:sz w:val="32"/>
          <w:szCs w:val="32"/>
        </w:rPr>
      </w:pPr>
      <w:r>
        <w:rPr>
          <w:rFonts w:hint="eastAsia" w:ascii="仿宋_GB2312" w:eastAsia="仿宋_GB2312"/>
          <w:b/>
          <w:bCs/>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13.65</w:t>
      </w:r>
      <w:r>
        <w:rPr>
          <w:rFonts w:hint="eastAsia" w:ascii="仿宋_GB2312" w:eastAsia="仿宋_GB2312"/>
          <w:sz w:val="32"/>
          <w:szCs w:val="32"/>
        </w:rPr>
        <w:t>万元，开支内容包括因公出国2人，相关的差旅及食宿费。单位全年安排的因公出国（境）团组</w:t>
      </w:r>
      <w:r>
        <w:rPr>
          <w:rFonts w:ascii="仿宋_GB2312" w:eastAsia="仿宋_GB2312"/>
          <w:sz w:val="32"/>
          <w:szCs w:val="32"/>
        </w:rPr>
        <w:t>2</w:t>
      </w:r>
      <w:r>
        <w:rPr>
          <w:rFonts w:hint="eastAsia" w:ascii="仿宋_GB2312" w:eastAsia="仿宋_GB2312"/>
          <w:sz w:val="32"/>
          <w:szCs w:val="32"/>
        </w:rPr>
        <w:t>个，因公出国（境）2人次。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148.18</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148.18</w:t>
      </w:r>
      <w:r>
        <w:rPr>
          <w:rFonts w:hint="eastAsia" w:ascii="仿宋_GB2312" w:eastAsia="仿宋_GB2312"/>
          <w:sz w:val="32"/>
          <w:szCs w:val="32"/>
        </w:rPr>
        <w:t>万元。公务用车运行维护费开支内容包括车辆燃油费、维修费、保险费。公务用车购置数</w:t>
      </w:r>
      <w:r>
        <w:rPr>
          <w:rFonts w:ascii="仿宋_GB2312" w:eastAsia="仿宋_GB2312"/>
          <w:sz w:val="32"/>
          <w:szCs w:val="32"/>
        </w:rPr>
        <w:t>0</w:t>
      </w:r>
      <w:r>
        <w:rPr>
          <w:rFonts w:hint="eastAsia" w:ascii="仿宋_GB2312" w:eastAsia="仿宋_GB2312"/>
          <w:sz w:val="32"/>
          <w:szCs w:val="32"/>
        </w:rPr>
        <w:t>辆，公务用车保有量71辆。国有资产占用情况中固定资产车辆</w:t>
      </w:r>
      <w:r>
        <w:rPr>
          <w:rFonts w:ascii="仿宋_GB2312" w:eastAsia="仿宋_GB2312"/>
          <w:sz w:val="32"/>
          <w:szCs w:val="32"/>
        </w:rPr>
        <w:t>135</w:t>
      </w:r>
      <w:r>
        <w:rPr>
          <w:rFonts w:hint="eastAsia" w:ascii="仿宋_GB2312" w:eastAsia="仿宋_GB2312"/>
          <w:sz w:val="32"/>
          <w:szCs w:val="32"/>
        </w:rPr>
        <w:t>辆，与公务用车保有量差异原因是：本年度二级预算单位</w:t>
      </w:r>
      <w:r>
        <w:rPr>
          <w:rFonts w:hint="eastAsia" w:ascii="仿宋_GB2312" w:eastAsia="仿宋_GB2312"/>
          <w:sz w:val="32"/>
          <w:szCs w:val="32"/>
          <w:lang w:val="en-US" w:eastAsia="zh-CN"/>
        </w:rPr>
        <w:t>存在特种作业车辆，用于煤田火区施工</w:t>
      </w:r>
      <w:r>
        <w:rPr>
          <w:rFonts w:hint="eastAsia" w:ascii="仿宋_GB2312" w:eastAsia="仿宋_GB2312"/>
          <w:sz w:val="32"/>
          <w:szCs w:val="32"/>
        </w:rPr>
        <w:t>，因此保有量</w:t>
      </w:r>
      <w:r>
        <w:rPr>
          <w:rFonts w:hint="eastAsia" w:ascii="仿宋_GB2312" w:eastAsia="仿宋_GB2312"/>
          <w:sz w:val="32"/>
          <w:szCs w:val="32"/>
          <w:lang w:val="en-US" w:eastAsia="zh-CN"/>
        </w:rPr>
        <w:t>与</w:t>
      </w:r>
      <w:r>
        <w:rPr>
          <w:rFonts w:hint="eastAsia" w:ascii="仿宋_GB2312" w:eastAsia="仿宋_GB2312"/>
          <w:sz w:val="32"/>
          <w:szCs w:val="32"/>
        </w:rPr>
        <w:t>固定资产车辆存在差异。</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4.41</w:t>
      </w:r>
      <w:r>
        <w:rPr>
          <w:rFonts w:hint="eastAsia" w:ascii="仿宋_GB2312" w:eastAsia="仿宋_GB2312"/>
          <w:sz w:val="32"/>
          <w:szCs w:val="32"/>
        </w:rPr>
        <w:t>万元，开支内容包括国内公务接待人员的就餐费。单位全年安排的国内公务接待</w:t>
      </w:r>
      <w:r>
        <w:rPr>
          <w:rFonts w:ascii="仿宋_GB2312" w:eastAsia="仿宋_GB2312"/>
          <w:sz w:val="32"/>
          <w:szCs w:val="32"/>
        </w:rPr>
        <w:t>31</w:t>
      </w:r>
      <w:r>
        <w:rPr>
          <w:rFonts w:hint="eastAsia" w:ascii="仿宋_GB2312" w:eastAsia="仿宋_GB2312"/>
          <w:sz w:val="32"/>
          <w:szCs w:val="32"/>
        </w:rPr>
        <w:t>批次，</w:t>
      </w:r>
      <w:r>
        <w:rPr>
          <w:rFonts w:ascii="仿宋_GB2312" w:eastAsia="仿宋_GB2312"/>
          <w:sz w:val="32"/>
          <w:szCs w:val="32"/>
        </w:rPr>
        <w:t>397</w:t>
      </w:r>
      <w:r>
        <w:rPr>
          <w:rFonts w:hint="eastAsia" w:ascii="仿宋_GB2312" w:eastAsia="仿宋_GB2312"/>
          <w:sz w:val="32"/>
          <w:szCs w:val="32"/>
        </w:rPr>
        <w:t>人次。</w:t>
      </w:r>
    </w:p>
    <w:p>
      <w:pPr>
        <w:ind w:firstLine="643" w:firstLineChars="200"/>
        <w:rPr>
          <w:rFonts w:ascii="仿宋_GB2312" w:eastAsia="仿宋_GB2312"/>
          <w:sz w:val="32"/>
          <w:szCs w:val="32"/>
        </w:rPr>
      </w:pPr>
      <w:r>
        <w:rPr>
          <w:rFonts w:hint="eastAsia" w:ascii="仿宋_GB2312" w:eastAsia="仿宋_GB2312"/>
          <w:b/>
          <w:bCs/>
          <w:sz w:val="32"/>
          <w:szCs w:val="32"/>
        </w:rPr>
        <w:t>与全年预算相比，</w:t>
      </w:r>
      <w:r>
        <w:rPr>
          <w:rFonts w:hint="eastAsia" w:ascii="仿宋_GB2312" w:eastAsia="仿宋_GB2312"/>
          <w:sz w:val="32"/>
          <w:szCs w:val="32"/>
        </w:rPr>
        <w:t>财政拨款“三公”经费支出全年预算数172.24万元，决算数</w:t>
      </w:r>
      <w:r>
        <w:rPr>
          <w:rFonts w:ascii="仿宋_GB2312" w:eastAsia="仿宋_GB2312"/>
          <w:sz w:val="32"/>
          <w:szCs w:val="32"/>
        </w:rPr>
        <w:t>166.24</w:t>
      </w:r>
      <w:r>
        <w:rPr>
          <w:rFonts w:hint="eastAsia" w:ascii="仿宋_GB2312" w:eastAsia="仿宋_GB2312"/>
          <w:sz w:val="32"/>
          <w:szCs w:val="32"/>
        </w:rPr>
        <w:t>万元，预决算差异率-3.48%，主要原因是：本年度严控经费支出，厉行节约，减少车辆维修及加油，压减接待批次及人次，预算数大于决算数。</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13.65万元，决算数13.65万元，预决算差异率0.00%，主要原因是：因公出国（境）费预决算一致，无差异；</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预算数150.49万元，决算数148.18万元，预决算差异率-1.53%，主要原因是：本年度严控经费支出，厉行节约，减少车辆维修及加油，预算数大于决算数；</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8.10</w:t>
      </w:r>
      <w:r>
        <w:rPr>
          <w:rFonts w:hint="eastAsia" w:ascii="仿宋_GB2312" w:eastAsia="仿宋_GB2312"/>
          <w:sz w:val="32"/>
          <w:szCs w:val="32"/>
        </w:rPr>
        <w:t>万元，决算数</w:t>
      </w:r>
      <w:r>
        <w:rPr>
          <w:rFonts w:ascii="仿宋_GB2312" w:eastAsia="仿宋_GB2312"/>
          <w:sz w:val="32"/>
          <w:szCs w:val="32"/>
        </w:rPr>
        <w:t>4.41</w:t>
      </w:r>
      <w:r>
        <w:rPr>
          <w:rFonts w:hint="eastAsia" w:ascii="仿宋_GB2312" w:eastAsia="仿宋_GB2312"/>
          <w:sz w:val="32"/>
          <w:szCs w:val="32"/>
        </w:rPr>
        <w:t>万元，预决算差异率-45.56%，主要原因是：本年度严控经费支出，厉行节约，压减接待批次及人次，预算数大于决算数。</w:t>
      </w:r>
    </w:p>
    <w:p>
      <w:pPr>
        <w:ind w:firstLine="640" w:firstLineChars="200"/>
        <w:outlineLvl w:val="1"/>
        <w:rPr>
          <w:rFonts w:ascii="黑体" w:hAnsi="黑体" w:eastAsia="黑体" w:cs="宋体"/>
          <w:bCs/>
          <w:kern w:val="0"/>
          <w:sz w:val="32"/>
          <w:szCs w:val="32"/>
        </w:rPr>
      </w:pPr>
      <w:bookmarkStart w:id="24" w:name="_Toc5810"/>
      <w:bookmarkStart w:id="25" w:name="_Toc7927"/>
      <w:r>
        <w:rPr>
          <w:rFonts w:hint="eastAsia" w:ascii="黑体" w:hAnsi="黑体" w:eastAsia="黑体" w:cs="宋体"/>
          <w:bCs/>
          <w:kern w:val="0"/>
          <w:sz w:val="32"/>
          <w:szCs w:val="32"/>
        </w:rPr>
        <w:t>八、政府性基金预算财政拨款收入支出决算情况说明</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2023年度自治区应急管理厅（行政单位和参照公务员法管理事业单位）机关运行经费支出</w:t>
      </w:r>
      <w:r>
        <w:rPr>
          <w:rFonts w:ascii="仿宋_GB2312" w:eastAsia="仿宋_GB2312"/>
          <w:sz w:val="32"/>
          <w:szCs w:val="32"/>
        </w:rPr>
        <w:t>465.21</w:t>
      </w:r>
      <w:r>
        <w:rPr>
          <w:rFonts w:hint="eastAsia" w:ascii="仿宋_GB2312" w:eastAsia="仿宋_GB2312"/>
          <w:sz w:val="32"/>
          <w:szCs w:val="32"/>
        </w:rPr>
        <w:t>万元，比上年增加125.48万元，增长36.94%，主要原因是：本年新增转隶、调入及新招录人员、调剂转入公务用车3辆，公用经费支出相应增加。</w:t>
      </w:r>
    </w:p>
    <w:p>
      <w:pPr>
        <w:ind w:firstLine="640" w:firstLineChars="200"/>
        <w:rPr>
          <w:rFonts w:ascii="仿宋_GB2312" w:eastAsia="仿宋_GB2312"/>
          <w:sz w:val="32"/>
          <w:szCs w:val="32"/>
        </w:rPr>
      </w:pPr>
      <w:r>
        <w:rPr>
          <w:rFonts w:hint="eastAsia" w:ascii="仿宋_GB2312" w:eastAsia="仿宋_GB2312"/>
          <w:sz w:val="32"/>
          <w:szCs w:val="32"/>
        </w:rPr>
        <w:t>2023年度自治区应急管理厅（事业单位）公用经费</w:t>
      </w:r>
      <w:r>
        <w:rPr>
          <w:rFonts w:ascii="仿宋_GB2312" w:eastAsia="仿宋_GB2312"/>
          <w:sz w:val="32"/>
          <w:szCs w:val="32"/>
        </w:rPr>
        <w:t>516.42</w:t>
      </w:r>
      <w:r>
        <w:rPr>
          <w:rFonts w:hint="eastAsia" w:ascii="仿宋_GB2312" w:eastAsia="仿宋_GB2312"/>
          <w:sz w:val="32"/>
          <w:szCs w:val="32"/>
        </w:rPr>
        <w:t>万元，比上年</w:t>
      </w:r>
      <w:r>
        <w:rPr>
          <w:rFonts w:ascii="仿宋_GB2312" w:eastAsia="仿宋_GB2312"/>
          <w:sz w:val="32"/>
          <w:szCs w:val="32"/>
        </w:rPr>
        <w:t>增加372.00</w:t>
      </w:r>
      <w:r>
        <w:rPr>
          <w:rFonts w:hint="eastAsia" w:ascii="仿宋_GB2312" w:eastAsia="仿宋_GB2312"/>
          <w:sz w:val="32"/>
          <w:szCs w:val="32"/>
        </w:rPr>
        <w:t>万元，</w:t>
      </w:r>
      <w:r>
        <w:rPr>
          <w:rFonts w:ascii="仿宋_GB2312" w:eastAsia="仿宋_GB2312"/>
          <w:sz w:val="32"/>
          <w:szCs w:val="32"/>
        </w:rPr>
        <w:t>增长257.58</w:t>
      </w:r>
      <w:r>
        <w:rPr>
          <w:rFonts w:hint="eastAsia" w:ascii="仿宋_GB2312" w:eastAsia="仿宋_GB2312"/>
          <w:sz w:val="32"/>
          <w:szCs w:val="32"/>
        </w:rPr>
        <w:t>%，主要原因是：一是本年度新疆维吾尔自治区矿山安全服务保障中心转隶至本部门，经费增加；二是单位办公经费增加。</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2023年度政府采购支出总额</w:t>
      </w:r>
      <w:r>
        <w:rPr>
          <w:rFonts w:ascii="仿宋_GB2312" w:eastAsia="仿宋_GB2312"/>
          <w:sz w:val="32"/>
          <w:szCs w:val="32"/>
        </w:rPr>
        <w:t>8,125.10</w:t>
      </w:r>
      <w:r>
        <w:rPr>
          <w:rFonts w:hint="eastAsia" w:ascii="仿宋_GB2312" w:eastAsia="仿宋_GB2312"/>
          <w:sz w:val="32"/>
          <w:szCs w:val="32"/>
        </w:rPr>
        <w:t>万元，其中：政府采购货物支出</w:t>
      </w:r>
      <w:r>
        <w:rPr>
          <w:rFonts w:ascii="仿宋_GB2312" w:eastAsia="仿宋_GB2312"/>
          <w:sz w:val="32"/>
          <w:szCs w:val="32"/>
        </w:rPr>
        <w:t>1,505.44</w:t>
      </w:r>
      <w:r>
        <w:rPr>
          <w:rFonts w:hint="eastAsia" w:ascii="仿宋_GB2312" w:eastAsia="仿宋_GB2312"/>
          <w:sz w:val="32"/>
          <w:szCs w:val="32"/>
        </w:rPr>
        <w:t>万元、政府采购工程支出</w:t>
      </w:r>
      <w:r>
        <w:rPr>
          <w:rFonts w:ascii="仿宋_GB2312" w:eastAsia="仿宋_GB2312"/>
          <w:sz w:val="32"/>
          <w:szCs w:val="32"/>
        </w:rPr>
        <w:t>9.30</w:t>
      </w:r>
      <w:r>
        <w:rPr>
          <w:rFonts w:hint="eastAsia" w:ascii="仿宋_GB2312" w:eastAsia="仿宋_GB2312"/>
          <w:sz w:val="32"/>
          <w:szCs w:val="32"/>
        </w:rPr>
        <w:t>万元、政府采购服务支出</w:t>
      </w:r>
      <w:r>
        <w:rPr>
          <w:rFonts w:ascii="仿宋_GB2312" w:eastAsia="仿宋_GB2312"/>
          <w:sz w:val="32"/>
          <w:szCs w:val="32"/>
        </w:rPr>
        <w:t>6,610.36</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5,093.97</w:t>
      </w:r>
      <w:r>
        <w:rPr>
          <w:rFonts w:hint="eastAsia" w:ascii="仿宋_GB2312" w:eastAsia="仿宋_GB2312"/>
          <w:sz w:val="32"/>
          <w:szCs w:val="32"/>
        </w:rPr>
        <w:t>万元，占政府采购支出总额的</w:t>
      </w:r>
      <w:r>
        <w:rPr>
          <w:rFonts w:ascii="仿宋_GB2312" w:eastAsia="仿宋_GB2312"/>
          <w:sz w:val="32"/>
          <w:szCs w:val="32"/>
        </w:rPr>
        <w:t>62.69</w:t>
      </w:r>
      <w:r>
        <w:rPr>
          <w:rFonts w:hint="eastAsia" w:ascii="仿宋_GB2312" w:eastAsia="仿宋_GB2312"/>
          <w:sz w:val="32"/>
          <w:szCs w:val="32"/>
        </w:rPr>
        <w:t>%，其中：授予小微企业合同金额</w:t>
      </w:r>
      <w:r>
        <w:rPr>
          <w:rFonts w:ascii="仿宋_GB2312" w:eastAsia="仿宋_GB2312"/>
          <w:sz w:val="32"/>
          <w:szCs w:val="32"/>
        </w:rPr>
        <w:t>4,347.39</w:t>
      </w:r>
      <w:r>
        <w:rPr>
          <w:rFonts w:hint="eastAsia" w:ascii="仿宋_GB2312" w:eastAsia="仿宋_GB2312"/>
          <w:sz w:val="32"/>
          <w:szCs w:val="32"/>
        </w:rPr>
        <w:t>万元，占政府采购支出总额的</w:t>
      </w:r>
      <w:r>
        <w:rPr>
          <w:rFonts w:ascii="仿宋_GB2312" w:eastAsia="仿宋_GB2312"/>
          <w:sz w:val="32"/>
          <w:szCs w:val="32"/>
        </w:rPr>
        <w:t>53.51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6" w:name="_Toc4591"/>
      <w:bookmarkStart w:id="27" w:name="_Toc8391"/>
      <w:r>
        <w:rPr>
          <w:rFonts w:hint="eastAsia" w:ascii="黑体" w:hAnsi="黑体" w:eastAsia="黑体"/>
          <w:sz w:val="32"/>
          <w:szCs w:val="32"/>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截至2023年12月31日，固定资产原值69,522.16万元，房屋</w:t>
      </w:r>
      <w:r>
        <w:rPr>
          <w:rFonts w:ascii="仿宋_GB2312" w:eastAsia="仿宋_GB2312"/>
          <w:sz w:val="32"/>
          <w:szCs w:val="32"/>
        </w:rPr>
        <w:t>85,089.35</w:t>
      </w:r>
      <w:r>
        <w:rPr>
          <w:rFonts w:hint="eastAsia" w:ascii="仿宋_GB2312" w:eastAsia="仿宋_GB2312"/>
          <w:sz w:val="32"/>
          <w:szCs w:val="32"/>
        </w:rPr>
        <w:t>平方米，价值</w:t>
      </w:r>
      <w:r>
        <w:rPr>
          <w:rFonts w:ascii="仿宋_GB2312" w:eastAsia="仿宋_GB2312"/>
          <w:sz w:val="32"/>
          <w:szCs w:val="32"/>
        </w:rPr>
        <w:t>31,206.72</w:t>
      </w:r>
      <w:r>
        <w:rPr>
          <w:rFonts w:hint="eastAsia" w:ascii="仿宋_GB2312" w:eastAsia="仿宋_GB2312"/>
          <w:sz w:val="32"/>
          <w:szCs w:val="32"/>
        </w:rPr>
        <w:t>万元。车辆</w:t>
      </w:r>
      <w:r>
        <w:rPr>
          <w:rFonts w:ascii="仿宋_GB2312" w:eastAsia="仿宋_GB2312"/>
          <w:sz w:val="32"/>
          <w:szCs w:val="32"/>
        </w:rPr>
        <w:t>135</w:t>
      </w:r>
      <w:r>
        <w:rPr>
          <w:rFonts w:hint="eastAsia" w:ascii="仿宋_GB2312" w:eastAsia="仿宋_GB2312"/>
          <w:sz w:val="32"/>
          <w:szCs w:val="32"/>
        </w:rPr>
        <w:t>辆，价值</w:t>
      </w:r>
      <w:r>
        <w:rPr>
          <w:rFonts w:ascii="仿宋_GB2312" w:eastAsia="仿宋_GB2312"/>
          <w:sz w:val="32"/>
          <w:szCs w:val="32"/>
        </w:rPr>
        <w:t>5,416.44</w:t>
      </w:r>
      <w:r>
        <w:rPr>
          <w:rFonts w:hint="eastAsia" w:ascii="仿宋_GB2312" w:eastAsia="仿宋_GB2312"/>
          <w:sz w:val="32"/>
          <w:szCs w:val="32"/>
        </w:rPr>
        <w:t>万元，其中：副部（省）级及以上领导用车0辆、主要负责人用车17辆、机要通信用车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1</w:t>
      </w:r>
      <w:r>
        <w:rPr>
          <w:rFonts w:hint="eastAsia" w:ascii="仿宋_GB2312" w:eastAsia="仿宋_GB2312"/>
          <w:sz w:val="32"/>
          <w:szCs w:val="32"/>
        </w:rPr>
        <w:t>辆、执法执勤用车</w:t>
      </w:r>
      <w:r>
        <w:rPr>
          <w:rFonts w:ascii="仿宋_GB2312" w:eastAsia="仿宋_GB2312"/>
          <w:sz w:val="32"/>
          <w:szCs w:val="32"/>
        </w:rPr>
        <w:t>6</w:t>
      </w:r>
      <w:r>
        <w:rPr>
          <w:rFonts w:hint="eastAsia" w:ascii="仿宋_GB2312" w:eastAsia="仿宋_GB2312"/>
          <w:sz w:val="32"/>
          <w:szCs w:val="32"/>
        </w:rPr>
        <w:t>辆、特种专业技术用车</w:t>
      </w:r>
      <w:r>
        <w:rPr>
          <w:rFonts w:ascii="仿宋_GB2312" w:eastAsia="仿宋_GB2312"/>
          <w:sz w:val="32"/>
          <w:szCs w:val="32"/>
        </w:rPr>
        <w:t>32</w:t>
      </w:r>
      <w:r>
        <w:rPr>
          <w:rFonts w:hint="eastAsia" w:ascii="仿宋_GB2312" w:eastAsia="仿宋_GB2312"/>
          <w:sz w:val="32"/>
          <w:szCs w:val="32"/>
        </w:rPr>
        <w:t>辆、离退休干部服务用车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79</w:t>
      </w:r>
      <w:r>
        <w:rPr>
          <w:rFonts w:hint="eastAsia" w:ascii="仿宋_GB2312" w:eastAsia="仿宋_GB2312"/>
          <w:sz w:val="32"/>
          <w:szCs w:val="32"/>
        </w:rPr>
        <w:t>辆，其他用车主要是：一般公务用车及业务用车；单价100万元（含）以上设备（不含车辆）</w:t>
      </w:r>
      <w:r>
        <w:rPr>
          <w:rFonts w:ascii="仿宋_GB2312" w:eastAsia="仿宋_GB2312"/>
          <w:sz w:val="32"/>
          <w:szCs w:val="32"/>
        </w:rPr>
        <w:t>62</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2023</w:t>
      </w:r>
      <w:r>
        <w:rPr>
          <w:rFonts w:hint="eastAsia" w:ascii="仿宋_GB2312" w:eastAsia="仿宋_GB2312"/>
          <w:sz w:val="32"/>
          <w:szCs w:val="32"/>
        </w:rPr>
        <w:t>年度预算绩效管理整体支出绩效自评表1个，全年预算总额</w:t>
      </w:r>
      <w:r>
        <w:rPr>
          <w:rFonts w:hint="eastAsia" w:ascii="仿宋_GB2312" w:eastAsia="仿宋_GB2312"/>
          <w:sz w:val="32"/>
          <w:szCs w:val="32"/>
          <w:lang w:val="en-US" w:eastAsia="zh-CN"/>
        </w:rPr>
        <w:t>46651.5</w:t>
      </w:r>
      <w:r>
        <w:rPr>
          <w:rFonts w:hint="eastAsia" w:ascii="仿宋_GB2312" w:eastAsia="仿宋_GB2312"/>
          <w:sz w:val="32"/>
          <w:szCs w:val="32"/>
        </w:rPr>
        <w:t>万元，实际执行总额</w:t>
      </w:r>
      <w:r>
        <w:rPr>
          <w:rFonts w:hint="eastAsia" w:ascii="仿宋_GB2312" w:eastAsia="仿宋_GB2312"/>
          <w:sz w:val="32"/>
          <w:szCs w:val="32"/>
          <w:lang w:val="en-US" w:eastAsia="zh-CN"/>
        </w:rPr>
        <w:t>34299.73</w:t>
      </w:r>
      <w:r>
        <w:rPr>
          <w:rFonts w:hint="eastAsia" w:ascii="仿宋_GB2312" w:eastAsia="仿宋_GB2312"/>
          <w:sz w:val="32"/>
          <w:szCs w:val="32"/>
        </w:rPr>
        <w:t>万元；预算绩效评价项目</w:t>
      </w:r>
      <w:r>
        <w:rPr>
          <w:rFonts w:hint="eastAsia" w:ascii="仿宋_GB2312" w:eastAsia="仿宋_GB2312"/>
          <w:sz w:val="32"/>
          <w:szCs w:val="32"/>
          <w:lang w:val="en-US" w:eastAsia="zh-CN"/>
        </w:rPr>
        <w:t>46</w:t>
      </w:r>
      <w:r>
        <w:rPr>
          <w:rFonts w:hint="eastAsia" w:ascii="仿宋_GB2312" w:eastAsia="仿宋_GB2312"/>
          <w:sz w:val="32"/>
          <w:szCs w:val="32"/>
        </w:rPr>
        <w:t>个，全年预算数58252.36万元，全年执行数28079.24万元。预算绩效管理取得的成效：</w:t>
      </w:r>
      <w:r>
        <w:rPr>
          <w:rFonts w:ascii="仿宋_GB2312" w:eastAsia="仿宋_GB2312"/>
          <w:sz w:val="32"/>
          <w:szCs w:val="32"/>
        </w:rPr>
        <w:t>保障对安全生产综合基地基地正常运维，安全生产宣传、教育、法规标准建设按计划推进，安全生产信息系统正常运行，安全生产应急救援指挥系统建设和通信装备建设进一步推进，有效提升安全生产监管效能，推动自治区安全生产形势持续稳定好转</w:t>
      </w:r>
      <w:r>
        <w:rPr>
          <w:rFonts w:hint="eastAsia" w:ascii="仿宋_GB2312" w:eastAsia="仿宋_GB2312"/>
          <w:sz w:val="32"/>
          <w:szCs w:val="32"/>
        </w:rPr>
        <w:t>。发现的问题及原因：</w:t>
      </w:r>
      <w:r>
        <w:rPr>
          <w:rFonts w:ascii="仿宋_GB2312" w:eastAsia="仿宋_GB2312"/>
          <w:sz w:val="32"/>
          <w:szCs w:val="32"/>
        </w:rPr>
        <w:t>一是</w:t>
      </w:r>
      <w:r>
        <w:rPr>
          <w:rFonts w:hint="eastAsia" w:ascii="仿宋_GB2312" w:eastAsia="仿宋_GB2312"/>
          <w:sz w:val="32"/>
          <w:szCs w:val="32"/>
        </w:rPr>
        <w:t>厅</w:t>
      </w:r>
      <w:r>
        <w:rPr>
          <w:rFonts w:hint="eastAsia" w:ascii="仿宋_GB2312" w:eastAsia="仿宋_GB2312"/>
          <w:sz w:val="32"/>
          <w:szCs w:val="32"/>
          <w:lang w:val="en-US" w:eastAsia="zh-CN"/>
        </w:rPr>
        <w:t>各</w:t>
      </w:r>
      <w:r>
        <w:rPr>
          <w:rFonts w:hint="eastAsia" w:ascii="仿宋_GB2312" w:eastAsia="仿宋_GB2312"/>
          <w:sz w:val="32"/>
          <w:szCs w:val="32"/>
        </w:rPr>
        <w:t>处室（单位）预算绩效管理的理念和管理水平参差不齐。部分绩效指标设置与部门职能及预算支出结构结合不够紧密</w:t>
      </w:r>
      <w:r>
        <w:rPr>
          <w:rFonts w:hint="eastAsia" w:ascii="仿宋_GB2312" w:eastAsia="仿宋_GB2312"/>
          <w:sz w:val="32"/>
          <w:szCs w:val="32"/>
          <w:lang w:eastAsia="zh-CN"/>
        </w:rPr>
        <w:t>；</w:t>
      </w:r>
      <w:r>
        <w:rPr>
          <w:rFonts w:hint="eastAsia" w:ascii="仿宋_GB2312" w:eastAsia="仿宋_GB2312"/>
          <w:sz w:val="32"/>
          <w:szCs w:val="32"/>
        </w:rPr>
        <w:t>二是预算绩效管理工作中绩效评价指标体系方法相对单一，绩效指标的评价和考核需进一步明确和精准</w:t>
      </w:r>
      <w:r>
        <w:rPr>
          <w:rFonts w:hint="eastAsia" w:ascii="仿宋_GB2312" w:eastAsia="仿宋_GB2312"/>
          <w:sz w:val="32"/>
          <w:szCs w:val="32"/>
          <w:lang w:eastAsia="zh-CN"/>
        </w:rPr>
        <w:t>；</w:t>
      </w:r>
      <w:r>
        <w:rPr>
          <w:rFonts w:hint="eastAsia" w:ascii="仿宋_GB2312" w:eastAsia="仿宋_GB2312"/>
          <w:sz w:val="32"/>
          <w:szCs w:val="32"/>
        </w:rPr>
        <w:t>三是绩效管理培训力度仍有不足，从事项目相关人员对绩效管理专业性需进一步加强。下一步改进措施：一是持续强化绩效管理组织领导。按照自治区党委、政府工作部署，进一步加强厅党委对实施预算绩效管理工作的领导，确保预算效益全面提升。强化预算管理监督问责和工作考核，明确绩效管理责任约束，把“花钱必问效、无效必问责”的要求落到实处</w:t>
      </w:r>
      <w:r>
        <w:rPr>
          <w:rFonts w:hint="eastAsia" w:ascii="仿宋_GB2312" w:eastAsia="仿宋_GB2312"/>
          <w:sz w:val="32"/>
          <w:szCs w:val="32"/>
          <w:lang w:eastAsia="zh-CN"/>
        </w:rPr>
        <w:t>；</w:t>
      </w:r>
    </w:p>
    <w:p>
      <w:pPr>
        <w:rPr>
          <w:rFonts w:hint="eastAsia" w:ascii="仿宋_GB2312" w:hAnsi="宋体" w:eastAsia="仿宋_GB2312" w:cs="宋体"/>
          <w:kern w:val="0"/>
          <w:sz w:val="24"/>
          <w:szCs w:val="32"/>
        </w:rPr>
      </w:pPr>
      <w:r>
        <w:rPr>
          <w:rFonts w:hint="eastAsia" w:ascii="仿宋_GB2312" w:eastAsia="仿宋_GB2312"/>
          <w:sz w:val="32"/>
          <w:szCs w:val="32"/>
        </w:rPr>
        <w:t>二是进一步细化预算绩效全过程监管。严格落实自治区党委、政府关于预算资金绩效考核的相关规定，对资金使用、项目实施效果开展更加细致深入的自评和外部评价，做到早监督、早预警、早评价，并及时报送评价结果，坚持预算绩效公开</w:t>
      </w:r>
      <w:r>
        <w:rPr>
          <w:rFonts w:hint="eastAsia" w:ascii="仿宋_GB2312" w:eastAsia="仿宋_GB2312"/>
          <w:sz w:val="32"/>
          <w:szCs w:val="32"/>
          <w:lang w:eastAsia="zh-CN"/>
        </w:rPr>
        <w:t>；</w:t>
      </w:r>
      <w:r>
        <w:rPr>
          <w:rFonts w:hint="eastAsia" w:ascii="仿宋_GB2312" w:eastAsia="仿宋_GB2312"/>
          <w:sz w:val="32"/>
          <w:szCs w:val="32"/>
        </w:rPr>
        <w:t>三是建立预算绩效管理长效机制。开展专业系统的培训，提高相关人员预算绩效管理水平。进一步完善预算绩效管理相关考核评价制度，建立完善绩效评价结果的反馈、整改、激励与问责制度，通过绩效管理进一步推进工作提质增效。</w:t>
      </w:r>
      <w:bookmarkStart w:id="30" w:name="_Toc3250"/>
      <w:bookmarkStart w:id="31" w:name="_Toc24143"/>
      <w:r>
        <w:rPr>
          <w:rFonts w:hint="eastAsia" w:ascii="仿宋_GB2312" w:hAnsi="宋体" w:eastAsia="仿宋_GB2312" w:cs="宋体"/>
          <w:kern w:val="0"/>
          <w:sz w:val="24"/>
          <w:szCs w:val="32"/>
        </w:rPr>
        <w:br w:type="page"/>
      </w:r>
    </w:p>
    <w:p>
      <w:pPr>
        <w:rPr>
          <w:rFonts w:ascii="黑体" w:hAnsi="黑体" w:eastAsia="黑体"/>
          <w:sz w:val="32"/>
          <w:szCs w:val="32"/>
        </w:rPr>
      </w:pPr>
      <w:r>
        <w:rPr>
          <w:rFonts w:hint="eastAsia" w:ascii="黑体" w:hAnsi="黑体" w:eastAsia="黑体" w:cs="宋体"/>
          <w:bCs/>
          <w:kern w:val="0"/>
          <w:sz w:val="32"/>
          <w:szCs w:val="32"/>
        </w:rPr>
        <w:t>十二、</w:t>
      </w:r>
      <w:bookmarkStart w:id="32" w:name="OLE_LINK1"/>
      <w:r>
        <w:rPr>
          <w:rFonts w:hint="eastAsia" w:ascii="黑体" w:hAnsi="黑体" w:eastAsia="黑体" w:cs="宋体"/>
          <w:bCs/>
          <w:kern w:val="0"/>
          <w:sz w:val="32"/>
          <w:szCs w:val="32"/>
        </w:rPr>
        <w:t>其他需说明的事项</w:t>
      </w:r>
      <w:bookmarkEnd w:id="32"/>
    </w:p>
    <w:p>
      <w:pPr>
        <w:ind w:firstLine="640" w:firstLineChars="200"/>
        <w:rPr>
          <w:rFonts w:ascii="仿宋_GB2312" w:eastAsia="仿宋_GB2312"/>
          <w:sz w:val="32"/>
          <w:szCs w:val="32"/>
        </w:rPr>
      </w:pPr>
      <w:bookmarkStart w:id="33" w:name="OLE_LINK2"/>
      <w:r>
        <w:rPr>
          <w:rFonts w:hint="eastAsia" w:ascii="仿宋_GB2312" w:eastAsia="仿宋_GB2312"/>
          <w:sz w:val="32"/>
          <w:szCs w:val="32"/>
        </w:rPr>
        <w:t>本部门无其他需说明事项。</w:t>
      </w:r>
    </w:p>
    <w:bookmarkEnd w:id="33"/>
    <w:p>
      <w:pP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br w:type="page"/>
      </w:r>
      <w:bookmarkStart w:id="48" w:name="_GoBack"/>
      <w:bookmarkEnd w:id="48"/>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
    <w:p/>
    <w:p/>
    <w:p/>
    <w:p/>
    <w:p/>
    <w:p/>
    <w:p>
      <w:pPr>
        <w:autoSpaceDE w:val="0"/>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ind w:firstLine="640" w:firstLineChars="200"/>
        <w:outlineLvl w:val="1"/>
        <w:rPr>
          <w:rFonts w:ascii="仿宋_GB2312" w:hAnsi="仿宋_GB2312" w:eastAsia="仿宋_GB2312" w:cs="仿宋_GB2312"/>
          <w:bCs/>
          <w:kern w:val="0"/>
          <w:sz w:val="32"/>
          <w:szCs w:val="32"/>
        </w:rPr>
      </w:pPr>
      <w:bookmarkStart w:id="34" w:name="_Toc6062"/>
      <w:bookmarkStart w:id="35" w:name="_Toc2183"/>
      <w:r>
        <w:rPr>
          <w:rFonts w:hint="eastAsia" w:ascii="仿宋_GB2312" w:hAnsi="仿宋_GB2312" w:eastAsia="仿宋_GB2312" w:cs="仿宋_GB2312"/>
          <w:bCs/>
          <w:kern w:val="0"/>
          <w:sz w:val="32"/>
          <w:szCs w:val="32"/>
        </w:rPr>
        <w:t>一、《收入支出决算总表》</w:t>
      </w:r>
      <w:bookmarkEnd w:id="34"/>
      <w:bookmarkEnd w:id="35"/>
    </w:p>
    <w:p>
      <w:pPr>
        <w:ind w:firstLine="640" w:firstLineChars="200"/>
        <w:outlineLvl w:val="1"/>
        <w:rPr>
          <w:rFonts w:ascii="仿宋_GB2312" w:hAnsi="仿宋_GB2312" w:eastAsia="仿宋_GB2312" w:cs="仿宋_GB2312"/>
          <w:bCs/>
          <w:kern w:val="0"/>
          <w:sz w:val="32"/>
          <w:szCs w:val="32"/>
        </w:rPr>
      </w:pPr>
      <w:bookmarkStart w:id="36" w:name="_Toc30364"/>
      <w:bookmarkStart w:id="37" w:name="_Toc24532"/>
      <w:r>
        <w:rPr>
          <w:rFonts w:hint="eastAsia" w:ascii="仿宋_GB2312" w:hAnsi="仿宋_GB2312" w:eastAsia="仿宋_GB2312" w:cs="仿宋_GB2312"/>
          <w:bCs/>
          <w:kern w:val="0"/>
          <w:sz w:val="32"/>
          <w:szCs w:val="32"/>
        </w:rPr>
        <w:t>二、《收入决算表》</w:t>
      </w:r>
      <w:bookmarkEnd w:id="36"/>
      <w:bookmarkEnd w:id="37"/>
    </w:p>
    <w:p>
      <w:pPr>
        <w:ind w:firstLine="640" w:firstLineChars="200"/>
        <w:outlineLvl w:val="1"/>
        <w:rPr>
          <w:rFonts w:ascii="仿宋_GB2312" w:hAnsi="仿宋_GB2312" w:eastAsia="仿宋_GB2312" w:cs="仿宋_GB2312"/>
          <w:bCs/>
          <w:kern w:val="0"/>
          <w:sz w:val="32"/>
          <w:szCs w:val="32"/>
        </w:rPr>
      </w:pPr>
      <w:bookmarkStart w:id="38" w:name="_Toc21304"/>
      <w:bookmarkStart w:id="39" w:name="_Toc32434"/>
      <w:r>
        <w:rPr>
          <w:rFonts w:hint="eastAsia" w:ascii="仿宋_GB2312" w:hAnsi="仿宋_GB2312" w:eastAsia="仿宋_GB2312" w:cs="仿宋_GB2312"/>
          <w:bCs/>
          <w:kern w:val="0"/>
          <w:sz w:val="32"/>
          <w:szCs w:val="32"/>
        </w:rPr>
        <w:t>三、《支出决算表》</w:t>
      </w:r>
      <w:bookmarkEnd w:id="38"/>
      <w:bookmarkEnd w:id="39"/>
    </w:p>
    <w:p>
      <w:pPr>
        <w:ind w:firstLine="640" w:firstLineChars="200"/>
        <w:outlineLvl w:val="1"/>
        <w:rPr>
          <w:rFonts w:ascii="仿宋_GB2312" w:hAnsi="仿宋_GB2312" w:eastAsia="仿宋_GB2312" w:cs="仿宋_GB2312"/>
          <w:bCs/>
          <w:kern w:val="0"/>
          <w:sz w:val="32"/>
          <w:szCs w:val="32"/>
        </w:rPr>
      </w:pPr>
      <w:bookmarkStart w:id="40" w:name="_Toc28786"/>
      <w:bookmarkStart w:id="41" w:name="_Toc14238"/>
      <w:r>
        <w:rPr>
          <w:rFonts w:hint="eastAsia" w:ascii="仿宋_GB2312" w:hAnsi="仿宋_GB2312" w:eastAsia="仿宋_GB2312" w:cs="仿宋_GB2312"/>
          <w:bCs/>
          <w:kern w:val="0"/>
          <w:sz w:val="32"/>
          <w:szCs w:val="32"/>
        </w:rPr>
        <w:t>四、《财政拨款收入支出决算总表》</w:t>
      </w:r>
      <w:bookmarkEnd w:id="40"/>
      <w:bookmarkEnd w:id="41"/>
    </w:p>
    <w:p>
      <w:pPr>
        <w:ind w:firstLine="640" w:firstLineChars="200"/>
        <w:outlineLvl w:val="1"/>
        <w:rPr>
          <w:rFonts w:ascii="仿宋_GB2312" w:hAnsi="仿宋_GB2312" w:eastAsia="仿宋_GB2312" w:cs="仿宋_GB2312"/>
          <w:bCs/>
          <w:kern w:val="0"/>
          <w:sz w:val="32"/>
          <w:szCs w:val="32"/>
        </w:rPr>
      </w:pPr>
      <w:bookmarkStart w:id="42" w:name="_Toc14869"/>
      <w:bookmarkStart w:id="43" w:name="_Toc10347"/>
      <w:r>
        <w:rPr>
          <w:rFonts w:hint="eastAsia" w:ascii="仿宋_GB2312" w:hAnsi="仿宋_GB2312" w:eastAsia="仿宋_GB2312" w:cs="仿宋_GB2312"/>
          <w:bCs/>
          <w:kern w:val="0"/>
          <w:sz w:val="32"/>
          <w:szCs w:val="32"/>
        </w:rPr>
        <w:t>五、《一般公共预算财政拨款支出决算表》</w:t>
      </w:r>
      <w:bookmarkEnd w:id="42"/>
      <w:bookmarkEnd w:id="43"/>
    </w:p>
    <w:p>
      <w:pPr>
        <w:ind w:firstLine="640" w:firstLineChars="200"/>
        <w:outlineLvl w:val="1"/>
        <w:rPr>
          <w:rFonts w:ascii="仿宋_GB2312" w:hAnsi="仿宋_GB2312" w:eastAsia="仿宋_GB2312" w:cs="仿宋_GB2312"/>
          <w:bCs/>
          <w:kern w:val="0"/>
          <w:sz w:val="32"/>
          <w:szCs w:val="32"/>
        </w:rPr>
      </w:pPr>
      <w:bookmarkStart w:id="44" w:name="_Toc5626"/>
      <w:bookmarkStart w:id="45" w:name="_Toc8884"/>
      <w:r>
        <w:rPr>
          <w:rFonts w:hint="eastAsia" w:ascii="仿宋_GB2312" w:hAnsi="仿宋_GB2312" w:eastAsia="仿宋_GB2312" w:cs="仿宋_GB2312"/>
          <w:bCs/>
          <w:kern w:val="0"/>
          <w:sz w:val="32"/>
          <w:szCs w:val="32"/>
        </w:rPr>
        <w:t>六、《一般公共预算财政拨款基本支出决算表》</w:t>
      </w:r>
      <w:bookmarkEnd w:id="44"/>
      <w:bookmarkEnd w:id="45"/>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6" w:name="_Toc29106"/>
      <w:bookmarkStart w:id="47" w:name="_Toc32663"/>
      <w:r>
        <w:rPr>
          <w:rFonts w:hint="eastAsia" w:ascii="仿宋_GB2312" w:hAnsi="仿宋_GB2312" w:eastAsia="仿宋_GB2312" w:cs="仿宋_GB2312"/>
          <w:bCs/>
          <w:kern w:val="0"/>
          <w:sz w:val="32"/>
          <w:szCs w:val="32"/>
        </w:rPr>
        <w:t>《财政拨款“三公”经费支出决算表》</w:t>
      </w:r>
      <w:bookmarkEnd w:id="46"/>
      <w:bookmarkEnd w:id="47"/>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八、《政府性基金预算财政拨款收入支出决算表》</w:t>
      </w:r>
    </w:p>
    <w:p>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lib4/7sBAABkAwAADgAAAAAAAAABACAAAAAeAQAAZHJzL2Uyb0RvYy54bWxQSwUGAAAAAAYA&#10;BgBZAQAASw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ZTI3ODM4ZmVjOGE5NDFiYmE3OTRiMjQ5OTEyNzIifQ=="/>
  </w:docVars>
  <w:rsids>
    <w:rsidRoot w:val="00312C27"/>
    <w:rsid w:val="00003E25"/>
    <w:rsid w:val="00012F23"/>
    <w:rsid w:val="00021E76"/>
    <w:rsid w:val="000229DC"/>
    <w:rsid w:val="0002765D"/>
    <w:rsid w:val="000310F8"/>
    <w:rsid w:val="0003297B"/>
    <w:rsid w:val="000379B3"/>
    <w:rsid w:val="00053A12"/>
    <w:rsid w:val="0005626F"/>
    <w:rsid w:val="000569AB"/>
    <w:rsid w:val="000724E7"/>
    <w:rsid w:val="00073996"/>
    <w:rsid w:val="0008509D"/>
    <w:rsid w:val="00090520"/>
    <w:rsid w:val="000A0B31"/>
    <w:rsid w:val="000D2344"/>
    <w:rsid w:val="000D267C"/>
    <w:rsid w:val="000E75B2"/>
    <w:rsid w:val="000E7B17"/>
    <w:rsid w:val="00121C15"/>
    <w:rsid w:val="00123257"/>
    <w:rsid w:val="00135BB7"/>
    <w:rsid w:val="00142378"/>
    <w:rsid w:val="0016194B"/>
    <w:rsid w:val="001762A3"/>
    <w:rsid w:val="00182700"/>
    <w:rsid w:val="00185C9C"/>
    <w:rsid w:val="001B0BD1"/>
    <w:rsid w:val="001B147B"/>
    <w:rsid w:val="001C3354"/>
    <w:rsid w:val="001D1E7F"/>
    <w:rsid w:val="00210E38"/>
    <w:rsid w:val="00215836"/>
    <w:rsid w:val="00221441"/>
    <w:rsid w:val="00224B57"/>
    <w:rsid w:val="002259E8"/>
    <w:rsid w:val="00233B71"/>
    <w:rsid w:val="00235C0B"/>
    <w:rsid w:val="00240AA1"/>
    <w:rsid w:val="0026230C"/>
    <w:rsid w:val="00263A31"/>
    <w:rsid w:val="00263A81"/>
    <w:rsid w:val="00271C68"/>
    <w:rsid w:val="00294495"/>
    <w:rsid w:val="0029483B"/>
    <w:rsid w:val="002A2698"/>
    <w:rsid w:val="002B179F"/>
    <w:rsid w:val="002B6C9C"/>
    <w:rsid w:val="002D1584"/>
    <w:rsid w:val="00311B34"/>
    <w:rsid w:val="00312C27"/>
    <w:rsid w:val="003413C6"/>
    <w:rsid w:val="00352E78"/>
    <w:rsid w:val="00361BDE"/>
    <w:rsid w:val="00362F42"/>
    <w:rsid w:val="00366326"/>
    <w:rsid w:val="003A21C7"/>
    <w:rsid w:val="003A7504"/>
    <w:rsid w:val="003B1B1F"/>
    <w:rsid w:val="003C2E0F"/>
    <w:rsid w:val="003D37A8"/>
    <w:rsid w:val="003D686F"/>
    <w:rsid w:val="003F01CB"/>
    <w:rsid w:val="003F04B0"/>
    <w:rsid w:val="003F1325"/>
    <w:rsid w:val="003F3219"/>
    <w:rsid w:val="00411B2D"/>
    <w:rsid w:val="004124C3"/>
    <w:rsid w:val="00435C19"/>
    <w:rsid w:val="00436039"/>
    <w:rsid w:val="00453530"/>
    <w:rsid w:val="00453B56"/>
    <w:rsid w:val="00460D47"/>
    <w:rsid w:val="00470887"/>
    <w:rsid w:val="00484954"/>
    <w:rsid w:val="00494FFD"/>
    <w:rsid w:val="004A0689"/>
    <w:rsid w:val="004B1173"/>
    <w:rsid w:val="004C2483"/>
    <w:rsid w:val="004C3288"/>
    <w:rsid w:val="004C4A14"/>
    <w:rsid w:val="004C6A74"/>
    <w:rsid w:val="004D41E0"/>
    <w:rsid w:val="004E6844"/>
    <w:rsid w:val="004F2A44"/>
    <w:rsid w:val="0050663B"/>
    <w:rsid w:val="00507903"/>
    <w:rsid w:val="00517943"/>
    <w:rsid w:val="00531043"/>
    <w:rsid w:val="00531F92"/>
    <w:rsid w:val="00556D35"/>
    <w:rsid w:val="00557718"/>
    <w:rsid w:val="005614A4"/>
    <w:rsid w:val="00561710"/>
    <w:rsid w:val="00562ED8"/>
    <w:rsid w:val="0057126F"/>
    <w:rsid w:val="00571ACE"/>
    <w:rsid w:val="00572CBD"/>
    <w:rsid w:val="005755CC"/>
    <w:rsid w:val="00581EA9"/>
    <w:rsid w:val="0058426D"/>
    <w:rsid w:val="005A07B6"/>
    <w:rsid w:val="005A161C"/>
    <w:rsid w:val="005B643B"/>
    <w:rsid w:val="005C3DEB"/>
    <w:rsid w:val="005D00A7"/>
    <w:rsid w:val="005D0AD9"/>
    <w:rsid w:val="005D1C2D"/>
    <w:rsid w:val="005E3B4A"/>
    <w:rsid w:val="0060159A"/>
    <w:rsid w:val="00611132"/>
    <w:rsid w:val="00626A93"/>
    <w:rsid w:val="00656E06"/>
    <w:rsid w:val="00665BE8"/>
    <w:rsid w:val="00680772"/>
    <w:rsid w:val="006B52D5"/>
    <w:rsid w:val="006C27D5"/>
    <w:rsid w:val="006C2D78"/>
    <w:rsid w:val="006C49CE"/>
    <w:rsid w:val="006C79F9"/>
    <w:rsid w:val="006D1EE8"/>
    <w:rsid w:val="006E797E"/>
    <w:rsid w:val="006F1A9D"/>
    <w:rsid w:val="006F4050"/>
    <w:rsid w:val="006F66CC"/>
    <w:rsid w:val="007002BB"/>
    <w:rsid w:val="0071209C"/>
    <w:rsid w:val="0071348F"/>
    <w:rsid w:val="00752DF5"/>
    <w:rsid w:val="00753B65"/>
    <w:rsid w:val="00760DE7"/>
    <w:rsid w:val="00761E0D"/>
    <w:rsid w:val="00762855"/>
    <w:rsid w:val="007649BA"/>
    <w:rsid w:val="00787C58"/>
    <w:rsid w:val="007A247A"/>
    <w:rsid w:val="007A2C8E"/>
    <w:rsid w:val="007A31DF"/>
    <w:rsid w:val="007B559C"/>
    <w:rsid w:val="007D1F7C"/>
    <w:rsid w:val="007D31C5"/>
    <w:rsid w:val="007E0AAA"/>
    <w:rsid w:val="007E2227"/>
    <w:rsid w:val="007F2258"/>
    <w:rsid w:val="0081064F"/>
    <w:rsid w:val="00815FA0"/>
    <w:rsid w:val="00833637"/>
    <w:rsid w:val="0084474D"/>
    <w:rsid w:val="0085037A"/>
    <w:rsid w:val="00857CB8"/>
    <w:rsid w:val="008865B8"/>
    <w:rsid w:val="00893F99"/>
    <w:rsid w:val="0089722A"/>
    <w:rsid w:val="008A0B2C"/>
    <w:rsid w:val="008A44AF"/>
    <w:rsid w:val="008B33C8"/>
    <w:rsid w:val="008C3778"/>
    <w:rsid w:val="008D0631"/>
    <w:rsid w:val="008D6146"/>
    <w:rsid w:val="008F01FE"/>
    <w:rsid w:val="00905908"/>
    <w:rsid w:val="00905F12"/>
    <w:rsid w:val="0091393B"/>
    <w:rsid w:val="00914C96"/>
    <w:rsid w:val="00921C20"/>
    <w:rsid w:val="00926C84"/>
    <w:rsid w:val="00927CCC"/>
    <w:rsid w:val="00947580"/>
    <w:rsid w:val="00955F5A"/>
    <w:rsid w:val="009759F7"/>
    <w:rsid w:val="009816D2"/>
    <w:rsid w:val="00986787"/>
    <w:rsid w:val="009C08BE"/>
    <w:rsid w:val="009C6DC6"/>
    <w:rsid w:val="00A06650"/>
    <w:rsid w:val="00A071F0"/>
    <w:rsid w:val="00A22AE4"/>
    <w:rsid w:val="00A347A6"/>
    <w:rsid w:val="00A3556A"/>
    <w:rsid w:val="00A636E4"/>
    <w:rsid w:val="00A636EF"/>
    <w:rsid w:val="00A733D2"/>
    <w:rsid w:val="00A87103"/>
    <w:rsid w:val="00A87B80"/>
    <w:rsid w:val="00AB776D"/>
    <w:rsid w:val="00AC1E96"/>
    <w:rsid w:val="00AE1570"/>
    <w:rsid w:val="00AE3A18"/>
    <w:rsid w:val="00AE72BB"/>
    <w:rsid w:val="00B000E4"/>
    <w:rsid w:val="00B03B50"/>
    <w:rsid w:val="00B33BF0"/>
    <w:rsid w:val="00B35A42"/>
    <w:rsid w:val="00B37F9D"/>
    <w:rsid w:val="00B4517D"/>
    <w:rsid w:val="00B53821"/>
    <w:rsid w:val="00B665A3"/>
    <w:rsid w:val="00B92C80"/>
    <w:rsid w:val="00BA3B30"/>
    <w:rsid w:val="00BC3674"/>
    <w:rsid w:val="00BC6347"/>
    <w:rsid w:val="00BC69BD"/>
    <w:rsid w:val="00BD3218"/>
    <w:rsid w:val="00BD5200"/>
    <w:rsid w:val="00BE4763"/>
    <w:rsid w:val="00BF449D"/>
    <w:rsid w:val="00BF65D5"/>
    <w:rsid w:val="00BF7AA6"/>
    <w:rsid w:val="00C01298"/>
    <w:rsid w:val="00C0408D"/>
    <w:rsid w:val="00C23286"/>
    <w:rsid w:val="00C25C01"/>
    <w:rsid w:val="00C26FDB"/>
    <w:rsid w:val="00C37259"/>
    <w:rsid w:val="00C37871"/>
    <w:rsid w:val="00C463D4"/>
    <w:rsid w:val="00C65103"/>
    <w:rsid w:val="00C66483"/>
    <w:rsid w:val="00C7153E"/>
    <w:rsid w:val="00C72191"/>
    <w:rsid w:val="00C72285"/>
    <w:rsid w:val="00C77B7E"/>
    <w:rsid w:val="00C90C12"/>
    <w:rsid w:val="00CA6634"/>
    <w:rsid w:val="00CB036E"/>
    <w:rsid w:val="00CC0FA6"/>
    <w:rsid w:val="00CD0FDC"/>
    <w:rsid w:val="00CD3225"/>
    <w:rsid w:val="00CE34AF"/>
    <w:rsid w:val="00CF5B51"/>
    <w:rsid w:val="00CF7E34"/>
    <w:rsid w:val="00D020FB"/>
    <w:rsid w:val="00D25150"/>
    <w:rsid w:val="00D41FF8"/>
    <w:rsid w:val="00D45561"/>
    <w:rsid w:val="00D569F5"/>
    <w:rsid w:val="00D6005A"/>
    <w:rsid w:val="00D6267B"/>
    <w:rsid w:val="00D638C7"/>
    <w:rsid w:val="00D64C5E"/>
    <w:rsid w:val="00D66A40"/>
    <w:rsid w:val="00D76208"/>
    <w:rsid w:val="00D8609B"/>
    <w:rsid w:val="00DA0362"/>
    <w:rsid w:val="00DA3B1B"/>
    <w:rsid w:val="00DB7158"/>
    <w:rsid w:val="00DC77A7"/>
    <w:rsid w:val="00DE1C83"/>
    <w:rsid w:val="00DF2FD8"/>
    <w:rsid w:val="00E04D53"/>
    <w:rsid w:val="00E16379"/>
    <w:rsid w:val="00E2064A"/>
    <w:rsid w:val="00E21405"/>
    <w:rsid w:val="00E2268A"/>
    <w:rsid w:val="00E25E17"/>
    <w:rsid w:val="00E2612B"/>
    <w:rsid w:val="00E3623A"/>
    <w:rsid w:val="00E4165E"/>
    <w:rsid w:val="00E45222"/>
    <w:rsid w:val="00E531F9"/>
    <w:rsid w:val="00E624E2"/>
    <w:rsid w:val="00E82372"/>
    <w:rsid w:val="00EB34D7"/>
    <w:rsid w:val="00EC60C6"/>
    <w:rsid w:val="00ED5203"/>
    <w:rsid w:val="00EE43CE"/>
    <w:rsid w:val="00EE4EA5"/>
    <w:rsid w:val="00EE6071"/>
    <w:rsid w:val="00EF5857"/>
    <w:rsid w:val="00F037FC"/>
    <w:rsid w:val="00F0691A"/>
    <w:rsid w:val="00F1237C"/>
    <w:rsid w:val="00F20986"/>
    <w:rsid w:val="00F20EB6"/>
    <w:rsid w:val="00F216E3"/>
    <w:rsid w:val="00F26856"/>
    <w:rsid w:val="00F30DDE"/>
    <w:rsid w:val="00F36EC3"/>
    <w:rsid w:val="00F42A4A"/>
    <w:rsid w:val="00F4516A"/>
    <w:rsid w:val="00F53C2D"/>
    <w:rsid w:val="00F66B7F"/>
    <w:rsid w:val="00F7210D"/>
    <w:rsid w:val="00F8314A"/>
    <w:rsid w:val="00F876D7"/>
    <w:rsid w:val="00F91E81"/>
    <w:rsid w:val="00F95054"/>
    <w:rsid w:val="00FC7D62"/>
    <w:rsid w:val="00FD4050"/>
    <w:rsid w:val="00FF6A37"/>
    <w:rsid w:val="032D315A"/>
    <w:rsid w:val="034D4FEF"/>
    <w:rsid w:val="03D249ED"/>
    <w:rsid w:val="040F1E8F"/>
    <w:rsid w:val="0417317B"/>
    <w:rsid w:val="043E5B56"/>
    <w:rsid w:val="04732647"/>
    <w:rsid w:val="04CF4391"/>
    <w:rsid w:val="052D280B"/>
    <w:rsid w:val="05A625A8"/>
    <w:rsid w:val="05F504EF"/>
    <w:rsid w:val="05FE4064"/>
    <w:rsid w:val="06792773"/>
    <w:rsid w:val="08911978"/>
    <w:rsid w:val="091F71B0"/>
    <w:rsid w:val="092A4ADF"/>
    <w:rsid w:val="099E33D8"/>
    <w:rsid w:val="0A042978"/>
    <w:rsid w:val="0A7B4867"/>
    <w:rsid w:val="0AAF134E"/>
    <w:rsid w:val="0AE83DE6"/>
    <w:rsid w:val="0B330CF1"/>
    <w:rsid w:val="0B881E3F"/>
    <w:rsid w:val="0B8C3ECC"/>
    <w:rsid w:val="0BBA0A81"/>
    <w:rsid w:val="0C221D1D"/>
    <w:rsid w:val="0C2D57D1"/>
    <w:rsid w:val="0C7227A7"/>
    <w:rsid w:val="0DA014E7"/>
    <w:rsid w:val="0DB32518"/>
    <w:rsid w:val="0DC42297"/>
    <w:rsid w:val="0E714607"/>
    <w:rsid w:val="0E7E2314"/>
    <w:rsid w:val="0EC3241C"/>
    <w:rsid w:val="0F3317C1"/>
    <w:rsid w:val="0F5237D2"/>
    <w:rsid w:val="0F802ABC"/>
    <w:rsid w:val="0F8333F0"/>
    <w:rsid w:val="0FA062BA"/>
    <w:rsid w:val="10492164"/>
    <w:rsid w:val="106E6DC6"/>
    <w:rsid w:val="1192733C"/>
    <w:rsid w:val="120C4FBF"/>
    <w:rsid w:val="12386E6F"/>
    <w:rsid w:val="129A3341"/>
    <w:rsid w:val="13442466"/>
    <w:rsid w:val="14155180"/>
    <w:rsid w:val="14221705"/>
    <w:rsid w:val="142B6836"/>
    <w:rsid w:val="1464557E"/>
    <w:rsid w:val="152A0518"/>
    <w:rsid w:val="157E049B"/>
    <w:rsid w:val="15C26F8A"/>
    <w:rsid w:val="15F06E99"/>
    <w:rsid w:val="164948B5"/>
    <w:rsid w:val="169A7F07"/>
    <w:rsid w:val="17555F0B"/>
    <w:rsid w:val="17C4692E"/>
    <w:rsid w:val="17F631BE"/>
    <w:rsid w:val="18461A14"/>
    <w:rsid w:val="189866C8"/>
    <w:rsid w:val="19063631"/>
    <w:rsid w:val="19B71470"/>
    <w:rsid w:val="19C01A32"/>
    <w:rsid w:val="19CC1E23"/>
    <w:rsid w:val="1A0B7381"/>
    <w:rsid w:val="1A330456"/>
    <w:rsid w:val="1AE17EB2"/>
    <w:rsid w:val="1C043A04"/>
    <w:rsid w:val="1C0518BA"/>
    <w:rsid w:val="1C4C0424"/>
    <w:rsid w:val="1C7A04C1"/>
    <w:rsid w:val="1CC932F4"/>
    <w:rsid w:val="1D741FDD"/>
    <w:rsid w:val="1D7C4924"/>
    <w:rsid w:val="1DAF458D"/>
    <w:rsid w:val="1EA330CC"/>
    <w:rsid w:val="1EB61656"/>
    <w:rsid w:val="1F4D3D68"/>
    <w:rsid w:val="1FED210E"/>
    <w:rsid w:val="203B0065"/>
    <w:rsid w:val="20DD6197"/>
    <w:rsid w:val="21A91B81"/>
    <w:rsid w:val="222A65E3"/>
    <w:rsid w:val="23AF0AD9"/>
    <w:rsid w:val="23BC04D2"/>
    <w:rsid w:val="23FB0802"/>
    <w:rsid w:val="25217DFA"/>
    <w:rsid w:val="255A3847"/>
    <w:rsid w:val="2576795D"/>
    <w:rsid w:val="259721E1"/>
    <w:rsid w:val="25AD6636"/>
    <w:rsid w:val="2631564B"/>
    <w:rsid w:val="26752EC5"/>
    <w:rsid w:val="26795975"/>
    <w:rsid w:val="26E01966"/>
    <w:rsid w:val="26FC5D6A"/>
    <w:rsid w:val="26FF09C7"/>
    <w:rsid w:val="27345AF6"/>
    <w:rsid w:val="277F0ACA"/>
    <w:rsid w:val="27CF2642"/>
    <w:rsid w:val="2895052E"/>
    <w:rsid w:val="29B13146"/>
    <w:rsid w:val="29ED4AAF"/>
    <w:rsid w:val="2A053397"/>
    <w:rsid w:val="2C8815BF"/>
    <w:rsid w:val="2CC338BC"/>
    <w:rsid w:val="2D1136DF"/>
    <w:rsid w:val="2D480265"/>
    <w:rsid w:val="2DD47676"/>
    <w:rsid w:val="2DDB0E91"/>
    <w:rsid w:val="2E743C6A"/>
    <w:rsid w:val="2F916B46"/>
    <w:rsid w:val="2FD27414"/>
    <w:rsid w:val="2FD45ADE"/>
    <w:rsid w:val="301461DC"/>
    <w:rsid w:val="3086500B"/>
    <w:rsid w:val="319D5866"/>
    <w:rsid w:val="31C63837"/>
    <w:rsid w:val="33CF6FEA"/>
    <w:rsid w:val="349B3370"/>
    <w:rsid w:val="3567606C"/>
    <w:rsid w:val="35743217"/>
    <w:rsid w:val="35BE5248"/>
    <w:rsid w:val="35FB19DD"/>
    <w:rsid w:val="361B360C"/>
    <w:rsid w:val="37B163A5"/>
    <w:rsid w:val="3914510A"/>
    <w:rsid w:val="39A97FBD"/>
    <w:rsid w:val="3B12207E"/>
    <w:rsid w:val="3B1540E8"/>
    <w:rsid w:val="3B3C07D5"/>
    <w:rsid w:val="3C745C12"/>
    <w:rsid w:val="3D2A665C"/>
    <w:rsid w:val="3D5275AC"/>
    <w:rsid w:val="3DC94AAA"/>
    <w:rsid w:val="3DC96858"/>
    <w:rsid w:val="3E3F6B1A"/>
    <w:rsid w:val="3FA9316F"/>
    <w:rsid w:val="3FEB5DEA"/>
    <w:rsid w:val="40834692"/>
    <w:rsid w:val="416A2335"/>
    <w:rsid w:val="41A84A67"/>
    <w:rsid w:val="41BD2B78"/>
    <w:rsid w:val="42913A5C"/>
    <w:rsid w:val="434F5A51"/>
    <w:rsid w:val="439B381A"/>
    <w:rsid w:val="43D97719"/>
    <w:rsid w:val="43F3098B"/>
    <w:rsid w:val="44425296"/>
    <w:rsid w:val="448437A4"/>
    <w:rsid w:val="44D205B1"/>
    <w:rsid w:val="44F4368F"/>
    <w:rsid w:val="454126C2"/>
    <w:rsid w:val="454B2248"/>
    <w:rsid w:val="45833FED"/>
    <w:rsid w:val="45E16709"/>
    <w:rsid w:val="463F16B9"/>
    <w:rsid w:val="46901EEE"/>
    <w:rsid w:val="469C74D2"/>
    <w:rsid w:val="47376A2B"/>
    <w:rsid w:val="47791D37"/>
    <w:rsid w:val="47A53BB1"/>
    <w:rsid w:val="496D4D42"/>
    <w:rsid w:val="49B933AA"/>
    <w:rsid w:val="49F963F6"/>
    <w:rsid w:val="4A6B0F8B"/>
    <w:rsid w:val="4B4C0111"/>
    <w:rsid w:val="4C72630D"/>
    <w:rsid w:val="4D270BA8"/>
    <w:rsid w:val="4D4759EB"/>
    <w:rsid w:val="4E3C6544"/>
    <w:rsid w:val="4E6414EC"/>
    <w:rsid w:val="4F9A0054"/>
    <w:rsid w:val="500B2EA9"/>
    <w:rsid w:val="50A62A29"/>
    <w:rsid w:val="50DB5F45"/>
    <w:rsid w:val="52926DE7"/>
    <w:rsid w:val="52B159A3"/>
    <w:rsid w:val="52F92565"/>
    <w:rsid w:val="539A32BF"/>
    <w:rsid w:val="53B84F4D"/>
    <w:rsid w:val="54E12281"/>
    <w:rsid w:val="551E5284"/>
    <w:rsid w:val="55911164"/>
    <w:rsid w:val="55CE6BE9"/>
    <w:rsid w:val="561E6F68"/>
    <w:rsid w:val="56B72612"/>
    <w:rsid w:val="575171B4"/>
    <w:rsid w:val="57E43B01"/>
    <w:rsid w:val="583059FA"/>
    <w:rsid w:val="5A8D7D9D"/>
    <w:rsid w:val="5ABB586A"/>
    <w:rsid w:val="5BD14DFE"/>
    <w:rsid w:val="5F9C3975"/>
    <w:rsid w:val="5FA17648"/>
    <w:rsid w:val="600734E4"/>
    <w:rsid w:val="60513E90"/>
    <w:rsid w:val="606C65D9"/>
    <w:rsid w:val="607466A0"/>
    <w:rsid w:val="60D801D1"/>
    <w:rsid w:val="6177129C"/>
    <w:rsid w:val="61A46A97"/>
    <w:rsid w:val="62206ADF"/>
    <w:rsid w:val="62DD7D21"/>
    <w:rsid w:val="63005324"/>
    <w:rsid w:val="630F26B0"/>
    <w:rsid w:val="65D97752"/>
    <w:rsid w:val="65ED4F2A"/>
    <w:rsid w:val="67B50D99"/>
    <w:rsid w:val="68DB0208"/>
    <w:rsid w:val="692A3D9F"/>
    <w:rsid w:val="695011B1"/>
    <w:rsid w:val="69926A38"/>
    <w:rsid w:val="69AD798C"/>
    <w:rsid w:val="69BF098B"/>
    <w:rsid w:val="6A1227E3"/>
    <w:rsid w:val="6B655327"/>
    <w:rsid w:val="6B68175F"/>
    <w:rsid w:val="6B9C7099"/>
    <w:rsid w:val="6C085287"/>
    <w:rsid w:val="6C0D23FB"/>
    <w:rsid w:val="6CA85897"/>
    <w:rsid w:val="6DE10726"/>
    <w:rsid w:val="6DE6616A"/>
    <w:rsid w:val="6E0F7A08"/>
    <w:rsid w:val="6F2B707F"/>
    <w:rsid w:val="71473612"/>
    <w:rsid w:val="718F7F65"/>
    <w:rsid w:val="71BA2F54"/>
    <w:rsid w:val="73F7554E"/>
    <w:rsid w:val="73FB6630"/>
    <w:rsid w:val="741B5F93"/>
    <w:rsid w:val="74E76DCD"/>
    <w:rsid w:val="75DD70A5"/>
    <w:rsid w:val="75F80CF3"/>
    <w:rsid w:val="76E00627"/>
    <w:rsid w:val="76E71522"/>
    <w:rsid w:val="770F2355"/>
    <w:rsid w:val="77ED6F44"/>
    <w:rsid w:val="77F2017E"/>
    <w:rsid w:val="78F03F96"/>
    <w:rsid w:val="79232399"/>
    <w:rsid w:val="794D4DD4"/>
    <w:rsid w:val="796E7CD8"/>
    <w:rsid w:val="7A121319"/>
    <w:rsid w:val="7A67777E"/>
    <w:rsid w:val="7A902BE2"/>
    <w:rsid w:val="7AEA5A84"/>
    <w:rsid w:val="7B34797E"/>
    <w:rsid w:val="7C3E50B0"/>
    <w:rsid w:val="7DE76479"/>
    <w:rsid w:val="7E663674"/>
    <w:rsid w:val="7E8D3147"/>
    <w:rsid w:val="7F985AAF"/>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annotation reference"/>
    <w:basedOn w:val="10"/>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6">
    <w:name w:val="WPSOffice手动目录 1"/>
    <w:qFormat/>
    <w:uiPriority w:val="0"/>
    <w:rPr>
      <w:rFonts w:ascii="Times New Roman" w:hAnsi="Times New Roman" w:eastAsia="宋体" w:cs="Times New Roman"/>
      <w:lang w:val="en-US" w:eastAsia="zh-CN" w:bidi="ug-CN"/>
    </w:rPr>
  </w:style>
  <w:style w:type="character" w:customStyle="1" w:styleId="17">
    <w:name w:val="批注框文本 字符"/>
    <w:basedOn w:val="10"/>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5E815D-478E-4928-87C9-9625B0FA0FEC}">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25</Pages>
  <Words>9360</Words>
  <Characters>10568</Characters>
  <Lines>92</Lines>
  <Paragraphs>26</Paragraphs>
  <ScaleCrop>false</ScaleCrop>
  <LinksUpToDate>false</LinksUpToDate>
  <CharactersWithSpaces>10612</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赵燕</cp:lastModifiedBy>
  <cp:lastPrinted>2024-08-30T04:47:10Z</cp:lastPrinted>
  <dcterms:modified xsi:type="dcterms:W3CDTF">2024-08-30T04:48:43Z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450F969ACD1B426EA23123C3601580AE_13</vt:lpwstr>
  </property>
</Properties>
</file>