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600" w:lineRule="exact"/>
        <w:textAlignment w:val="auto"/>
        <w:rPr>
          <w:rFonts w:hint="default" w:ascii="Times New Roman" w:hAnsi="Times New Roman" w:eastAsia="黑体" w:cs="Times New Roman"/>
          <w:color w:val="auto"/>
          <w:sz w:val="32"/>
          <w:szCs w:val="32"/>
          <w:highlight w:val="none"/>
        </w:rPr>
      </w:pPr>
    </w:p>
    <w:p>
      <w:pPr>
        <w:keepNext w:val="0"/>
        <w:keepLines w:val="0"/>
        <w:pageBreakBefore w:val="0"/>
        <w:widowControl w:val="0"/>
        <w:kinsoku/>
        <w:wordWrap/>
        <w:overflowPunct/>
        <w:topLinePunct w:val="0"/>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p>
    <w:p>
      <w:pPr>
        <w:keepNext w:val="0"/>
        <w:keepLines w:val="0"/>
        <w:pageBreakBefore w:val="0"/>
        <w:widowControl w:val="0"/>
        <w:kinsoku/>
        <w:wordWrap/>
        <w:overflowPunct/>
        <w:topLinePunct w:val="0"/>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lang w:eastAsia="zh-CN"/>
        </w:rPr>
      </w:pPr>
      <w:r>
        <w:rPr>
          <w:rFonts w:hint="default" w:ascii="Times New Roman" w:hAnsi="Times New Roman" w:eastAsia="方正小标宋_GBK" w:cs="Times New Roman"/>
          <w:color w:val="auto"/>
          <w:sz w:val="44"/>
          <w:szCs w:val="44"/>
          <w:highlight w:val="none"/>
          <w:lang w:val="en-US" w:eastAsia="zh-CN"/>
        </w:rPr>
        <w:t>自治区法学会</w:t>
      </w:r>
      <w:r>
        <w:rPr>
          <w:rFonts w:hint="default" w:ascii="Times New Roman" w:hAnsi="Times New Roman" w:eastAsia="方正小标宋_GBK" w:cs="Times New Roman"/>
          <w:color w:val="auto"/>
          <w:sz w:val="44"/>
          <w:szCs w:val="44"/>
          <w:highlight w:val="none"/>
          <w:lang w:eastAsia="zh-CN"/>
        </w:rPr>
        <w:t>2023年度</w:t>
      </w:r>
    </w:p>
    <w:p>
      <w:pPr>
        <w:keepNext w:val="0"/>
        <w:keepLines w:val="0"/>
        <w:pageBreakBefore w:val="0"/>
        <w:widowControl w:val="0"/>
        <w:kinsoku/>
        <w:wordWrap/>
        <w:overflowPunct/>
        <w:topLinePunct w:val="0"/>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部门决算公开说明</w:t>
      </w:r>
    </w:p>
    <w:p>
      <w:pPr>
        <w:keepNext w:val="0"/>
        <w:keepLines w:val="0"/>
        <w:pageBreakBefore w:val="0"/>
        <w:kinsoku/>
        <w:wordWrap/>
        <w:overflowPunct/>
        <w:topLinePunct w:val="0"/>
        <w:bidi w:val="0"/>
        <w:adjustRightInd/>
        <w:snapToGrid/>
        <w:spacing w:line="600" w:lineRule="exact"/>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pPr>
        <w:keepNext w:val="0"/>
        <w:keepLines w:val="0"/>
        <w:pageBreakBefore w:val="0"/>
        <w:kinsoku/>
        <w:wordWrap/>
        <w:overflowPunct/>
        <w:topLinePunct w:val="0"/>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pPr>
        <w:keepNext w:val="0"/>
        <w:keepLines w:val="0"/>
        <w:pageBreakBefore w:val="0"/>
        <w:kinsoku/>
        <w:wordWrap/>
        <w:overflowPunct/>
        <w:topLinePunct w:val="0"/>
        <w:bidi w:val="0"/>
        <w:adjustRightInd/>
        <w:snapToGrid/>
        <w:spacing w:line="600"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738"/>
      <w:bookmarkStart w:id="3" w:name="_Toc30567"/>
      <w:r>
        <w:rPr>
          <w:rFonts w:hint="default" w:ascii="Times New Roman" w:hAnsi="Times New Roman" w:eastAsia="黑体" w:cs="Times New Roman"/>
          <w:bCs/>
          <w:color w:val="auto"/>
          <w:kern w:val="0"/>
          <w:sz w:val="32"/>
          <w:szCs w:val="32"/>
          <w:highlight w:val="none"/>
        </w:rPr>
        <w:t>一、主要职能</w:t>
      </w:r>
      <w:bookmarkEnd w:id="2"/>
      <w:bookmarkEnd w:id="3"/>
    </w:p>
    <w:p>
      <w:pPr>
        <w:pStyle w:val="17"/>
        <w:keepNext w:val="0"/>
        <w:keepLines w:val="0"/>
        <w:pageBreakBefore w:val="0"/>
        <w:widowControl/>
        <w:kinsoku/>
        <w:wordWrap/>
        <w:overflowPunct/>
        <w:topLinePunct w:val="0"/>
        <w:bidi w:val="0"/>
        <w:adjustRightInd/>
        <w:snapToGrid/>
        <w:spacing w:line="600" w:lineRule="exact"/>
        <w:ind w:left="0" w:firstLine="640"/>
        <w:textAlignment w:val="auto"/>
        <w:rPr>
          <w:rFonts w:hint="default" w:ascii="Times New Roman" w:hAnsi="Times New Roman" w:eastAsia="方正仿宋简体" w:cs="Times New Roman"/>
          <w:color w:val="000000"/>
          <w:sz w:val="32"/>
          <w:szCs w:val="32"/>
          <w:lang w:val="en-US"/>
        </w:rPr>
      </w:pPr>
      <w:bookmarkStart w:id="4" w:name="_Toc31238"/>
      <w:bookmarkStart w:id="5" w:name="_Toc2151"/>
      <w:r>
        <w:rPr>
          <w:rFonts w:hint="default" w:ascii="Times New Roman" w:hAnsi="Times New Roman" w:eastAsia="方正仿宋简体" w:cs="Times New Roman"/>
          <w:color w:val="000000"/>
          <w:sz w:val="32"/>
          <w:szCs w:val="32"/>
          <w:lang w:eastAsia="zh-CN"/>
        </w:rPr>
        <w:t>新疆维吾尔自治区法学会（以下简称自治区法学会）是自治区党委领导下由法学界、法律界工作者组成的自治区人民团体，由自治区党委政法委代管。自治区法学会机关的主要职责：</w:t>
      </w:r>
    </w:p>
    <w:p>
      <w:pPr>
        <w:pStyle w:val="17"/>
        <w:keepNext w:val="0"/>
        <w:keepLines w:val="0"/>
        <w:pageBreakBefore w:val="0"/>
        <w:widowControl/>
        <w:kinsoku/>
        <w:wordWrap/>
        <w:overflowPunct/>
        <w:topLinePunct w:val="0"/>
        <w:bidi w:val="0"/>
        <w:adjustRightInd/>
        <w:snapToGrid/>
        <w:spacing w:line="600" w:lineRule="exact"/>
        <w:ind w:left="0" w:firstLine="640"/>
        <w:textAlignment w:val="auto"/>
        <w:rPr>
          <w:rFonts w:hint="default" w:ascii="Times New Roman" w:hAnsi="Times New Roman" w:eastAsia="方正仿宋简体" w:cs="Times New Roman"/>
          <w:color w:val="000000"/>
          <w:sz w:val="32"/>
          <w:szCs w:val="32"/>
          <w:lang w:val="en-US"/>
        </w:rPr>
      </w:pPr>
      <w:r>
        <w:rPr>
          <w:rFonts w:hint="default" w:ascii="Times New Roman" w:hAnsi="Times New Roman" w:eastAsia="方正仿宋简体" w:cs="Times New Roman"/>
          <w:color w:val="000000"/>
          <w:sz w:val="32"/>
          <w:szCs w:val="32"/>
          <w:lang w:eastAsia="zh-CN"/>
        </w:rPr>
        <w:t>（一）拟订法学会工作规划并督促落实，开展调查研究。组织法学法律工作者学习贯彻党的基本理论、基本路线、基本方略，深入贯彻落实新时代党的治疆方略特别是社会稳定和长治久安总目标。</w:t>
      </w:r>
    </w:p>
    <w:p>
      <w:pPr>
        <w:pStyle w:val="17"/>
        <w:keepNext w:val="0"/>
        <w:keepLines w:val="0"/>
        <w:pageBreakBefore w:val="0"/>
        <w:widowControl/>
        <w:kinsoku/>
        <w:wordWrap/>
        <w:overflowPunct/>
        <w:topLinePunct w:val="0"/>
        <w:bidi w:val="0"/>
        <w:adjustRightInd/>
        <w:snapToGrid/>
        <w:spacing w:line="600" w:lineRule="exact"/>
        <w:ind w:left="0" w:firstLine="640"/>
        <w:textAlignment w:val="auto"/>
        <w:rPr>
          <w:rFonts w:hint="default" w:ascii="Times New Roman" w:hAnsi="Times New Roman" w:eastAsia="方正仿宋简体" w:cs="Times New Roman"/>
          <w:color w:val="000000"/>
          <w:sz w:val="32"/>
          <w:szCs w:val="32"/>
          <w:lang w:val="en-US"/>
        </w:rPr>
      </w:pPr>
      <w:r>
        <w:rPr>
          <w:rFonts w:hint="default" w:ascii="Times New Roman" w:hAnsi="Times New Roman" w:eastAsia="方正仿宋简体" w:cs="Times New Roman"/>
          <w:color w:val="000000"/>
          <w:sz w:val="32"/>
          <w:szCs w:val="32"/>
          <w:lang w:eastAsia="zh-CN"/>
        </w:rPr>
        <w:t>（二）引领、繁荣法学研究，推进法学理论创新、法律制度创新和法治文化创新，促进法学研究成果的推广和应用转化，为推进社会主义民主法治建设、维护新疆社会稳定和长治久安总目标提供理论支持和智力服务。</w:t>
      </w:r>
    </w:p>
    <w:p>
      <w:pPr>
        <w:pStyle w:val="17"/>
        <w:keepNext w:val="0"/>
        <w:keepLines w:val="0"/>
        <w:pageBreakBefore w:val="0"/>
        <w:widowControl/>
        <w:kinsoku/>
        <w:wordWrap/>
        <w:overflowPunct/>
        <w:topLinePunct w:val="0"/>
        <w:bidi w:val="0"/>
        <w:adjustRightInd/>
        <w:snapToGrid/>
        <w:spacing w:line="600" w:lineRule="exact"/>
        <w:ind w:left="0" w:firstLine="640"/>
        <w:textAlignment w:val="auto"/>
        <w:rPr>
          <w:rFonts w:hint="default" w:ascii="Times New Roman" w:hAnsi="Times New Roman" w:eastAsia="方正仿宋简体" w:cs="Times New Roman"/>
          <w:color w:val="000000"/>
          <w:sz w:val="32"/>
          <w:szCs w:val="32"/>
          <w:lang w:val="en-US"/>
        </w:rPr>
      </w:pPr>
      <w:r>
        <w:rPr>
          <w:rFonts w:hint="default" w:ascii="Times New Roman" w:hAnsi="Times New Roman" w:eastAsia="方正仿宋简体" w:cs="Times New Roman"/>
          <w:color w:val="000000"/>
          <w:sz w:val="32"/>
          <w:szCs w:val="32"/>
          <w:lang w:eastAsia="zh-CN"/>
        </w:rPr>
        <w:t>（三）参与法律服务，组织法学法律工作者参与党内法规和法律、法规、规章的咨询、论证、草拟、修改等工作。参与党委政府决策咨询、法治评估以及平安新疆、法治新疆建设工作。参与法律服务公共体系建设。</w:t>
      </w:r>
    </w:p>
    <w:p>
      <w:pPr>
        <w:pStyle w:val="17"/>
        <w:keepNext w:val="0"/>
        <w:keepLines w:val="0"/>
        <w:pageBreakBefore w:val="0"/>
        <w:widowControl/>
        <w:kinsoku/>
        <w:wordWrap/>
        <w:overflowPunct/>
        <w:topLinePunct w:val="0"/>
        <w:bidi w:val="0"/>
        <w:adjustRightInd/>
        <w:snapToGrid/>
        <w:spacing w:line="600" w:lineRule="exact"/>
        <w:ind w:left="0" w:firstLine="640"/>
        <w:textAlignment w:val="auto"/>
        <w:rPr>
          <w:rFonts w:hint="default" w:ascii="Times New Roman" w:hAnsi="Times New Roman" w:eastAsia="方正仿宋简体" w:cs="Times New Roman"/>
          <w:color w:val="000000"/>
          <w:sz w:val="32"/>
          <w:szCs w:val="32"/>
          <w:lang w:val="en-US"/>
        </w:rPr>
      </w:pPr>
      <w:r>
        <w:rPr>
          <w:rFonts w:hint="default" w:ascii="Times New Roman" w:hAnsi="Times New Roman" w:eastAsia="方正仿宋简体" w:cs="Times New Roman"/>
          <w:color w:val="000000"/>
          <w:sz w:val="32"/>
          <w:szCs w:val="32"/>
          <w:lang w:eastAsia="zh-CN"/>
        </w:rPr>
        <w:t>（四）参与法治宣传，组织法学法律工作者参加法治宣传教育活动，开展法律咨询和培训服务，培育和发展中国特色社会主义法治文化。</w:t>
      </w:r>
    </w:p>
    <w:p>
      <w:pPr>
        <w:pStyle w:val="17"/>
        <w:keepNext w:val="0"/>
        <w:keepLines w:val="0"/>
        <w:pageBreakBefore w:val="0"/>
        <w:widowControl/>
        <w:kinsoku/>
        <w:wordWrap/>
        <w:overflowPunct/>
        <w:topLinePunct w:val="0"/>
        <w:bidi w:val="0"/>
        <w:adjustRightInd/>
        <w:snapToGrid/>
        <w:spacing w:line="600" w:lineRule="exact"/>
        <w:ind w:left="0" w:firstLine="640"/>
        <w:textAlignment w:val="auto"/>
        <w:rPr>
          <w:rFonts w:hint="default" w:ascii="Times New Roman" w:hAnsi="Times New Roman" w:eastAsia="方正仿宋简体" w:cs="Times New Roman"/>
          <w:color w:val="000000"/>
          <w:sz w:val="32"/>
          <w:szCs w:val="32"/>
          <w:lang w:val="en-US"/>
        </w:rPr>
      </w:pPr>
      <w:r>
        <w:rPr>
          <w:rFonts w:hint="default" w:ascii="Times New Roman" w:hAnsi="Times New Roman" w:eastAsia="方正仿宋简体" w:cs="Times New Roman"/>
          <w:color w:val="000000"/>
          <w:sz w:val="32"/>
          <w:szCs w:val="32"/>
          <w:lang w:eastAsia="zh-CN"/>
        </w:rPr>
        <w:t>（五）开展法学交流，组织优秀法学法律人才和法学研究成果评选，培养和凝聚优秀法学法律人才队伍。</w:t>
      </w:r>
    </w:p>
    <w:p>
      <w:pPr>
        <w:pStyle w:val="17"/>
        <w:keepNext w:val="0"/>
        <w:keepLines w:val="0"/>
        <w:pageBreakBefore w:val="0"/>
        <w:widowControl/>
        <w:kinsoku/>
        <w:wordWrap/>
        <w:overflowPunct/>
        <w:topLinePunct w:val="0"/>
        <w:bidi w:val="0"/>
        <w:adjustRightInd/>
        <w:snapToGrid/>
        <w:spacing w:line="600" w:lineRule="exact"/>
        <w:ind w:left="0" w:firstLine="640"/>
        <w:textAlignment w:val="auto"/>
        <w:rPr>
          <w:rFonts w:hint="default" w:ascii="Times New Roman" w:hAnsi="Times New Roman" w:eastAsia="方正仿宋简体" w:cs="Times New Roman"/>
          <w:color w:val="000000"/>
          <w:sz w:val="32"/>
          <w:szCs w:val="32"/>
          <w:lang w:val="en-US"/>
        </w:rPr>
      </w:pPr>
      <w:r>
        <w:rPr>
          <w:rFonts w:hint="default" w:ascii="Times New Roman" w:hAnsi="Times New Roman" w:eastAsia="方正仿宋简体" w:cs="Times New Roman"/>
          <w:color w:val="000000"/>
          <w:sz w:val="32"/>
          <w:szCs w:val="32"/>
          <w:lang w:eastAsia="zh-CN"/>
        </w:rPr>
        <w:t>（六）加强法学社会团体的管理、监督、服务和业务指导工作。</w:t>
      </w:r>
    </w:p>
    <w:p>
      <w:pPr>
        <w:pStyle w:val="17"/>
        <w:keepNext w:val="0"/>
        <w:keepLines w:val="0"/>
        <w:pageBreakBefore w:val="0"/>
        <w:widowControl/>
        <w:kinsoku/>
        <w:wordWrap/>
        <w:overflowPunct/>
        <w:topLinePunct w:val="0"/>
        <w:bidi w:val="0"/>
        <w:adjustRightInd/>
        <w:snapToGrid/>
        <w:spacing w:line="600" w:lineRule="exact"/>
        <w:ind w:left="0" w:firstLine="640"/>
        <w:textAlignment w:val="auto"/>
        <w:rPr>
          <w:rFonts w:hint="default" w:ascii="Times New Roman" w:hAnsi="Times New Roman" w:eastAsia="方正仿宋简体" w:cs="Times New Roman"/>
          <w:color w:val="000000"/>
          <w:sz w:val="32"/>
          <w:szCs w:val="32"/>
          <w:lang w:val="en-US"/>
        </w:rPr>
      </w:pPr>
      <w:r>
        <w:rPr>
          <w:rFonts w:hint="default" w:ascii="Times New Roman" w:hAnsi="Times New Roman" w:eastAsia="方正仿宋简体" w:cs="Times New Roman"/>
          <w:color w:val="000000"/>
          <w:sz w:val="32"/>
          <w:szCs w:val="32"/>
          <w:lang w:eastAsia="zh-CN"/>
        </w:rPr>
        <w:t>（七）管理、发展、服务会员，反映会员和法学界、法律界的意见和建议，维护会员的合法权益。</w:t>
      </w:r>
    </w:p>
    <w:p>
      <w:pPr>
        <w:pStyle w:val="17"/>
        <w:keepNext w:val="0"/>
        <w:keepLines w:val="0"/>
        <w:pageBreakBefore w:val="0"/>
        <w:widowControl/>
        <w:kinsoku/>
        <w:wordWrap/>
        <w:overflowPunct/>
        <w:topLinePunct w:val="0"/>
        <w:bidi w:val="0"/>
        <w:adjustRightInd/>
        <w:snapToGrid/>
        <w:spacing w:line="600" w:lineRule="exact"/>
        <w:ind w:left="640" w:firstLine="0" w:firstLineChars="0"/>
        <w:textAlignment w:val="auto"/>
        <w:rPr>
          <w:rFonts w:hint="default" w:ascii="Times New Roman" w:hAnsi="Times New Roman" w:eastAsia="方正仿宋简体" w:cs="Times New Roman"/>
          <w:color w:val="000000"/>
          <w:sz w:val="32"/>
          <w:szCs w:val="32"/>
          <w:lang w:val="en-US"/>
        </w:rPr>
      </w:pPr>
      <w:r>
        <w:rPr>
          <w:rFonts w:hint="default" w:ascii="Times New Roman" w:hAnsi="Times New Roman" w:eastAsia="方正仿宋简体" w:cs="Times New Roman"/>
          <w:color w:val="000000"/>
          <w:sz w:val="32"/>
          <w:szCs w:val="32"/>
          <w:lang w:eastAsia="zh-CN"/>
        </w:rPr>
        <w:t>（八）依法依章程指导下级法学会业务工作。</w:t>
      </w:r>
    </w:p>
    <w:p>
      <w:pPr>
        <w:pStyle w:val="17"/>
        <w:keepNext w:val="0"/>
        <w:keepLines w:val="0"/>
        <w:pageBreakBefore w:val="0"/>
        <w:widowControl/>
        <w:kinsoku/>
        <w:wordWrap/>
        <w:overflowPunct/>
        <w:topLinePunct w:val="0"/>
        <w:bidi w:val="0"/>
        <w:adjustRightInd/>
        <w:snapToGrid/>
        <w:spacing w:line="600" w:lineRule="exact"/>
        <w:ind w:left="0" w:firstLine="640"/>
        <w:textAlignment w:val="auto"/>
        <w:rPr>
          <w:rFonts w:hint="default" w:ascii="Times New Roman" w:hAnsi="Times New Roman" w:eastAsia="方正仿宋简体" w:cs="Times New Roman"/>
          <w:color w:val="000000"/>
          <w:sz w:val="32"/>
          <w:szCs w:val="32"/>
          <w:lang w:val="en-US"/>
        </w:rPr>
      </w:pPr>
      <w:r>
        <w:rPr>
          <w:rFonts w:hint="default" w:ascii="Times New Roman" w:hAnsi="Times New Roman" w:eastAsia="方正仿宋简体" w:cs="Times New Roman"/>
          <w:color w:val="000000"/>
          <w:sz w:val="32"/>
          <w:szCs w:val="32"/>
          <w:lang w:eastAsia="zh-CN"/>
        </w:rPr>
        <w:t>（九）承担自治区党委和自治区人民政府交办的其他任务。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b/>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自治区法学会</w:t>
      </w:r>
      <w:r>
        <w:rPr>
          <w:rFonts w:hint="default" w:ascii="Times New Roman" w:hAnsi="Times New Roman" w:eastAsia="方正仿宋简体" w:cs="Times New Roman"/>
          <w:color w:val="auto"/>
          <w:sz w:val="32"/>
          <w:szCs w:val="32"/>
          <w:highlight w:val="none"/>
          <w:lang w:eastAsia="zh-CN"/>
        </w:rPr>
        <w:t>2023年度，</w:t>
      </w:r>
      <w:r>
        <w:rPr>
          <w:rFonts w:hint="default" w:ascii="Times New Roman" w:hAnsi="Times New Roman" w:eastAsia="方正仿宋简体" w:cs="Times New Roman"/>
          <w:color w:val="auto"/>
          <w:sz w:val="32"/>
          <w:szCs w:val="32"/>
          <w:highlight w:val="none"/>
        </w:rPr>
        <w:t>实有人数</w:t>
      </w:r>
      <w:r>
        <w:rPr>
          <w:rFonts w:hint="default" w:ascii="Times New Roman" w:hAnsi="Times New Roman" w:eastAsia="方正仿宋简体" w:cs="Times New Roman"/>
          <w:color w:val="auto"/>
          <w:sz w:val="32"/>
          <w:szCs w:val="32"/>
          <w:highlight w:val="none"/>
          <w:lang w:val="zh-CN" w:eastAsia="zh-CN"/>
        </w:rPr>
        <w:t>19</w:t>
      </w:r>
      <w:r>
        <w:rPr>
          <w:rFonts w:hint="default" w:ascii="Times New Roman" w:hAnsi="Times New Roman" w:eastAsia="方正仿宋简体" w:cs="Times New Roman"/>
          <w:color w:val="auto"/>
          <w:sz w:val="32"/>
          <w:szCs w:val="32"/>
          <w:highlight w:val="none"/>
        </w:rPr>
        <w:t>人，其中：在职人员</w:t>
      </w:r>
      <w:r>
        <w:rPr>
          <w:rFonts w:hint="default" w:ascii="Times New Roman" w:hAnsi="Times New Roman" w:eastAsia="方正仿宋简体" w:cs="Times New Roman"/>
          <w:color w:val="auto"/>
          <w:sz w:val="32"/>
          <w:szCs w:val="32"/>
          <w:highlight w:val="none"/>
          <w:lang w:val="zh-CN" w:eastAsia="zh-CN"/>
        </w:rPr>
        <w:t>13</w:t>
      </w:r>
      <w:r>
        <w:rPr>
          <w:rFonts w:hint="default" w:ascii="Times New Roman" w:hAnsi="Times New Roman" w:eastAsia="方正仿宋简体" w:cs="Times New Roman"/>
          <w:color w:val="auto"/>
          <w:sz w:val="32"/>
          <w:szCs w:val="32"/>
          <w:highlight w:val="none"/>
        </w:rPr>
        <w:t>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离休人员</w:t>
      </w:r>
      <w:r>
        <w:rPr>
          <w:rFonts w:hint="default" w:ascii="Times New Roman" w:hAnsi="Times New Roman" w:eastAsia="方正仿宋简体" w:cs="Times New Roman"/>
          <w:color w:val="auto"/>
          <w:sz w:val="32"/>
          <w:szCs w:val="32"/>
          <w:highlight w:val="none"/>
          <w:lang w:val="zh-CN" w:eastAsia="zh-CN"/>
        </w:rPr>
        <w:t>0</w:t>
      </w:r>
      <w:r>
        <w:rPr>
          <w:rFonts w:hint="default" w:ascii="Times New Roman" w:hAnsi="Times New Roman" w:eastAsia="方正仿宋简体" w:cs="Times New Roman"/>
          <w:color w:val="auto"/>
          <w:sz w:val="32"/>
          <w:szCs w:val="32"/>
          <w:highlight w:val="none"/>
        </w:rPr>
        <w:t>人，退休人员</w:t>
      </w:r>
      <w:r>
        <w:rPr>
          <w:rFonts w:hint="default" w:ascii="Times New Roman" w:hAnsi="Times New Roman" w:eastAsia="方正仿宋简体" w:cs="Times New Roman"/>
          <w:color w:val="auto"/>
          <w:sz w:val="32"/>
          <w:szCs w:val="32"/>
          <w:highlight w:val="none"/>
          <w:lang w:val="zh-CN" w:eastAsia="zh-CN"/>
        </w:rPr>
        <w:t>6</w:t>
      </w:r>
      <w:r>
        <w:rPr>
          <w:rFonts w:hint="default" w:ascii="Times New Roman" w:hAnsi="Times New Roman" w:eastAsia="方正仿宋简体" w:cs="Times New Roman"/>
          <w:color w:val="auto"/>
          <w:sz w:val="32"/>
          <w:szCs w:val="32"/>
          <w:highlight w:val="none"/>
        </w:rPr>
        <w:t>人。</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0"/>
          <w:sz w:val="32"/>
          <w:szCs w:val="32"/>
          <w:highlight w:val="none"/>
        </w:rPr>
        <w:sectPr>
          <w:footerReference r:id="rId3" w:type="default"/>
          <w:pgSz w:w="11906" w:h="16838"/>
          <w:pgMar w:top="2098" w:right="1531" w:bottom="2098" w:left="1531" w:header="851" w:footer="992" w:gutter="0"/>
          <w:cols w:space="720" w:num="1"/>
          <w:docGrid w:type="lines" w:linePitch="312" w:charSpace="0"/>
        </w:sectPr>
      </w:pPr>
      <w:r>
        <w:rPr>
          <w:rFonts w:hint="default" w:ascii="Times New Roman" w:hAnsi="Times New Roman" w:eastAsia="方正仿宋简体" w:cs="Times New Roman"/>
          <w:bCs/>
          <w:color w:val="auto"/>
          <w:kern w:val="0"/>
          <w:sz w:val="32"/>
          <w:szCs w:val="32"/>
          <w:highlight w:val="none"/>
          <w:lang w:eastAsia="zh-CN"/>
        </w:rPr>
        <w:t>自治区法学会</w:t>
      </w:r>
      <w:r>
        <w:rPr>
          <w:rFonts w:hint="default" w:ascii="Times New Roman" w:hAnsi="Times New Roman" w:eastAsia="方正仿宋简体" w:cs="Times New Roman"/>
          <w:bCs/>
          <w:color w:val="auto"/>
          <w:kern w:val="0"/>
          <w:sz w:val="32"/>
          <w:szCs w:val="32"/>
          <w:highlight w:val="none"/>
        </w:rPr>
        <w:t>无下属预算单位，下设</w:t>
      </w:r>
      <w:r>
        <w:rPr>
          <w:rFonts w:hint="default" w:ascii="Times New Roman" w:hAnsi="Times New Roman" w:eastAsia="方正仿宋简体" w:cs="Times New Roman"/>
          <w:color w:val="auto"/>
          <w:sz w:val="32"/>
          <w:szCs w:val="32"/>
          <w:highlight w:val="none"/>
          <w:lang w:val="en-US" w:eastAsia="zh-CN"/>
        </w:rPr>
        <w:t>3</w:t>
      </w:r>
      <w:r>
        <w:rPr>
          <w:rFonts w:hint="default" w:ascii="Times New Roman" w:hAnsi="Times New Roman" w:eastAsia="方正仿宋简体" w:cs="Times New Roman"/>
          <w:bCs/>
          <w:color w:val="auto"/>
          <w:kern w:val="0"/>
          <w:sz w:val="32"/>
          <w:szCs w:val="32"/>
          <w:highlight w:val="none"/>
        </w:rPr>
        <w:t>个处室，分别是：</w:t>
      </w:r>
      <w:r>
        <w:rPr>
          <w:rFonts w:hint="default" w:ascii="Times New Roman" w:hAnsi="Times New Roman" w:eastAsia="方正仿宋简体" w:cs="Times New Roman"/>
          <w:color w:val="000000"/>
          <w:kern w:val="2"/>
          <w:sz w:val="32"/>
          <w:szCs w:val="32"/>
          <w:lang w:val="en-US" w:eastAsia="zh-CN" w:bidi="ar"/>
        </w:rPr>
        <w:t>办公室、研究部、会员部</w:t>
      </w:r>
      <w:r>
        <w:rPr>
          <w:rFonts w:hint="default" w:ascii="Times New Roman" w:hAnsi="Times New Roman" w:eastAsia="方正仿宋简体"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29374"/>
      <w:bookmarkStart w:id="7" w:name="_Toc3092"/>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12566"/>
      <w:bookmarkStart w:id="9" w:name="_Toc25314"/>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eastAsia="zh-CN"/>
        </w:rPr>
        <w:t>2023年度</w:t>
      </w:r>
      <w:r>
        <w:rPr>
          <w:rFonts w:hint="default" w:ascii="Times New Roman" w:hAnsi="Times New Roman" w:eastAsia="方正仿宋简体" w:cs="Times New Roman"/>
          <w:color w:val="auto"/>
          <w:spacing w:val="0"/>
          <w:sz w:val="32"/>
          <w:szCs w:val="32"/>
          <w:highlight w:val="none"/>
          <w:lang w:val="en-US" w:eastAsia="zh-CN"/>
        </w:rPr>
        <w:t>收入总计</w:t>
      </w:r>
      <w:r>
        <w:rPr>
          <w:rFonts w:hint="default" w:ascii="Times New Roman" w:hAnsi="Times New Roman" w:eastAsia="方正仿宋简体" w:cs="Times New Roman"/>
          <w:color w:val="auto"/>
          <w:spacing w:val="0"/>
          <w:sz w:val="32"/>
          <w:szCs w:val="32"/>
          <w:highlight w:val="none"/>
          <w:lang w:eastAsia="zh-CN"/>
        </w:rPr>
        <w:t>797.68万元，</w:t>
      </w:r>
      <w:r>
        <w:rPr>
          <w:rFonts w:hint="default" w:ascii="Times New Roman" w:hAnsi="Times New Roman" w:eastAsia="方正仿宋简体" w:cs="Times New Roman"/>
          <w:color w:val="auto"/>
          <w:spacing w:val="0"/>
          <w:sz w:val="32"/>
          <w:szCs w:val="32"/>
          <w:highlight w:val="none"/>
          <w:lang w:val="en-US" w:eastAsia="zh-CN"/>
        </w:rPr>
        <w:t>其中：本年收入合计</w:t>
      </w:r>
      <w:r>
        <w:rPr>
          <w:rFonts w:hint="default" w:ascii="Times New Roman" w:hAnsi="Times New Roman" w:eastAsia="方正仿宋简体" w:cs="Times New Roman"/>
          <w:color w:val="auto"/>
          <w:spacing w:val="0"/>
          <w:sz w:val="32"/>
          <w:szCs w:val="32"/>
          <w:highlight w:val="none"/>
          <w:lang w:eastAsia="zh-CN"/>
        </w:rPr>
        <w:t>783.70万元，使用非财政拨款结余0.00万元，年初结转和结余13.98万元。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val="en-US" w:eastAsia="zh-CN"/>
        </w:rPr>
        <w:t>2023</w:t>
      </w:r>
      <w:r>
        <w:rPr>
          <w:rFonts w:hint="default" w:ascii="Times New Roman" w:hAnsi="Times New Roman" w:eastAsia="方正仿宋简体" w:cs="Times New Roman"/>
          <w:color w:val="auto"/>
          <w:spacing w:val="0"/>
          <w:sz w:val="32"/>
          <w:szCs w:val="32"/>
          <w:highlight w:val="none"/>
          <w:lang w:eastAsia="zh-CN"/>
        </w:rPr>
        <w:t>年</w:t>
      </w:r>
      <w:r>
        <w:rPr>
          <w:rFonts w:hint="default" w:ascii="Times New Roman" w:hAnsi="Times New Roman" w:eastAsia="方正仿宋简体" w:cs="Times New Roman"/>
          <w:color w:val="auto"/>
          <w:spacing w:val="0"/>
          <w:sz w:val="32"/>
          <w:szCs w:val="32"/>
          <w:highlight w:val="none"/>
          <w:lang w:val="en-US" w:eastAsia="zh-CN"/>
        </w:rPr>
        <w:t>度</w:t>
      </w:r>
      <w:r>
        <w:rPr>
          <w:rFonts w:hint="default" w:ascii="Times New Roman" w:hAnsi="Times New Roman" w:eastAsia="方正仿宋简体" w:cs="Times New Roman"/>
          <w:color w:val="auto"/>
          <w:spacing w:val="0"/>
          <w:sz w:val="32"/>
          <w:szCs w:val="32"/>
          <w:highlight w:val="none"/>
          <w:lang w:eastAsia="zh-CN"/>
        </w:rPr>
        <w:t>支出</w:t>
      </w:r>
      <w:r>
        <w:rPr>
          <w:rFonts w:hint="default" w:ascii="Times New Roman" w:hAnsi="Times New Roman" w:eastAsia="方正仿宋简体" w:cs="Times New Roman"/>
          <w:color w:val="auto"/>
          <w:spacing w:val="0"/>
          <w:sz w:val="32"/>
          <w:szCs w:val="32"/>
          <w:highlight w:val="none"/>
          <w:lang w:val="en-US" w:eastAsia="zh-CN"/>
        </w:rPr>
        <w:t>总计</w:t>
      </w:r>
      <w:r>
        <w:rPr>
          <w:rFonts w:hint="default" w:ascii="Times New Roman" w:hAnsi="Times New Roman" w:eastAsia="方正仿宋简体" w:cs="Times New Roman"/>
          <w:color w:val="auto"/>
          <w:spacing w:val="0"/>
          <w:sz w:val="32"/>
          <w:szCs w:val="32"/>
          <w:highlight w:val="none"/>
          <w:lang w:eastAsia="zh-CN"/>
        </w:rPr>
        <w:t>797.68万元，</w:t>
      </w:r>
      <w:r>
        <w:rPr>
          <w:rFonts w:hint="default" w:ascii="Times New Roman" w:hAnsi="Times New Roman" w:eastAsia="方正仿宋简体" w:cs="Times New Roman"/>
          <w:color w:val="auto"/>
          <w:spacing w:val="0"/>
          <w:sz w:val="32"/>
          <w:szCs w:val="32"/>
          <w:highlight w:val="none"/>
          <w:lang w:val="en-US" w:eastAsia="zh-CN"/>
        </w:rPr>
        <w:t>其中：本年支出合计</w:t>
      </w:r>
      <w:r>
        <w:rPr>
          <w:rFonts w:hint="default" w:ascii="Times New Roman" w:hAnsi="Times New Roman" w:eastAsia="方正仿宋简体" w:cs="Times New Roman"/>
          <w:color w:val="auto"/>
          <w:spacing w:val="0"/>
          <w:sz w:val="32"/>
          <w:szCs w:val="32"/>
          <w:highlight w:val="none"/>
          <w:lang w:eastAsia="zh-CN"/>
        </w:rPr>
        <w:t>762.87万元，</w:t>
      </w:r>
      <w:r>
        <w:rPr>
          <w:rFonts w:hint="default" w:ascii="Times New Roman" w:hAnsi="Times New Roman" w:eastAsia="方正仿宋简体" w:cs="Times New Roman"/>
          <w:color w:val="auto"/>
          <w:spacing w:val="0"/>
          <w:sz w:val="32"/>
          <w:szCs w:val="32"/>
          <w:highlight w:val="none"/>
          <w:lang w:val="en-US" w:eastAsia="zh-CN"/>
        </w:rPr>
        <w:t>结余分配</w:t>
      </w:r>
      <w:r>
        <w:rPr>
          <w:rFonts w:hint="default" w:ascii="Times New Roman" w:hAnsi="Times New Roman" w:eastAsia="方正仿宋简体" w:cs="Times New Roman"/>
          <w:color w:val="auto"/>
          <w:spacing w:val="0"/>
          <w:sz w:val="32"/>
          <w:szCs w:val="32"/>
          <w:highlight w:val="none"/>
          <w:lang w:eastAsia="zh-CN"/>
        </w:rPr>
        <w:t>0.00万元，年末结转和结余34.81万元。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val="en-US" w:eastAsia="zh-CN"/>
        </w:rPr>
        <w:t>收入支出总体与上年相比</w:t>
      </w:r>
      <w:r>
        <w:rPr>
          <w:rFonts w:hint="default" w:ascii="Times New Roman" w:hAnsi="Times New Roman" w:eastAsia="方正仿宋简体" w:cs="Times New Roman"/>
          <w:color w:val="auto"/>
          <w:spacing w:val="0"/>
          <w:sz w:val="32"/>
          <w:szCs w:val="32"/>
          <w:highlight w:val="none"/>
          <w:lang w:eastAsia="zh-CN"/>
        </w:rPr>
        <w:t>，</w:t>
      </w:r>
      <w:r>
        <w:rPr>
          <w:rFonts w:hint="default" w:ascii="Times New Roman" w:hAnsi="Times New Roman" w:eastAsia="方正仿宋简体" w:cs="Times New Roman"/>
          <w:color w:val="auto"/>
          <w:spacing w:val="0"/>
          <w:sz w:val="32"/>
          <w:szCs w:val="32"/>
          <w:highlight w:val="none"/>
          <w:lang w:val="zh-CN" w:eastAsia="zh-CN"/>
        </w:rPr>
        <w:t>增加229.60万元</w:t>
      </w:r>
      <w:r>
        <w:rPr>
          <w:rFonts w:hint="default" w:ascii="Times New Roman" w:hAnsi="Times New Roman" w:eastAsia="方正仿宋简体" w:cs="Times New Roman"/>
          <w:color w:val="auto"/>
          <w:spacing w:val="0"/>
          <w:sz w:val="32"/>
          <w:szCs w:val="32"/>
          <w:highlight w:val="none"/>
          <w:lang w:eastAsia="zh-CN"/>
        </w:rPr>
        <w:t>，增长40.42%，主要原因是：一是在职人员职务职级变化，导致收入增加；二是</w:t>
      </w:r>
      <w:r>
        <w:rPr>
          <w:rFonts w:hint="eastAsia" w:eastAsia="方正仿宋简体" w:cs="Times New Roman"/>
          <w:color w:val="auto"/>
          <w:spacing w:val="0"/>
          <w:sz w:val="32"/>
          <w:szCs w:val="32"/>
          <w:highlight w:val="none"/>
          <w:lang w:val="en-US" w:eastAsia="zh-CN"/>
        </w:rPr>
        <w:t>2022年受疫情影响，预算支出总体较低，2023年正常开展工作后，支出数较2022年大幅增长。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本年收入</w:t>
      </w:r>
      <w:r>
        <w:rPr>
          <w:rFonts w:hint="default" w:ascii="Times New Roman" w:hAnsi="Times New Roman" w:eastAsia="方正仿宋简体" w:cs="Times New Roman"/>
          <w:color w:val="auto"/>
          <w:sz w:val="32"/>
          <w:szCs w:val="32"/>
          <w:highlight w:val="none"/>
          <w:lang w:eastAsia="zh-CN"/>
        </w:rPr>
        <w:t>783.70</w:t>
      </w:r>
      <w:r>
        <w:rPr>
          <w:rFonts w:hint="default" w:ascii="Times New Roman" w:hAnsi="Times New Roman" w:eastAsia="方正仿宋简体" w:cs="Times New Roman"/>
          <w:color w:val="auto"/>
          <w:sz w:val="32"/>
          <w:szCs w:val="32"/>
          <w:highlight w:val="none"/>
        </w:rPr>
        <w:t>万元，其中：财政拨款收入</w:t>
      </w:r>
      <w:r>
        <w:rPr>
          <w:rFonts w:hint="default" w:ascii="Times New Roman" w:hAnsi="Times New Roman" w:eastAsia="方正仿宋简体" w:cs="Times New Roman"/>
          <w:color w:val="auto"/>
          <w:sz w:val="32"/>
          <w:szCs w:val="32"/>
          <w:highlight w:val="none"/>
          <w:lang w:val="zh-CN"/>
        </w:rPr>
        <w:t>741.60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94.63</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上级补助收入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；事业收入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附属单位上缴收入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；其他收入</w:t>
      </w:r>
      <w:r>
        <w:rPr>
          <w:rFonts w:hint="default" w:ascii="Times New Roman" w:hAnsi="Times New Roman" w:eastAsia="方正仿宋简体" w:cs="Times New Roman"/>
          <w:color w:val="auto"/>
          <w:sz w:val="32"/>
          <w:szCs w:val="32"/>
          <w:highlight w:val="none"/>
          <w:lang w:val="zh-CN"/>
        </w:rPr>
        <w:t>42.10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5.37</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0"/>
          <w:szCs w:val="30"/>
          <w:highlight w:val="none"/>
          <w:lang w:val="zh-CN" w:eastAsia="zh-CN"/>
        </w:rPr>
      </w:pPr>
      <w:r>
        <w:rPr>
          <w:rFonts w:hint="default" w:ascii="Times New Roman" w:hAnsi="Times New Roman" w:eastAsia="方正仿宋简体" w:cs="Times New Roman"/>
          <w:color w:val="auto"/>
          <w:sz w:val="32"/>
          <w:szCs w:val="32"/>
          <w:highlight w:val="none"/>
          <w:lang w:val="zh-CN" w:eastAsia="zh-CN"/>
        </w:rPr>
        <w:t>本年支出762.87万元，其中：基本支出364.10万元，占47.73%；项目支出398.77万元，占52.27%；上缴上级支出0.00万元，占0.00%；经营支出0.00万元，占0.00%；对附属单位补助支出0.00万元，占0.00%。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eastAsia="zh-CN"/>
        </w:rPr>
        <w:t>2023年度财政拨款收入</w:t>
      </w:r>
      <w:r>
        <w:rPr>
          <w:rFonts w:hint="default" w:ascii="Times New Roman" w:hAnsi="Times New Roman" w:eastAsia="方正仿宋简体" w:cs="Times New Roman"/>
          <w:color w:val="auto"/>
          <w:spacing w:val="0"/>
          <w:sz w:val="32"/>
          <w:szCs w:val="32"/>
          <w:highlight w:val="none"/>
          <w:lang w:val="en-US" w:eastAsia="zh-CN"/>
        </w:rPr>
        <w:t>总计</w:t>
      </w:r>
      <w:r>
        <w:rPr>
          <w:rFonts w:hint="default" w:ascii="Times New Roman" w:hAnsi="Times New Roman" w:eastAsia="方正仿宋简体" w:cs="Times New Roman"/>
          <w:color w:val="auto"/>
          <w:spacing w:val="0"/>
          <w:sz w:val="32"/>
          <w:szCs w:val="32"/>
          <w:highlight w:val="none"/>
          <w:lang w:val="zh-CN" w:eastAsia="zh-CN"/>
        </w:rPr>
        <w:t>741.60</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其中：年初财政拨款结转和结余</w:t>
      </w:r>
      <w:r>
        <w:rPr>
          <w:rFonts w:hint="default" w:ascii="Times New Roman" w:hAnsi="Times New Roman" w:eastAsia="方正仿宋简体" w:cs="Times New Roman"/>
          <w:color w:val="auto"/>
          <w:spacing w:val="0"/>
          <w:sz w:val="32"/>
          <w:szCs w:val="32"/>
          <w:highlight w:val="none"/>
          <w:lang w:val="zh-CN" w:eastAsia="zh-CN"/>
        </w:rPr>
        <w:t>0.00</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本年财政拨款收入</w:t>
      </w:r>
      <w:r>
        <w:rPr>
          <w:rFonts w:hint="default" w:ascii="Times New Roman" w:hAnsi="Times New Roman" w:eastAsia="方正仿宋简体" w:cs="Times New Roman"/>
          <w:color w:val="auto"/>
          <w:spacing w:val="0"/>
          <w:sz w:val="32"/>
          <w:szCs w:val="32"/>
          <w:highlight w:val="none"/>
          <w:lang w:val="zh-CN" w:eastAsia="zh-CN"/>
        </w:rPr>
        <w:t>741.60</w:t>
      </w:r>
      <w:r>
        <w:rPr>
          <w:rFonts w:hint="default" w:ascii="Times New Roman" w:hAnsi="Times New Roman" w:eastAsia="方正仿宋简体" w:cs="Times New Roman"/>
          <w:color w:val="auto"/>
          <w:spacing w:val="0"/>
          <w:sz w:val="32"/>
          <w:szCs w:val="32"/>
          <w:highlight w:val="none"/>
          <w:lang w:eastAsia="zh-CN"/>
        </w:rPr>
        <w:t>万元。财政拨款支出</w:t>
      </w:r>
      <w:r>
        <w:rPr>
          <w:rFonts w:hint="default" w:ascii="Times New Roman" w:hAnsi="Times New Roman" w:eastAsia="方正仿宋简体" w:cs="Times New Roman"/>
          <w:color w:val="auto"/>
          <w:spacing w:val="0"/>
          <w:sz w:val="32"/>
          <w:szCs w:val="32"/>
          <w:highlight w:val="none"/>
          <w:lang w:val="en-US" w:eastAsia="zh-CN"/>
        </w:rPr>
        <w:t>总计</w:t>
      </w:r>
      <w:r>
        <w:rPr>
          <w:rFonts w:hint="default" w:ascii="Times New Roman" w:hAnsi="Times New Roman" w:eastAsia="方正仿宋简体" w:cs="Times New Roman"/>
          <w:color w:val="auto"/>
          <w:spacing w:val="0"/>
          <w:sz w:val="32"/>
          <w:szCs w:val="32"/>
          <w:highlight w:val="none"/>
          <w:lang w:val="zh-CN" w:eastAsia="zh-CN"/>
        </w:rPr>
        <w:t>741.60</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其中：年末财政拨款结转和结余</w:t>
      </w:r>
      <w:r>
        <w:rPr>
          <w:rFonts w:hint="default" w:ascii="Times New Roman" w:hAnsi="Times New Roman" w:eastAsia="方正仿宋简体" w:cs="Times New Roman"/>
          <w:color w:val="auto"/>
          <w:spacing w:val="0"/>
          <w:sz w:val="32"/>
          <w:szCs w:val="32"/>
          <w:highlight w:val="none"/>
          <w:lang w:val="zh-CN" w:eastAsia="zh-CN"/>
        </w:rPr>
        <w:t>0.00</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本年财政拨款支出</w:t>
      </w:r>
      <w:r>
        <w:rPr>
          <w:rFonts w:hint="default" w:ascii="Times New Roman" w:hAnsi="Times New Roman" w:eastAsia="方正仿宋简体" w:cs="Times New Roman"/>
          <w:color w:val="auto"/>
          <w:spacing w:val="0"/>
          <w:sz w:val="32"/>
          <w:szCs w:val="32"/>
          <w:highlight w:val="none"/>
          <w:lang w:val="zh-CN" w:eastAsia="zh-CN"/>
        </w:rPr>
        <w:t>741.60</w:t>
      </w:r>
      <w:r>
        <w:rPr>
          <w:rFonts w:hint="default" w:ascii="Times New Roman" w:hAnsi="Times New Roman" w:eastAsia="方正仿宋简体"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eastAsia="zh-CN"/>
        </w:rPr>
        <w:t>财政拨款收入支出总体与上年相比</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pacing w:val="0"/>
          <w:sz w:val="32"/>
          <w:szCs w:val="32"/>
          <w:highlight w:val="none"/>
          <w:lang w:val="zh-CN" w:eastAsia="zh-CN"/>
        </w:rPr>
        <w:t>增加190.60万元</w:t>
      </w:r>
      <w:r>
        <w:rPr>
          <w:rFonts w:hint="default" w:ascii="Times New Roman" w:hAnsi="Times New Roman" w:eastAsia="方正仿宋简体" w:cs="Times New Roman"/>
          <w:color w:val="auto"/>
          <w:spacing w:val="0"/>
          <w:sz w:val="32"/>
          <w:szCs w:val="32"/>
          <w:highlight w:val="none"/>
          <w:lang w:eastAsia="zh-CN"/>
        </w:rPr>
        <w:t>，</w:t>
      </w:r>
      <w:r>
        <w:rPr>
          <w:rFonts w:hint="default" w:ascii="Times New Roman" w:hAnsi="Times New Roman" w:eastAsia="方正仿宋简体" w:cs="Times New Roman"/>
          <w:color w:val="auto"/>
          <w:spacing w:val="0"/>
          <w:sz w:val="32"/>
          <w:szCs w:val="32"/>
          <w:highlight w:val="none"/>
          <w:lang w:val="en-US" w:eastAsia="zh-CN"/>
        </w:rPr>
        <w:t>增长34.59%，</w:t>
      </w:r>
      <w:r>
        <w:rPr>
          <w:rFonts w:hint="default" w:ascii="Times New Roman" w:hAnsi="Times New Roman" w:eastAsia="方正仿宋简体" w:cs="Times New Roman"/>
          <w:color w:val="auto"/>
          <w:spacing w:val="0"/>
          <w:sz w:val="32"/>
          <w:szCs w:val="32"/>
          <w:highlight w:val="none"/>
          <w:lang w:eastAsia="zh-CN"/>
        </w:rPr>
        <w:t>主要原因是：一是在职人员职务职级变化，导致收入增加；二是</w:t>
      </w:r>
      <w:r>
        <w:rPr>
          <w:rFonts w:hint="eastAsia" w:eastAsia="方正仿宋简体" w:cs="Times New Roman"/>
          <w:color w:val="auto"/>
          <w:spacing w:val="0"/>
          <w:sz w:val="32"/>
          <w:szCs w:val="32"/>
          <w:highlight w:val="none"/>
          <w:lang w:val="en-US" w:eastAsia="zh-CN"/>
        </w:rPr>
        <w:t>2022年受疫情影响，</w:t>
      </w:r>
      <w:r>
        <w:rPr>
          <w:rFonts w:hint="default" w:ascii="Times New Roman" w:hAnsi="Times New Roman" w:eastAsia="方正仿宋简体" w:cs="Times New Roman"/>
          <w:color w:val="auto"/>
          <w:spacing w:val="0"/>
          <w:sz w:val="32"/>
          <w:szCs w:val="32"/>
          <w:highlight w:val="none"/>
          <w:lang w:eastAsia="zh-CN"/>
        </w:rPr>
        <w:t>财政拨款</w:t>
      </w:r>
      <w:r>
        <w:rPr>
          <w:rFonts w:hint="eastAsia" w:eastAsia="方正仿宋简体" w:cs="Times New Roman"/>
          <w:color w:val="auto"/>
          <w:spacing w:val="0"/>
          <w:sz w:val="32"/>
          <w:szCs w:val="32"/>
          <w:highlight w:val="none"/>
          <w:lang w:val="en-US" w:eastAsia="zh-CN"/>
        </w:rPr>
        <w:t>支出总体较低，2023年正常开展工作后，支出数较2022年大幅增长。</w:t>
      </w:r>
      <w:r>
        <w:rPr>
          <w:rFonts w:hint="default" w:ascii="Times New Roman" w:hAnsi="Times New Roman" w:eastAsia="方正仿宋简体" w:cs="Times New Roman"/>
          <w:color w:val="auto"/>
          <w:spacing w:val="0"/>
          <w:sz w:val="32"/>
          <w:szCs w:val="32"/>
          <w:highlight w:val="none"/>
          <w:lang w:eastAsia="zh-CN"/>
        </w:rPr>
        <w:t>与年初预算相比，年初预算数</w:t>
      </w:r>
      <w:r>
        <w:rPr>
          <w:rFonts w:hint="default" w:ascii="Times New Roman" w:hAnsi="Times New Roman" w:eastAsia="方正仿宋简体" w:cs="Times New Roman"/>
          <w:color w:val="auto"/>
          <w:spacing w:val="0"/>
          <w:sz w:val="32"/>
          <w:szCs w:val="32"/>
          <w:highlight w:val="none"/>
          <w:lang w:val="zh-CN" w:eastAsia="zh-CN"/>
        </w:rPr>
        <w:t>662.16</w:t>
      </w:r>
      <w:r>
        <w:rPr>
          <w:rFonts w:hint="default" w:ascii="Times New Roman" w:hAnsi="Times New Roman" w:eastAsia="方正仿宋简体" w:cs="Times New Roman"/>
          <w:color w:val="auto"/>
          <w:spacing w:val="0"/>
          <w:sz w:val="32"/>
          <w:szCs w:val="32"/>
          <w:highlight w:val="none"/>
          <w:lang w:eastAsia="zh-CN"/>
        </w:rPr>
        <w:t>万元，决算数</w:t>
      </w:r>
      <w:r>
        <w:rPr>
          <w:rFonts w:hint="default" w:ascii="Times New Roman" w:hAnsi="Times New Roman" w:eastAsia="方正仿宋简体" w:cs="Times New Roman"/>
          <w:color w:val="auto"/>
          <w:spacing w:val="0"/>
          <w:sz w:val="32"/>
          <w:szCs w:val="32"/>
          <w:highlight w:val="none"/>
          <w:lang w:val="zh-CN" w:eastAsia="zh-CN"/>
        </w:rPr>
        <w:t>741.60</w:t>
      </w:r>
      <w:r>
        <w:rPr>
          <w:rFonts w:hint="default" w:ascii="Times New Roman" w:hAnsi="Times New Roman" w:eastAsia="方正仿宋简体" w:cs="Times New Roman"/>
          <w:color w:val="auto"/>
          <w:spacing w:val="0"/>
          <w:sz w:val="32"/>
          <w:szCs w:val="32"/>
          <w:highlight w:val="none"/>
          <w:lang w:eastAsia="zh-CN"/>
        </w:rPr>
        <w:t>万元，预决算差异率12.00%，主要原因是：一是在职人员职务职级变化，导致收入增加；二是</w:t>
      </w:r>
      <w:r>
        <w:rPr>
          <w:rFonts w:hint="eastAsia" w:eastAsia="方正仿宋简体" w:cs="Times New Roman"/>
          <w:color w:val="auto"/>
          <w:spacing w:val="0"/>
          <w:sz w:val="32"/>
          <w:szCs w:val="32"/>
          <w:highlight w:val="none"/>
          <w:lang w:val="en-US" w:eastAsia="zh-CN"/>
        </w:rPr>
        <w:t>2022年受疫情影响，</w:t>
      </w:r>
      <w:r>
        <w:rPr>
          <w:rFonts w:hint="default" w:ascii="Times New Roman" w:hAnsi="Times New Roman" w:eastAsia="方正仿宋简体" w:cs="Times New Roman"/>
          <w:color w:val="auto"/>
          <w:spacing w:val="0"/>
          <w:sz w:val="32"/>
          <w:szCs w:val="32"/>
          <w:highlight w:val="none"/>
          <w:lang w:eastAsia="zh-CN"/>
        </w:rPr>
        <w:t>财政拨款</w:t>
      </w:r>
      <w:r>
        <w:rPr>
          <w:rFonts w:hint="eastAsia" w:eastAsia="方正仿宋简体" w:cs="Times New Roman"/>
          <w:color w:val="auto"/>
          <w:spacing w:val="0"/>
          <w:sz w:val="32"/>
          <w:szCs w:val="32"/>
          <w:highlight w:val="none"/>
          <w:lang w:val="en-US" w:eastAsia="zh-CN"/>
        </w:rPr>
        <w:t>支出总体较低，2023年正常开展工作后，支出数较2022年大幅增长</w:t>
      </w:r>
      <w:r>
        <w:rPr>
          <w:rFonts w:hint="default" w:ascii="Times New Roman" w:hAnsi="Times New Roman" w:eastAsia="方正仿宋简体"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auto"/>
          <w:sz w:val="32"/>
          <w:szCs w:val="32"/>
          <w:highlight w:val="none"/>
          <w:lang w:eastAsia="zh-CN"/>
        </w:rPr>
      </w:pPr>
      <w:r>
        <w:rPr>
          <w:rFonts w:hint="default" w:ascii="Times New Roman" w:hAnsi="Times New Roman" w:eastAsia="方正仿宋简体" w:cs="Times New Roman"/>
          <w:color w:val="auto"/>
          <w:spacing w:val="0"/>
          <w:sz w:val="32"/>
          <w:szCs w:val="32"/>
          <w:highlight w:val="none"/>
          <w:lang w:eastAsia="zh-CN"/>
        </w:rPr>
        <w:t>2023年度一般公共预算财政拨款支出741.60万元，占本年支出合计的</w:t>
      </w:r>
      <w:r>
        <w:rPr>
          <w:rFonts w:hint="default" w:ascii="Times New Roman" w:hAnsi="Times New Roman" w:eastAsia="方正仿宋简体" w:cs="Times New Roman"/>
          <w:color w:val="auto"/>
          <w:spacing w:val="0"/>
          <w:sz w:val="32"/>
          <w:szCs w:val="32"/>
          <w:highlight w:val="none"/>
          <w:lang w:val="zh-CN" w:eastAsia="zh-CN"/>
        </w:rPr>
        <w:t>97.21%</w:t>
      </w:r>
      <w:r>
        <w:rPr>
          <w:rFonts w:hint="default" w:ascii="Times New Roman" w:hAnsi="Times New Roman" w:eastAsia="方正仿宋简体" w:cs="Times New Roman"/>
          <w:color w:val="auto"/>
          <w:spacing w:val="0"/>
          <w:sz w:val="32"/>
          <w:szCs w:val="32"/>
          <w:highlight w:val="none"/>
          <w:lang w:eastAsia="zh-CN"/>
        </w:rPr>
        <w:t>。与上年相比，</w:t>
      </w:r>
      <w:r>
        <w:rPr>
          <w:rFonts w:hint="default" w:ascii="Times New Roman" w:hAnsi="Times New Roman" w:eastAsia="方正仿宋简体" w:cs="Times New Roman"/>
          <w:color w:val="auto"/>
          <w:spacing w:val="0"/>
          <w:sz w:val="32"/>
          <w:szCs w:val="32"/>
          <w:highlight w:val="none"/>
          <w:lang w:val="zh-CN" w:eastAsia="zh-CN"/>
        </w:rPr>
        <w:t>增加190.60万元</w:t>
      </w:r>
      <w:r>
        <w:rPr>
          <w:rFonts w:hint="default" w:ascii="Times New Roman" w:hAnsi="Times New Roman" w:eastAsia="方正仿宋简体" w:cs="Times New Roman"/>
          <w:color w:val="auto"/>
          <w:spacing w:val="0"/>
          <w:sz w:val="32"/>
          <w:szCs w:val="32"/>
          <w:highlight w:val="none"/>
          <w:lang w:eastAsia="zh-CN"/>
        </w:rPr>
        <w:t>，</w:t>
      </w:r>
      <w:r>
        <w:rPr>
          <w:rFonts w:hint="default" w:ascii="Times New Roman" w:hAnsi="Times New Roman" w:eastAsia="方正仿宋简体" w:cs="Times New Roman"/>
          <w:color w:val="auto"/>
          <w:spacing w:val="0"/>
          <w:sz w:val="32"/>
          <w:szCs w:val="32"/>
          <w:highlight w:val="none"/>
          <w:lang w:val="en-US" w:eastAsia="zh-CN"/>
        </w:rPr>
        <w:t>增长34.59%，</w:t>
      </w:r>
      <w:r>
        <w:rPr>
          <w:rFonts w:hint="default" w:ascii="Times New Roman" w:hAnsi="Times New Roman" w:eastAsia="方正仿宋简体" w:cs="Times New Roman"/>
          <w:color w:val="auto"/>
          <w:spacing w:val="0"/>
          <w:sz w:val="32"/>
          <w:szCs w:val="32"/>
          <w:highlight w:val="none"/>
          <w:lang w:eastAsia="zh-CN"/>
        </w:rPr>
        <w:t>主要原因是：一是在职人员职务职级变化，导致收入增加；二是</w:t>
      </w:r>
      <w:r>
        <w:rPr>
          <w:rFonts w:hint="eastAsia" w:eastAsia="方正仿宋简体" w:cs="Times New Roman"/>
          <w:color w:val="auto"/>
          <w:spacing w:val="0"/>
          <w:sz w:val="32"/>
          <w:szCs w:val="32"/>
          <w:highlight w:val="none"/>
          <w:lang w:val="en-US" w:eastAsia="zh-CN"/>
        </w:rPr>
        <w:t>2022年受疫情影响，一般公共预算</w:t>
      </w:r>
      <w:r>
        <w:rPr>
          <w:rFonts w:hint="default" w:ascii="Times New Roman" w:hAnsi="Times New Roman" w:eastAsia="方正仿宋简体" w:cs="Times New Roman"/>
          <w:color w:val="auto"/>
          <w:spacing w:val="0"/>
          <w:sz w:val="32"/>
          <w:szCs w:val="32"/>
          <w:highlight w:val="none"/>
          <w:lang w:eastAsia="zh-CN"/>
        </w:rPr>
        <w:t>财政拨款</w:t>
      </w:r>
      <w:r>
        <w:rPr>
          <w:rFonts w:hint="eastAsia" w:eastAsia="方正仿宋简体" w:cs="Times New Roman"/>
          <w:color w:val="auto"/>
          <w:spacing w:val="0"/>
          <w:sz w:val="32"/>
          <w:szCs w:val="32"/>
          <w:highlight w:val="none"/>
          <w:lang w:val="en-US" w:eastAsia="zh-CN"/>
        </w:rPr>
        <w:t>支出总体较低，2023年正常开展工作后，支出数较2022年大幅增长。</w:t>
      </w:r>
      <w:r>
        <w:rPr>
          <w:rFonts w:hint="default" w:ascii="Times New Roman" w:hAnsi="Times New Roman" w:eastAsia="方正仿宋简体" w:cs="Times New Roman"/>
          <w:color w:val="auto"/>
          <w:spacing w:val="0"/>
          <w:sz w:val="32"/>
          <w:szCs w:val="32"/>
          <w:highlight w:val="none"/>
          <w:lang w:eastAsia="zh-CN"/>
        </w:rPr>
        <w:t>与年初预算相比，年初预算数</w:t>
      </w:r>
      <w:r>
        <w:rPr>
          <w:rFonts w:hint="default" w:ascii="Times New Roman" w:hAnsi="Times New Roman" w:eastAsia="方正仿宋简体" w:cs="Times New Roman"/>
          <w:color w:val="auto"/>
          <w:spacing w:val="0"/>
          <w:sz w:val="32"/>
          <w:szCs w:val="32"/>
          <w:highlight w:val="none"/>
          <w:lang w:val="zh-CN" w:eastAsia="zh-CN"/>
        </w:rPr>
        <w:t>662.16</w:t>
      </w:r>
      <w:r>
        <w:rPr>
          <w:rFonts w:hint="default" w:ascii="Times New Roman" w:hAnsi="Times New Roman" w:eastAsia="方正仿宋简体" w:cs="Times New Roman"/>
          <w:color w:val="auto"/>
          <w:spacing w:val="0"/>
          <w:sz w:val="32"/>
          <w:szCs w:val="32"/>
          <w:highlight w:val="none"/>
          <w:lang w:eastAsia="zh-CN"/>
        </w:rPr>
        <w:t>万元，决算数</w:t>
      </w:r>
      <w:r>
        <w:rPr>
          <w:rFonts w:hint="default" w:ascii="Times New Roman" w:hAnsi="Times New Roman" w:eastAsia="方正仿宋简体" w:cs="Times New Roman"/>
          <w:color w:val="auto"/>
          <w:spacing w:val="0"/>
          <w:sz w:val="32"/>
          <w:szCs w:val="32"/>
          <w:highlight w:val="none"/>
          <w:lang w:val="zh-CN" w:eastAsia="zh-CN"/>
        </w:rPr>
        <w:t>741.60</w:t>
      </w:r>
      <w:r>
        <w:rPr>
          <w:rFonts w:hint="default" w:ascii="Times New Roman" w:hAnsi="Times New Roman" w:eastAsia="方正仿宋简体" w:cs="Times New Roman"/>
          <w:color w:val="auto"/>
          <w:spacing w:val="0"/>
          <w:sz w:val="32"/>
          <w:szCs w:val="32"/>
          <w:highlight w:val="none"/>
          <w:lang w:eastAsia="zh-CN"/>
        </w:rPr>
        <w:t>万元，预决算差异率</w:t>
      </w:r>
      <w:r>
        <w:rPr>
          <w:rFonts w:hint="default" w:ascii="Times New Roman" w:hAnsi="Times New Roman" w:eastAsia="方正仿宋简体" w:cs="Times New Roman"/>
          <w:color w:val="auto"/>
          <w:spacing w:val="0"/>
          <w:sz w:val="32"/>
          <w:szCs w:val="32"/>
          <w:highlight w:val="none"/>
          <w:lang w:val="zh-CN" w:eastAsia="zh-CN"/>
        </w:rPr>
        <w:t>12.00%</w:t>
      </w:r>
      <w:r>
        <w:rPr>
          <w:rFonts w:hint="default" w:ascii="Times New Roman" w:hAnsi="Times New Roman" w:eastAsia="方正仿宋简体" w:cs="Times New Roman"/>
          <w:color w:val="auto"/>
          <w:spacing w:val="0"/>
          <w:sz w:val="32"/>
          <w:szCs w:val="32"/>
          <w:highlight w:val="none"/>
          <w:lang w:eastAsia="zh-CN"/>
        </w:rPr>
        <w:t>，主要原因是：一是在职人员职务职级变化，导致收入增加；二是</w:t>
      </w:r>
      <w:r>
        <w:rPr>
          <w:rFonts w:hint="eastAsia" w:eastAsia="方正仿宋简体" w:cs="Times New Roman"/>
          <w:color w:val="auto"/>
          <w:spacing w:val="0"/>
          <w:sz w:val="32"/>
          <w:szCs w:val="32"/>
          <w:highlight w:val="none"/>
          <w:lang w:val="en-US" w:eastAsia="zh-CN"/>
        </w:rPr>
        <w:t>2022年受疫情影响，一般公共预算</w:t>
      </w:r>
      <w:r>
        <w:rPr>
          <w:rFonts w:hint="default" w:ascii="Times New Roman" w:hAnsi="Times New Roman" w:eastAsia="方正仿宋简体" w:cs="Times New Roman"/>
          <w:color w:val="auto"/>
          <w:spacing w:val="0"/>
          <w:sz w:val="32"/>
          <w:szCs w:val="32"/>
          <w:highlight w:val="none"/>
          <w:lang w:eastAsia="zh-CN"/>
        </w:rPr>
        <w:t>财政拨款</w:t>
      </w:r>
      <w:r>
        <w:rPr>
          <w:rFonts w:hint="eastAsia" w:eastAsia="方正仿宋简体" w:cs="Times New Roman"/>
          <w:color w:val="auto"/>
          <w:spacing w:val="0"/>
          <w:sz w:val="32"/>
          <w:szCs w:val="32"/>
          <w:highlight w:val="none"/>
          <w:lang w:val="en-US" w:eastAsia="zh-CN"/>
        </w:rPr>
        <w:t>支出总体较低，2023年正常开展工作后，支出数较2022年大幅增长</w:t>
      </w:r>
      <w:r>
        <w:rPr>
          <w:rFonts w:hint="default" w:ascii="Times New Roman" w:hAnsi="Times New Roman" w:eastAsia="方正仿宋简体" w:cs="Times New Roman"/>
          <w:color w:val="auto"/>
          <w:spacing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（二）一般公共预算</w:t>
      </w:r>
      <w:r>
        <w:rPr>
          <w:rFonts w:hint="default" w:ascii="Times New Roman" w:hAnsi="Times New Roman" w:eastAsia="楷体" w:cs="Times New Roman"/>
          <w:color w:val="auto"/>
          <w:sz w:val="32"/>
          <w:szCs w:val="32"/>
          <w:highlight w:val="none"/>
          <w:lang w:val="en-US" w:eastAsia="zh-CN"/>
        </w:rPr>
        <w:t>财政拨款支出决算</w:t>
      </w:r>
      <w:r>
        <w:rPr>
          <w:rFonts w:hint="default" w:ascii="Times New Roman" w:hAnsi="Times New Roman" w:eastAsia="楷体" w:cs="Times New Roman"/>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default" w:ascii="Times New Roman" w:hAnsi="Times New Roman" w:eastAsia="方正仿宋简体" w:cs="Times New Roman"/>
          <w:color w:val="auto"/>
          <w:spacing w:val="0"/>
          <w:kern w:val="2"/>
          <w:sz w:val="32"/>
          <w:szCs w:val="32"/>
          <w:lang w:val="zh-CN" w:eastAsia="zh-CN" w:bidi="ar-SA"/>
        </w:rPr>
        <w:t>1.</w:t>
      </w:r>
      <w:r>
        <w:rPr>
          <w:rFonts w:hint="default" w:ascii="Times New Roman" w:hAnsi="Times New Roman" w:eastAsia="方正仿宋简体" w:cs="Times New Roman"/>
          <w:color w:val="auto"/>
          <w:spacing w:val="0"/>
          <w:kern w:val="2"/>
          <w:sz w:val="32"/>
          <w:szCs w:val="32"/>
          <w:highlight w:val="none"/>
          <w:lang w:val="zh-CN" w:eastAsia="zh-CN" w:bidi="ar-SA"/>
        </w:rPr>
        <w:t>一般公共服务支出（类）621.40万元，占83.79%；</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default" w:ascii="Times New Roman" w:hAnsi="Times New Roman" w:eastAsia="方正仿宋简体" w:cs="Times New Roman"/>
          <w:color w:val="auto"/>
          <w:spacing w:val="0"/>
          <w:kern w:val="2"/>
          <w:sz w:val="32"/>
          <w:szCs w:val="32"/>
          <w:lang w:val="en-US" w:eastAsia="zh-CN" w:bidi="ar-SA"/>
        </w:rPr>
        <w:t>2</w:t>
      </w:r>
      <w:r>
        <w:rPr>
          <w:rFonts w:hint="default" w:ascii="Times New Roman" w:hAnsi="Times New Roman" w:eastAsia="方正仿宋简体" w:cs="Times New Roman"/>
          <w:color w:val="auto"/>
          <w:spacing w:val="0"/>
          <w:kern w:val="2"/>
          <w:sz w:val="32"/>
          <w:szCs w:val="32"/>
          <w:lang w:val="zh-CN" w:eastAsia="zh-CN" w:bidi="ar-SA"/>
        </w:rPr>
        <w:t>.</w:t>
      </w:r>
      <w:r>
        <w:rPr>
          <w:rFonts w:hint="default" w:ascii="Times New Roman" w:hAnsi="Times New Roman" w:eastAsia="方正仿宋简体" w:cs="Times New Roman"/>
          <w:color w:val="auto"/>
          <w:spacing w:val="0"/>
          <w:kern w:val="2"/>
          <w:sz w:val="32"/>
          <w:szCs w:val="32"/>
          <w:highlight w:val="none"/>
          <w:lang w:val="zh-CN" w:eastAsia="zh-CN" w:bidi="ar-SA"/>
        </w:rPr>
        <w:t>社会保障和就业支出（类）81.12万元，占10.94%；</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default" w:ascii="Times New Roman" w:hAnsi="Times New Roman" w:eastAsia="方正仿宋简体" w:cs="Times New Roman"/>
          <w:color w:val="auto"/>
          <w:spacing w:val="0"/>
          <w:kern w:val="2"/>
          <w:sz w:val="32"/>
          <w:szCs w:val="32"/>
          <w:lang w:val="en-US" w:eastAsia="zh-CN" w:bidi="ar-SA"/>
        </w:rPr>
        <w:t>3</w:t>
      </w:r>
      <w:r>
        <w:rPr>
          <w:rFonts w:hint="default" w:ascii="Times New Roman" w:hAnsi="Times New Roman" w:eastAsia="方正仿宋简体" w:cs="Times New Roman"/>
          <w:color w:val="auto"/>
          <w:spacing w:val="0"/>
          <w:kern w:val="2"/>
          <w:sz w:val="32"/>
          <w:szCs w:val="32"/>
          <w:lang w:val="zh-CN" w:eastAsia="zh-CN" w:bidi="ar-SA"/>
        </w:rPr>
        <w:t>.</w:t>
      </w:r>
      <w:r>
        <w:rPr>
          <w:rFonts w:hint="default" w:ascii="Times New Roman" w:hAnsi="Times New Roman" w:eastAsia="方正仿宋简体" w:cs="Times New Roman"/>
          <w:color w:val="auto"/>
          <w:spacing w:val="0"/>
          <w:kern w:val="2"/>
          <w:sz w:val="32"/>
          <w:szCs w:val="32"/>
          <w:highlight w:val="none"/>
          <w:lang w:val="zh-CN" w:eastAsia="zh-CN" w:bidi="ar-SA"/>
        </w:rPr>
        <w:t>卫生健康支出（类）21.73万元，占2.93%；</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default" w:ascii="Times New Roman" w:hAnsi="Times New Roman" w:eastAsia="方正仿宋简体" w:cs="Times New Roman"/>
          <w:color w:val="auto"/>
          <w:spacing w:val="0"/>
          <w:kern w:val="2"/>
          <w:sz w:val="32"/>
          <w:szCs w:val="32"/>
          <w:lang w:val="en-US" w:eastAsia="zh-CN" w:bidi="ar-SA"/>
        </w:rPr>
        <w:t>4</w:t>
      </w:r>
      <w:r>
        <w:rPr>
          <w:rFonts w:hint="default" w:ascii="Times New Roman" w:hAnsi="Times New Roman" w:eastAsia="方正仿宋简体" w:cs="Times New Roman"/>
          <w:color w:val="auto"/>
          <w:spacing w:val="0"/>
          <w:kern w:val="2"/>
          <w:sz w:val="32"/>
          <w:szCs w:val="32"/>
          <w:lang w:val="zh-CN" w:eastAsia="zh-CN" w:bidi="ar-SA"/>
        </w:rPr>
        <w:t>.</w:t>
      </w:r>
      <w:r>
        <w:rPr>
          <w:rFonts w:hint="default" w:ascii="Times New Roman" w:hAnsi="Times New Roman" w:eastAsia="方正仿宋简体" w:cs="Times New Roman"/>
          <w:color w:val="auto"/>
          <w:spacing w:val="0"/>
          <w:kern w:val="2"/>
          <w:sz w:val="32"/>
          <w:szCs w:val="32"/>
          <w:highlight w:val="none"/>
          <w:lang w:val="zh-CN" w:eastAsia="zh-CN" w:bidi="ar-SA"/>
        </w:rPr>
        <w:t>住房保障支出（类）17.35万元，占2.34%。</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1.卫生健康支出（类）行政事业单位医疗（款）行政单位医疗（项）：支出决算数为11.61万元，比上年决算增加2.95万元，增长34.0</w:t>
      </w:r>
      <w:r>
        <w:rPr>
          <w:rFonts w:hint="eastAsia" w:eastAsia="方正仿宋简体" w:cs="Times New Roman"/>
          <w:color w:val="auto"/>
          <w:kern w:val="2"/>
          <w:sz w:val="32"/>
          <w:szCs w:val="32"/>
          <w:highlight w:val="none"/>
          <w:lang w:val="en-US" w:eastAsia="zh-CN" w:bidi="ar-SA"/>
        </w:rPr>
        <w:t>6</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在职干部职务职级变化，工资增长，导致行政单位医疗缴纳基数增高，行政单位医疗缴费增加。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2.卫生健康支出（类）行政事业单位医疗（款）公务员医疗补助（项）：支出决算数为10.12万元，比上年决算增加3.39万元，增长50.</w:t>
      </w:r>
      <w:r>
        <w:rPr>
          <w:rFonts w:hint="eastAsia" w:eastAsia="方正仿宋简体" w:cs="Times New Roman"/>
          <w:color w:val="auto"/>
          <w:kern w:val="2"/>
          <w:sz w:val="32"/>
          <w:szCs w:val="32"/>
          <w:highlight w:val="none"/>
          <w:lang w:val="en-US" w:eastAsia="zh-CN" w:bidi="ar-SA"/>
        </w:rPr>
        <w:t>37</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在职干部职务职级变化，工资增长，导致公务员医疗补助缴纳基数增高，公务员医疗补助缴费增加。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3.住房保障支出（类）住房改革支出（款）住房公积金（项）：支出决算数为17.35万元，比上年决算增加5.34万元，增长44.4</w:t>
      </w:r>
      <w:r>
        <w:rPr>
          <w:rFonts w:hint="eastAsia" w:eastAsia="方正仿宋简体" w:cs="Times New Roman"/>
          <w:color w:val="auto"/>
          <w:kern w:val="2"/>
          <w:sz w:val="32"/>
          <w:szCs w:val="32"/>
          <w:highlight w:val="none"/>
          <w:lang w:val="en-US" w:eastAsia="zh-CN" w:bidi="ar-SA"/>
        </w:rPr>
        <w:t>6</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在职干部职务职级变化，工资增长，导致住房公积金缴纳基数增高，住房公积金缴费增加。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4.社会保障和就业支出（类）行政事业单位养老支出（款）行政单位离退休（项）：支出决算数为10.63万元，比上年决算减少4.36万元，下降29.</w:t>
      </w:r>
      <w:r>
        <w:rPr>
          <w:rFonts w:hint="eastAsia" w:eastAsia="方正仿宋简体" w:cs="Times New Roman"/>
          <w:color w:val="auto"/>
          <w:kern w:val="2"/>
          <w:sz w:val="32"/>
          <w:szCs w:val="32"/>
          <w:highlight w:val="none"/>
          <w:lang w:val="en-US" w:eastAsia="zh-CN" w:bidi="ar-SA"/>
        </w:rPr>
        <w:t>09</w:t>
      </w:r>
      <w:r>
        <w:rPr>
          <w:rFonts w:hint="default" w:ascii="Times New Roman" w:hAnsi="Times New Roman" w:eastAsia="方正仿宋简体" w:cs="Times New Roman"/>
          <w:color w:val="auto"/>
          <w:kern w:val="2"/>
          <w:sz w:val="32"/>
          <w:szCs w:val="32"/>
          <w:highlight w:val="none"/>
          <w:lang w:val="en-US" w:eastAsia="zh-CN" w:bidi="ar-SA"/>
        </w:rPr>
        <w:t>%，主要原因是：按照医保要求，基本支出预算中不再安排退休人员医疗保险缴费预算</w:t>
      </w:r>
      <w:r>
        <w:rPr>
          <w:rFonts w:hint="default" w:ascii="Times New Roman" w:hAnsi="Times New Roman" w:eastAsia="方正仿宋简体"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方正仿宋简体" w:cs="Times New Roman"/>
          <w:color w:val="auto"/>
          <w:spacing w:val="0"/>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5.一般公共服务支出（类）其他共产党事务支出（款）其他共产党事务支出（项）：支出决算数为377.50万元，比上年决算增加53.53万元，增长16.52%，主要原因是：</w:t>
      </w:r>
      <w:r>
        <w:rPr>
          <w:rFonts w:hint="eastAsia" w:eastAsia="方正仿宋简体" w:cs="Times New Roman"/>
          <w:color w:val="auto"/>
          <w:spacing w:val="0"/>
          <w:sz w:val="32"/>
          <w:szCs w:val="32"/>
          <w:highlight w:val="none"/>
          <w:lang w:val="en-US" w:eastAsia="zh-CN"/>
        </w:rPr>
        <w:t>2022年受疫情影响，支出较低，2023年正常开展工作后，支出数较2022年大幅增长。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方正仿宋简体" w:cs="Times New Roman"/>
          <w:color w:val="auto"/>
          <w:spacing w:val="0"/>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6.一般公共服务支出（类）其他共产党事务支出（款）行政运行（项）：支出决算数为243.89万元，比上年决算增加75.27万元，增长44.6</w:t>
      </w:r>
      <w:r>
        <w:rPr>
          <w:rFonts w:hint="eastAsia" w:eastAsia="方正仿宋简体" w:cs="Times New Roman"/>
          <w:color w:val="auto"/>
          <w:kern w:val="2"/>
          <w:sz w:val="32"/>
          <w:szCs w:val="32"/>
          <w:highlight w:val="none"/>
          <w:lang w:val="en-US" w:eastAsia="zh-CN" w:bidi="ar-SA"/>
        </w:rPr>
        <w:t>4</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eastAsia" w:eastAsia="方正仿宋简体" w:cs="Times New Roman"/>
          <w:color w:val="auto"/>
          <w:spacing w:val="0"/>
          <w:sz w:val="32"/>
          <w:szCs w:val="32"/>
          <w:highlight w:val="none"/>
          <w:lang w:val="en-US" w:eastAsia="zh-CN"/>
        </w:rPr>
        <w:t>2022年受疫情影响，支出较低，2023年正常开展工作后，支出数较2022年大幅增长。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7.社会保障和就业支出（类）行政事业单位养老支出（款）机关事业单位职业年金缴费支出（项）：支出决算数为47.36万元，比上年决算增加47.36万元，增长100%，主要原因是：一是</w:t>
      </w:r>
      <w:r>
        <w:rPr>
          <w:rFonts w:hint="default" w:ascii="Times New Roman" w:hAnsi="Times New Roman" w:eastAsia="方正仿宋简体" w:cs="Times New Roman"/>
          <w:color w:val="auto"/>
          <w:kern w:val="2"/>
          <w:sz w:val="32"/>
          <w:szCs w:val="32"/>
          <w:highlight w:val="none"/>
          <w:lang w:val="zh-CN" w:eastAsia="zh-CN" w:bidi="ar-SA"/>
        </w:rPr>
        <w:t>在职干部职务职级变化，工资增长，导致机关事业单位职业年金缴纳基数增高；二是退休人员清算职业年金。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8.社会保障和就业支出（类）行政事业单位养老支出（款）机关事业单位基本养老保险缴费支出（项）：支出决算数为23.13万元，比上年决算增加7.12万元，增长44.4</w:t>
      </w:r>
      <w:r>
        <w:rPr>
          <w:rFonts w:hint="eastAsia" w:eastAsia="方正仿宋简体" w:cs="Times New Roman"/>
          <w:color w:val="auto"/>
          <w:kern w:val="2"/>
          <w:sz w:val="32"/>
          <w:szCs w:val="32"/>
          <w:highlight w:val="none"/>
          <w:lang w:val="en-US" w:eastAsia="zh-CN" w:bidi="ar-SA"/>
        </w:rPr>
        <w:t>7</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在职干部职务职级变化，工资增长，导致机关事业单位基本养老保险缴纳基数增高，机关事业单位基本养老保险缴费增加。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eastAsia="zh-CN"/>
        </w:rPr>
        <w:t>2023年度</w:t>
      </w:r>
      <w:r>
        <w:rPr>
          <w:rFonts w:hint="default" w:ascii="Times New Roman" w:hAnsi="Times New Roman" w:eastAsia="方正仿宋简体" w:cs="Times New Roman"/>
          <w:color w:val="auto"/>
          <w:sz w:val="32"/>
          <w:szCs w:val="32"/>
          <w:highlight w:val="none"/>
        </w:rPr>
        <w:t>一般公共预算财政拨款基本支出</w:t>
      </w:r>
      <w:r>
        <w:rPr>
          <w:rFonts w:hint="default" w:ascii="Times New Roman" w:hAnsi="Times New Roman" w:eastAsia="方正仿宋简体" w:cs="Times New Roman"/>
          <w:color w:val="auto"/>
          <w:sz w:val="32"/>
          <w:szCs w:val="32"/>
          <w:highlight w:val="none"/>
          <w:lang w:eastAsia="zh-CN"/>
        </w:rPr>
        <w:t>364.10</w:t>
      </w:r>
      <w:r>
        <w:rPr>
          <w:rFonts w:hint="default" w:ascii="Times New Roman" w:hAnsi="Times New Roman" w:eastAsia="方正仿宋简体" w:cs="Times New Roman"/>
          <w:color w:val="auto"/>
          <w:sz w:val="32"/>
          <w:szCs w:val="32"/>
          <w:highlight w:val="none"/>
        </w:rPr>
        <w:t>万元，其中：人员经费</w:t>
      </w:r>
      <w:r>
        <w:rPr>
          <w:rFonts w:hint="default" w:ascii="Times New Roman" w:hAnsi="Times New Roman" w:eastAsia="方正仿宋简体" w:cs="Times New Roman"/>
          <w:color w:val="auto"/>
          <w:sz w:val="32"/>
          <w:szCs w:val="32"/>
          <w:highlight w:val="none"/>
          <w:lang w:eastAsia="zh-CN"/>
        </w:rPr>
        <w:t>354.82</w:t>
      </w:r>
      <w:r>
        <w:rPr>
          <w:rFonts w:hint="default" w:ascii="Times New Roman" w:hAnsi="Times New Roman" w:eastAsia="方正仿宋简体" w:cs="Times New Roman"/>
          <w:color w:val="auto"/>
          <w:sz w:val="32"/>
          <w:szCs w:val="32"/>
          <w:highlight w:val="none"/>
        </w:rPr>
        <w:t>万元，包括：</w:t>
      </w:r>
      <w:r>
        <w:rPr>
          <w:rFonts w:hint="default" w:ascii="Times New Roman" w:hAnsi="Times New Roman" w:eastAsia="方正仿宋简体" w:cs="Times New Roman"/>
          <w:color w:val="auto"/>
          <w:sz w:val="32"/>
          <w:szCs w:val="32"/>
          <w:highlight w:val="none"/>
          <w:lang w:val="en-US" w:eastAsia="zh-CN"/>
        </w:rPr>
        <w:t>基本工资、津贴补贴、奖金、伙食补助费、机关事业单位基本养老保险缴费、职业年金缴费、职工基本医疗保险缴费、公务员医疗补助缴费、住房公积金、其他工资福利支出、退休费、抚恤金、医疗费补助。</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red"/>
          <w:lang w:val="en-US" w:eastAsia="zh-CN"/>
        </w:rPr>
      </w:pPr>
      <w:r>
        <w:rPr>
          <w:rFonts w:hint="default" w:ascii="Times New Roman" w:hAnsi="Times New Roman" w:eastAsia="方正仿宋简体" w:cs="Times New Roman"/>
          <w:color w:val="auto"/>
          <w:sz w:val="32"/>
          <w:szCs w:val="32"/>
          <w:highlight w:val="none"/>
        </w:rPr>
        <w:t>公用经费</w:t>
      </w:r>
      <w:r>
        <w:rPr>
          <w:rFonts w:hint="default" w:ascii="Times New Roman" w:hAnsi="Times New Roman" w:eastAsia="方正仿宋简体" w:cs="Times New Roman"/>
          <w:color w:val="auto"/>
          <w:sz w:val="32"/>
          <w:szCs w:val="32"/>
          <w:highlight w:val="none"/>
          <w:lang w:eastAsia="zh-CN"/>
        </w:rPr>
        <w:t>9.28</w:t>
      </w:r>
      <w:r>
        <w:rPr>
          <w:rFonts w:hint="default" w:ascii="Times New Roman" w:hAnsi="Times New Roman" w:eastAsia="方正仿宋简体" w:cs="Times New Roman"/>
          <w:color w:val="auto"/>
          <w:sz w:val="32"/>
          <w:szCs w:val="32"/>
          <w:highlight w:val="none"/>
        </w:rPr>
        <w:t>万元，包括：</w:t>
      </w:r>
      <w:r>
        <w:rPr>
          <w:rFonts w:hint="default" w:ascii="Times New Roman" w:hAnsi="Times New Roman" w:eastAsia="方正仿宋简体" w:cs="Times New Roman"/>
          <w:color w:val="auto"/>
          <w:sz w:val="32"/>
          <w:szCs w:val="32"/>
          <w:highlight w:val="none"/>
          <w:lang w:val="en-US" w:eastAsia="zh-CN"/>
        </w:rPr>
        <w:t>办公费、邮电费、工会经费、福利费、公务用车运行维护费。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en-US" w:eastAsia="zh-CN"/>
        </w:rPr>
        <w:t>财政拨款</w:t>
      </w:r>
      <w:r>
        <w:rPr>
          <w:rFonts w:hint="default" w:ascii="Times New Roman" w:hAnsi="Times New Roman" w:eastAsia="方正仿宋简体" w:cs="Times New Roman"/>
          <w:color w:val="auto"/>
          <w:sz w:val="32"/>
          <w:szCs w:val="32"/>
          <w:highlight w:val="none"/>
          <w:lang w:val="zh-CN" w:eastAsia="zh-CN"/>
        </w:rPr>
        <w:t>“三公”经费支出5.63万元，</w:t>
      </w:r>
      <w:r>
        <w:rPr>
          <w:rFonts w:hint="default" w:ascii="Times New Roman" w:hAnsi="Times New Roman" w:eastAsia="方正仿宋简体" w:cs="Times New Roman"/>
          <w:color w:val="auto"/>
          <w:sz w:val="32"/>
          <w:szCs w:val="32"/>
          <w:highlight w:val="none"/>
          <w:lang w:val="en-US" w:eastAsia="zh-CN"/>
        </w:rPr>
        <w:t>比上年</w:t>
      </w:r>
      <w:r>
        <w:rPr>
          <w:rFonts w:hint="default" w:ascii="Times New Roman" w:hAnsi="Times New Roman" w:eastAsia="方正仿宋简体" w:cs="Times New Roman"/>
          <w:color w:val="auto"/>
          <w:sz w:val="32"/>
          <w:szCs w:val="32"/>
          <w:highlight w:val="none"/>
          <w:lang w:val="zh-CN" w:eastAsia="zh-CN"/>
        </w:rPr>
        <w:t>增加3.43万元，</w:t>
      </w:r>
      <w:r>
        <w:rPr>
          <w:rFonts w:hint="default" w:ascii="Times New Roman" w:hAnsi="Times New Roman" w:eastAsia="方正仿宋简体" w:cs="Times New Roman"/>
          <w:color w:val="auto"/>
          <w:spacing w:val="0"/>
          <w:sz w:val="32"/>
          <w:szCs w:val="32"/>
          <w:highlight w:val="none"/>
          <w:lang w:val="en-US" w:eastAsia="zh-CN"/>
        </w:rPr>
        <w:t>增长155.</w:t>
      </w:r>
      <w:r>
        <w:rPr>
          <w:rFonts w:hint="eastAsia" w:eastAsia="方正仿宋简体" w:cs="Times New Roman"/>
          <w:color w:val="auto"/>
          <w:spacing w:val="0"/>
          <w:sz w:val="32"/>
          <w:szCs w:val="32"/>
          <w:highlight w:val="none"/>
          <w:lang w:val="en-US" w:eastAsia="zh-CN"/>
        </w:rPr>
        <w:t>91</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2022年“三公”活动减少，2023年“三公”活动</w:t>
      </w:r>
      <w:r>
        <w:rPr>
          <w:rFonts w:hint="default" w:ascii="Times New Roman" w:hAnsi="Times New Roman" w:eastAsia="方正仿宋简体" w:cs="Times New Roman"/>
          <w:color w:val="auto"/>
          <w:sz w:val="32"/>
          <w:szCs w:val="32"/>
          <w:highlight w:val="none"/>
          <w:lang w:val="zh-CN" w:eastAsia="zh-CN"/>
        </w:rPr>
        <w:t>正常开展。其中：因公出国（境）费支出0.00万元，占0.00%，比上年增加0.00万元，</w:t>
      </w:r>
      <w:r>
        <w:rPr>
          <w:rFonts w:hint="default" w:ascii="Times New Roman" w:hAnsi="Times New Roman" w:eastAsia="方正仿宋简体" w:cs="Times New Roman"/>
          <w:color w:val="auto"/>
          <w:spacing w:val="0"/>
          <w:sz w:val="32"/>
          <w:szCs w:val="32"/>
          <w:highlight w:val="none"/>
          <w:lang w:val="en-US" w:eastAsia="zh-CN"/>
        </w:rPr>
        <w:t>增长0.00%，</w:t>
      </w:r>
      <w:r>
        <w:rPr>
          <w:rFonts w:hint="default" w:ascii="Times New Roman" w:hAnsi="Times New Roman" w:eastAsia="方正仿宋简体" w:cs="Times New Roman"/>
          <w:color w:val="auto"/>
          <w:sz w:val="32"/>
          <w:szCs w:val="32"/>
          <w:highlight w:val="none"/>
          <w:lang w:val="zh-CN" w:eastAsia="zh-CN"/>
        </w:rPr>
        <w:t>主要原因是：我单位无因公出国（境）费；公务用车购置及运行维护费支出5.11万元，占90.</w:t>
      </w:r>
      <w:r>
        <w:rPr>
          <w:rFonts w:hint="eastAsia" w:eastAsia="方正仿宋简体" w:cs="Times New Roman"/>
          <w:color w:val="auto"/>
          <w:sz w:val="32"/>
          <w:szCs w:val="32"/>
          <w:highlight w:val="none"/>
          <w:lang w:val="en-US" w:eastAsia="zh-CN"/>
        </w:rPr>
        <w:t>76</w:t>
      </w:r>
      <w:r>
        <w:rPr>
          <w:rFonts w:hint="default" w:ascii="Times New Roman" w:hAnsi="Times New Roman" w:eastAsia="方正仿宋简体" w:cs="Times New Roman"/>
          <w:color w:val="auto"/>
          <w:sz w:val="32"/>
          <w:szCs w:val="32"/>
          <w:highlight w:val="none"/>
          <w:lang w:val="zh-CN" w:eastAsia="zh-CN"/>
        </w:rPr>
        <w:t>%，比上年增加2.91万元，</w:t>
      </w:r>
      <w:r>
        <w:rPr>
          <w:rFonts w:hint="default" w:ascii="Times New Roman" w:hAnsi="Times New Roman" w:eastAsia="方正仿宋简体" w:cs="Times New Roman"/>
          <w:color w:val="auto"/>
          <w:spacing w:val="0"/>
          <w:sz w:val="32"/>
          <w:szCs w:val="32"/>
          <w:highlight w:val="none"/>
          <w:lang w:val="en-US" w:eastAsia="zh-CN"/>
        </w:rPr>
        <w:t>增长132.</w:t>
      </w:r>
      <w:r>
        <w:rPr>
          <w:rFonts w:hint="eastAsia" w:eastAsia="方正仿宋简体" w:cs="Times New Roman"/>
          <w:color w:val="auto"/>
          <w:spacing w:val="0"/>
          <w:sz w:val="32"/>
          <w:szCs w:val="32"/>
          <w:highlight w:val="none"/>
          <w:lang w:val="en-US" w:eastAsia="zh-CN"/>
        </w:rPr>
        <w:t>27</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2022年公务用车运行减少，2023年</w:t>
      </w:r>
      <w:r>
        <w:rPr>
          <w:rFonts w:hint="default" w:ascii="Times New Roman" w:hAnsi="Times New Roman" w:eastAsia="方正仿宋简体" w:cs="Times New Roman"/>
          <w:color w:val="auto"/>
          <w:sz w:val="32"/>
          <w:szCs w:val="32"/>
          <w:highlight w:val="none"/>
          <w:lang w:val="zh-CN" w:eastAsia="zh-CN"/>
        </w:rPr>
        <w:t>正常开展；公务接待费支出0.51万元，占9.</w:t>
      </w:r>
      <w:r>
        <w:rPr>
          <w:rFonts w:hint="eastAsia" w:eastAsia="方正仿宋简体" w:cs="Times New Roman"/>
          <w:color w:val="auto"/>
          <w:sz w:val="32"/>
          <w:szCs w:val="32"/>
          <w:highlight w:val="none"/>
          <w:lang w:val="en-US" w:eastAsia="zh-CN"/>
        </w:rPr>
        <w:t>06</w:t>
      </w:r>
      <w:bookmarkStart w:id="48" w:name="_GoBack"/>
      <w:bookmarkEnd w:id="48"/>
      <w:r>
        <w:rPr>
          <w:rFonts w:hint="default" w:ascii="Times New Roman" w:hAnsi="Times New Roman" w:eastAsia="方正仿宋简体" w:cs="Times New Roman"/>
          <w:color w:val="auto"/>
          <w:sz w:val="32"/>
          <w:szCs w:val="32"/>
          <w:highlight w:val="none"/>
          <w:lang w:val="zh-CN" w:eastAsia="zh-CN"/>
        </w:rPr>
        <w:t>%，比上年增加0.51万元，</w:t>
      </w:r>
      <w:r>
        <w:rPr>
          <w:rFonts w:hint="default" w:ascii="Times New Roman" w:hAnsi="Times New Roman" w:eastAsia="方正仿宋简体" w:cs="Times New Roman"/>
          <w:color w:val="auto"/>
          <w:spacing w:val="0"/>
          <w:sz w:val="32"/>
          <w:szCs w:val="32"/>
          <w:highlight w:val="none"/>
          <w:lang w:val="en-US" w:eastAsia="zh-CN"/>
        </w:rPr>
        <w:t>增长100.00%，</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2022年公务接待减少，2023年</w:t>
      </w:r>
      <w:r>
        <w:rPr>
          <w:rFonts w:hint="default" w:ascii="Times New Roman" w:hAnsi="Times New Roman" w:eastAsia="方正仿宋简体" w:cs="Times New Roman"/>
          <w:color w:val="auto"/>
          <w:sz w:val="32"/>
          <w:szCs w:val="32"/>
          <w:highlight w:val="none"/>
          <w:lang w:val="zh-CN" w:eastAsia="zh-CN"/>
        </w:rPr>
        <w:t>正常开展。</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zh-CN" w:eastAsia="zh-CN"/>
        </w:rPr>
        <w:t>公务用车购置及运行维护费5.11万元，其中：公务用车购置费0.00万元，公务用车运行维护费5.11万元。公务用车运行维护费开支内容包括公务用车油料费、维修（护）费、保险费等。公务用车购置数0辆，公务用车保有量2辆。国有资产占用情况</w:t>
      </w:r>
      <w:r>
        <w:rPr>
          <w:rFonts w:hint="default" w:ascii="Times New Roman" w:hAnsi="Times New Roman" w:eastAsia="方正仿宋简体" w:cs="Times New Roman"/>
          <w:color w:val="auto"/>
          <w:sz w:val="32"/>
          <w:szCs w:val="32"/>
          <w:highlight w:val="none"/>
          <w:lang w:val="en-US" w:eastAsia="zh-CN"/>
        </w:rPr>
        <w:t>中固定资产车辆</w:t>
      </w:r>
      <w:r>
        <w:rPr>
          <w:rFonts w:hint="default" w:ascii="Times New Roman" w:hAnsi="Times New Roman" w:eastAsia="方正仿宋简体" w:cs="Times New Roman"/>
          <w:color w:val="auto"/>
          <w:sz w:val="32"/>
          <w:szCs w:val="32"/>
          <w:highlight w:val="none"/>
          <w:lang w:val="zh-CN" w:eastAsia="zh-CN"/>
        </w:rPr>
        <w:t>2辆，</w:t>
      </w:r>
      <w:r>
        <w:rPr>
          <w:rFonts w:hint="default" w:ascii="Times New Roman" w:hAnsi="Times New Roman" w:eastAsia="方正仿宋简体" w:cs="Times New Roman"/>
          <w:color w:val="auto"/>
          <w:sz w:val="32"/>
          <w:szCs w:val="32"/>
          <w:highlight w:val="none"/>
          <w:lang w:val="en-US" w:eastAsia="zh-CN"/>
        </w:rPr>
        <w:t>与</w:t>
      </w:r>
      <w:r>
        <w:rPr>
          <w:rFonts w:hint="default" w:ascii="Times New Roman" w:hAnsi="Times New Roman" w:eastAsia="方正仿宋简体" w:cs="Times New Roman"/>
          <w:color w:val="auto"/>
          <w:sz w:val="32"/>
          <w:szCs w:val="32"/>
          <w:highlight w:val="none"/>
          <w:lang w:val="zh-CN" w:eastAsia="zh-CN"/>
        </w:rPr>
        <w:t>公务用车</w:t>
      </w:r>
      <w:r>
        <w:rPr>
          <w:rFonts w:hint="default" w:ascii="Times New Roman" w:hAnsi="Times New Roman" w:eastAsia="方正仿宋简体" w:cs="Times New Roman"/>
          <w:color w:val="auto"/>
          <w:sz w:val="32"/>
          <w:szCs w:val="32"/>
          <w:highlight w:val="none"/>
          <w:lang w:val="en-US" w:eastAsia="zh-CN"/>
        </w:rPr>
        <w:t>保有量差异</w:t>
      </w:r>
      <w:r>
        <w:rPr>
          <w:rFonts w:hint="default" w:ascii="Times New Roman" w:hAnsi="Times New Roman" w:eastAsia="方正仿宋简体" w:cs="Times New Roman"/>
          <w:color w:val="auto"/>
          <w:sz w:val="32"/>
          <w:szCs w:val="32"/>
          <w:highlight w:val="none"/>
          <w:lang w:val="zh-CN" w:eastAsia="zh-CN"/>
        </w:rPr>
        <w:t>原因是：国有资产占用情况中固定资产车辆与公务用车保有量一致。</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公务接待费0.51万元，开支内容包括工作餐费。单位全年安排的国内公务接待3批次，15人次。</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与</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预算相比</w:t>
      </w:r>
      <w:r>
        <w:rPr>
          <w:rFonts w:hint="eastAsia" w:eastAsia="方正仿宋简体" w:cs="Times New Roman"/>
          <w:color w:val="auto"/>
          <w:sz w:val="32"/>
          <w:szCs w:val="32"/>
          <w:highlight w:val="none"/>
          <w:lang w:val="zh-CN" w:eastAsia="zh-CN"/>
        </w:rPr>
        <w:t>，</w:t>
      </w:r>
      <w:r>
        <w:rPr>
          <w:rFonts w:hint="default" w:ascii="Times New Roman" w:hAnsi="Times New Roman" w:eastAsia="方正仿宋简体" w:cs="Times New Roman"/>
          <w:color w:val="auto"/>
          <w:sz w:val="32"/>
          <w:szCs w:val="32"/>
          <w:highlight w:val="none"/>
          <w:lang w:val="zh-CN" w:eastAsia="zh-CN"/>
        </w:rPr>
        <w:t>财政拨款“三公”经费支出</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预算数5.63万元，决算数5.63万元，预决算差异率0.00%，主要原因是：严格“三公”经费管理，严禁超预算支出。其中：因公出国（境）费</w:t>
      </w:r>
      <w:r>
        <w:rPr>
          <w:rFonts w:hint="default" w:ascii="Times New Roman" w:hAnsi="Times New Roman" w:eastAsia="方正仿宋简体" w:cs="Times New Roman"/>
          <w:color w:val="auto"/>
          <w:sz w:val="32"/>
          <w:szCs w:val="32"/>
          <w:highlight w:val="none"/>
          <w:lang w:val="en-US" w:eastAsia="zh-CN"/>
        </w:rPr>
        <w:t>全年预算数</w:t>
      </w:r>
      <w:r>
        <w:rPr>
          <w:rFonts w:hint="default" w:ascii="Times New Roman" w:hAnsi="Times New Roman" w:eastAsia="方正仿宋简体" w:cs="Times New Roman"/>
          <w:color w:val="auto"/>
          <w:sz w:val="32"/>
          <w:szCs w:val="32"/>
          <w:highlight w:val="none"/>
          <w:lang w:val="zh-CN" w:eastAsia="zh-CN"/>
        </w:rPr>
        <w:t>0.00万元，决算数0.00万元，预决算差异率0.00%，主要原因是：我单位无因公出国（境）费；公务用车购置费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预算数0.00万元，决算数0.00万元，预决算差异率0.00%，主要原因是：我单位无公务用车购置费；公务用车运行费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预算数5.11万元，决算数5.11万元，预决算差异率0.00%，主要原因是：严格“三公”经费管理，严禁超预算支出；公务接待费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预算数0.51万元，决算数0.51万元，预决算差异率0.00%，主要原因是：严格“三公”经费管理，严禁超预算支出。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lang w:eastAsia="zh-CN"/>
        </w:rPr>
        <w:t>我</w:t>
      </w:r>
      <w:r>
        <w:rPr>
          <w:rFonts w:hint="default" w:ascii="Times New Roman" w:hAnsi="Times New Roman" w:eastAsia="方正仿宋简体" w:cs="Times New Roman"/>
          <w:color w:val="auto"/>
          <w:sz w:val="32"/>
          <w:szCs w:val="32"/>
          <w:highlight w:val="none"/>
          <w:lang w:val="en-US" w:eastAsia="zh-CN"/>
        </w:rPr>
        <w:t>单位</w:t>
      </w:r>
      <w:r>
        <w:rPr>
          <w:rFonts w:hint="default" w:ascii="Times New Roman" w:hAnsi="Times New Roman" w:eastAsia="方正仿宋简体" w:cs="Times New Roman"/>
          <w:color w:val="auto"/>
          <w:sz w:val="32"/>
          <w:szCs w:val="32"/>
          <w:highlight w:val="none"/>
          <w:lang w:eastAsia="zh-CN"/>
        </w:rPr>
        <w:t>本年度无政府性基金预算财政拨款收入、支出</w:t>
      </w:r>
      <w:r>
        <w:rPr>
          <w:rFonts w:hint="default" w:ascii="Times New Roman" w:hAnsi="Times New Roman" w:eastAsia="方正仿宋简体" w:cs="Times New Roman"/>
          <w:color w:val="auto"/>
          <w:sz w:val="32"/>
          <w:szCs w:val="32"/>
          <w:highlight w:val="none"/>
          <w:lang w:val="en-US" w:eastAsia="zh-CN"/>
        </w:rPr>
        <w:t>及结转和结余</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lang w:eastAsia="zh-CN"/>
        </w:rPr>
        <w:t>我</w:t>
      </w:r>
      <w:r>
        <w:rPr>
          <w:rFonts w:hint="default" w:ascii="Times New Roman" w:hAnsi="Times New Roman" w:eastAsia="方正仿宋简体" w:cs="Times New Roman"/>
          <w:color w:val="auto"/>
          <w:sz w:val="32"/>
          <w:szCs w:val="32"/>
          <w:highlight w:val="none"/>
          <w:lang w:val="en-US" w:eastAsia="zh-CN"/>
        </w:rPr>
        <w:t>单位</w:t>
      </w:r>
      <w:r>
        <w:rPr>
          <w:rFonts w:hint="default" w:ascii="Times New Roman" w:hAnsi="Times New Roman" w:eastAsia="方正仿宋简体" w:cs="Times New Roman"/>
          <w:color w:val="auto"/>
          <w:sz w:val="32"/>
          <w:szCs w:val="32"/>
          <w:highlight w:val="none"/>
          <w:lang w:eastAsia="zh-CN"/>
        </w:rPr>
        <w:t>本年度无国有资本经营预算财政拨款收入、支出</w:t>
      </w:r>
      <w:r>
        <w:rPr>
          <w:rFonts w:hint="default" w:ascii="Times New Roman" w:hAnsi="Times New Roman" w:eastAsia="方正仿宋简体" w:cs="Times New Roman"/>
          <w:color w:val="auto"/>
          <w:sz w:val="32"/>
          <w:szCs w:val="32"/>
          <w:highlight w:val="none"/>
          <w:lang w:val="en-US" w:eastAsia="zh-CN"/>
        </w:rPr>
        <w:t>及结转和结余</w:t>
      </w:r>
      <w:r>
        <w:rPr>
          <w:rFonts w:hint="default" w:ascii="Times New Roman" w:hAnsi="Times New Roman" w:eastAsia="方正仿宋简体" w:cs="Times New Roman"/>
          <w:color w:val="auto"/>
          <w:sz w:val="32"/>
          <w:szCs w:val="32"/>
          <w:highlight w:val="none"/>
          <w:lang w:eastAsia="zh-CN"/>
        </w:rPr>
        <w:t>，国有资本经营</w:t>
      </w:r>
      <w:r>
        <w:rPr>
          <w:rFonts w:hint="default" w:ascii="Times New Roman" w:hAnsi="Times New Roman" w:eastAsia="方正仿宋简体" w:cs="Times New Roman"/>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7314"/>
      <w:bookmarkStart w:id="21" w:name="_Toc12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rPr>
      </w:pPr>
      <w:bookmarkStart w:id="22" w:name="_Toc13105"/>
      <w:bookmarkStart w:id="23" w:name="_Toc14519"/>
      <w:r>
        <w:rPr>
          <w:rFonts w:hint="default" w:ascii="Times New Roman" w:hAnsi="Times New Roman" w:eastAsia="楷体" w:cs="Times New Roman"/>
          <w:color w:val="auto"/>
          <w:sz w:val="32"/>
          <w:szCs w:val="32"/>
          <w:highlight w:val="none"/>
          <w:lang w:eastAsia="zh-CN"/>
        </w:rPr>
        <w:t>（一）</w:t>
      </w:r>
      <w:r>
        <w:rPr>
          <w:rFonts w:hint="default" w:ascii="Times New Roman" w:hAnsi="Times New Roman" w:eastAsia="楷体" w:cs="Times New Roman"/>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bookmarkStart w:id="24" w:name="_Toc26704"/>
      <w:bookmarkStart w:id="25" w:name="_Toc227"/>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en-US" w:eastAsia="zh-CN"/>
        </w:rPr>
        <w:t>自治区法学会（参照公务员法管理事业单位）机关运行经费支出9.28万元，</w:t>
      </w:r>
      <w:r>
        <w:rPr>
          <w:rFonts w:hint="default" w:ascii="Times New Roman" w:hAnsi="Times New Roman" w:eastAsia="方正仿宋简体" w:cs="Times New Roman"/>
          <w:color w:val="auto"/>
          <w:sz w:val="32"/>
          <w:szCs w:val="32"/>
          <w:highlight w:val="none"/>
          <w:lang w:val="zh-CN" w:eastAsia="zh-CN"/>
        </w:rPr>
        <w:t>比上年减少1.16万元，下降11.11%，主要原因是：厉行节约、防止浪费、加强管理，压减费用支出</w:t>
      </w:r>
      <w:r>
        <w:rPr>
          <w:rFonts w:hint="default" w:ascii="Times New Roman" w:hAnsi="Times New Roman" w:eastAsia="方正仿宋简体"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 w:cs="Times New Roman"/>
          <w:color w:val="auto"/>
          <w:sz w:val="32"/>
          <w:szCs w:val="30"/>
          <w:highlight w:val="none"/>
          <w:lang w:val="zh-CN" w:eastAsia="zh-CN"/>
        </w:rPr>
      </w:pPr>
      <w:r>
        <w:rPr>
          <w:rFonts w:hint="default" w:ascii="Times New Roman" w:hAnsi="Times New Roman" w:eastAsia="楷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rPr>
      </w:pPr>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zh-CN"/>
        </w:rPr>
        <w:t>政府采购支出总额</w:t>
      </w:r>
      <w:r>
        <w:rPr>
          <w:rFonts w:hint="default" w:ascii="Times New Roman" w:hAnsi="Times New Roman" w:eastAsia="方正仿宋简体" w:cs="Times New Roman"/>
          <w:color w:val="auto"/>
          <w:sz w:val="32"/>
          <w:szCs w:val="32"/>
          <w:highlight w:val="none"/>
          <w:lang w:val="zh-CN" w:eastAsia="zh-CN"/>
        </w:rPr>
        <w:t>7.03万元</w:t>
      </w:r>
      <w:r>
        <w:rPr>
          <w:rFonts w:hint="default" w:ascii="Times New Roman" w:hAnsi="Times New Roman" w:eastAsia="方正仿宋简体" w:cs="Times New Roman"/>
          <w:color w:val="auto"/>
          <w:sz w:val="32"/>
          <w:szCs w:val="32"/>
          <w:highlight w:val="none"/>
          <w:lang w:val="zh-CN"/>
        </w:rPr>
        <w:t>，</w:t>
      </w:r>
      <w:r>
        <w:rPr>
          <w:rFonts w:hint="default" w:ascii="Times New Roman" w:hAnsi="Times New Roman" w:eastAsia="方正仿宋简体" w:cs="Times New Roman"/>
          <w:color w:val="auto"/>
          <w:sz w:val="32"/>
          <w:szCs w:val="32"/>
          <w:highlight w:val="none"/>
          <w:lang w:val="zh-CN" w:eastAsia="zh-CN"/>
        </w:rPr>
        <w:t>其中：政府采购货物支出7.03万元、政府采购工程支出0.00万元、政府采购服务支出0.00万元。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zh-CN" w:eastAsia="zh-CN"/>
        </w:rPr>
        <w:t>授予中小企业合同金额7.03万元，占政府采购支出总额的100.00%，其中：授予小微企业合同金额7.03万元，占政府采购支出总额的100.00%</w:t>
      </w:r>
      <w:r>
        <w:rPr>
          <w:rFonts w:hint="default" w:ascii="Times New Roman" w:hAnsi="Times New Roman" w:eastAsia="方正仿宋简体"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 w:cs="Times New Roman"/>
          <w:color w:val="auto"/>
          <w:sz w:val="32"/>
          <w:szCs w:val="30"/>
          <w:highlight w:val="none"/>
          <w:lang w:val="zh-CN" w:eastAsia="zh-CN"/>
        </w:rPr>
      </w:pPr>
      <w:bookmarkStart w:id="26" w:name="_Toc8391"/>
      <w:bookmarkStart w:id="27" w:name="_Toc4591"/>
      <w:r>
        <w:rPr>
          <w:rFonts w:hint="default" w:ascii="Times New Roman" w:hAnsi="Times New Roman" w:eastAsia="楷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en-US" w:eastAsia="zh-CN"/>
        </w:rPr>
        <w:t>截至2023</w:t>
      </w:r>
      <w:r>
        <w:rPr>
          <w:rFonts w:hint="default" w:ascii="Times New Roman" w:hAnsi="Times New Roman" w:eastAsia="方正仿宋简体" w:cs="Times New Roman"/>
          <w:color w:val="auto"/>
          <w:sz w:val="32"/>
          <w:szCs w:val="32"/>
          <w:highlight w:val="none"/>
          <w:lang w:val="zh-CN" w:eastAsia="zh-CN"/>
        </w:rPr>
        <w:t>年</w:t>
      </w:r>
      <w:r>
        <w:rPr>
          <w:rFonts w:hint="default" w:ascii="Times New Roman" w:hAnsi="Times New Roman" w:eastAsia="方正仿宋简体" w:cs="Times New Roman"/>
          <w:color w:val="auto"/>
          <w:sz w:val="32"/>
          <w:szCs w:val="32"/>
          <w:highlight w:val="none"/>
          <w:lang w:val="en-US" w:eastAsia="zh-CN"/>
        </w:rPr>
        <w:t>12月31日</w:t>
      </w:r>
      <w:r>
        <w:rPr>
          <w:rFonts w:hint="default" w:ascii="Times New Roman" w:hAnsi="Times New Roman" w:eastAsia="方正仿宋简体" w:cs="Times New Roman"/>
          <w:color w:val="auto"/>
          <w:sz w:val="32"/>
          <w:szCs w:val="32"/>
          <w:highlight w:val="none"/>
          <w:lang w:val="zh-CN" w:eastAsia="zh-CN"/>
        </w:rPr>
        <w:t>，</w:t>
      </w:r>
      <w:r>
        <w:rPr>
          <w:rFonts w:hint="default" w:ascii="Times New Roman" w:hAnsi="Times New Roman" w:eastAsia="方正仿宋简体" w:cs="Times New Roman"/>
          <w:color w:val="auto"/>
          <w:sz w:val="32"/>
          <w:szCs w:val="32"/>
          <w:highlight w:val="none"/>
          <w:lang w:val="en-US" w:eastAsia="zh-CN"/>
        </w:rPr>
        <w:t>固定资产原值</w:t>
      </w:r>
      <w:r>
        <w:rPr>
          <w:rFonts w:hint="default" w:ascii="Times New Roman" w:hAnsi="Times New Roman" w:eastAsia="方正仿宋简体" w:cs="Times New Roman"/>
          <w:color w:val="auto"/>
          <w:sz w:val="32"/>
          <w:szCs w:val="32"/>
          <w:highlight w:val="none"/>
          <w:lang w:val="zh-CN" w:eastAsia="zh-CN"/>
        </w:rPr>
        <w:t>70.47</w:t>
      </w:r>
      <w:r>
        <w:rPr>
          <w:rFonts w:hint="default" w:ascii="Times New Roman" w:hAnsi="Times New Roman" w:eastAsia="方正仿宋简体" w:cs="Times New Roman"/>
          <w:color w:val="auto"/>
          <w:sz w:val="32"/>
          <w:szCs w:val="32"/>
          <w:highlight w:val="none"/>
          <w:lang w:val="en-US" w:eastAsia="zh-CN"/>
        </w:rPr>
        <w:t>万元，房</w:t>
      </w:r>
      <w:r>
        <w:rPr>
          <w:rFonts w:hint="default" w:ascii="Times New Roman" w:hAnsi="Times New Roman" w:eastAsia="方正仿宋简体" w:cs="Times New Roman"/>
          <w:color w:val="auto"/>
          <w:sz w:val="32"/>
          <w:szCs w:val="32"/>
          <w:highlight w:val="none"/>
          <w:lang w:val="zh-CN" w:eastAsia="zh-CN"/>
        </w:rPr>
        <w:t>屋0.00平方米，价值0.00万元。车辆2辆，价值35.96万元，其中：副部（省）级及以上领导用车0辆、主要</w:t>
      </w:r>
      <w:r>
        <w:rPr>
          <w:rFonts w:hint="default" w:ascii="Times New Roman" w:hAnsi="Times New Roman" w:eastAsia="方正仿宋简体" w:cs="Times New Roman"/>
          <w:color w:val="auto"/>
          <w:sz w:val="32"/>
          <w:szCs w:val="32"/>
          <w:highlight w:val="none"/>
          <w:lang w:val="en-US" w:eastAsia="zh-CN"/>
        </w:rPr>
        <w:t>负责人</w:t>
      </w:r>
      <w:r>
        <w:rPr>
          <w:rFonts w:hint="default" w:ascii="Times New Roman" w:hAnsi="Times New Roman" w:eastAsia="方正仿宋简体"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方正仿宋简体" w:cs="Times New Roman"/>
          <w:color w:val="auto"/>
          <w:sz w:val="32"/>
          <w:szCs w:val="32"/>
          <w:highlight w:val="none"/>
          <w:lang w:val="en-US" w:eastAsia="zh-CN"/>
        </w:rPr>
        <w:t>服务</w:t>
      </w:r>
      <w:r>
        <w:rPr>
          <w:rFonts w:hint="default" w:ascii="Times New Roman" w:hAnsi="Times New Roman" w:eastAsia="方正仿宋简体" w:cs="Times New Roman"/>
          <w:color w:val="auto"/>
          <w:sz w:val="32"/>
          <w:szCs w:val="32"/>
          <w:highlight w:val="none"/>
          <w:lang w:val="zh-CN" w:eastAsia="zh-CN"/>
        </w:rPr>
        <w:t>用车0辆、其他用车2辆，其他用车主要是：一般公务用车；单价100万元（含）以上设备（不含车辆）0</w:t>
      </w:r>
      <w:r>
        <w:rPr>
          <w:rFonts w:hint="default" w:ascii="Times New Roman" w:hAnsi="Times New Roman" w:eastAsia="方正仿宋简体" w:cs="Times New Roman"/>
          <w:color w:val="auto"/>
          <w:sz w:val="32"/>
          <w:szCs w:val="32"/>
          <w:highlight w:val="none"/>
          <w:lang w:val="en-US" w:eastAsia="zh-CN"/>
        </w:rPr>
        <w:t>台（</w:t>
      </w:r>
      <w:r>
        <w:rPr>
          <w:rFonts w:hint="default" w:ascii="Times New Roman" w:hAnsi="Times New Roman" w:eastAsia="方正仿宋简体"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pPr>
        <w:keepNext w:val="0"/>
        <w:keepLines w:val="0"/>
        <w:pageBreakBefore w:val="0"/>
        <w:widowControl/>
        <w:suppressLineNumbers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lang w:eastAsia="zh-CN"/>
        </w:rPr>
        <w:t>根据预算绩效管理要求，我</w:t>
      </w:r>
      <w:r>
        <w:rPr>
          <w:rFonts w:hint="default" w:ascii="Times New Roman" w:hAnsi="Times New Roman" w:eastAsia="方正仿宋简体" w:cs="Times New Roman"/>
          <w:color w:val="auto"/>
          <w:sz w:val="32"/>
          <w:szCs w:val="32"/>
          <w:highlight w:val="none"/>
          <w:lang w:val="en-US" w:eastAsia="zh-CN"/>
        </w:rPr>
        <w:t>单位</w:t>
      </w:r>
      <w:r>
        <w:rPr>
          <w:rFonts w:hint="default" w:ascii="Times New Roman" w:hAnsi="Times New Roman" w:eastAsia="方正仿宋简体" w:cs="Times New Roman"/>
          <w:color w:val="auto"/>
          <w:sz w:val="32"/>
          <w:szCs w:val="32"/>
          <w:highlight w:val="none"/>
          <w:lang w:eastAsia="zh-CN"/>
        </w:rPr>
        <w:t>2023年度</w:t>
      </w:r>
      <w:r>
        <w:rPr>
          <w:rFonts w:hint="default" w:ascii="Times New Roman" w:hAnsi="Times New Roman" w:eastAsia="方正仿宋简体" w:cs="Times New Roman"/>
          <w:color w:val="auto"/>
          <w:kern w:val="0"/>
          <w:sz w:val="32"/>
          <w:szCs w:val="32"/>
          <w:highlight w:val="none"/>
        </w:rPr>
        <w:t>预算绩效管理整体</w:t>
      </w:r>
      <w:r>
        <w:rPr>
          <w:rFonts w:hint="default" w:ascii="Times New Roman" w:hAnsi="Times New Roman" w:eastAsia="方正仿宋简体" w:cs="Times New Roman"/>
          <w:color w:val="auto"/>
          <w:kern w:val="0"/>
          <w:sz w:val="32"/>
          <w:szCs w:val="32"/>
          <w:highlight w:val="none"/>
          <w:lang w:val="en-US" w:eastAsia="zh-CN"/>
        </w:rPr>
        <w:t>支出</w:t>
      </w:r>
      <w:r>
        <w:rPr>
          <w:rFonts w:hint="default" w:ascii="Times New Roman" w:hAnsi="Times New Roman" w:eastAsia="方正仿宋简体" w:cs="Times New Roman"/>
          <w:color w:val="auto"/>
          <w:kern w:val="0"/>
          <w:sz w:val="32"/>
          <w:szCs w:val="32"/>
          <w:highlight w:val="none"/>
        </w:rPr>
        <w:t>绩效自评表</w:t>
      </w:r>
      <w:r>
        <w:rPr>
          <w:rFonts w:hint="eastAsia" w:eastAsia="方正仿宋简体" w:cs="Times New Roman"/>
          <w:color w:val="auto"/>
          <w:sz w:val="32"/>
          <w:szCs w:val="32"/>
          <w:highlight w:val="none"/>
          <w:lang w:val="en-US" w:eastAsia="zh-CN"/>
        </w:rPr>
        <w:t>0</w:t>
      </w:r>
      <w:r>
        <w:rPr>
          <w:rFonts w:hint="default" w:ascii="Times New Roman" w:hAnsi="Times New Roman" w:eastAsia="方正仿宋简体" w:cs="Times New Roman"/>
          <w:color w:val="auto"/>
          <w:kern w:val="0"/>
          <w:sz w:val="32"/>
          <w:szCs w:val="32"/>
          <w:highlight w:val="none"/>
          <w:lang w:val="en-US" w:eastAsia="zh-CN"/>
        </w:rPr>
        <w:t>个，全年</w:t>
      </w:r>
      <w:r>
        <w:rPr>
          <w:rFonts w:hint="default" w:ascii="Times New Roman" w:hAnsi="Times New Roman" w:eastAsia="方正仿宋简体" w:cs="Times New Roman"/>
          <w:color w:val="auto"/>
          <w:sz w:val="32"/>
          <w:szCs w:val="32"/>
          <w:highlight w:val="none"/>
          <w:lang w:val="en-US" w:eastAsia="zh-CN"/>
        </w:rPr>
        <w:t>预算总额0</w:t>
      </w:r>
      <w:r>
        <w:rPr>
          <w:rFonts w:hint="eastAsia" w:eastAsia="方正仿宋简体" w:cs="Times New Roman"/>
          <w:color w:val="auto"/>
          <w:sz w:val="32"/>
          <w:szCs w:val="32"/>
          <w:highlight w:val="none"/>
          <w:lang w:val="en-US" w:eastAsia="zh-CN"/>
        </w:rPr>
        <w:t>.00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实际执行总额</w:t>
      </w:r>
      <w:r>
        <w:rPr>
          <w:rFonts w:hint="eastAsia" w:eastAsia="方正仿宋简体" w:cs="Times New Roman"/>
          <w:color w:val="auto"/>
          <w:sz w:val="32"/>
          <w:szCs w:val="32"/>
          <w:highlight w:val="none"/>
          <w:lang w:val="en-US" w:eastAsia="zh-CN"/>
        </w:rPr>
        <w:t>0.00</w:t>
      </w:r>
      <w:r>
        <w:rPr>
          <w:rFonts w:hint="default" w:ascii="Times New Roman" w:hAnsi="Times New Roman" w:eastAsia="方正仿宋简体" w:cs="Times New Roman"/>
          <w:color w:val="auto"/>
          <w:sz w:val="32"/>
          <w:szCs w:val="32"/>
          <w:highlight w:val="none"/>
        </w:rPr>
        <w:t>万元</w:t>
      </w:r>
      <w:r>
        <w:rPr>
          <w:rFonts w:hint="eastAsia" w:eastAsia="方正仿宋简体" w:cs="Times New Roman"/>
          <w:color w:val="auto"/>
          <w:sz w:val="32"/>
          <w:szCs w:val="32"/>
          <w:highlight w:val="none"/>
          <w:lang w:eastAsia="zh-CN"/>
        </w:rPr>
        <w:t>，</w:t>
      </w:r>
      <w:r>
        <w:rPr>
          <w:rFonts w:hint="eastAsia" w:ascii="仿宋_GB2312" w:hAnsi="仿宋_GB2312" w:eastAsia="仿宋_GB2312" w:cs="仿宋_GB2312"/>
          <w:sz w:val="32"/>
          <w:szCs w:val="32"/>
          <w:lang w:val="en-US" w:eastAsia="zh-CN"/>
        </w:rPr>
        <w:t>我单位整体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sz w:val="32"/>
          <w:szCs w:val="32"/>
          <w:lang w:val="en-US" w:eastAsia="zh-CN"/>
        </w:rPr>
        <w:t>绩效自评表由主管部门编报并公开</w:t>
      </w:r>
      <w:r>
        <w:rPr>
          <w:rFonts w:hint="default" w:ascii="Times New Roman" w:hAnsi="Times New Roman" w:eastAsia="方正仿宋简体" w:cs="Times New Roman"/>
          <w:color w:val="auto"/>
          <w:kern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eastAsia="zh-CN"/>
        </w:rPr>
        <w:t>预算绩效评价项目</w:t>
      </w:r>
      <w:r>
        <w:rPr>
          <w:rFonts w:hint="default" w:ascii="Times New Roman" w:hAnsi="Times New Roman" w:eastAsia="方正仿宋简体" w:cs="Times New Roman"/>
          <w:color w:val="auto"/>
          <w:sz w:val="32"/>
          <w:szCs w:val="32"/>
          <w:highlight w:val="none"/>
          <w:lang w:val="en-US" w:eastAsia="zh-CN"/>
        </w:rPr>
        <w:t>2</w:t>
      </w:r>
      <w:r>
        <w:rPr>
          <w:rFonts w:hint="default" w:ascii="Times New Roman" w:hAnsi="Times New Roman" w:eastAsia="方正仿宋简体" w:cs="Times New Roman"/>
          <w:color w:val="auto"/>
          <w:sz w:val="32"/>
          <w:szCs w:val="32"/>
          <w:highlight w:val="none"/>
          <w:lang w:eastAsia="zh-CN"/>
        </w:rPr>
        <w:t>个，</w:t>
      </w:r>
      <w:r>
        <w:rPr>
          <w:rFonts w:hint="default" w:ascii="Times New Roman" w:hAnsi="Times New Roman" w:eastAsia="方正仿宋简体" w:cs="Times New Roman"/>
          <w:color w:val="auto"/>
          <w:sz w:val="32"/>
          <w:szCs w:val="32"/>
          <w:highlight w:val="none"/>
          <w:lang w:val="en-US" w:eastAsia="zh-CN"/>
        </w:rPr>
        <w:t>全年预算数390</w:t>
      </w:r>
      <w:r>
        <w:rPr>
          <w:rFonts w:hint="eastAsia" w:eastAsia="方正仿宋简体" w:cs="Times New Roman"/>
          <w:color w:val="auto"/>
          <w:sz w:val="32"/>
          <w:szCs w:val="32"/>
          <w:highlight w:val="none"/>
          <w:lang w:val="en-US" w:eastAsia="zh-CN"/>
        </w:rPr>
        <w:t>.00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全年执行数377.51</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。预算绩效管理取得的成效：</w:t>
      </w:r>
      <w:r>
        <w:rPr>
          <w:rFonts w:hint="default" w:ascii="Times New Roman" w:hAnsi="Times New Roman" w:eastAsia="仿宋_GB2312" w:cs="Times New Roman"/>
          <w:color w:val="000000"/>
          <w:kern w:val="0"/>
          <w:sz w:val="31"/>
          <w:szCs w:val="31"/>
          <w:lang w:val="en-US" w:eastAsia="zh-CN" w:bidi="ar"/>
        </w:rPr>
        <w:t>一是通过加强预算绩效管理各个环节的制度建设，进一步牢固树立</w:t>
      </w:r>
      <w:r>
        <w:rPr>
          <w:rFonts w:hint="default" w:ascii="Times New Roman" w:hAnsi="Times New Roman" w:eastAsia="TimesNewRomanPSMT" w:cs="Times New Roman"/>
          <w:color w:val="000000"/>
          <w:kern w:val="0"/>
          <w:sz w:val="31"/>
          <w:szCs w:val="31"/>
          <w:lang w:val="en-US" w:eastAsia="zh-CN" w:bidi="ar"/>
        </w:rPr>
        <w:t>“</w:t>
      </w:r>
      <w:r>
        <w:rPr>
          <w:rFonts w:hint="default" w:ascii="Times New Roman" w:hAnsi="Times New Roman" w:eastAsia="仿宋_GB2312" w:cs="Times New Roman"/>
          <w:color w:val="000000"/>
          <w:kern w:val="0"/>
          <w:sz w:val="31"/>
          <w:szCs w:val="31"/>
          <w:lang w:val="en-US" w:eastAsia="zh-CN" w:bidi="ar"/>
        </w:rPr>
        <w:t>花钱必问效，无效必问责</w:t>
      </w:r>
      <w:r>
        <w:rPr>
          <w:rFonts w:hint="default" w:ascii="Times New Roman" w:hAnsi="Times New Roman" w:eastAsia="TimesNewRomanPSMT" w:cs="Times New Roman"/>
          <w:color w:val="000000"/>
          <w:kern w:val="0"/>
          <w:sz w:val="31"/>
          <w:szCs w:val="31"/>
          <w:lang w:val="en-US" w:eastAsia="zh-CN" w:bidi="ar"/>
        </w:rPr>
        <w:t>”</w:t>
      </w:r>
      <w:r>
        <w:rPr>
          <w:rFonts w:hint="default" w:ascii="Times New Roman" w:hAnsi="Times New Roman" w:eastAsia="仿宋_GB2312" w:cs="Times New Roman"/>
          <w:color w:val="000000"/>
          <w:kern w:val="0"/>
          <w:sz w:val="31"/>
          <w:szCs w:val="31"/>
          <w:lang w:val="en-US" w:eastAsia="zh-CN" w:bidi="ar"/>
        </w:rPr>
        <w:t>的绩效管理理念，进一步明确绩效管理职责分工。二是通过加强绩效管理内部控制工作，规范权利运行、降低资金效益风险。三是通过加强绩效评价成果应用，压减项目支出，进一步促进各部门履职效果和资源配置正向关联。发现的问题及原因：一是预算管理制度流程尚需优化；二是绩效理念有待进一步提高。下一步改进措施：一是加强预算管理的业务学习，不断完善预算绩效管理内部控制制度，优化流程管理，梳理风险点，规范权力、职责运行；二是加强宣传培训，提升机关文化，进一步树立</w:t>
      </w:r>
      <w:r>
        <w:rPr>
          <w:rFonts w:hint="default" w:ascii="Times New Roman" w:hAnsi="Times New Roman" w:eastAsia="TimesNewRomanPSMT" w:cs="Times New Roman"/>
          <w:color w:val="000000"/>
          <w:kern w:val="0"/>
          <w:sz w:val="31"/>
          <w:szCs w:val="31"/>
          <w:lang w:val="en-US" w:eastAsia="zh-CN" w:bidi="ar"/>
        </w:rPr>
        <w:t>“</w:t>
      </w:r>
      <w:r>
        <w:rPr>
          <w:rFonts w:hint="default" w:ascii="Times New Roman" w:hAnsi="Times New Roman" w:eastAsia="仿宋_GB2312" w:cs="Times New Roman"/>
          <w:color w:val="000000"/>
          <w:kern w:val="0"/>
          <w:sz w:val="31"/>
          <w:szCs w:val="31"/>
          <w:lang w:val="en-US" w:eastAsia="zh-CN" w:bidi="ar"/>
        </w:rPr>
        <w:t>讲绩效、重绩效、用绩效</w:t>
      </w:r>
      <w:r>
        <w:rPr>
          <w:rFonts w:hint="default" w:ascii="Times New Roman" w:hAnsi="Times New Roman" w:eastAsia="TimesNewRomanPSMT" w:cs="Times New Roman"/>
          <w:color w:val="000000"/>
          <w:kern w:val="0"/>
          <w:sz w:val="31"/>
          <w:szCs w:val="31"/>
          <w:lang w:val="en-US" w:eastAsia="zh-CN" w:bidi="ar"/>
        </w:rPr>
        <w:t>”</w:t>
      </w:r>
      <w:r>
        <w:rPr>
          <w:rFonts w:hint="default" w:ascii="Times New Roman" w:hAnsi="Times New Roman" w:eastAsia="仿宋_GB2312" w:cs="Times New Roman"/>
          <w:color w:val="000000"/>
          <w:kern w:val="0"/>
          <w:sz w:val="31"/>
          <w:szCs w:val="31"/>
          <w:lang w:val="en-US" w:eastAsia="zh-CN" w:bidi="ar"/>
        </w:rPr>
        <w:t>的绩效管理理念。</w:t>
      </w:r>
      <w:r>
        <w:rPr>
          <w:rFonts w:hint="default" w:ascii="Times New Roman" w:hAnsi="Times New Roman" w:eastAsia="方正仿宋简体" w:cs="Times New Roman"/>
          <w:color w:val="auto"/>
          <w:sz w:val="32"/>
          <w:szCs w:val="32"/>
          <w:highlight w:val="none"/>
          <w:lang w:eastAsia="zh-CN"/>
        </w:rPr>
        <w:t>具体</w:t>
      </w:r>
      <w:r>
        <w:rPr>
          <w:rFonts w:hint="default" w:ascii="Times New Roman" w:hAnsi="Times New Roman" w:eastAsia="方正仿宋简体" w:cs="Times New Roman"/>
          <w:color w:val="auto"/>
          <w:sz w:val="32"/>
          <w:szCs w:val="32"/>
          <w:highlight w:val="none"/>
        </w:rPr>
        <w:t>项目自评情况附绩效自评表</w:t>
      </w:r>
      <w:r>
        <w:rPr>
          <w:rFonts w:hint="default" w:ascii="Times New Roman" w:hAnsi="Times New Roman" w:eastAsia="方正仿宋简体" w:cs="Times New Roman"/>
          <w:color w:val="auto"/>
          <w:sz w:val="32"/>
          <w:szCs w:val="32"/>
          <w:highlight w:val="none"/>
          <w:lang w:val="en-US" w:eastAsia="zh-CN"/>
        </w:rPr>
        <w:t>及自评报告</w:t>
      </w:r>
      <w:r>
        <w:rPr>
          <w:rFonts w:hint="default" w:ascii="Times New Roman" w:hAnsi="Times New Roman" w:eastAsia="方正仿宋简体" w:cs="Times New Roman"/>
          <w:color w:val="auto"/>
          <w:sz w:val="32"/>
          <w:szCs w:val="32"/>
          <w:highlight w:val="none"/>
        </w:rPr>
        <w:t>。</w:t>
      </w: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19"/>
        <w:keepNext w:val="0"/>
        <w:keepLines w:val="0"/>
        <w:pageBreakBefore w:val="0"/>
        <w:kinsoku/>
        <w:wordWrap/>
        <w:overflowPunct/>
        <w:topLinePunct w:val="0"/>
        <w:bidi w:val="0"/>
        <w:adjustRightInd/>
        <w:snapToGrid/>
        <w:spacing w:line="600" w:lineRule="exact"/>
        <w:ind w:left="0" w:leftChars="0" w:firstLine="0" w:firstLineChars="0"/>
        <w:textAlignment w:val="auto"/>
        <w:rPr>
          <w:rFonts w:hint="default" w:ascii="Times New Roman" w:hAnsi="Times New Roman" w:eastAsia="方正仿宋简体" w:cs="Times New Roman"/>
          <w:color w:val="auto"/>
          <w:sz w:val="32"/>
          <w:szCs w:val="32"/>
          <w:highlight w:val="none"/>
        </w:rPr>
      </w:pPr>
    </w:p>
    <w:tbl>
      <w:tblPr>
        <w:tblStyle w:val="11"/>
        <w:tblW w:w="8336" w:type="dxa"/>
        <w:tblInd w:w="0" w:type="dxa"/>
        <w:shd w:val="clear" w:color="auto" w:fill="auto"/>
        <w:tblLayout w:type="fixed"/>
        <w:tblCellMar>
          <w:top w:w="0" w:type="dxa"/>
          <w:left w:w="0" w:type="dxa"/>
          <w:bottom w:w="0" w:type="dxa"/>
          <w:right w:w="0" w:type="dxa"/>
        </w:tblCellMar>
      </w:tblPr>
      <w:tblGrid>
        <w:gridCol w:w="388"/>
        <w:gridCol w:w="389"/>
        <w:gridCol w:w="504"/>
        <w:gridCol w:w="724"/>
        <w:gridCol w:w="655"/>
        <w:gridCol w:w="509"/>
        <w:gridCol w:w="511"/>
        <w:gridCol w:w="553"/>
        <w:gridCol w:w="552"/>
        <w:gridCol w:w="616"/>
        <w:gridCol w:w="594"/>
        <w:gridCol w:w="570"/>
        <w:gridCol w:w="560"/>
        <w:gridCol w:w="1211"/>
      </w:tblGrid>
      <w:tr>
        <w:tblPrEx>
          <w:shd w:val="clear" w:color="auto" w:fill="auto"/>
          <w:tblLayout w:type="fixed"/>
          <w:tblCellMar>
            <w:top w:w="0" w:type="dxa"/>
            <w:left w:w="0" w:type="dxa"/>
            <w:bottom w:w="0" w:type="dxa"/>
            <w:right w:w="0" w:type="dxa"/>
          </w:tblCellMar>
        </w:tblPrEx>
        <w:trPr>
          <w:trHeight w:val="800"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华文中宋" w:cs="Times New Roman"/>
                <w:b/>
                <w:i w:val="0"/>
                <w:color w:val="000000"/>
                <w:sz w:val="40"/>
                <w:szCs w:val="40"/>
                <w:u w:val="none"/>
              </w:rPr>
            </w:pPr>
            <w:r>
              <w:rPr>
                <w:rFonts w:hint="default" w:ascii="Times New Roman" w:hAnsi="Times New Roman" w:eastAsia="华文中宋" w:cs="Times New Roman"/>
                <w:b/>
                <w:i w:val="0"/>
                <w:color w:val="000000"/>
                <w:kern w:val="0"/>
                <w:sz w:val="40"/>
                <w:szCs w:val="40"/>
                <w:u w:val="none"/>
                <w:lang w:val="en-US" w:eastAsia="zh-CN" w:bidi="ar"/>
              </w:rPr>
              <w:t>项目支出绩效自评表（法学会工作经费）</w:t>
            </w:r>
          </w:p>
        </w:tc>
      </w:tr>
      <w:tr>
        <w:tblPrEx>
          <w:tblLayout w:type="fixed"/>
          <w:tblCellMar>
            <w:top w:w="0" w:type="dxa"/>
            <w:left w:w="0" w:type="dxa"/>
            <w:bottom w:w="0" w:type="dxa"/>
            <w:right w:w="0" w:type="dxa"/>
          </w:tblCellMar>
        </w:tblPrEx>
        <w:trPr>
          <w:trHeight w:val="440"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  2023  年度）</w:t>
            </w:r>
          </w:p>
        </w:tc>
      </w:tr>
      <w:tr>
        <w:tblPrEx>
          <w:tblLayout w:type="fixed"/>
          <w:tblCellMar>
            <w:top w:w="0" w:type="dxa"/>
            <w:left w:w="0" w:type="dxa"/>
            <w:bottom w:w="0" w:type="dxa"/>
            <w:right w:w="0" w:type="dxa"/>
          </w:tblCellMar>
        </w:tblPrEx>
        <w:trPr>
          <w:trHeight w:val="600" w:hRule="atLeast"/>
        </w:trPr>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项目名称</w:t>
            </w:r>
          </w:p>
        </w:tc>
        <w:tc>
          <w:tcPr>
            <w:tcW w:w="755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法学会工作经费</w:t>
            </w:r>
          </w:p>
        </w:tc>
      </w:tr>
      <w:tr>
        <w:tblPrEx>
          <w:tblLayout w:type="fixed"/>
          <w:tblCellMar>
            <w:top w:w="0" w:type="dxa"/>
            <w:left w:w="0" w:type="dxa"/>
            <w:bottom w:w="0" w:type="dxa"/>
            <w:right w:w="0" w:type="dxa"/>
          </w:tblCellMar>
        </w:tblPrEx>
        <w:trPr>
          <w:trHeight w:val="600" w:hRule="atLeast"/>
        </w:trPr>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主管部门</w:t>
            </w:r>
          </w:p>
        </w:tc>
        <w:tc>
          <w:tcPr>
            <w:tcW w:w="290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自治区党委政法委</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实施单位</w:t>
            </w:r>
          </w:p>
        </w:tc>
        <w:tc>
          <w:tcPr>
            <w:tcW w:w="355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新疆维吾尔自治区法学会</w:t>
            </w:r>
          </w:p>
        </w:tc>
      </w:tr>
      <w:tr>
        <w:tblPrEx>
          <w:tblLayout w:type="fixed"/>
          <w:tblCellMar>
            <w:top w:w="0" w:type="dxa"/>
            <w:left w:w="0" w:type="dxa"/>
            <w:bottom w:w="0" w:type="dxa"/>
            <w:right w:w="0" w:type="dxa"/>
          </w:tblCellMar>
        </w:tblPrEx>
        <w:trPr>
          <w:trHeight w:val="600" w:hRule="atLeast"/>
        </w:trPr>
        <w:tc>
          <w:tcPr>
            <w:tcW w:w="7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项目资金</w:t>
            </w:r>
            <w:r>
              <w:rPr>
                <w:rFonts w:hint="default" w:ascii="Times New Roman" w:hAnsi="Times New Roman" w:eastAsia="宋体" w:cs="Times New Roman"/>
                <w:i w:val="0"/>
                <w:color w:val="000000"/>
                <w:kern w:val="0"/>
                <w:sz w:val="18"/>
                <w:szCs w:val="18"/>
                <w:u w:val="none"/>
                <w:lang w:val="en-US" w:eastAsia="zh-CN" w:bidi="ar"/>
              </w:rPr>
              <w:br w:type="textWrapping"/>
            </w:r>
            <w:r>
              <w:rPr>
                <w:rFonts w:hint="default" w:ascii="Times New Roman" w:hAnsi="Times New Roman" w:eastAsia="宋体" w:cs="Times New Roman"/>
                <w:i w:val="0"/>
                <w:color w:val="000000"/>
                <w:kern w:val="0"/>
                <w:sz w:val="18"/>
                <w:szCs w:val="18"/>
                <w:u w:val="none"/>
                <w:lang w:val="en-US" w:eastAsia="zh-CN" w:bidi="ar"/>
              </w:rPr>
              <w:t>（万元）</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资金来源</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年初预算数</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全年预算数</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全年执行数</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分值权重</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执行率</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得分</w:t>
            </w:r>
          </w:p>
        </w:tc>
      </w:tr>
      <w:tr>
        <w:tblPrEx>
          <w:tblLayout w:type="fixed"/>
          <w:tblCellMar>
            <w:top w:w="0" w:type="dxa"/>
            <w:left w:w="0" w:type="dxa"/>
            <w:bottom w:w="0" w:type="dxa"/>
            <w:right w:w="0" w:type="dxa"/>
          </w:tblCellMar>
        </w:tblPrEx>
        <w:trPr>
          <w:trHeight w:val="600" w:hRule="atLeast"/>
        </w:trPr>
        <w:tc>
          <w:tcPr>
            <w:tcW w:w="7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年度资金总额</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93.25</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93.3%</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r>
      <w:tr>
        <w:tblPrEx>
          <w:tblLayout w:type="fixed"/>
          <w:tblCellMar>
            <w:top w:w="0" w:type="dxa"/>
            <w:left w:w="0" w:type="dxa"/>
            <w:bottom w:w="0" w:type="dxa"/>
            <w:right w:w="0" w:type="dxa"/>
          </w:tblCellMar>
        </w:tblPrEx>
        <w:trPr>
          <w:trHeight w:val="600" w:hRule="atLeast"/>
        </w:trPr>
        <w:tc>
          <w:tcPr>
            <w:tcW w:w="7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其中：当年财政拨款</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100.00 </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100.00 </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93.25</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7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228"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其他资金</w:t>
            </w:r>
          </w:p>
        </w:tc>
        <w:tc>
          <w:tcPr>
            <w:tcW w:w="6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020"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105"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3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年度总体目标</w:t>
            </w:r>
          </w:p>
        </w:tc>
        <w:tc>
          <w:tcPr>
            <w:tcW w:w="439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总体目标</w:t>
            </w:r>
          </w:p>
        </w:tc>
        <w:tc>
          <w:tcPr>
            <w:tcW w:w="355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总体目标完成情况</w:t>
            </w:r>
          </w:p>
        </w:tc>
      </w:tr>
      <w:tr>
        <w:tblPrEx>
          <w:tblLayout w:type="fixed"/>
          <w:tblCellMar>
            <w:top w:w="0" w:type="dxa"/>
            <w:left w:w="0" w:type="dxa"/>
            <w:bottom w:w="0" w:type="dxa"/>
            <w:right w:w="0" w:type="dxa"/>
          </w:tblCellMar>
        </w:tblPrEx>
        <w:trPr>
          <w:trHeight w:val="192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439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  团结凝聚广大法学、法律工作者紧紧围绕全区中心工作，围绕社会稳定和长治久安总目标，积极投身法治新疆建设实践和平安新疆建设，加强对法学法律工作者的政治引领，深入开展法治理论研究、法治问题调研、法治宣传教育、法治人才培养、组织法律服务、履行对法学社团的管理。项目主要用于2023年开展的双百活动、法治文化基层行、法学研究课题、研究会开展活动、资助法学类专著出版等工作。</w:t>
            </w:r>
          </w:p>
        </w:tc>
        <w:tc>
          <w:tcPr>
            <w:tcW w:w="355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新疆法学会有效发挥法治宣传服务优势，引导法学法律工作者主动服务各族干部群众，开展形式多样的法治宣传与法律服务，大力宣传法治文化、弘扬法治精神，聚焦法治新疆平安新疆建设，在发挥桥梁纽带作用上彰显新担当。聚焦共建“一带一路”和人权保障，推进对外交流。服务高质量发展，加强学术研讨，打造具有坚定理想信念、强烈家国情怀、扎实法学根底、熟悉国情疆情的法治人才队伍。</w:t>
            </w:r>
          </w:p>
        </w:tc>
      </w:tr>
      <w:tr>
        <w:tblPrEx>
          <w:tblLayout w:type="fixed"/>
          <w:tblCellMar>
            <w:top w:w="0" w:type="dxa"/>
            <w:left w:w="0" w:type="dxa"/>
            <w:bottom w:w="0" w:type="dxa"/>
            <w:right w:w="0" w:type="dxa"/>
          </w:tblCellMar>
        </w:tblPrEx>
        <w:trPr>
          <w:trHeight w:val="600" w:hRule="atLeast"/>
        </w:trPr>
        <w:tc>
          <w:tcPr>
            <w:tcW w:w="3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年度绩效指标完成情况</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一级指标</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二级指标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三级指标</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指标值</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指标值设置依据</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上年完成值</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指标分值权重</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指标赋分规则</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佐证资料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指标实际完成值</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完成率</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指标得分</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偏差原因分析及改进措施</w:t>
            </w: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产出指标</w:t>
            </w:r>
          </w:p>
        </w:tc>
        <w:tc>
          <w:tcPr>
            <w:tcW w:w="5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数量指标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法学研究课题</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Style w:val="21"/>
                <w:rFonts w:hint="default" w:ascii="Times New Roman" w:hAnsi="Times New Roman" w:eastAsia="宋体" w:cs="Times New Roman"/>
                <w:sz w:val="24"/>
                <w:szCs w:val="24"/>
                <w:lang w:val="en-US" w:eastAsia="zh-CN" w:bidi="ar"/>
              </w:rPr>
              <w:t>≥10</w:t>
            </w:r>
            <w:r>
              <w:rPr>
                <w:rStyle w:val="22"/>
                <w:rFonts w:hint="default" w:ascii="Times New Roman" w:hAnsi="Times New Roman" w:cs="Times New Roman"/>
                <w:lang w:val="en-US" w:eastAsia="zh-CN" w:bidi="ar"/>
              </w:rPr>
              <w:t>个</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10个</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10个</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“双百”法学宣讲</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Style w:val="23"/>
                <w:rFonts w:hint="default" w:ascii="Times New Roman" w:hAnsi="Times New Roman" w:cs="Times New Roman"/>
                <w:lang w:val="en-US" w:eastAsia="zh-CN" w:bidi="ar"/>
              </w:rPr>
              <w:t>≥</w:t>
            </w:r>
            <w:r>
              <w:rPr>
                <w:rStyle w:val="24"/>
                <w:rFonts w:hint="default" w:ascii="Times New Roman" w:hAnsi="Times New Roman" w:eastAsia="宋体" w:cs="Times New Roman"/>
                <w:lang w:val="en-US" w:eastAsia="zh-CN" w:bidi="ar"/>
              </w:rPr>
              <w:t>15</w:t>
            </w:r>
            <w:r>
              <w:rPr>
                <w:rStyle w:val="22"/>
                <w:rFonts w:hint="default" w:ascii="Times New Roman" w:hAnsi="Times New Roman" w:cs="Times New Roman"/>
                <w:lang w:val="en-US" w:eastAsia="zh-CN" w:bidi="ar"/>
              </w:rPr>
              <w:t>场</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15场</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15场</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法治文化基层行</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Style w:val="21"/>
                <w:rFonts w:hint="default" w:ascii="Times New Roman" w:hAnsi="Times New Roman" w:eastAsia="宋体" w:cs="Times New Roman"/>
                <w:sz w:val="24"/>
                <w:szCs w:val="24"/>
                <w:lang w:val="en-US" w:eastAsia="zh-CN" w:bidi="ar"/>
              </w:rPr>
              <w:t>≥15</w:t>
            </w:r>
            <w:r>
              <w:rPr>
                <w:rStyle w:val="22"/>
                <w:rFonts w:hint="default" w:ascii="Times New Roman" w:hAnsi="Times New Roman" w:cs="Times New Roman"/>
                <w:lang w:val="en-US" w:eastAsia="zh-CN" w:bidi="ar"/>
              </w:rPr>
              <w:t>场</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15场</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16场</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开展研究会活动</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Style w:val="23"/>
                <w:rFonts w:hint="default" w:ascii="Times New Roman" w:hAnsi="Times New Roman" w:cs="Times New Roman"/>
                <w:lang w:val="en-US" w:eastAsia="zh-CN" w:bidi="ar"/>
              </w:rPr>
              <w:t>≥</w:t>
            </w:r>
            <w:r>
              <w:rPr>
                <w:rStyle w:val="24"/>
                <w:rFonts w:hint="default" w:ascii="Times New Roman" w:hAnsi="Times New Roman" w:eastAsia="宋体" w:cs="Times New Roman"/>
                <w:lang w:val="en-US" w:eastAsia="zh-CN" w:bidi="ar"/>
              </w:rPr>
              <w:t>6</w:t>
            </w:r>
            <w:r>
              <w:rPr>
                <w:rStyle w:val="22"/>
                <w:rFonts w:hint="default" w:ascii="Times New Roman" w:hAnsi="Times New Roman" w:cs="Times New Roman"/>
                <w:lang w:val="en-US" w:eastAsia="zh-CN" w:bidi="ar"/>
              </w:rPr>
              <w:t>个</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5个</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6个</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108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指导、服务基层法学会</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Style w:val="21"/>
                <w:rFonts w:hint="default" w:ascii="Times New Roman" w:hAnsi="Times New Roman" w:eastAsia="宋体" w:cs="Times New Roman"/>
                <w:sz w:val="24"/>
                <w:szCs w:val="24"/>
                <w:lang w:val="en-US" w:eastAsia="zh-CN" w:bidi="ar"/>
              </w:rPr>
              <w:t>≥14</w:t>
            </w:r>
            <w:r>
              <w:rPr>
                <w:rStyle w:val="22"/>
                <w:rFonts w:hint="default" w:ascii="Times New Roman" w:hAnsi="Times New Roman" w:cs="Times New Roman"/>
                <w:lang w:val="en-US" w:eastAsia="zh-CN" w:bidi="ar"/>
              </w:rPr>
              <w:t>个</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14个</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14个</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质量指标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课题成果应用率（%）</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时效指标</w:t>
            </w:r>
          </w:p>
        </w:tc>
        <w:tc>
          <w:tcPr>
            <w:tcW w:w="724"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年度任务完成时限</w:t>
            </w:r>
          </w:p>
        </w:tc>
        <w:tc>
          <w:tcPr>
            <w:tcW w:w="6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12月10日</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12月10日</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8"/>
                <w:szCs w:val="18"/>
                <w:u w:val="none"/>
              </w:rPr>
            </w:pPr>
            <w:r>
              <w:rPr>
                <w:rFonts w:hint="default" w:ascii="Times New Roman" w:hAnsi="Times New Roman" w:eastAsia="宋体" w:cs="Times New Roman"/>
                <w:b/>
                <w:i w:val="0"/>
                <w:color w:val="000000"/>
                <w:kern w:val="0"/>
                <w:sz w:val="18"/>
                <w:szCs w:val="18"/>
                <w:u w:val="none"/>
                <w:lang w:val="en-US" w:eastAsia="zh-CN" w:bidi="ar"/>
              </w:rPr>
              <w:t>12月10日</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8"/>
                <w:szCs w:val="18"/>
                <w:u w:val="none"/>
              </w:rPr>
            </w:pPr>
            <w:r>
              <w:rPr>
                <w:rFonts w:hint="default" w:ascii="Times New Roman" w:hAnsi="Times New Roman" w:eastAsia="宋体" w:cs="Times New Roman"/>
                <w:b/>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8"/>
                <w:szCs w:val="18"/>
                <w:u w:val="none"/>
              </w:rPr>
            </w:pPr>
            <w:r>
              <w:rPr>
                <w:rFonts w:hint="default" w:ascii="Times New Roman" w:hAnsi="Times New Roman" w:eastAsia="宋体" w:cs="Times New Roman"/>
                <w:b/>
                <w:i w:val="0"/>
                <w:color w:val="000000"/>
                <w:kern w:val="0"/>
                <w:sz w:val="18"/>
                <w:szCs w:val="18"/>
                <w:u w:val="none"/>
                <w:lang w:val="en-US" w:eastAsia="zh-CN" w:bidi="ar"/>
              </w:rPr>
              <w:t>4</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i w:val="0"/>
                <w:color w:val="000000"/>
                <w:sz w:val="18"/>
                <w:szCs w:val="18"/>
                <w:u w:val="none"/>
              </w:rPr>
            </w:pPr>
          </w:p>
        </w:tc>
      </w:tr>
      <w:tr>
        <w:tblPrEx>
          <w:tblLayout w:type="fixed"/>
          <w:tblCellMar>
            <w:top w:w="0" w:type="dxa"/>
            <w:left w:w="0" w:type="dxa"/>
            <w:bottom w:w="0" w:type="dxa"/>
            <w:right w:w="0" w:type="dxa"/>
          </w:tblCellMar>
        </w:tblPrEx>
        <w:trPr>
          <w:trHeight w:val="178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成本指标</w:t>
            </w:r>
          </w:p>
        </w:tc>
        <w:tc>
          <w:tcPr>
            <w:tcW w:w="5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经济成本指标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课题研究费用支出</w:t>
            </w:r>
          </w:p>
        </w:tc>
        <w:tc>
          <w:tcPr>
            <w:tcW w:w="6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40万元</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预算支出标准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40万元</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37.4万元</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93.50%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课题研究周期长且需分批拨付，课题设置坚持成果为导向，课题研究从重数量改变为重质量。下一步继续坚持以成果为导向，突出课题设置的重点方向，重视课题转化应用，进一步优化课题管理方式，确保课题政治效益、法治效益、社会效益的最大化，推出重磅精品成果。</w:t>
            </w: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法治基层行活动、双百活动、研究会建设</w:t>
            </w:r>
          </w:p>
        </w:tc>
        <w:tc>
          <w:tcPr>
            <w:tcW w:w="6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19万元</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预算支出标准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19万元</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19万元</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8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其他业务支出</w:t>
            </w:r>
          </w:p>
        </w:tc>
        <w:tc>
          <w:tcPr>
            <w:tcW w:w="6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41万元</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预算支出标准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41万元</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36.85万元</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89.88%</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政府采购类物品在预算基础上有部分结余，公务接待费用根据实际情况支出后有结余。</w:t>
            </w: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效益指标</w:t>
            </w:r>
          </w:p>
        </w:tc>
        <w:tc>
          <w:tcPr>
            <w:tcW w:w="5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社会效益指标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法学宣讲对干部职工的法律意识</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增强</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增强</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按评判等级赋分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增强</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法治研究成果对自治区法治工作决策起到良好作用</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良好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良好</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按评判等级赋分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良好</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满意度指标</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满意度指标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法治宣讲对象满意度</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满意度赋分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400" w:hRule="atLeast"/>
        </w:trPr>
        <w:tc>
          <w:tcPr>
            <w:tcW w:w="2005"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总分</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9"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b/>
                <w:i w:val="0"/>
                <w:color w:val="000000"/>
                <w:sz w:val="18"/>
                <w:szCs w:val="18"/>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8"/>
                <w:szCs w:val="1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8"/>
                <w:szCs w:val="18"/>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98.2</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8"/>
                <w:szCs w:val="18"/>
                <w:u w:val="none"/>
              </w:rPr>
            </w:pPr>
          </w:p>
        </w:tc>
      </w:tr>
    </w:tbl>
    <w:p>
      <w:pPr>
        <w:pStyle w:val="19"/>
        <w:ind w:left="0" w:leftChars="0" w:firstLine="0" w:firstLineChars="0"/>
        <w:rPr>
          <w:rFonts w:hint="default" w:ascii="Times New Roman" w:hAnsi="Times New Roman" w:eastAsia="方正仿宋简体" w:cs="Times New Roman"/>
          <w:color w:val="auto"/>
          <w:sz w:val="32"/>
          <w:szCs w:val="32"/>
          <w:highlight w:val="none"/>
        </w:rPr>
      </w:pPr>
    </w:p>
    <w:p>
      <w:pPr>
        <w:keepNext w:val="0"/>
        <w:keepLines w:val="0"/>
        <w:widowControl/>
        <w:suppressLineNumbers w:val="0"/>
        <w:jc w:val="left"/>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2"/>
        <w:rPr>
          <w:rFonts w:hint="default" w:ascii="Times New Roman" w:hAnsi="Times New Roman" w:eastAsia="方正仿宋简体" w:cs="Times New Roman"/>
          <w:color w:val="auto"/>
          <w:sz w:val="32"/>
          <w:szCs w:val="32"/>
          <w:highlight w:val="none"/>
        </w:rPr>
      </w:pPr>
    </w:p>
    <w:p>
      <w:pPr>
        <w:pStyle w:val="18"/>
        <w:rPr>
          <w:rFonts w:hint="default" w:ascii="Times New Roman" w:hAnsi="Times New Roman" w:eastAsia="方正仿宋简体" w:cs="Times New Roman"/>
          <w:color w:val="auto"/>
          <w:sz w:val="32"/>
          <w:szCs w:val="32"/>
          <w:highlight w:val="none"/>
        </w:rPr>
      </w:pPr>
    </w:p>
    <w:tbl>
      <w:tblPr>
        <w:tblStyle w:val="11"/>
        <w:tblW w:w="8336" w:type="dxa"/>
        <w:tblInd w:w="0" w:type="dxa"/>
        <w:shd w:val="clear" w:color="auto" w:fill="auto"/>
        <w:tblLayout w:type="fixed"/>
        <w:tblCellMar>
          <w:top w:w="0" w:type="dxa"/>
          <w:left w:w="0" w:type="dxa"/>
          <w:bottom w:w="0" w:type="dxa"/>
          <w:right w:w="0" w:type="dxa"/>
        </w:tblCellMar>
      </w:tblPr>
      <w:tblGrid>
        <w:gridCol w:w="390"/>
        <w:gridCol w:w="391"/>
        <w:gridCol w:w="507"/>
        <w:gridCol w:w="726"/>
        <w:gridCol w:w="656"/>
        <w:gridCol w:w="512"/>
        <w:gridCol w:w="513"/>
        <w:gridCol w:w="556"/>
        <w:gridCol w:w="556"/>
        <w:gridCol w:w="621"/>
        <w:gridCol w:w="595"/>
        <w:gridCol w:w="555"/>
        <w:gridCol w:w="561"/>
        <w:gridCol w:w="1197"/>
      </w:tblGrid>
      <w:tr>
        <w:tblPrEx>
          <w:shd w:val="clear" w:color="auto" w:fill="auto"/>
          <w:tblLayout w:type="fixed"/>
          <w:tblCellMar>
            <w:top w:w="0" w:type="dxa"/>
            <w:left w:w="0" w:type="dxa"/>
            <w:bottom w:w="0" w:type="dxa"/>
            <w:right w:w="0" w:type="dxa"/>
          </w:tblCellMar>
        </w:tblPrEx>
        <w:trPr>
          <w:trHeight w:val="800"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华文中宋" w:cs="Times New Roman"/>
                <w:b/>
                <w:i w:val="0"/>
                <w:color w:val="000000"/>
                <w:sz w:val="40"/>
                <w:szCs w:val="40"/>
                <w:u w:val="none"/>
              </w:rPr>
            </w:pPr>
            <w:r>
              <w:rPr>
                <w:rFonts w:hint="default" w:ascii="Times New Roman" w:hAnsi="Times New Roman" w:eastAsia="华文中宋" w:cs="Times New Roman"/>
                <w:b/>
                <w:i w:val="0"/>
                <w:color w:val="000000"/>
                <w:kern w:val="0"/>
                <w:sz w:val="40"/>
                <w:szCs w:val="40"/>
                <w:u w:val="none"/>
                <w:lang w:val="en-US" w:eastAsia="zh-CN" w:bidi="ar"/>
              </w:rPr>
              <w:t>项目支出绩效自评表（法治基金工作经费）</w:t>
            </w:r>
          </w:p>
        </w:tc>
      </w:tr>
      <w:tr>
        <w:tblPrEx>
          <w:tblLayout w:type="fixed"/>
          <w:tblCellMar>
            <w:top w:w="0" w:type="dxa"/>
            <w:left w:w="0" w:type="dxa"/>
            <w:bottom w:w="0" w:type="dxa"/>
            <w:right w:w="0" w:type="dxa"/>
          </w:tblCellMar>
        </w:tblPrEx>
        <w:trPr>
          <w:trHeight w:val="440"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（2023年度）</w:t>
            </w:r>
          </w:p>
        </w:tc>
      </w:tr>
      <w:tr>
        <w:tblPrEx>
          <w:tblLayout w:type="fixed"/>
          <w:tblCellMar>
            <w:top w:w="0" w:type="dxa"/>
            <w:left w:w="0" w:type="dxa"/>
            <w:bottom w:w="0" w:type="dxa"/>
            <w:right w:w="0" w:type="dxa"/>
          </w:tblCellMar>
        </w:tblPrEx>
        <w:trPr>
          <w:trHeight w:val="600" w:hRule="atLeast"/>
        </w:trPr>
        <w:tc>
          <w:tcPr>
            <w:tcW w:w="7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项目名称</w:t>
            </w:r>
          </w:p>
        </w:tc>
        <w:tc>
          <w:tcPr>
            <w:tcW w:w="755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法治基金工作经费</w:t>
            </w:r>
          </w:p>
        </w:tc>
      </w:tr>
      <w:tr>
        <w:tblPrEx>
          <w:tblLayout w:type="fixed"/>
          <w:tblCellMar>
            <w:top w:w="0" w:type="dxa"/>
            <w:left w:w="0" w:type="dxa"/>
            <w:bottom w:w="0" w:type="dxa"/>
            <w:right w:w="0" w:type="dxa"/>
          </w:tblCellMar>
        </w:tblPrEx>
        <w:trPr>
          <w:trHeight w:val="600" w:hRule="atLeast"/>
        </w:trPr>
        <w:tc>
          <w:tcPr>
            <w:tcW w:w="7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主管部门</w:t>
            </w:r>
          </w:p>
        </w:tc>
        <w:tc>
          <w:tcPr>
            <w:tcW w:w="291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自治区党委政法委</w:t>
            </w:r>
          </w:p>
        </w:tc>
        <w:tc>
          <w:tcPr>
            <w:tcW w:w="1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实施单位</w:t>
            </w:r>
          </w:p>
        </w:tc>
        <w:tc>
          <w:tcPr>
            <w:tcW w:w="352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新疆维吾尔自治区法学会</w:t>
            </w:r>
          </w:p>
        </w:tc>
      </w:tr>
      <w:tr>
        <w:tblPrEx>
          <w:tblLayout w:type="fixed"/>
          <w:tblCellMar>
            <w:top w:w="0" w:type="dxa"/>
            <w:left w:w="0" w:type="dxa"/>
            <w:bottom w:w="0" w:type="dxa"/>
            <w:right w:w="0" w:type="dxa"/>
          </w:tblCellMar>
        </w:tblPrEx>
        <w:trPr>
          <w:trHeight w:val="600" w:hRule="atLeast"/>
        </w:trPr>
        <w:tc>
          <w:tcPr>
            <w:tcW w:w="7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项目资金</w:t>
            </w:r>
            <w:r>
              <w:rPr>
                <w:rFonts w:hint="default" w:ascii="Times New Roman" w:hAnsi="Times New Roman" w:eastAsia="宋体" w:cs="Times New Roman"/>
                <w:i w:val="0"/>
                <w:color w:val="000000"/>
                <w:kern w:val="0"/>
                <w:sz w:val="15"/>
                <w:szCs w:val="15"/>
                <w:u w:val="none"/>
                <w:lang w:val="en-US" w:eastAsia="zh-CN" w:bidi="ar"/>
              </w:rPr>
              <w:br w:type="textWrapping"/>
            </w:r>
            <w:r>
              <w:rPr>
                <w:rFonts w:hint="default" w:ascii="Times New Roman" w:hAnsi="Times New Roman" w:eastAsia="宋体" w:cs="Times New Roman"/>
                <w:i w:val="0"/>
                <w:color w:val="000000"/>
                <w:kern w:val="0"/>
                <w:sz w:val="15"/>
                <w:szCs w:val="15"/>
                <w:u w:val="none"/>
                <w:lang w:val="en-US" w:eastAsia="zh-CN" w:bidi="ar"/>
              </w:rPr>
              <w:t>（万元）</w:t>
            </w:r>
          </w:p>
        </w:tc>
        <w:tc>
          <w:tcPr>
            <w:tcW w:w="12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资金来源</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年初预算数</w:t>
            </w:r>
          </w:p>
        </w:tc>
        <w:tc>
          <w:tcPr>
            <w:tcW w:w="1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全年预算数</w:t>
            </w:r>
          </w:p>
        </w:tc>
        <w:tc>
          <w:tcPr>
            <w:tcW w:w="1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全年执行数</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分值权重</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执行率</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得分</w:t>
            </w:r>
          </w:p>
        </w:tc>
      </w:tr>
      <w:tr>
        <w:tblPrEx>
          <w:tblLayout w:type="fixed"/>
          <w:tblCellMar>
            <w:top w:w="0" w:type="dxa"/>
            <w:left w:w="0" w:type="dxa"/>
            <w:bottom w:w="0" w:type="dxa"/>
            <w:right w:w="0" w:type="dxa"/>
          </w:tblCellMar>
        </w:tblPrEx>
        <w:trPr>
          <w:trHeight w:val="600" w:hRule="atLeast"/>
        </w:trPr>
        <w:tc>
          <w:tcPr>
            <w:tcW w:w="7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2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年度资金总额</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290</w:t>
            </w:r>
          </w:p>
        </w:tc>
        <w:tc>
          <w:tcPr>
            <w:tcW w:w="1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290</w:t>
            </w:r>
          </w:p>
        </w:tc>
        <w:tc>
          <w:tcPr>
            <w:tcW w:w="1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284.26</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98.0%</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9.8</w:t>
            </w:r>
          </w:p>
        </w:tc>
      </w:tr>
      <w:tr>
        <w:tblPrEx>
          <w:tblLayout w:type="fixed"/>
          <w:tblCellMar>
            <w:top w:w="0" w:type="dxa"/>
            <w:left w:w="0" w:type="dxa"/>
            <w:bottom w:w="0" w:type="dxa"/>
            <w:right w:w="0" w:type="dxa"/>
          </w:tblCellMar>
        </w:tblPrEx>
        <w:trPr>
          <w:trHeight w:val="600" w:hRule="atLeast"/>
        </w:trPr>
        <w:tc>
          <w:tcPr>
            <w:tcW w:w="7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2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其中：当年财政拨款</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290.00 </w:t>
            </w:r>
          </w:p>
        </w:tc>
        <w:tc>
          <w:tcPr>
            <w:tcW w:w="1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290.00 </w:t>
            </w:r>
          </w:p>
        </w:tc>
        <w:tc>
          <w:tcPr>
            <w:tcW w:w="1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284.26</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7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233"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其他资金</w:t>
            </w:r>
          </w:p>
        </w:tc>
        <w:tc>
          <w:tcPr>
            <w:tcW w:w="65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0</w:t>
            </w:r>
          </w:p>
        </w:tc>
        <w:tc>
          <w:tcPr>
            <w:tcW w:w="1025"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0</w:t>
            </w:r>
          </w:p>
        </w:tc>
        <w:tc>
          <w:tcPr>
            <w:tcW w:w="1112"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0</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3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年度总体目标</w:t>
            </w:r>
          </w:p>
        </w:tc>
        <w:tc>
          <w:tcPr>
            <w:tcW w:w="441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总体目标</w:t>
            </w:r>
          </w:p>
        </w:tc>
        <w:tc>
          <w:tcPr>
            <w:tcW w:w="352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总体目标完成情况</w:t>
            </w:r>
          </w:p>
        </w:tc>
      </w:tr>
      <w:tr>
        <w:tblPrEx>
          <w:tblLayout w:type="fixed"/>
          <w:tblCellMar>
            <w:top w:w="0" w:type="dxa"/>
            <w:left w:w="0" w:type="dxa"/>
            <w:bottom w:w="0" w:type="dxa"/>
            <w:right w:w="0" w:type="dxa"/>
          </w:tblCellMar>
        </w:tblPrEx>
        <w:trPr>
          <w:trHeight w:val="192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41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围绕社会稳定和长治久安总目标，积极投身法治新疆、平安新疆建设实践，引领各学科研究会和高校科研机构对法治改革热点、难点问题专项研究；引领法学专家对社会突发事件进行法治点评和舆论引导；深入开展法治理论研究、法治问题调研、法治宣传教育、法治人才培养、组织法律援助服务。</w:t>
            </w:r>
          </w:p>
        </w:tc>
        <w:tc>
          <w:tcPr>
            <w:tcW w:w="352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团结引导广大法学法律工作者积极投身平安新疆、法治新疆建设。突出法治实践需求，深化法学研究。根据中国法学会论坛委托课题安排，坚持成果导向和实践导向，先后组织重点课题研究。设立法治保障研究基地，打造新型智库，推动法学研究向实践成果转化。</w:t>
            </w:r>
          </w:p>
        </w:tc>
      </w:tr>
      <w:tr>
        <w:tblPrEx>
          <w:tblLayout w:type="fixed"/>
          <w:tblCellMar>
            <w:top w:w="0" w:type="dxa"/>
            <w:left w:w="0" w:type="dxa"/>
            <w:bottom w:w="0" w:type="dxa"/>
            <w:right w:w="0" w:type="dxa"/>
          </w:tblCellMar>
        </w:tblPrEx>
        <w:trPr>
          <w:trHeight w:val="600"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一级指标</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二级指标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三级指标</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指标值</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指标值设置依据</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上年完成值</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指标分值权重</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指标赋分规则</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佐证资料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指标实际完成值</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完成率</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指标得分</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偏差原因分析及改进措施</w:t>
            </w:r>
          </w:p>
        </w:tc>
      </w:tr>
      <w:tr>
        <w:tblPrEx>
          <w:tblLayout w:type="fixed"/>
          <w:tblCellMar>
            <w:top w:w="0" w:type="dxa"/>
            <w:left w:w="0" w:type="dxa"/>
            <w:bottom w:w="0" w:type="dxa"/>
            <w:right w:w="0" w:type="dxa"/>
          </w:tblCellMar>
        </w:tblPrEx>
        <w:trPr>
          <w:trHeight w:val="600" w:hRule="atLeast"/>
        </w:trPr>
        <w:tc>
          <w:tcPr>
            <w:tcW w:w="3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年度绩效指标完成情况</w:t>
            </w:r>
          </w:p>
        </w:tc>
        <w:tc>
          <w:tcPr>
            <w:tcW w:w="3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产出指标</w:t>
            </w: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数量指标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法学研究课题</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5"/>
                <w:rFonts w:hint="default" w:ascii="Times New Roman" w:hAnsi="Times New Roman" w:eastAsia="宋体" w:cs="Times New Roman"/>
                <w:sz w:val="15"/>
                <w:szCs w:val="15"/>
                <w:lang w:val="en-US" w:eastAsia="zh-CN" w:bidi="ar"/>
              </w:rPr>
              <w:t>≥10</w:t>
            </w:r>
            <w:r>
              <w:rPr>
                <w:rStyle w:val="26"/>
                <w:rFonts w:hint="default" w:ascii="Times New Roman" w:hAnsi="Times New Roman" w:cs="Times New Roman"/>
                <w:sz w:val="15"/>
                <w:szCs w:val="15"/>
                <w:lang w:val="en-US" w:eastAsia="zh-CN" w:bidi="ar"/>
              </w:rPr>
              <w:t>个</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10个</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10个</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指导、服务基层法学会</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5"/>
                <w:rFonts w:hint="default" w:ascii="Times New Roman" w:hAnsi="Times New Roman" w:eastAsia="宋体" w:cs="Times New Roman"/>
                <w:sz w:val="15"/>
                <w:szCs w:val="15"/>
                <w:lang w:val="en-US" w:eastAsia="zh-CN" w:bidi="ar"/>
              </w:rPr>
              <w:t>≥14</w:t>
            </w:r>
            <w:r>
              <w:rPr>
                <w:rStyle w:val="26"/>
                <w:rFonts w:hint="default" w:ascii="Times New Roman" w:hAnsi="Times New Roman" w:cs="Times New Roman"/>
                <w:sz w:val="15"/>
                <w:szCs w:val="15"/>
                <w:lang w:val="en-US" w:eastAsia="zh-CN" w:bidi="ar"/>
              </w:rPr>
              <w:t>个</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14个</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14个</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法律人才培养项目</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5"/>
                <w:rFonts w:hint="default" w:ascii="Times New Roman" w:hAnsi="Times New Roman" w:eastAsia="宋体" w:cs="Times New Roman"/>
                <w:sz w:val="15"/>
                <w:szCs w:val="15"/>
                <w:lang w:val="en-US" w:eastAsia="zh-CN" w:bidi="ar"/>
              </w:rPr>
              <w:t>≥4</w:t>
            </w:r>
            <w:r>
              <w:rPr>
                <w:rStyle w:val="26"/>
                <w:rFonts w:hint="default" w:ascii="Times New Roman" w:hAnsi="Times New Roman" w:cs="Times New Roman"/>
                <w:sz w:val="15"/>
                <w:szCs w:val="15"/>
                <w:lang w:val="en-US" w:eastAsia="zh-CN" w:bidi="ar"/>
              </w:rPr>
              <w:t>项</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4项</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4项</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108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法律援助项目</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5"/>
                <w:rFonts w:hint="default" w:ascii="Times New Roman" w:hAnsi="Times New Roman" w:eastAsia="宋体" w:cs="Times New Roman"/>
                <w:sz w:val="15"/>
                <w:szCs w:val="15"/>
                <w:lang w:val="en-US" w:eastAsia="zh-CN" w:bidi="ar"/>
              </w:rPr>
              <w:t>≥5</w:t>
            </w:r>
            <w:r>
              <w:rPr>
                <w:rStyle w:val="26"/>
                <w:rFonts w:hint="default" w:ascii="Times New Roman" w:hAnsi="Times New Roman" w:cs="Times New Roman"/>
                <w:sz w:val="15"/>
                <w:szCs w:val="15"/>
                <w:lang w:val="en-US" w:eastAsia="zh-CN" w:bidi="ar"/>
              </w:rPr>
              <w:t>项</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5项</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5项</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84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质量指标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项目结项率</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课题成果应用率（%）</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时效指标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年度任务完成时限</w:t>
            </w:r>
          </w:p>
        </w:tc>
        <w:tc>
          <w:tcPr>
            <w:tcW w:w="65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5"/>
                <w:szCs w:val="15"/>
                <w:u w:val="none"/>
              </w:rPr>
            </w:pPr>
            <w:r>
              <w:rPr>
                <w:rFonts w:hint="default" w:ascii="Times New Roman" w:hAnsi="Times New Roman" w:eastAsia="宋体" w:cs="Times New Roman"/>
                <w:b/>
                <w:i w:val="0"/>
                <w:color w:val="000000"/>
                <w:kern w:val="0"/>
                <w:sz w:val="15"/>
                <w:szCs w:val="15"/>
                <w:u w:val="none"/>
                <w:lang w:val="en-US" w:eastAsia="zh-CN" w:bidi="ar"/>
              </w:rPr>
              <w:t>12月10日</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5"/>
                <w:szCs w:val="15"/>
                <w:u w:val="none"/>
              </w:rPr>
            </w:pPr>
            <w:r>
              <w:rPr>
                <w:rFonts w:hint="default" w:ascii="Times New Roman" w:hAnsi="Times New Roman" w:eastAsia="宋体" w:cs="Times New Roman"/>
                <w:b/>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5"/>
                <w:szCs w:val="15"/>
                <w:u w:val="none"/>
              </w:rPr>
            </w:pPr>
            <w:r>
              <w:rPr>
                <w:rFonts w:hint="default" w:ascii="Times New Roman" w:hAnsi="Times New Roman" w:eastAsia="宋体" w:cs="Times New Roman"/>
                <w:b/>
                <w:i w:val="0"/>
                <w:color w:val="000000"/>
                <w:kern w:val="0"/>
                <w:sz w:val="15"/>
                <w:szCs w:val="15"/>
                <w:u w:val="none"/>
                <w:lang w:val="en-US" w:eastAsia="zh-CN" w:bidi="ar"/>
              </w:rPr>
              <w:t>4</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成本指标</w:t>
            </w: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经济成本指标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课题研究费用支出</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7"/>
                <w:rFonts w:hint="default" w:ascii="Times New Roman" w:hAnsi="Times New Roman" w:eastAsia="宋体" w:cs="Times New Roman"/>
                <w:sz w:val="15"/>
                <w:szCs w:val="15"/>
                <w:lang w:val="en-US" w:eastAsia="zh-CN" w:bidi="ar"/>
              </w:rPr>
              <w:t>100</w:t>
            </w:r>
            <w:r>
              <w:rPr>
                <w:rStyle w:val="28"/>
                <w:rFonts w:hint="default" w:ascii="Times New Roman" w:hAnsi="Times New Roman" w:cs="Times New Roman"/>
                <w:sz w:val="15"/>
                <w:szCs w:val="15"/>
                <w:lang w:val="en-US" w:eastAsia="zh-CN" w:bidi="ar"/>
              </w:rPr>
              <w:t>万元</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13"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7"/>
                <w:rFonts w:hint="default" w:ascii="Times New Roman" w:hAnsi="Times New Roman" w:eastAsia="宋体" w:cs="Times New Roman"/>
                <w:sz w:val="15"/>
                <w:szCs w:val="15"/>
                <w:lang w:val="en-US" w:eastAsia="zh-CN" w:bidi="ar"/>
              </w:rPr>
              <w:t>100</w:t>
            </w:r>
            <w:r>
              <w:rPr>
                <w:rStyle w:val="28"/>
                <w:rFonts w:hint="default" w:ascii="Times New Roman" w:hAnsi="Times New Roman" w:cs="Times New Roman"/>
                <w:sz w:val="15"/>
                <w:szCs w:val="15"/>
                <w:lang w:val="en-US" w:eastAsia="zh-CN" w:bidi="ar"/>
              </w:rPr>
              <w:t>万元</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86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法律人才培养和服务法治实践项目支出</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7"/>
                <w:rFonts w:hint="default" w:ascii="Times New Roman" w:hAnsi="Times New Roman" w:eastAsia="宋体" w:cs="Times New Roman"/>
                <w:sz w:val="15"/>
                <w:szCs w:val="15"/>
                <w:lang w:val="en-US" w:eastAsia="zh-CN" w:bidi="ar"/>
              </w:rPr>
              <w:t>10</w:t>
            </w:r>
            <w:r>
              <w:rPr>
                <w:rStyle w:val="28"/>
                <w:rFonts w:hint="default" w:ascii="Times New Roman" w:hAnsi="Times New Roman" w:cs="Times New Roman"/>
                <w:sz w:val="15"/>
                <w:szCs w:val="15"/>
                <w:lang w:val="en-US" w:eastAsia="zh-CN" w:bidi="ar"/>
              </w:rPr>
              <w:t>万元</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13"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7"/>
                <w:rFonts w:hint="default" w:ascii="Times New Roman" w:hAnsi="Times New Roman" w:eastAsia="宋体" w:cs="Times New Roman"/>
                <w:sz w:val="15"/>
                <w:szCs w:val="15"/>
                <w:lang w:val="en-US" w:eastAsia="zh-CN" w:bidi="ar"/>
              </w:rPr>
              <w:t>10</w:t>
            </w:r>
            <w:r>
              <w:rPr>
                <w:rStyle w:val="28"/>
                <w:rFonts w:hint="default" w:ascii="Times New Roman" w:hAnsi="Times New Roman" w:cs="Times New Roman"/>
                <w:sz w:val="15"/>
                <w:szCs w:val="15"/>
                <w:lang w:val="en-US" w:eastAsia="zh-CN" w:bidi="ar"/>
              </w:rPr>
              <w:t>万元</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7.028万元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70.30%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2.8</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法治人才培训原计划可在疆外进行，根据实际改到疆内（伊犁师范大学），实际培训费有所降低。</w:t>
            </w: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普法活动支出</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7"/>
                <w:rFonts w:hint="default" w:ascii="Times New Roman" w:hAnsi="Times New Roman" w:eastAsia="宋体" w:cs="Times New Roman"/>
                <w:sz w:val="15"/>
                <w:szCs w:val="15"/>
                <w:lang w:val="en-US" w:eastAsia="zh-CN" w:bidi="ar"/>
              </w:rPr>
              <w:t>70</w:t>
            </w:r>
            <w:r>
              <w:rPr>
                <w:rStyle w:val="28"/>
                <w:rFonts w:hint="default" w:ascii="Times New Roman" w:hAnsi="Times New Roman" w:cs="Times New Roman"/>
                <w:sz w:val="15"/>
                <w:szCs w:val="15"/>
                <w:lang w:val="en-US" w:eastAsia="zh-CN" w:bidi="ar"/>
              </w:rPr>
              <w:t>万元</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13"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7"/>
                <w:rFonts w:hint="default" w:ascii="Times New Roman" w:hAnsi="Times New Roman" w:eastAsia="宋体" w:cs="Times New Roman"/>
                <w:sz w:val="15"/>
                <w:szCs w:val="15"/>
                <w:lang w:val="en-US" w:eastAsia="zh-CN" w:bidi="ar"/>
              </w:rPr>
              <w:t>70</w:t>
            </w:r>
            <w:r>
              <w:rPr>
                <w:rStyle w:val="28"/>
                <w:rFonts w:hint="default" w:ascii="Times New Roman" w:hAnsi="Times New Roman" w:cs="Times New Roman"/>
                <w:sz w:val="15"/>
                <w:szCs w:val="15"/>
                <w:lang w:val="en-US" w:eastAsia="zh-CN" w:bidi="ar"/>
              </w:rPr>
              <w:t>万元</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70万元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法治建设支出</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7"/>
                <w:rFonts w:hint="default" w:ascii="Times New Roman" w:hAnsi="Times New Roman" w:eastAsia="宋体" w:cs="Times New Roman"/>
                <w:sz w:val="15"/>
                <w:szCs w:val="15"/>
                <w:lang w:val="en-US" w:eastAsia="zh-CN" w:bidi="ar"/>
              </w:rPr>
              <w:t>103</w:t>
            </w:r>
            <w:r>
              <w:rPr>
                <w:rStyle w:val="28"/>
                <w:rFonts w:hint="default" w:ascii="Times New Roman" w:hAnsi="Times New Roman" w:cs="Times New Roman"/>
                <w:sz w:val="15"/>
                <w:szCs w:val="15"/>
                <w:lang w:val="en-US" w:eastAsia="zh-CN" w:bidi="ar"/>
              </w:rPr>
              <w:t>万元</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13"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7"/>
                <w:rFonts w:hint="default" w:ascii="Times New Roman" w:hAnsi="Times New Roman" w:eastAsia="宋体" w:cs="Times New Roman"/>
                <w:sz w:val="15"/>
                <w:szCs w:val="15"/>
                <w:lang w:val="en-US" w:eastAsia="zh-CN" w:bidi="ar"/>
              </w:rPr>
              <w:t>103</w:t>
            </w:r>
            <w:r>
              <w:rPr>
                <w:rStyle w:val="28"/>
                <w:rFonts w:hint="default" w:ascii="Times New Roman" w:hAnsi="Times New Roman" w:cs="Times New Roman"/>
                <w:sz w:val="15"/>
                <w:szCs w:val="15"/>
                <w:lang w:val="en-US" w:eastAsia="zh-CN" w:bidi="ar"/>
              </w:rPr>
              <w:t>万元</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103万元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96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其他业务支出</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7"/>
                <w:rFonts w:hint="default" w:ascii="Times New Roman" w:hAnsi="Times New Roman" w:eastAsia="宋体" w:cs="Times New Roman"/>
                <w:sz w:val="15"/>
                <w:szCs w:val="15"/>
                <w:lang w:val="en-US" w:eastAsia="zh-CN" w:bidi="ar"/>
              </w:rPr>
              <w:t>7</w:t>
            </w:r>
            <w:r>
              <w:rPr>
                <w:rStyle w:val="28"/>
                <w:rFonts w:hint="default" w:ascii="Times New Roman" w:hAnsi="Times New Roman" w:cs="Times New Roman"/>
                <w:sz w:val="15"/>
                <w:szCs w:val="15"/>
                <w:lang w:val="en-US" w:eastAsia="zh-CN" w:bidi="ar"/>
              </w:rPr>
              <w:t>万元</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13"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7"/>
                <w:rFonts w:hint="default" w:ascii="Times New Roman" w:hAnsi="Times New Roman" w:eastAsia="宋体" w:cs="Times New Roman"/>
                <w:sz w:val="15"/>
                <w:szCs w:val="15"/>
                <w:lang w:val="en-US" w:eastAsia="zh-CN" w:bidi="ar"/>
              </w:rPr>
              <w:t>7</w:t>
            </w:r>
            <w:r>
              <w:rPr>
                <w:rStyle w:val="28"/>
                <w:rFonts w:hint="default" w:ascii="Times New Roman" w:hAnsi="Times New Roman" w:cs="Times New Roman"/>
                <w:sz w:val="15"/>
                <w:szCs w:val="15"/>
                <w:lang w:val="en-US" w:eastAsia="zh-CN" w:bidi="ar"/>
              </w:rPr>
              <w:t>万元</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4.232万元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60.46%</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2.4</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法治基金其他支出费用于支持法学会业务工作所产生的办公费，无法购买政府采购类物品，且大部分由法学会工作经费保障。</w:t>
            </w: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效益指标</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社会效益指标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法治研究成果对自治区法治工作决策起到良好作用</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良好</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良好</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按评判等级赋分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良好</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法律受援对象满意度</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≥99%</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99%</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法治宣讲对象满意度</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9"/>
                <w:rFonts w:hint="default" w:ascii="Times New Roman" w:hAnsi="Times New Roman" w:cs="Times New Roman"/>
                <w:sz w:val="15"/>
                <w:szCs w:val="15"/>
                <w:lang w:val="en-US" w:eastAsia="zh-CN" w:bidi="ar"/>
              </w:rPr>
              <w:t>≥</w:t>
            </w:r>
            <w:r>
              <w:rPr>
                <w:rStyle w:val="30"/>
                <w:rFonts w:hint="default" w:ascii="Times New Roman" w:hAnsi="Times New Roman" w:eastAsia="宋体" w:cs="Times New Roman"/>
                <w:sz w:val="15"/>
                <w:szCs w:val="15"/>
                <w:lang w:val="en-US" w:eastAsia="zh-CN" w:bidi="ar"/>
              </w:rPr>
              <w:t>90%</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400" w:hRule="atLeast"/>
        </w:trPr>
        <w:tc>
          <w:tcPr>
            <w:tcW w:w="2014"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总分</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12"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b/>
                <w:i w:val="0"/>
                <w:color w:val="000000"/>
                <w:sz w:val="15"/>
                <w:szCs w:val="15"/>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97</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r>
    </w:tbl>
    <w:p>
      <w:pPr>
        <w:keepNext w:val="0"/>
        <w:keepLines w:val="0"/>
        <w:pageBreakBefore w:val="0"/>
        <w:widowControl w:val="0"/>
        <w:kinsoku/>
        <w:wordWrap/>
        <w:overflowPunct/>
        <w:topLinePunct w:val="0"/>
        <w:bidi w:val="0"/>
        <w:adjustRightInd/>
        <w:snapToGrid/>
        <w:spacing w:line="600" w:lineRule="exact"/>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24143"/>
      <w:bookmarkStart w:id="31" w:name="_Toc3250"/>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60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6062"/>
      <w:bookmarkStart w:id="33" w:name="_Toc2183"/>
      <w:r>
        <w:rPr>
          <w:rFonts w:hint="default" w:ascii="Times New Roman" w:hAnsi="Times New Roman" w:eastAsia="仿宋_GB2312" w:cs="Times New Roman"/>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30364"/>
      <w:bookmarkStart w:id="35" w:name="_Toc24532"/>
      <w:r>
        <w:rPr>
          <w:rFonts w:hint="default" w:ascii="Times New Roman" w:hAnsi="Times New Roman" w:eastAsia="仿宋_GB2312" w:cs="Times New Roman"/>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21304"/>
      <w:bookmarkStart w:id="37" w:name="_Toc32434"/>
      <w:r>
        <w:rPr>
          <w:rFonts w:hint="default" w:ascii="Times New Roman" w:hAnsi="Times New Roman" w:eastAsia="仿宋_GB2312" w:cs="Times New Roman"/>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28786"/>
      <w:bookmarkStart w:id="39" w:name="_Toc14238"/>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0347"/>
      <w:bookmarkStart w:id="41" w:name="_Toc14869"/>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5626"/>
      <w:bookmarkStart w:id="43" w:name="_Toc8884"/>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7643"/>
      <w:bookmarkStart w:id="47" w:name="_Toc545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00000" w:csb1="00000000"/>
  </w:font>
  <w:font w:name="华文中宋">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347E1F"/>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114253"/>
    <w:rsid w:val="0E640559"/>
    <w:rsid w:val="0F1113DA"/>
    <w:rsid w:val="0F78534A"/>
    <w:rsid w:val="0F89358A"/>
    <w:rsid w:val="0F8C6D51"/>
    <w:rsid w:val="0FDA516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8A7E11"/>
    <w:rsid w:val="190648B0"/>
    <w:rsid w:val="19071D6C"/>
    <w:rsid w:val="19D26CD4"/>
    <w:rsid w:val="19E60D19"/>
    <w:rsid w:val="1A3E3450"/>
    <w:rsid w:val="1AD807E5"/>
    <w:rsid w:val="1B39345B"/>
    <w:rsid w:val="1BFB2A1F"/>
    <w:rsid w:val="1C015D4A"/>
    <w:rsid w:val="1C290ED5"/>
    <w:rsid w:val="1C317E4F"/>
    <w:rsid w:val="1C472464"/>
    <w:rsid w:val="1D22799A"/>
    <w:rsid w:val="1D5C11A1"/>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8A6411"/>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7777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992F87"/>
    <w:rsid w:val="50D16158"/>
    <w:rsid w:val="50DB5F45"/>
    <w:rsid w:val="51025EB1"/>
    <w:rsid w:val="51141503"/>
    <w:rsid w:val="518D0ED5"/>
    <w:rsid w:val="525C687F"/>
    <w:rsid w:val="52F647F7"/>
    <w:rsid w:val="52F92565"/>
    <w:rsid w:val="53D03877"/>
    <w:rsid w:val="542F73CA"/>
    <w:rsid w:val="5430786D"/>
    <w:rsid w:val="545A1D2A"/>
    <w:rsid w:val="54C811C0"/>
    <w:rsid w:val="556A442D"/>
    <w:rsid w:val="556E1B02"/>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88403F"/>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05C66"/>
    <w:rsid w:val="63E9091F"/>
    <w:rsid w:val="64322AF9"/>
    <w:rsid w:val="64D6010D"/>
    <w:rsid w:val="64D82665"/>
    <w:rsid w:val="64E47C96"/>
    <w:rsid w:val="651E5741"/>
    <w:rsid w:val="658A4877"/>
    <w:rsid w:val="65931931"/>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33F75"/>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5EE9"/>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CE67A9"/>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customStyle="1" w:styleId="2">
    <w:name w:val="论文正文"/>
    <w:basedOn w:val="3"/>
    <w:qFormat/>
    <w:uiPriority w:val="0"/>
    <w:pPr>
      <w:spacing w:line="360" w:lineRule="atLeast"/>
      <w:ind w:firstLine="0" w:firstLineChars="0"/>
    </w:pPr>
    <w:rPr>
      <w:rFonts w:ascii="Calibri" w:hAnsi="Calibri" w:eastAsia="宋体" w:cs="Times New Roman"/>
      <w:szCs w:val="22"/>
    </w:rPr>
  </w:style>
  <w:style w:type="paragraph" w:styleId="3">
    <w:name w:val="Plain Text"/>
    <w:basedOn w:val="1"/>
    <w:qFormat/>
    <w:uiPriority w:val="0"/>
    <w:rPr>
      <w:rFonts w:ascii="宋体" w:hAnsi="Courier New"/>
      <w:szCs w:val="21"/>
    </w:r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 w:type="paragraph" w:customStyle="1" w:styleId="18">
    <w:name w:val="样式1"/>
    <w:basedOn w:val="1"/>
    <w:next w:val="19"/>
    <w:qFormat/>
    <w:uiPriority w:val="0"/>
  </w:style>
  <w:style w:type="paragraph" w:customStyle="1" w:styleId="19">
    <w:name w:val="样式2"/>
    <w:basedOn w:val="1"/>
    <w:qFormat/>
    <w:uiPriority w:val="0"/>
    <w:pPr>
      <w:ind w:firstLine="200" w:firstLineChars="200"/>
    </w:pPr>
    <w:rPr>
      <w:rFonts w:eastAsia="仿宋_GB2312"/>
      <w:sz w:val="32"/>
    </w:rPr>
  </w:style>
  <w:style w:type="paragraph" w:customStyle="1" w:styleId="20">
    <w:name w:val="Table Paragraph"/>
    <w:basedOn w:val="1"/>
    <w:qFormat/>
    <w:uiPriority w:val="1"/>
  </w:style>
  <w:style w:type="character" w:customStyle="1" w:styleId="21">
    <w:name w:val="font112"/>
    <w:basedOn w:val="12"/>
    <w:qFormat/>
    <w:uiPriority w:val="0"/>
    <w:rPr>
      <w:rFonts w:hint="default" w:ascii="Times New Roman" w:hAnsi="Times New Roman" w:cs="Times New Roman"/>
      <w:color w:val="000000"/>
      <w:sz w:val="18"/>
      <w:szCs w:val="18"/>
      <w:u w:val="none"/>
    </w:rPr>
  </w:style>
  <w:style w:type="character" w:customStyle="1" w:styleId="22">
    <w:name w:val="font51"/>
    <w:basedOn w:val="12"/>
    <w:qFormat/>
    <w:uiPriority w:val="0"/>
    <w:rPr>
      <w:rFonts w:hint="eastAsia" w:ascii="宋体" w:hAnsi="宋体" w:eastAsia="宋体" w:cs="宋体"/>
      <w:color w:val="000000"/>
      <w:sz w:val="18"/>
      <w:szCs w:val="18"/>
      <w:u w:val="none"/>
    </w:rPr>
  </w:style>
  <w:style w:type="character" w:customStyle="1" w:styleId="23">
    <w:name w:val="font11"/>
    <w:basedOn w:val="12"/>
    <w:qFormat/>
    <w:uiPriority w:val="0"/>
    <w:rPr>
      <w:rFonts w:hint="eastAsia" w:ascii="宋体" w:hAnsi="宋体" w:eastAsia="宋体" w:cs="宋体"/>
      <w:color w:val="000000"/>
      <w:sz w:val="18"/>
      <w:szCs w:val="18"/>
      <w:u w:val="none"/>
    </w:rPr>
  </w:style>
  <w:style w:type="character" w:customStyle="1" w:styleId="24">
    <w:name w:val="font91"/>
    <w:basedOn w:val="12"/>
    <w:qFormat/>
    <w:uiPriority w:val="0"/>
    <w:rPr>
      <w:rFonts w:hint="default" w:ascii="Times New Roman" w:hAnsi="Times New Roman" w:cs="Times New Roman"/>
      <w:color w:val="000000"/>
      <w:sz w:val="18"/>
      <w:szCs w:val="18"/>
      <w:u w:val="none"/>
    </w:rPr>
  </w:style>
  <w:style w:type="character" w:customStyle="1" w:styleId="25">
    <w:name w:val="font121"/>
    <w:basedOn w:val="12"/>
    <w:qFormat/>
    <w:uiPriority w:val="0"/>
    <w:rPr>
      <w:rFonts w:hint="default" w:ascii="Times New Roman" w:hAnsi="Times New Roman" w:cs="Times New Roman"/>
      <w:color w:val="000000"/>
      <w:sz w:val="18"/>
      <w:szCs w:val="18"/>
      <w:u w:val="none"/>
    </w:rPr>
  </w:style>
  <w:style w:type="character" w:customStyle="1" w:styleId="26">
    <w:name w:val="font61"/>
    <w:basedOn w:val="12"/>
    <w:qFormat/>
    <w:uiPriority w:val="0"/>
    <w:rPr>
      <w:rFonts w:hint="eastAsia" w:ascii="宋体" w:hAnsi="宋体" w:eastAsia="宋体" w:cs="宋体"/>
      <w:color w:val="000000"/>
      <w:sz w:val="18"/>
      <w:szCs w:val="18"/>
      <w:u w:val="none"/>
    </w:rPr>
  </w:style>
  <w:style w:type="character" w:customStyle="1" w:styleId="27">
    <w:name w:val="font131"/>
    <w:basedOn w:val="12"/>
    <w:qFormat/>
    <w:uiPriority w:val="0"/>
    <w:rPr>
      <w:rFonts w:hint="default" w:ascii="Times New Roman" w:hAnsi="Times New Roman" w:cs="Times New Roman"/>
      <w:color w:val="000000"/>
      <w:sz w:val="18"/>
      <w:szCs w:val="18"/>
      <w:u w:val="none"/>
    </w:rPr>
  </w:style>
  <w:style w:type="character" w:customStyle="1" w:styleId="28">
    <w:name w:val="font41"/>
    <w:basedOn w:val="12"/>
    <w:qFormat/>
    <w:uiPriority w:val="0"/>
    <w:rPr>
      <w:rFonts w:hint="eastAsia" w:ascii="宋体" w:hAnsi="宋体" w:eastAsia="宋体" w:cs="宋体"/>
      <w:color w:val="000000"/>
      <w:sz w:val="18"/>
      <w:szCs w:val="18"/>
      <w:u w:val="none"/>
    </w:rPr>
  </w:style>
  <w:style w:type="character" w:customStyle="1" w:styleId="29">
    <w:name w:val="font31"/>
    <w:basedOn w:val="12"/>
    <w:qFormat/>
    <w:uiPriority w:val="0"/>
    <w:rPr>
      <w:rFonts w:hint="eastAsia" w:ascii="宋体" w:hAnsi="宋体" w:eastAsia="宋体" w:cs="宋体"/>
      <w:color w:val="000000"/>
      <w:sz w:val="18"/>
      <w:szCs w:val="18"/>
      <w:u w:val="none"/>
    </w:rPr>
  </w:style>
  <w:style w:type="character" w:customStyle="1" w:styleId="30">
    <w:name w:val="font01"/>
    <w:basedOn w:val="12"/>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20</TotalTime>
  <ScaleCrop>false</ScaleCrop>
  <LinksUpToDate>false</LinksUpToDate>
  <CharactersWithSpaces>20832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2024-08-28T11:20:26Z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D624B15633CD43C8BF9435464A96BF70</vt:lpwstr>
  </property>
</Properties>
</file>