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36C33">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黑体" w:cs="Times New Roman"/>
          <w:color w:val="auto"/>
          <w:sz w:val="32"/>
          <w:szCs w:val="32"/>
          <w:highlight w:val="none"/>
        </w:rPr>
      </w:pPr>
    </w:p>
    <w:p w14:paraId="5EFB1A5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p>
    <w:p w14:paraId="00F21F6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lang w:eastAsia="zh-CN"/>
        </w:rPr>
      </w:pPr>
      <w:r>
        <w:rPr>
          <w:rFonts w:hint="default" w:ascii="Times New Roman" w:hAnsi="Times New Roman" w:eastAsia="方正小标宋_GBK" w:cs="Times New Roman"/>
          <w:color w:val="auto"/>
          <w:sz w:val="44"/>
          <w:szCs w:val="44"/>
          <w:highlight w:val="none"/>
          <w:lang w:val="en-US" w:eastAsia="zh-CN"/>
        </w:rPr>
        <w:t>新疆平安网信息中心</w:t>
      </w:r>
      <w:r>
        <w:rPr>
          <w:rFonts w:hint="default" w:ascii="Times New Roman" w:hAnsi="Times New Roman" w:eastAsia="方正小标宋_GBK" w:cs="Times New Roman"/>
          <w:color w:val="auto"/>
          <w:sz w:val="44"/>
          <w:szCs w:val="44"/>
          <w:highlight w:val="none"/>
          <w:lang w:eastAsia="zh-CN"/>
        </w:rPr>
        <w:t>2023年度</w:t>
      </w:r>
    </w:p>
    <w:p w14:paraId="72E6C91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部门决算公开说明</w:t>
      </w:r>
    </w:p>
    <w:p w14:paraId="7FC73CCD">
      <w:pPr>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14:paraId="7CB32252">
      <w:pPr>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14:paraId="2BD3B735">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5CB2EBE9">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2831A692">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41A056C1">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3334A314">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07DF4FFF">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485FCD36">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20ECB96A">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6E0489CF">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569B060F">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1135E049">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29F48E1C">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5504284C">
      <w:pPr>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57D72320">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4DB94ECA">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64EA17AD">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657F0721">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63E3F87D">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2D7F4C6C">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11BC9A29">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24C03AE1">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69FE362F">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06994BD8">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7A1F500A">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73375956">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6C571C2E">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17002856">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24CF8176">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14:paraId="47593CC8">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02366118">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6BF6E98B">
      <w:pPr>
        <w:keepNext w:val="0"/>
        <w:keepLines w:val="0"/>
        <w:pageBreakBefore w:val="0"/>
        <w:widowControl w:val="0"/>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14:paraId="1D0F2A51">
      <w:pPr>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14:paraId="07BD4F35">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14:paraId="207BDDA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14:paraId="05BFA789">
      <w:pPr>
        <w:pStyle w:val="15"/>
        <w:keepNext w:val="0"/>
        <w:keepLines w:val="0"/>
        <w:pageBreakBefore w:val="0"/>
        <w:widowControl/>
        <w:kinsoku/>
        <w:wordWrap/>
        <w:overflowPunct/>
        <w:topLinePunct w:val="0"/>
        <w:autoSpaceDE/>
        <w:autoSpaceDN/>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bookmarkStart w:id="4" w:name="_Toc31238"/>
      <w:bookmarkStart w:id="5" w:name="_Toc2151"/>
      <w:r>
        <w:rPr>
          <w:rFonts w:hint="default" w:ascii="Times New Roman" w:hAnsi="Times New Roman" w:eastAsia="方正仿宋简体" w:cs="Times New Roman"/>
          <w:color w:val="000000"/>
          <w:sz w:val="32"/>
          <w:szCs w:val="32"/>
          <w:lang w:eastAsia="zh-CN"/>
        </w:rPr>
        <w:t>新疆平安网</w:t>
      </w:r>
      <w:r>
        <w:rPr>
          <w:rFonts w:hint="eastAsia" w:ascii="Times New Roman" w:hAnsi="Times New Roman" w:eastAsia="方正仿宋简体" w:cs="Times New Roman"/>
          <w:color w:val="000000"/>
          <w:sz w:val="32"/>
          <w:szCs w:val="32"/>
          <w:lang w:eastAsia="zh-CN"/>
        </w:rPr>
        <w:t>信息中心</w:t>
      </w:r>
      <w:r>
        <w:rPr>
          <w:rFonts w:hint="default" w:ascii="Times New Roman" w:hAnsi="Times New Roman" w:eastAsia="方正仿宋简体" w:cs="Times New Roman"/>
          <w:color w:val="000000"/>
          <w:sz w:val="32"/>
          <w:szCs w:val="32"/>
          <w:lang w:eastAsia="zh-CN"/>
        </w:rPr>
        <w:t>是自治区党委政法委主管的官方网站，对上是中国平安网群的新疆频道；对下作为自治区政法、综治门户网站，是一个由可独立运行的</w:t>
      </w:r>
      <w:r>
        <w:rPr>
          <w:rFonts w:hint="default" w:ascii="Times New Roman" w:hAnsi="Times New Roman" w:eastAsia="方正仿宋简体" w:cs="Times New Roman"/>
          <w:color w:val="000000"/>
          <w:sz w:val="32"/>
          <w:szCs w:val="32"/>
          <w:lang w:val="en-US"/>
        </w:rPr>
        <w:t>15</w:t>
      </w:r>
      <w:r>
        <w:rPr>
          <w:rFonts w:hint="default" w:ascii="Times New Roman" w:hAnsi="Times New Roman" w:eastAsia="方正仿宋简体" w:cs="Times New Roman"/>
          <w:color w:val="000000"/>
          <w:sz w:val="32"/>
          <w:szCs w:val="32"/>
          <w:lang w:eastAsia="zh-CN"/>
        </w:rPr>
        <w:t>个网站、新疆平安网微博、长安新疆公众号及快手、抖音账号等构成的平安网群。</w:t>
      </w:r>
      <w:r>
        <w:rPr>
          <w:rFonts w:hint="default" w:ascii="Times New Roman" w:hAnsi="Times New Roman" w:eastAsia="方正仿宋简体" w:cs="Times New Roman"/>
          <w:color w:val="000000"/>
          <w:sz w:val="32"/>
          <w:szCs w:val="32"/>
          <w:lang w:val="en-US"/>
        </w:rPr>
        <w:t>“</w:t>
      </w:r>
      <w:r>
        <w:rPr>
          <w:rFonts w:hint="default" w:ascii="Times New Roman" w:hAnsi="Times New Roman" w:eastAsia="方正仿宋简体" w:cs="Times New Roman"/>
          <w:color w:val="000000"/>
          <w:sz w:val="32"/>
          <w:szCs w:val="32"/>
          <w:lang w:eastAsia="zh-CN"/>
        </w:rPr>
        <w:t>新疆平安网</w:t>
      </w:r>
      <w:r>
        <w:rPr>
          <w:rFonts w:hint="default" w:ascii="Times New Roman" w:hAnsi="Times New Roman" w:eastAsia="方正仿宋简体" w:cs="Times New Roman"/>
          <w:color w:val="000000"/>
          <w:sz w:val="32"/>
          <w:szCs w:val="32"/>
          <w:lang w:val="en-US"/>
        </w:rPr>
        <w:t>”</w:t>
      </w:r>
      <w:r>
        <w:rPr>
          <w:rFonts w:hint="default" w:ascii="Times New Roman" w:hAnsi="Times New Roman" w:eastAsia="方正仿宋简体" w:cs="Times New Roman"/>
          <w:color w:val="000000"/>
          <w:sz w:val="32"/>
          <w:szCs w:val="32"/>
          <w:lang w:eastAsia="zh-CN"/>
        </w:rPr>
        <w:t>承担着自治区政法、综治系统新闻宣传、舆论引导、舆论监督、信息发布、上情下达、下情上传、解疑释惑、社会舆论收集等重要职责。新疆平安网信息中心负责管理和建设新疆平安网。</w:t>
      </w:r>
    </w:p>
    <w:p w14:paraId="34BC087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73A8330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简体" w:cs="Times New Roman"/>
          <w:b/>
          <w:color w:val="auto"/>
          <w:sz w:val="32"/>
          <w:szCs w:val="32"/>
          <w:highlight w:val="none"/>
          <w:lang w:eastAsia="zh-CN"/>
        </w:rPr>
      </w:pPr>
      <w:r>
        <w:rPr>
          <w:rFonts w:hint="default" w:ascii="Times New Roman" w:hAnsi="Times New Roman" w:eastAsia="方正仿宋简体" w:cs="Times New Roman"/>
          <w:color w:val="auto"/>
          <w:sz w:val="32"/>
          <w:szCs w:val="32"/>
          <w:highlight w:val="none"/>
          <w:lang w:val="en-US" w:eastAsia="zh-CN"/>
        </w:rPr>
        <w:t>新疆平安网信息中心</w:t>
      </w:r>
      <w:r>
        <w:rPr>
          <w:rFonts w:hint="default" w:ascii="Times New Roman" w:hAnsi="Times New Roman" w:eastAsia="方正仿宋简体" w:cs="Times New Roman"/>
          <w:color w:val="auto"/>
          <w:sz w:val="32"/>
          <w:szCs w:val="32"/>
          <w:highlight w:val="none"/>
          <w:lang w:eastAsia="zh-CN"/>
        </w:rPr>
        <w:t>2023年度，</w:t>
      </w:r>
      <w:r>
        <w:rPr>
          <w:rFonts w:hint="default" w:ascii="Times New Roman" w:hAnsi="Times New Roman" w:eastAsia="方正仿宋简体" w:cs="Times New Roman"/>
          <w:color w:val="auto"/>
          <w:sz w:val="32"/>
          <w:szCs w:val="32"/>
          <w:highlight w:val="none"/>
        </w:rPr>
        <w:t>实有人数</w:t>
      </w:r>
      <w:r>
        <w:rPr>
          <w:rFonts w:hint="default" w:ascii="Times New Roman" w:hAnsi="Times New Roman" w:eastAsia="方正仿宋简体" w:cs="Times New Roman"/>
          <w:color w:val="auto"/>
          <w:sz w:val="32"/>
          <w:szCs w:val="32"/>
          <w:highlight w:val="none"/>
          <w:lang w:val="zh-CN" w:eastAsia="zh-CN"/>
        </w:rPr>
        <w:t>13</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其中：在职人员</w:t>
      </w:r>
      <w:r>
        <w:rPr>
          <w:rFonts w:hint="default" w:ascii="Times New Roman" w:hAnsi="Times New Roman" w:eastAsia="方正仿宋简体" w:cs="Times New Roman"/>
          <w:color w:val="auto"/>
          <w:sz w:val="32"/>
          <w:szCs w:val="32"/>
          <w:highlight w:val="none"/>
          <w:lang w:val="zh-CN" w:eastAsia="zh-CN"/>
        </w:rPr>
        <w:t>12</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离休人员</w:t>
      </w:r>
      <w:r>
        <w:rPr>
          <w:rFonts w:hint="default" w:ascii="Times New Roman" w:hAnsi="Times New Roman" w:eastAsia="方正仿宋简体" w:cs="Times New Roman"/>
          <w:color w:val="auto"/>
          <w:sz w:val="32"/>
          <w:szCs w:val="32"/>
          <w:highlight w:val="none"/>
          <w:lang w:val="zh-CN" w:eastAsia="zh-CN"/>
        </w:rPr>
        <w:t>0</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退休人员</w:t>
      </w:r>
      <w:r>
        <w:rPr>
          <w:rFonts w:hint="default" w:ascii="Times New Roman" w:hAnsi="Times New Roman" w:eastAsia="方正仿宋简体" w:cs="Times New Roman"/>
          <w:color w:val="auto"/>
          <w:sz w:val="32"/>
          <w:szCs w:val="32"/>
          <w:highlight w:val="none"/>
          <w:lang w:val="zh-CN" w:eastAsia="zh-CN"/>
        </w:rPr>
        <w:t>1</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p>
    <w:p w14:paraId="2DF62B9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r>
        <w:rPr>
          <w:rFonts w:hint="default" w:ascii="Times New Roman" w:hAnsi="Times New Roman" w:eastAsia="方正仿宋简体" w:cs="Times New Roman"/>
          <w:bCs/>
          <w:color w:val="auto"/>
          <w:kern w:val="0"/>
          <w:sz w:val="32"/>
          <w:szCs w:val="32"/>
          <w:highlight w:val="none"/>
          <w:lang w:eastAsia="zh-CN"/>
        </w:rPr>
        <w:t>新疆平安网信息中心</w:t>
      </w:r>
      <w:r>
        <w:rPr>
          <w:rFonts w:hint="default" w:ascii="Times New Roman" w:hAnsi="Times New Roman" w:eastAsia="方正仿宋简体" w:cs="Times New Roman"/>
          <w:bCs/>
          <w:color w:val="auto"/>
          <w:kern w:val="0"/>
          <w:sz w:val="32"/>
          <w:szCs w:val="32"/>
          <w:highlight w:val="none"/>
        </w:rPr>
        <w:t>无下属预算单位</w:t>
      </w:r>
      <w:r>
        <w:rPr>
          <w:rFonts w:hint="default" w:ascii="Times New Roman" w:hAnsi="Times New Roman" w:eastAsia="方正仿宋简体" w:cs="Times New Roman"/>
          <w:bCs/>
          <w:color w:val="auto"/>
          <w:kern w:val="0"/>
          <w:sz w:val="32"/>
          <w:szCs w:val="32"/>
          <w:highlight w:val="none"/>
          <w:lang w:eastAsia="zh-CN"/>
        </w:rPr>
        <w:t>，</w:t>
      </w:r>
      <w:r>
        <w:rPr>
          <w:rFonts w:hint="default" w:ascii="Times New Roman" w:hAnsi="Times New Roman" w:eastAsia="方正仿宋简体" w:cs="Times New Roman"/>
          <w:color w:val="000000"/>
          <w:kern w:val="2"/>
          <w:sz w:val="32"/>
          <w:szCs w:val="32"/>
          <w:lang w:val="en-US" w:eastAsia="zh-CN" w:bidi="ar"/>
        </w:rPr>
        <w:t>4个处室，分别是：办公室、编辑部、技术组、视频组</w:t>
      </w:r>
      <w:bookmarkStart w:id="6" w:name="_Toc3092"/>
      <w:bookmarkStart w:id="7" w:name="_Toc29374"/>
      <w:r>
        <w:rPr>
          <w:rFonts w:hint="default" w:ascii="Times New Roman" w:hAnsi="Times New Roman" w:eastAsia="方正仿宋简体" w:cs="Times New Roman"/>
          <w:color w:val="000000"/>
          <w:kern w:val="2"/>
          <w:sz w:val="32"/>
          <w:szCs w:val="32"/>
          <w:lang w:val="en-US" w:eastAsia="zh-CN" w:bidi="ar"/>
        </w:rPr>
        <w:t>。</w:t>
      </w:r>
    </w:p>
    <w:p w14:paraId="38C0E64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p>
    <w:p w14:paraId="1D6E4E0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p>
    <w:p w14:paraId="38CE413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p>
    <w:p w14:paraId="6F05CBA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p>
    <w:p w14:paraId="33A047B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p>
    <w:p w14:paraId="50866E1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right="0"/>
        <w:jc w:val="both"/>
        <w:textAlignment w:val="auto"/>
        <w:rPr>
          <w:rFonts w:hint="default" w:ascii="Times New Roman" w:hAnsi="Times New Roman" w:eastAsia="方正仿宋简体" w:cs="Times New Roman"/>
          <w:color w:val="000000"/>
          <w:kern w:val="2"/>
          <w:sz w:val="32"/>
          <w:szCs w:val="32"/>
          <w:lang w:val="en-US" w:eastAsia="zh-CN" w:bidi="ar"/>
        </w:rPr>
      </w:pPr>
    </w:p>
    <w:p w14:paraId="2F5B9F5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center"/>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5FA7E50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322E4DA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pacing w:val="0"/>
          <w:sz w:val="32"/>
          <w:szCs w:val="32"/>
          <w:highlight w:val="none"/>
          <w:lang w:val="en-US" w:eastAsia="zh-CN"/>
        </w:rPr>
        <w:t>收入总计</w:t>
      </w:r>
      <w:r>
        <w:rPr>
          <w:rFonts w:hint="default" w:ascii="Times New Roman" w:hAnsi="Times New Roman" w:eastAsia="方正仿宋简体" w:cs="Times New Roman"/>
          <w:color w:val="auto"/>
          <w:spacing w:val="0"/>
          <w:sz w:val="32"/>
          <w:szCs w:val="32"/>
          <w:highlight w:val="none"/>
          <w:lang w:eastAsia="zh-CN"/>
        </w:rPr>
        <w:t>439.95万元，</w:t>
      </w:r>
      <w:r>
        <w:rPr>
          <w:rFonts w:hint="default" w:ascii="Times New Roman" w:hAnsi="Times New Roman" w:eastAsia="方正仿宋简体" w:cs="Times New Roman"/>
          <w:color w:val="auto"/>
          <w:spacing w:val="0"/>
          <w:sz w:val="32"/>
          <w:szCs w:val="32"/>
          <w:highlight w:val="none"/>
          <w:lang w:val="en-US" w:eastAsia="zh-CN"/>
        </w:rPr>
        <w:t>其中：本年收入合计</w:t>
      </w:r>
      <w:r>
        <w:rPr>
          <w:rFonts w:hint="default" w:ascii="Times New Roman" w:hAnsi="Times New Roman" w:eastAsia="方正仿宋简体" w:cs="Times New Roman"/>
          <w:color w:val="auto"/>
          <w:spacing w:val="0"/>
          <w:sz w:val="32"/>
          <w:szCs w:val="32"/>
          <w:highlight w:val="none"/>
          <w:lang w:eastAsia="zh-CN"/>
        </w:rPr>
        <w:t>323.14万元，使用非财政拨款结余0.00万元，年初结转和结余116.81万元。</w:t>
      </w:r>
    </w:p>
    <w:p w14:paraId="7FC6C6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val="en-US" w:eastAsia="zh-CN"/>
        </w:rPr>
        <w:t>2023</w:t>
      </w:r>
      <w:r>
        <w:rPr>
          <w:rFonts w:hint="default" w:ascii="Times New Roman" w:hAnsi="Times New Roman" w:eastAsia="方正仿宋简体" w:cs="Times New Roman"/>
          <w:color w:val="auto"/>
          <w:spacing w:val="0"/>
          <w:sz w:val="32"/>
          <w:szCs w:val="32"/>
          <w:highlight w:val="none"/>
          <w:lang w:eastAsia="zh-CN"/>
        </w:rPr>
        <w:t>年</w:t>
      </w:r>
      <w:r>
        <w:rPr>
          <w:rFonts w:hint="default" w:ascii="Times New Roman" w:hAnsi="Times New Roman" w:eastAsia="方正仿宋简体" w:cs="Times New Roman"/>
          <w:color w:val="auto"/>
          <w:spacing w:val="0"/>
          <w:sz w:val="32"/>
          <w:szCs w:val="32"/>
          <w:highlight w:val="none"/>
          <w:lang w:val="en-US" w:eastAsia="zh-CN"/>
        </w:rPr>
        <w:t>度</w:t>
      </w:r>
      <w:r>
        <w:rPr>
          <w:rFonts w:hint="default" w:ascii="Times New Roman" w:hAnsi="Times New Roman" w:eastAsia="方正仿宋简体" w:cs="Times New Roman"/>
          <w:color w:val="auto"/>
          <w:spacing w:val="0"/>
          <w:sz w:val="32"/>
          <w:szCs w:val="32"/>
          <w:highlight w:val="none"/>
          <w:lang w:eastAsia="zh-CN"/>
        </w:rPr>
        <w:t>支出</w:t>
      </w:r>
      <w:r>
        <w:rPr>
          <w:rFonts w:hint="default" w:ascii="Times New Roman" w:hAnsi="Times New Roman" w:eastAsia="方正仿宋简体" w:cs="Times New Roman"/>
          <w:color w:val="auto"/>
          <w:spacing w:val="0"/>
          <w:sz w:val="32"/>
          <w:szCs w:val="32"/>
          <w:highlight w:val="none"/>
          <w:lang w:val="en-US" w:eastAsia="zh-CN"/>
        </w:rPr>
        <w:t>总计</w:t>
      </w:r>
      <w:r>
        <w:rPr>
          <w:rFonts w:hint="default" w:ascii="Times New Roman" w:hAnsi="Times New Roman" w:eastAsia="方正仿宋简体" w:cs="Times New Roman"/>
          <w:color w:val="auto"/>
          <w:spacing w:val="0"/>
          <w:sz w:val="32"/>
          <w:szCs w:val="32"/>
          <w:highlight w:val="none"/>
          <w:lang w:eastAsia="zh-CN"/>
        </w:rPr>
        <w:t>439.95万元，</w:t>
      </w:r>
      <w:r>
        <w:rPr>
          <w:rFonts w:hint="default" w:ascii="Times New Roman" w:hAnsi="Times New Roman" w:eastAsia="方正仿宋简体" w:cs="Times New Roman"/>
          <w:color w:val="auto"/>
          <w:spacing w:val="0"/>
          <w:sz w:val="32"/>
          <w:szCs w:val="32"/>
          <w:highlight w:val="none"/>
          <w:lang w:val="en-US" w:eastAsia="zh-CN"/>
        </w:rPr>
        <w:t>其中：本年支出合计</w:t>
      </w:r>
      <w:r>
        <w:rPr>
          <w:rFonts w:hint="default" w:ascii="Times New Roman" w:hAnsi="Times New Roman" w:eastAsia="方正仿宋简体" w:cs="Times New Roman"/>
          <w:color w:val="auto"/>
          <w:spacing w:val="0"/>
          <w:sz w:val="32"/>
          <w:szCs w:val="32"/>
          <w:highlight w:val="none"/>
          <w:lang w:eastAsia="zh-CN"/>
        </w:rPr>
        <w:t>322.37万元，</w:t>
      </w:r>
      <w:r>
        <w:rPr>
          <w:rFonts w:hint="default" w:ascii="Times New Roman" w:hAnsi="Times New Roman" w:eastAsia="方正仿宋简体" w:cs="Times New Roman"/>
          <w:color w:val="auto"/>
          <w:spacing w:val="0"/>
          <w:sz w:val="32"/>
          <w:szCs w:val="32"/>
          <w:highlight w:val="none"/>
          <w:lang w:val="en-US" w:eastAsia="zh-CN"/>
        </w:rPr>
        <w:t>结余分配</w:t>
      </w:r>
      <w:r>
        <w:rPr>
          <w:rFonts w:hint="default" w:ascii="Times New Roman" w:hAnsi="Times New Roman" w:eastAsia="方正仿宋简体" w:cs="Times New Roman"/>
          <w:color w:val="auto"/>
          <w:spacing w:val="0"/>
          <w:sz w:val="32"/>
          <w:szCs w:val="32"/>
          <w:highlight w:val="none"/>
          <w:lang w:eastAsia="zh-CN"/>
        </w:rPr>
        <w:t>0.39万元，年末结转和结余117.20万元。</w:t>
      </w:r>
    </w:p>
    <w:p w14:paraId="1BA364D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val="en-US" w:eastAsia="zh-CN"/>
        </w:rPr>
        <w:t>收入支出总体与上年相比</w:t>
      </w:r>
      <w:r>
        <w:rPr>
          <w:rFonts w:hint="default" w:ascii="Times New Roman" w:hAnsi="Times New Roman" w:eastAsia="方正仿宋简体" w:cs="Times New Roman"/>
          <w:color w:val="auto"/>
          <w:spacing w:val="0"/>
          <w:sz w:val="32"/>
          <w:szCs w:val="32"/>
          <w:highlight w:val="none"/>
          <w:lang w:eastAsia="zh-CN"/>
        </w:rPr>
        <w:t>，</w:t>
      </w:r>
      <w:r>
        <w:rPr>
          <w:rFonts w:hint="default" w:ascii="Times New Roman" w:hAnsi="Times New Roman" w:eastAsia="方正仿宋简体" w:cs="Times New Roman"/>
          <w:color w:val="auto"/>
          <w:spacing w:val="0"/>
          <w:sz w:val="32"/>
          <w:szCs w:val="32"/>
          <w:highlight w:val="none"/>
          <w:lang w:val="zh-CN" w:eastAsia="zh-CN"/>
        </w:rPr>
        <w:t>减少6.54万元</w:t>
      </w:r>
      <w:r>
        <w:rPr>
          <w:rFonts w:hint="default" w:ascii="Times New Roman" w:hAnsi="Times New Roman" w:eastAsia="方正仿宋简体" w:cs="Times New Roman"/>
          <w:color w:val="auto"/>
          <w:spacing w:val="0"/>
          <w:sz w:val="32"/>
          <w:szCs w:val="32"/>
          <w:highlight w:val="none"/>
          <w:lang w:eastAsia="zh-CN"/>
        </w:rPr>
        <w:t>，下降1.46%，主要原因是：</w:t>
      </w:r>
      <w:r>
        <w:rPr>
          <w:rFonts w:hint="eastAsia" w:eastAsia="方正仿宋简体" w:cs="Times New Roman"/>
          <w:kern w:val="2"/>
          <w:sz w:val="32"/>
          <w:szCs w:val="32"/>
          <w:lang w:val="en-US" w:eastAsia="zh-CN" w:bidi="ar"/>
        </w:rPr>
        <w:t>厉行节约</w:t>
      </w:r>
      <w:r>
        <w:rPr>
          <w:rFonts w:hint="default" w:ascii="Times New Roman" w:hAnsi="Times New Roman" w:eastAsia="方正仿宋简体" w:cs="Times New Roman"/>
          <w:kern w:val="2"/>
          <w:sz w:val="32"/>
          <w:szCs w:val="32"/>
          <w:lang w:val="en-US" w:eastAsia="zh-CN" w:bidi="ar"/>
        </w:rPr>
        <w:t>，严格控制支出，压减项目支出</w:t>
      </w:r>
      <w:r>
        <w:rPr>
          <w:rFonts w:hint="default" w:ascii="Times New Roman" w:hAnsi="Times New Roman" w:eastAsia="方正仿宋简体" w:cs="Times New Roman"/>
          <w:color w:val="auto"/>
          <w:spacing w:val="0"/>
          <w:sz w:val="32"/>
          <w:szCs w:val="32"/>
          <w:highlight w:val="none"/>
          <w:lang w:eastAsia="zh-CN"/>
        </w:rPr>
        <w:t>。</w:t>
      </w:r>
    </w:p>
    <w:p w14:paraId="45CE0BD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bookmarkStart w:id="48" w:name="_GoBack"/>
      <w:bookmarkEnd w:id="48"/>
    </w:p>
    <w:p w14:paraId="3D0F6B1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本年收入</w:t>
      </w:r>
      <w:r>
        <w:rPr>
          <w:rFonts w:hint="default" w:ascii="Times New Roman" w:hAnsi="Times New Roman" w:eastAsia="方正仿宋简体" w:cs="Times New Roman"/>
          <w:color w:val="auto"/>
          <w:sz w:val="32"/>
          <w:szCs w:val="32"/>
          <w:highlight w:val="none"/>
          <w:lang w:eastAsia="zh-CN"/>
        </w:rPr>
        <w:t>323.14</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财政拨款收入</w:t>
      </w:r>
      <w:r>
        <w:rPr>
          <w:rFonts w:hint="default" w:ascii="Times New Roman" w:hAnsi="Times New Roman" w:eastAsia="方正仿宋简体" w:cs="Times New Roman"/>
          <w:color w:val="auto"/>
          <w:sz w:val="32"/>
          <w:szCs w:val="32"/>
          <w:highlight w:val="none"/>
          <w:lang w:val="zh-CN"/>
        </w:rPr>
        <w:t>322.75</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99.88</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上级补助收入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事业收入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%；附属单位上缴收入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其他收入</w:t>
      </w:r>
      <w:r>
        <w:rPr>
          <w:rFonts w:hint="default" w:ascii="Times New Roman" w:hAnsi="Times New Roman" w:eastAsia="方正仿宋简体" w:cs="Times New Roman"/>
          <w:color w:val="auto"/>
          <w:sz w:val="32"/>
          <w:szCs w:val="32"/>
          <w:highlight w:val="none"/>
          <w:lang w:val="zh-CN"/>
        </w:rPr>
        <w:t>0.39</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0.12</w:t>
      </w:r>
      <w:r>
        <w:rPr>
          <w:rFonts w:hint="default" w:ascii="Times New Roman" w:hAnsi="Times New Roman" w:eastAsia="方正仿宋简体" w:cs="Times New Roman"/>
          <w:color w:val="auto"/>
          <w:sz w:val="32"/>
          <w:szCs w:val="32"/>
          <w:highlight w:val="none"/>
          <w:lang w:eastAsia="zh-CN"/>
        </w:rPr>
        <w:t>%。</w:t>
      </w:r>
    </w:p>
    <w:p w14:paraId="6D45BD4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2AA3212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0"/>
          <w:szCs w:val="30"/>
          <w:highlight w:val="none"/>
          <w:lang w:val="zh-CN" w:eastAsia="zh-CN"/>
        </w:rPr>
      </w:pPr>
      <w:r>
        <w:rPr>
          <w:rFonts w:hint="default" w:ascii="Times New Roman" w:hAnsi="Times New Roman" w:eastAsia="方正仿宋简体" w:cs="Times New Roman"/>
          <w:color w:val="auto"/>
          <w:sz w:val="32"/>
          <w:szCs w:val="32"/>
          <w:highlight w:val="none"/>
          <w:lang w:val="zh-CN" w:eastAsia="zh-CN"/>
        </w:rPr>
        <w:t>本年支出322.37万元，其中：基本支出239.26万元，占74.22%；项目支出83.10万元，占25.78%；上缴上级支出0.00万元，占0.00%；经营支出0.00万元，占0.00%；对附属单位补助支出0.00万元，占0.00%。</w:t>
      </w:r>
    </w:p>
    <w:p w14:paraId="35BE53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26564"/>
      <w:bookmarkStart w:id="15" w:name="_Toc4393"/>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4F4E428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425.23</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102.48</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322.75</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425.23</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102.86</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322.37</w:t>
      </w:r>
      <w:r>
        <w:rPr>
          <w:rFonts w:hint="default" w:ascii="Times New Roman" w:hAnsi="Times New Roman" w:eastAsia="仿宋_GB2312" w:cs="Times New Roman"/>
          <w:color w:val="auto"/>
          <w:spacing w:val="0"/>
          <w:sz w:val="32"/>
          <w:szCs w:val="32"/>
          <w:highlight w:val="none"/>
          <w:lang w:eastAsia="zh-CN"/>
        </w:rPr>
        <w:t>万元。</w:t>
      </w:r>
    </w:p>
    <w:p w14:paraId="6BCD23D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eastAsia"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减少6.21万元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下降1.44%，</w:t>
      </w:r>
      <w:r>
        <w:rPr>
          <w:rFonts w:hint="default" w:ascii="Times New Roman" w:hAnsi="Times New Roman" w:eastAsia="仿宋_GB2312" w:cs="Times New Roman"/>
          <w:color w:val="auto"/>
          <w:spacing w:val="0"/>
          <w:sz w:val="32"/>
          <w:szCs w:val="32"/>
          <w:highlight w:val="none"/>
          <w:lang w:eastAsia="zh-CN"/>
        </w:rPr>
        <w:t>主要原因是：</w:t>
      </w:r>
      <w:r>
        <w:rPr>
          <w:rFonts w:hint="eastAsia" w:eastAsia="方正仿宋简体" w:cs="Times New Roman"/>
          <w:kern w:val="2"/>
          <w:sz w:val="32"/>
          <w:szCs w:val="32"/>
          <w:lang w:val="en-US" w:eastAsia="zh-CN" w:bidi="ar"/>
        </w:rPr>
        <w:t>厉行节约</w:t>
      </w:r>
      <w:r>
        <w:rPr>
          <w:rFonts w:hint="default" w:ascii="Times New Roman" w:hAnsi="Times New Roman" w:eastAsia="方正仿宋简体" w:cs="Times New Roman"/>
          <w:kern w:val="2"/>
          <w:sz w:val="32"/>
          <w:szCs w:val="32"/>
          <w:lang w:val="en-US" w:eastAsia="zh-CN" w:bidi="ar"/>
        </w:rPr>
        <w:t>，严格控制支出，压减项目支出</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335.48</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425.23</w:t>
      </w:r>
      <w:r>
        <w:rPr>
          <w:rFonts w:hint="default" w:ascii="Times New Roman" w:hAnsi="Times New Roman" w:eastAsia="仿宋_GB2312" w:cs="Times New Roman"/>
          <w:color w:val="auto"/>
          <w:spacing w:val="0"/>
          <w:sz w:val="32"/>
          <w:szCs w:val="32"/>
          <w:highlight w:val="none"/>
          <w:lang w:eastAsia="zh-CN"/>
        </w:rPr>
        <w:t>万元，预决算差异率26.75%，主要原因是：</w:t>
      </w:r>
      <w:r>
        <w:rPr>
          <w:rFonts w:hint="default" w:ascii="Times New Roman" w:hAnsi="Times New Roman" w:eastAsia="仿宋_GB2312" w:cs="Times New Roman"/>
          <w:color w:val="auto"/>
          <w:spacing w:val="0"/>
          <w:sz w:val="32"/>
          <w:szCs w:val="32"/>
          <w:highlight w:val="none"/>
          <w:lang w:val="en-US" w:eastAsia="zh-CN"/>
        </w:rPr>
        <w:t>2023年财政拨款收入决算数425.23万元中含年初财政拨款结转结余102.48万元，实际财政拨款收入为322.75万元。与年初预算数335.48万元相比增长原因为工资增资</w:t>
      </w:r>
      <w:r>
        <w:rPr>
          <w:rFonts w:hint="default" w:ascii="Times New Roman" w:hAnsi="Times New Roman" w:eastAsia="仿宋_GB2312" w:cs="Times New Roman"/>
          <w:color w:val="auto"/>
          <w:spacing w:val="0"/>
          <w:sz w:val="32"/>
          <w:szCs w:val="32"/>
          <w:highlight w:val="none"/>
          <w:lang w:eastAsia="zh-CN"/>
        </w:rPr>
        <w:t>。</w:t>
      </w:r>
    </w:p>
    <w:p w14:paraId="01D03E8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37CC291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（一）一般公共预算财政拨款支出决算总体情况</w:t>
      </w:r>
    </w:p>
    <w:p w14:paraId="17122B5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FF0000"/>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2023年度一般公共预算财政拨款支出322.37万元，占本年支出合计的</w:t>
      </w:r>
      <w:r>
        <w:rPr>
          <w:rFonts w:hint="default" w:ascii="Times New Roman" w:hAnsi="Times New Roman" w:eastAsia="仿宋_GB2312" w:cs="Times New Roman"/>
          <w:color w:val="auto"/>
          <w:spacing w:val="0"/>
          <w:sz w:val="32"/>
          <w:szCs w:val="32"/>
          <w:highlight w:val="none"/>
          <w:lang w:val="zh-CN" w:eastAsia="zh-CN"/>
        </w:rPr>
        <w:t>100.00%</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减少6.59万元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下降2.00%，</w:t>
      </w:r>
      <w:r>
        <w:rPr>
          <w:rFonts w:hint="default" w:ascii="Times New Roman" w:hAnsi="Times New Roman" w:eastAsia="仿宋_GB2312" w:cs="Times New Roman"/>
          <w:color w:val="auto"/>
          <w:spacing w:val="0"/>
          <w:sz w:val="32"/>
          <w:szCs w:val="32"/>
          <w:highlight w:val="none"/>
          <w:lang w:eastAsia="zh-CN"/>
        </w:rPr>
        <w:t>主要原因是：</w:t>
      </w:r>
      <w:r>
        <w:rPr>
          <w:rFonts w:hint="eastAsia" w:eastAsia="方正仿宋简体" w:cs="Times New Roman"/>
          <w:kern w:val="2"/>
          <w:sz w:val="32"/>
          <w:szCs w:val="32"/>
          <w:lang w:val="en-US" w:eastAsia="zh-CN" w:bidi="ar"/>
        </w:rPr>
        <w:t>厉行节约</w:t>
      </w:r>
      <w:r>
        <w:rPr>
          <w:rFonts w:hint="default" w:ascii="Times New Roman" w:hAnsi="Times New Roman" w:eastAsia="方正仿宋简体" w:cs="Times New Roman"/>
          <w:kern w:val="2"/>
          <w:sz w:val="32"/>
          <w:szCs w:val="32"/>
          <w:lang w:val="en-US" w:eastAsia="zh-CN" w:bidi="ar"/>
        </w:rPr>
        <w:t>，严格控制支出，压减项目支出。</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335.48</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322.37</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-3.91%</w:t>
      </w:r>
      <w:r>
        <w:rPr>
          <w:rFonts w:hint="default" w:ascii="Times New Roman" w:hAnsi="Times New Roman" w:eastAsia="仿宋_GB2312" w:cs="Times New Roman"/>
          <w:color w:val="auto"/>
          <w:spacing w:val="0"/>
          <w:sz w:val="32"/>
          <w:szCs w:val="32"/>
          <w:highlight w:val="none"/>
          <w:lang w:eastAsia="zh-CN"/>
        </w:rPr>
        <w:t>，主要原因是：一是</w:t>
      </w:r>
      <w:r>
        <w:rPr>
          <w:rFonts w:hint="eastAsia" w:eastAsia="方正仿宋简体" w:cs="Times New Roman"/>
          <w:color w:val="auto"/>
          <w:kern w:val="2"/>
          <w:sz w:val="32"/>
          <w:szCs w:val="32"/>
          <w:lang w:val="en-US" w:eastAsia="zh-CN" w:bidi="ar"/>
        </w:rPr>
        <w:t>厉行节约</w:t>
      </w:r>
      <w:r>
        <w:rPr>
          <w:rFonts w:hint="default" w:ascii="Times New Roman" w:hAnsi="Times New Roman" w:eastAsia="方正仿宋简体" w:cs="Times New Roman"/>
          <w:color w:val="auto"/>
          <w:kern w:val="2"/>
          <w:sz w:val="32"/>
          <w:szCs w:val="32"/>
          <w:lang w:val="en-US" w:eastAsia="zh-CN" w:bidi="ar"/>
        </w:rPr>
        <w:t>，严格控制支出，压减项目支出；二是平安网</w:t>
      </w:r>
      <w:r>
        <w:rPr>
          <w:rFonts w:hint="default" w:ascii="Times New Roman" w:hAnsi="Times New Roman" w:eastAsia="方正仿宋简体" w:cs="Times New Roman"/>
          <w:color w:val="auto"/>
          <w:kern w:val="2"/>
          <w:sz w:val="32"/>
          <w:szCs w:val="32"/>
          <w:highlight w:val="none"/>
          <w:lang w:val="en-US" w:eastAsia="zh-CN" w:bidi="ar-SA"/>
        </w:rPr>
        <w:t>1人退休，1人调出导致事业运行减少</w:t>
      </w:r>
      <w:r>
        <w:rPr>
          <w:rFonts w:hint="default" w:ascii="Times New Roman" w:hAnsi="Times New Roman" w:eastAsia="仿宋_GB2312" w:cs="Times New Roman"/>
          <w:color w:val="auto"/>
          <w:spacing w:val="0"/>
          <w:sz w:val="32"/>
          <w:szCs w:val="32"/>
          <w:highlight w:val="none"/>
          <w:lang w:eastAsia="zh-CN"/>
        </w:rPr>
        <w:t>。</w:t>
      </w:r>
    </w:p>
    <w:p w14:paraId="0BA9DAE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（二）一般公共预算</w:t>
      </w:r>
      <w:r>
        <w:rPr>
          <w:rFonts w:hint="default" w:ascii="Times New Roman" w:hAnsi="Times New Roman" w:eastAsia="楷体" w:cs="Times New Roman"/>
          <w:color w:val="auto"/>
          <w:sz w:val="32"/>
          <w:szCs w:val="32"/>
          <w:highlight w:val="none"/>
          <w:lang w:val="en-US" w:eastAsia="zh-CN"/>
        </w:rPr>
        <w:t>财政拨款支出决算</w:t>
      </w:r>
      <w:r>
        <w:rPr>
          <w:rFonts w:hint="default" w:ascii="Times New Roman" w:hAnsi="Times New Roman" w:eastAsia="楷体" w:cs="Times New Roman"/>
          <w:color w:val="auto"/>
          <w:sz w:val="32"/>
          <w:szCs w:val="32"/>
          <w:highlight w:val="none"/>
          <w:lang w:eastAsia="zh-CN"/>
        </w:rPr>
        <w:t>结构情况</w:t>
      </w:r>
    </w:p>
    <w:p w14:paraId="4FBE7C4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zh-CN"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一般公共服务支出（类）262.70万元，占81.49%；</w:t>
      </w:r>
    </w:p>
    <w:p w14:paraId="74DA8D2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社会保障和就业支出（类）22.05万元，占6.84%；</w:t>
      </w:r>
    </w:p>
    <w:p w14:paraId="353FEF8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卫生健康支出（类）21.08万元，占6.54%；</w:t>
      </w:r>
    </w:p>
    <w:p w14:paraId="2D8BE40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住房保障支出（类）16.54万元，占5.13%；</w:t>
      </w:r>
    </w:p>
    <w:p w14:paraId="1B2EBC8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（三）一般公共预算财政拨款支出决算具体情况</w:t>
      </w:r>
    </w:p>
    <w:p w14:paraId="007282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1.卫生健康支出（类）行政事业单位医疗（款）事业单位医疗（项）：支出决算数为11.44万元，比上年决算增加1.19万元，增长11.6</w:t>
      </w:r>
      <w:r>
        <w:rPr>
          <w:rFonts w:hint="eastAsia" w:eastAsia="方正仿宋简体" w:cs="Times New Roman"/>
          <w:color w:val="auto"/>
          <w:kern w:val="2"/>
          <w:sz w:val="32"/>
          <w:szCs w:val="32"/>
          <w:highlight w:val="none"/>
          <w:lang w:val="en-US" w:eastAsia="zh-CN" w:bidi="ar-SA"/>
        </w:rPr>
        <w:t>1</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在职干部工资增长，导致事业单位医疗缴纳基数增高，事业单位医疗缴费增加。</w:t>
      </w:r>
    </w:p>
    <w:p w14:paraId="279058F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2.卫生健康支出（类）行政事业单位医疗（款）公务员医疗补助（项）：支出决算数为9.65万元，比上年决算增加1.68万元，增长21.0</w:t>
      </w:r>
      <w:r>
        <w:rPr>
          <w:rFonts w:hint="eastAsia" w:eastAsia="方正仿宋简体" w:cs="Times New Roman"/>
          <w:color w:val="auto"/>
          <w:kern w:val="2"/>
          <w:sz w:val="32"/>
          <w:szCs w:val="32"/>
          <w:highlight w:val="none"/>
          <w:lang w:val="en-US" w:eastAsia="zh-CN" w:bidi="ar-SA"/>
        </w:rPr>
        <w:t>8</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在职干部工资增长，导致公务员医疗补助缴纳基数增高，公务员医疗医疗补助缴费增加。</w:t>
      </w:r>
    </w:p>
    <w:p w14:paraId="0585E15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3.住房保障支出（类）住房改革支出（款）住房公积金（项）：支出决算数为16.54万元，比上年决算增加2.34万元，增长16.4</w:t>
      </w:r>
      <w:r>
        <w:rPr>
          <w:rFonts w:hint="eastAsia" w:eastAsia="方正仿宋简体" w:cs="Times New Roman"/>
          <w:color w:val="auto"/>
          <w:kern w:val="2"/>
          <w:sz w:val="32"/>
          <w:szCs w:val="32"/>
          <w:highlight w:val="none"/>
          <w:lang w:val="en-US" w:eastAsia="zh-CN" w:bidi="ar-SA"/>
        </w:rPr>
        <w:t>8</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在职干部工资增长，导致住房公积金缴纳基数增高，住房公积金缴费增加。</w:t>
      </w:r>
    </w:p>
    <w:p w14:paraId="65AC02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4.一般公共服务支出（类）其他共产党事务支出（款）事业运行（项）：支出决算数为179.59万元，比上年决算减少11.43万元，下降5.98%，主要原因是：1人退休，1人调出导致事业运行减少</w:t>
      </w:r>
      <w:r>
        <w:rPr>
          <w:rFonts w:hint="default" w:ascii="Times New Roman" w:hAnsi="Times New Roman" w:eastAsia="方正仿宋简体" w:cs="Times New Roman"/>
          <w:color w:val="auto"/>
          <w:kern w:val="2"/>
          <w:sz w:val="32"/>
          <w:szCs w:val="32"/>
          <w:highlight w:val="none"/>
          <w:lang w:val="zh-CN" w:eastAsia="zh-CN" w:bidi="ar-SA"/>
        </w:rPr>
        <w:t>。</w:t>
      </w:r>
    </w:p>
    <w:p w14:paraId="7ADDB41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5.一般公共服务支出（类）其他共产党事务支出（款）其他共产党事务支出（项）：支出决算数为83.10万元，比上年决算减少3.49万元，下降4.03%，主要原因是：</w:t>
      </w:r>
      <w:r>
        <w:rPr>
          <w:rFonts w:hint="default" w:ascii="Times New Roman" w:hAnsi="Times New Roman" w:eastAsia="方正仿宋简体" w:cs="Times New Roman"/>
          <w:color w:val="auto"/>
          <w:kern w:val="2"/>
          <w:sz w:val="32"/>
          <w:szCs w:val="32"/>
          <w:highlight w:val="none"/>
          <w:lang w:val="zh-CN" w:eastAsia="zh-CN" w:bidi="ar-SA"/>
        </w:rPr>
        <w:t>严格控制支出，压减项目支出。</w:t>
      </w:r>
    </w:p>
    <w:p w14:paraId="433793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6.社会保障和就业支出（类）行政事业单位养老支出（款）机关事业单位基本养老保险缴费支出（项）：支出决算数为22.05万元，比上年决算增加3.12万元，增长16.4</w:t>
      </w:r>
      <w:r>
        <w:rPr>
          <w:rFonts w:hint="eastAsia" w:eastAsia="方正仿宋简体" w:cs="Times New Roman"/>
          <w:color w:val="auto"/>
          <w:kern w:val="2"/>
          <w:sz w:val="32"/>
          <w:szCs w:val="32"/>
          <w:highlight w:val="none"/>
          <w:lang w:val="en-US" w:eastAsia="zh-CN" w:bidi="ar-SA"/>
        </w:rPr>
        <w:t>8</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在职干部工资增长，导致机关事业单位基本养老保险缴纳基数增高，机关事业单位基本养老保险缴费增加。</w:t>
      </w:r>
    </w:p>
    <w:p w14:paraId="2A84363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2C533C1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z w:val="32"/>
          <w:szCs w:val="32"/>
          <w:highlight w:val="none"/>
        </w:rPr>
        <w:t>一般公共预算财政拨款基本支出</w:t>
      </w:r>
      <w:r>
        <w:rPr>
          <w:rFonts w:hint="default" w:ascii="Times New Roman" w:hAnsi="Times New Roman" w:eastAsia="方正仿宋简体" w:cs="Times New Roman"/>
          <w:color w:val="auto"/>
          <w:sz w:val="32"/>
          <w:szCs w:val="32"/>
          <w:highlight w:val="none"/>
          <w:lang w:eastAsia="zh-CN"/>
        </w:rPr>
        <w:t>239.26</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人员经费</w:t>
      </w:r>
      <w:r>
        <w:rPr>
          <w:rFonts w:hint="default" w:ascii="Times New Roman" w:hAnsi="Times New Roman" w:eastAsia="方正仿宋简体" w:cs="Times New Roman"/>
          <w:color w:val="auto"/>
          <w:sz w:val="32"/>
          <w:szCs w:val="32"/>
          <w:highlight w:val="none"/>
          <w:lang w:eastAsia="zh-CN"/>
        </w:rPr>
        <w:t>232.62</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包括</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基本工资、津贴补贴、奖金、伙食补助费、绩效工资、机关事业单位基本养老保险缴费、职工基本医疗保险缴费、公务员医疗补助缴费、其他社会保障缴费、住房公积金、其他工资福利支出。</w:t>
      </w:r>
    </w:p>
    <w:p w14:paraId="63DEC82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red"/>
          <w:lang w:val="en-US" w:eastAsia="zh-CN"/>
        </w:rPr>
      </w:pPr>
      <w:r>
        <w:rPr>
          <w:rFonts w:hint="default" w:ascii="Times New Roman" w:hAnsi="Times New Roman" w:eastAsia="方正仿宋简体" w:cs="Times New Roman"/>
          <w:color w:val="auto"/>
          <w:sz w:val="32"/>
          <w:szCs w:val="32"/>
          <w:highlight w:val="none"/>
        </w:rPr>
        <w:t>公用经费</w:t>
      </w:r>
      <w:r>
        <w:rPr>
          <w:rFonts w:hint="default" w:ascii="Times New Roman" w:hAnsi="Times New Roman" w:eastAsia="方正仿宋简体" w:cs="Times New Roman"/>
          <w:color w:val="auto"/>
          <w:sz w:val="32"/>
          <w:szCs w:val="32"/>
          <w:highlight w:val="none"/>
          <w:lang w:eastAsia="zh-CN"/>
        </w:rPr>
        <w:t>6.65</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包括</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办公费、邮电费、工会经费、福利费、公务用车运行维护费</w:t>
      </w:r>
      <w:r>
        <w:rPr>
          <w:rFonts w:hint="default" w:ascii="Times New Roman" w:hAnsi="Times New Roman" w:eastAsia="方正仿宋简体" w:cs="Times New Roman"/>
          <w:color w:val="auto"/>
          <w:sz w:val="32"/>
          <w:szCs w:val="32"/>
          <w:highlight w:val="none"/>
          <w:lang w:eastAsia="zh-CN"/>
        </w:rPr>
        <w:t>。</w:t>
      </w:r>
    </w:p>
    <w:p w14:paraId="4555C27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45E27A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财政拨款“</w:t>
      </w:r>
      <w:r>
        <w:rPr>
          <w:rFonts w:hint="default" w:ascii="Times New Roman" w:hAnsi="Times New Roman" w:eastAsia="方正仿宋简体" w:cs="Times New Roman"/>
          <w:color w:val="auto"/>
          <w:sz w:val="32"/>
          <w:szCs w:val="32"/>
          <w:highlight w:val="none"/>
          <w:lang w:val="zh-CN" w:eastAsia="zh-CN"/>
        </w:rPr>
        <w:t>三公</w:t>
      </w:r>
      <w:r>
        <w:rPr>
          <w:rFonts w:hint="default" w:ascii="Times New Roman" w:hAnsi="Times New Roman" w:eastAsia="方正仿宋简体" w:cs="Times New Roman"/>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经费支出1.33万元，</w:t>
      </w:r>
      <w:r>
        <w:rPr>
          <w:rFonts w:hint="default" w:ascii="Times New Roman" w:hAnsi="Times New Roman" w:eastAsia="方正仿宋简体" w:cs="Times New Roman"/>
          <w:color w:val="auto"/>
          <w:sz w:val="32"/>
          <w:szCs w:val="32"/>
          <w:highlight w:val="none"/>
          <w:lang w:val="en-US" w:eastAsia="zh-CN"/>
        </w:rPr>
        <w:t>比上年</w:t>
      </w:r>
      <w:r>
        <w:rPr>
          <w:rFonts w:hint="default" w:ascii="Times New Roman" w:hAnsi="Times New Roman" w:eastAsia="方正仿宋简体" w:cs="Times New Roman"/>
          <w:color w:val="auto"/>
          <w:sz w:val="32"/>
          <w:szCs w:val="32"/>
          <w:highlight w:val="none"/>
          <w:lang w:val="zh-CN" w:eastAsia="zh-CN"/>
        </w:rPr>
        <w:t>增加1.09万元，</w:t>
      </w:r>
      <w:r>
        <w:rPr>
          <w:rFonts w:hint="default" w:ascii="Times New Roman" w:hAnsi="Times New Roman" w:eastAsia="方正仿宋简体" w:cs="Times New Roman"/>
          <w:color w:val="auto"/>
          <w:spacing w:val="0"/>
          <w:sz w:val="32"/>
          <w:szCs w:val="32"/>
          <w:highlight w:val="none"/>
          <w:lang w:val="en-US" w:eastAsia="zh-CN"/>
        </w:rPr>
        <w:t>增长45</w:t>
      </w:r>
      <w:r>
        <w:rPr>
          <w:rFonts w:hint="eastAsia" w:eastAsia="方正仿宋简体" w:cs="Times New Roman"/>
          <w:color w:val="auto"/>
          <w:spacing w:val="0"/>
          <w:sz w:val="32"/>
          <w:szCs w:val="32"/>
          <w:highlight w:val="none"/>
          <w:lang w:val="en-US" w:eastAsia="zh-CN"/>
        </w:rPr>
        <w:t>4.17</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2022年“三公”活动减少，2023年“三公”活动</w:t>
      </w:r>
      <w:r>
        <w:rPr>
          <w:rFonts w:hint="default" w:ascii="Times New Roman" w:hAnsi="Times New Roman" w:eastAsia="方正仿宋简体" w:cs="Times New Roman"/>
          <w:color w:val="auto"/>
          <w:sz w:val="32"/>
          <w:szCs w:val="32"/>
          <w:highlight w:val="none"/>
          <w:lang w:val="zh-CN" w:eastAsia="zh-CN"/>
        </w:rPr>
        <w:t>正常开展。其中：因公出国（境）费支出0.00万元，占0.00%，比上年增加0.00万元，</w:t>
      </w:r>
      <w:r>
        <w:rPr>
          <w:rFonts w:hint="default" w:ascii="Times New Roman" w:hAnsi="Times New Roman" w:eastAsia="方正仿宋简体" w:cs="Times New Roman"/>
          <w:color w:val="auto"/>
          <w:spacing w:val="0"/>
          <w:sz w:val="32"/>
          <w:szCs w:val="32"/>
          <w:highlight w:val="none"/>
          <w:lang w:val="en-US" w:eastAsia="zh-CN"/>
        </w:rPr>
        <w:t>增长0.00%，</w:t>
      </w:r>
      <w:r>
        <w:rPr>
          <w:rFonts w:hint="default" w:ascii="Times New Roman" w:hAnsi="Times New Roman" w:eastAsia="方正仿宋简体" w:cs="Times New Roman"/>
          <w:color w:val="auto"/>
          <w:sz w:val="32"/>
          <w:szCs w:val="32"/>
          <w:highlight w:val="none"/>
          <w:lang w:val="zh-CN" w:eastAsia="zh-CN"/>
        </w:rPr>
        <w:t>主要原因是：我单位无因公出国（境）费；公务用车购置及运行维护费支出1.33万元，占100.00%，比上年增加1.09万元，</w:t>
      </w:r>
      <w:r>
        <w:rPr>
          <w:rFonts w:hint="default" w:ascii="Times New Roman" w:hAnsi="Times New Roman" w:eastAsia="方正仿宋简体" w:cs="Times New Roman"/>
          <w:color w:val="auto"/>
          <w:spacing w:val="0"/>
          <w:sz w:val="32"/>
          <w:szCs w:val="32"/>
          <w:highlight w:val="none"/>
          <w:lang w:val="en-US" w:eastAsia="zh-CN"/>
        </w:rPr>
        <w:t>增长4</w:t>
      </w:r>
      <w:r>
        <w:rPr>
          <w:rFonts w:hint="eastAsia" w:eastAsia="方正仿宋简体" w:cs="Times New Roman"/>
          <w:color w:val="auto"/>
          <w:spacing w:val="0"/>
          <w:sz w:val="32"/>
          <w:szCs w:val="32"/>
          <w:highlight w:val="none"/>
          <w:lang w:val="en-US" w:eastAsia="zh-CN"/>
        </w:rPr>
        <w:t>54.17</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2022年公务用车运行减少，2023年</w:t>
      </w:r>
      <w:r>
        <w:rPr>
          <w:rFonts w:hint="default" w:ascii="Times New Roman" w:hAnsi="Times New Roman" w:eastAsia="方正仿宋简体" w:cs="Times New Roman"/>
          <w:color w:val="auto"/>
          <w:sz w:val="32"/>
          <w:szCs w:val="32"/>
          <w:highlight w:val="none"/>
          <w:lang w:val="zh-CN" w:eastAsia="zh-CN"/>
        </w:rPr>
        <w:t>正常开展；公务接待费支出0.00万元，占0.00%，比上年增加0.00万元，</w:t>
      </w:r>
      <w:r>
        <w:rPr>
          <w:rFonts w:hint="default" w:ascii="Times New Roman" w:hAnsi="Times New Roman" w:eastAsia="方正仿宋简体" w:cs="Times New Roman"/>
          <w:color w:val="auto"/>
          <w:spacing w:val="0"/>
          <w:sz w:val="32"/>
          <w:szCs w:val="32"/>
          <w:highlight w:val="none"/>
          <w:lang w:val="en-US" w:eastAsia="zh-CN"/>
        </w:rPr>
        <w:t>增长0.00%，</w:t>
      </w:r>
      <w:r>
        <w:rPr>
          <w:rFonts w:hint="default" w:ascii="Times New Roman" w:hAnsi="Times New Roman" w:eastAsia="方正仿宋简体" w:cs="Times New Roman"/>
          <w:color w:val="auto"/>
          <w:sz w:val="32"/>
          <w:szCs w:val="32"/>
          <w:highlight w:val="none"/>
          <w:lang w:val="zh-CN" w:eastAsia="zh-CN"/>
        </w:rPr>
        <w:t>主要原因是：我单位无公务接待费。</w:t>
      </w:r>
    </w:p>
    <w:p w14:paraId="3871711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具体情况如下：</w:t>
      </w:r>
    </w:p>
    <w:p w14:paraId="6662085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因公出国（境）费支出0.00万元，开支内容包括我单位无因公出国（境）费。单位全年安排的因公出国（境）团组0个，因公出国（境）0人次。</w:t>
      </w:r>
    </w:p>
    <w:p w14:paraId="4DC2B6C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公务用车购置及运行维护费1.33万元，其中：公务用车购置费0.00万元，公务用车运行维护费1.33万元。公务用车运行维护费开支内容包括公务用车油料费、维修（护）费、保险费等。公务用车购置数0辆，公务用车保有量1辆。国有资产占用情况</w:t>
      </w:r>
      <w:r>
        <w:rPr>
          <w:rFonts w:hint="default" w:ascii="Times New Roman" w:hAnsi="Times New Roman" w:eastAsia="方正仿宋简体" w:cs="Times New Roman"/>
          <w:color w:val="auto"/>
          <w:sz w:val="32"/>
          <w:szCs w:val="32"/>
          <w:highlight w:val="none"/>
          <w:lang w:val="en-US" w:eastAsia="zh-CN"/>
        </w:rPr>
        <w:t>中固定资产车辆</w:t>
      </w:r>
      <w:r>
        <w:rPr>
          <w:rFonts w:hint="default" w:ascii="Times New Roman" w:hAnsi="Times New Roman" w:eastAsia="方正仿宋简体" w:cs="Times New Roman"/>
          <w:color w:val="auto"/>
          <w:sz w:val="32"/>
          <w:szCs w:val="32"/>
          <w:highlight w:val="none"/>
          <w:lang w:val="zh-CN" w:eastAsia="zh-CN"/>
        </w:rPr>
        <w:t>1辆，</w:t>
      </w:r>
      <w:r>
        <w:rPr>
          <w:rFonts w:hint="default" w:ascii="Times New Roman" w:hAnsi="Times New Roman" w:eastAsia="方正仿宋简体" w:cs="Times New Roman"/>
          <w:color w:val="auto"/>
          <w:sz w:val="32"/>
          <w:szCs w:val="32"/>
          <w:highlight w:val="none"/>
          <w:lang w:val="en-US" w:eastAsia="zh-CN"/>
        </w:rPr>
        <w:t>与</w:t>
      </w:r>
      <w:r>
        <w:rPr>
          <w:rFonts w:hint="default" w:ascii="Times New Roman" w:hAnsi="Times New Roman" w:eastAsia="方正仿宋简体" w:cs="Times New Roman"/>
          <w:color w:val="auto"/>
          <w:sz w:val="32"/>
          <w:szCs w:val="32"/>
          <w:highlight w:val="none"/>
          <w:lang w:val="zh-CN" w:eastAsia="zh-CN"/>
        </w:rPr>
        <w:t>公务用车</w:t>
      </w:r>
      <w:r>
        <w:rPr>
          <w:rFonts w:hint="default" w:ascii="Times New Roman" w:hAnsi="Times New Roman" w:eastAsia="方正仿宋简体" w:cs="Times New Roman"/>
          <w:color w:val="auto"/>
          <w:sz w:val="32"/>
          <w:szCs w:val="32"/>
          <w:highlight w:val="none"/>
          <w:lang w:val="en-US" w:eastAsia="zh-CN"/>
        </w:rPr>
        <w:t>保有量差异</w:t>
      </w:r>
      <w:r>
        <w:rPr>
          <w:rFonts w:hint="default" w:ascii="Times New Roman" w:hAnsi="Times New Roman" w:eastAsia="方正仿宋简体" w:cs="Times New Roman"/>
          <w:color w:val="auto"/>
          <w:sz w:val="32"/>
          <w:szCs w:val="32"/>
          <w:highlight w:val="none"/>
          <w:lang w:val="zh-CN" w:eastAsia="zh-CN"/>
        </w:rPr>
        <w:t>原因是：国有资产占用情况中固定资产车辆与公务用车保有量一致。</w:t>
      </w:r>
    </w:p>
    <w:p w14:paraId="43CF035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公务接待费0.00万元，开支内容包括我单位无公务接待费。单位全年安排的国内公务接待0批次，0人次。</w:t>
      </w:r>
    </w:p>
    <w:p w14:paraId="7D76B9D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与</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预算相比</w:t>
      </w:r>
      <w:r>
        <w:rPr>
          <w:rFonts w:hint="default" w:ascii="Times New Roman" w:hAnsi="Times New Roman" w:eastAsia="方正仿宋简体" w:cs="Times New Roman"/>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财政拨款“三公”经费支出</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预算数1.33万元，决算数1.33万元，预决算差异率0.00%，主要原因是：严格“三公”经费管理，严禁超预算支出。其中：因公出国（境）费</w:t>
      </w:r>
      <w:r>
        <w:rPr>
          <w:rFonts w:hint="default" w:ascii="Times New Roman" w:hAnsi="Times New Roman" w:eastAsia="方正仿宋简体" w:cs="Times New Roman"/>
          <w:color w:val="auto"/>
          <w:sz w:val="32"/>
          <w:szCs w:val="32"/>
          <w:highlight w:val="none"/>
          <w:lang w:val="en-US" w:eastAsia="zh-CN"/>
        </w:rPr>
        <w:t>全年预算数</w:t>
      </w:r>
      <w:r>
        <w:rPr>
          <w:rFonts w:hint="default" w:ascii="Times New Roman" w:hAnsi="Times New Roman" w:eastAsia="方正仿宋简体" w:cs="Times New Roman"/>
          <w:color w:val="auto"/>
          <w:sz w:val="32"/>
          <w:szCs w:val="32"/>
          <w:highlight w:val="none"/>
          <w:lang w:val="zh-CN" w:eastAsia="zh-CN"/>
        </w:rPr>
        <w:t>0.00万元，决算数0.00万元，预决算差异率0.00%，主要原因是：单位无因公出国（境）费；公务用车购置费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预算数0.00万元，决算数0.00万元，预决算差异率0.00%，主要原因是：单位无公务用车购置费，公务用车运行费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预算数1.33万元，决算数1.33万元，预决算差异率0.00%，主要原因是：严格“三公”经费管理，严禁超预算支出；公务接待费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预算数0.00万元，决算数0.00万元，预决算差异率0.00%，主要原因是：我单位无公务接待费。</w:t>
      </w:r>
    </w:p>
    <w:p w14:paraId="3F3AEA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5810"/>
      <w:bookmarkStart w:id="19" w:name="_Toc7927"/>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59A4AF9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14:paraId="48D7FA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6EC73D8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14:paraId="619F3DF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0C143A4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rPr>
      </w:pPr>
      <w:bookmarkStart w:id="22" w:name="_Toc13105"/>
      <w:bookmarkStart w:id="23" w:name="_Toc14519"/>
      <w:r>
        <w:rPr>
          <w:rFonts w:hint="default" w:ascii="Times New Roman" w:hAnsi="Times New Roman" w:eastAsia="楷体" w:cs="Times New Roman"/>
          <w:color w:val="auto"/>
          <w:sz w:val="32"/>
          <w:szCs w:val="32"/>
          <w:highlight w:val="none"/>
          <w:lang w:eastAsia="zh-CN"/>
        </w:rPr>
        <w:t>（一）</w:t>
      </w:r>
      <w:r>
        <w:rPr>
          <w:rFonts w:hint="default" w:ascii="Times New Roman" w:hAnsi="Times New Roman" w:eastAsia="楷体" w:cs="Times New Roman"/>
          <w:color w:val="auto"/>
          <w:sz w:val="32"/>
          <w:szCs w:val="32"/>
          <w:highlight w:val="none"/>
        </w:rPr>
        <w:t>机关运行经费支出情况</w:t>
      </w:r>
      <w:bookmarkEnd w:id="22"/>
      <w:bookmarkEnd w:id="23"/>
    </w:p>
    <w:p w14:paraId="111C43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bookmarkStart w:id="24" w:name="_Toc227"/>
      <w:bookmarkStart w:id="25" w:name="_Toc26704"/>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新疆平安网信息中心（事业单位）公用经费支出6.65万元，</w:t>
      </w:r>
      <w:r>
        <w:rPr>
          <w:rFonts w:hint="default" w:ascii="Times New Roman" w:hAnsi="Times New Roman" w:eastAsia="方正仿宋简体" w:cs="Times New Roman"/>
          <w:color w:val="auto"/>
          <w:sz w:val="32"/>
          <w:szCs w:val="32"/>
          <w:highlight w:val="none"/>
          <w:lang w:val="zh-CN" w:eastAsia="zh-CN"/>
        </w:rPr>
        <w:t>比上年增加0.95万元，增长16.</w:t>
      </w:r>
      <w:r>
        <w:rPr>
          <w:rFonts w:hint="eastAsia" w:eastAsia="方正仿宋简体" w:cs="Times New Roman"/>
          <w:color w:val="auto"/>
          <w:sz w:val="32"/>
          <w:szCs w:val="32"/>
          <w:highlight w:val="none"/>
          <w:lang w:val="en-US" w:eastAsia="zh-CN"/>
        </w:rPr>
        <w:t>67</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因采访业务需求增加，公务用车运行维护费增长</w:t>
      </w:r>
      <w:r>
        <w:rPr>
          <w:rFonts w:hint="default" w:ascii="Times New Roman" w:hAnsi="Times New Roman" w:eastAsia="方正仿宋简体" w:cs="Times New Roman"/>
          <w:color w:val="auto"/>
          <w:sz w:val="32"/>
          <w:szCs w:val="32"/>
          <w:highlight w:val="none"/>
          <w:lang w:val="en-US" w:eastAsia="zh-CN"/>
        </w:rPr>
        <w:t>。</w:t>
      </w:r>
    </w:p>
    <w:p w14:paraId="28A8847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 w:cs="Times New Roman"/>
          <w:color w:val="auto"/>
          <w:sz w:val="32"/>
          <w:szCs w:val="30"/>
          <w:highlight w:val="none"/>
          <w:lang w:val="zh-CN" w:eastAsia="zh-CN"/>
        </w:rPr>
      </w:pPr>
      <w:r>
        <w:rPr>
          <w:rFonts w:hint="default" w:ascii="Times New Roman" w:hAnsi="Times New Roman" w:eastAsia="楷体" w:cs="Times New Roman"/>
          <w:color w:val="auto"/>
          <w:sz w:val="32"/>
          <w:szCs w:val="30"/>
          <w:highlight w:val="none"/>
          <w:lang w:val="zh-CN" w:eastAsia="zh-CN"/>
        </w:rPr>
        <w:t>（二）政府采购情况</w:t>
      </w:r>
      <w:bookmarkEnd w:id="24"/>
      <w:bookmarkEnd w:id="25"/>
    </w:p>
    <w:p w14:paraId="5A9F85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zh-CN"/>
        </w:rPr>
        <w:t>政府采购支出总额</w:t>
      </w:r>
      <w:r>
        <w:rPr>
          <w:rFonts w:hint="default" w:ascii="Times New Roman" w:hAnsi="Times New Roman" w:eastAsia="方正仿宋简体" w:cs="Times New Roman"/>
          <w:color w:val="auto"/>
          <w:sz w:val="32"/>
          <w:szCs w:val="32"/>
          <w:highlight w:val="none"/>
          <w:lang w:val="zh-CN" w:eastAsia="zh-CN"/>
        </w:rPr>
        <w:t>1.33万元</w:t>
      </w:r>
      <w:r>
        <w:rPr>
          <w:rFonts w:hint="default" w:ascii="Times New Roman" w:hAnsi="Times New Roman" w:eastAsia="方正仿宋简体" w:cs="Times New Roman"/>
          <w:color w:val="auto"/>
          <w:sz w:val="32"/>
          <w:szCs w:val="32"/>
          <w:highlight w:val="none"/>
          <w:lang w:val="zh-CN"/>
        </w:rPr>
        <w:t>，</w:t>
      </w:r>
      <w:r>
        <w:rPr>
          <w:rFonts w:hint="default" w:ascii="Times New Roman" w:hAnsi="Times New Roman" w:eastAsia="方正仿宋简体" w:cs="Times New Roman"/>
          <w:color w:val="auto"/>
          <w:sz w:val="32"/>
          <w:szCs w:val="32"/>
          <w:highlight w:val="none"/>
          <w:lang w:val="zh-CN" w:eastAsia="zh-CN"/>
        </w:rPr>
        <w:t>其中：政府采购货物支出0.00万元、政府采购工程支出0.00万元、政府采购服务支出1.33万元。</w:t>
      </w:r>
    </w:p>
    <w:p w14:paraId="5EEDDAD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授予中小企业合同金额1.33万元，占政府采购支出总额的100.00%，其中：授予小微企业合同金额1.33万元，占政府采购支出总额的100.00%</w:t>
      </w:r>
      <w:r>
        <w:rPr>
          <w:rFonts w:hint="default" w:ascii="Times New Roman" w:hAnsi="Times New Roman" w:eastAsia="方正仿宋简体" w:cs="Times New Roman"/>
          <w:color w:val="auto"/>
          <w:sz w:val="32"/>
          <w:szCs w:val="32"/>
          <w:highlight w:val="none"/>
          <w:lang w:val="en-US" w:eastAsia="zh-CN"/>
        </w:rPr>
        <w:t>。</w:t>
      </w:r>
    </w:p>
    <w:p w14:paraId="58DE8D6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 w:cs="Times New Roman"/>
          <w:color w:val="auto"/>
          <w:sz w:val="32"/>
          <w:szCs w:val="30"/>
          <w:highlight w:val="none"/>
          <w:lang w:val="zh-CN" w:eastAsia="zh-CN"/>
        </w:rPr>
      </w:pPr>
      <w:bookmarkStart w:id="26" w:name="_Toc8391"/>
      <w:bookmarkStart w:id="27" w:name="_Toc4591"/>
      <w:r>
        <w:rPr>
          <w:rFonts w:hint="default" w:ascii="Times New Roman" w:hAnsi="Times New Roman" w:eastAsia="楷体" w:cs="Times New Roman"/>
          <w:color w:val="auto"/>
          <w:sz w:val="32"/>
          <w:szCs w:val="30"/>
          <w:highlight w:val="none"/>
          <w:lang w:val="zh-CN" w:eastAsia="zh-CN"/>
        </w:rPr>
        <w:t>（三）国有资产占用情况说明</w:t>
      </w:r>
      <w:bookmarkEnd w:id="26"/>
      <w:bookmarkEnd w:id="27"/>
    </w:p>
    <w:p w14:paraId="28A27AD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en-US" w:eastAsia="zh-CN"/>
        </w:rPr>
        <w:t>截至2023</w:t>
      </w:r>
      <w:r>
        <w:rPr>
          <w:rFonts w:hint="default" w:ascii="Times New Roman" w:hAnsi="Times New Roman" w:eastAsia="方正仿宋简体" w:cs="Times New Roman"/>
          <w:color w:val="auto"/>
          <w:sz w:val="32"/>
          <w:szCs w:val="32"/>
          <w:highlight w:val="none"/>
          <w:lang w:val="zh-CN" w:eastAsia="zh-CN"/>
        </w:rPr>
        <w:t>年</w:t>
      </w:r>
      <w:r>
        <w:rPr>
          <w:rFonts w:hint="default" w:ascii="Times New Roman" w:hAnsi="Times New Roman" w:eastAsia="方正仿宋简体" w:cs="Times New Roman"/>
          <w:color w:val="auto"/>
          <w:sz w:val="32"/>
          <w:szCs w:val="32"/>
          <w:highlight w:val="none"/>
          <w:lang w:val="en-US" w:eastAsia="zh-CN"/>
        </w:rPr>
        <w:t>12月31日</w:t>
      </w:r>
      <w:r>
        <w:rPr>
          <w:rFonts w:hint="default" w:ascii="Times New Roman" w:hAnsi="Times New Roman" w:eastAsia="方正仿宋简体" w:cs="Times New Roman"/>
          <w:color w:val="auto"/>
          <w:sz w:val="32"/>
          <w:szCs w:val="32"/>
          <w:highlight w:val="none"/>
          <w:lang w:val="zh-CN" w:eastAsia="zh-CN"/>
        </w:rPr>
        <w:t>，</w:t>
      </w:r>
      <w:r>
        <w:rPr>
          <w:rFonts w:hint="default" w:ascii="Times New Roman" w:hAnsi="Times New Roman" w:eastAsia="方正仿宋简体" w:cs="Times New Roman"/>
          <w:color w:val="auto"/>
          <w:sz w:val="32"/>
          <w:szCs w:val="32"/>
          <w:highlight w:val="none"/>
          <w:lang w:val="en-US" w:eastAsia="zh-CN"/>
        </w:rPr>
        <w:t>固定资产原值</w:t>
      </w:r>
      <w:r>
        <w:rPr>
          <w:rFonts w:hint="default" w:ascii="Times New Roman" w:hAnsi="Times New Roman" w:eastAsia="方正仿宋简体" w:cs="Times New Roman"/>
          <w:color w:val="auto"/>
          <w:sz w:val="32"/>
          <w:szCs w:val="32"/>
          <w:highlight w:val="none"/>
          <w:lang w:val="zh-CN" w:eastAsia="zh-CN"/>
        </w:rPr>
        <w:t>364.89</w:t>
      </w:r>
      <w:r>
        <w:rPr>
          <w:rFonts w:hint="default" w:ascii="Times New Roman" w:hAnsi="Times New Roman" w:eastAsia="方正仿宋简体" w:cs="Times New Roman"/>
          <w:color w:val="auto"/>
          <w:sz w:val="32"/>
          <w:szCs w:val="32"/>
          <w:highlight w:val="none"/>
          <w:lang w:val="en-US" w:eastAsia="zh-CN"/>
        </w:rPr>
        <w:t>万元，房</w:t>
      </w:r>
      <w:r>
        <w:rPr>
          <w:rFonts w:hint="default" w:ascii="Times New Roman" w:hAnsi="Times New Roman" w:eastAsia="方正仿宋简体" w:cs="Times New Roman"/>
          <w:color w:val="auto"/>
          <w:sz w:val="32"/>
          <w:szCs w:val="32"/>
          <w:highlight w:val="none"/>
          <w:lang w:val="zh-CN" w:eastAsia="zh-CN"/>
        </w:rPr>
        <w:t>屋0.00平方米，价值0.00万元。车辆1辆，价值17.98万元，其中：副部（省）级及以上领导用车0辆、主要</w:t>
      </w:r>
      <w:r>
        <w:rPr>
          <w:rFonts w:hint="default" w:ascii="Times New Roman" w:hAnsi="Times New Roman" w:eastAsia="方正仿宋简体" w:cs="Times New Roman"/>
          <w:color w:val="auto"/>
          <w:sz w:val="32"/>
          <w:szCs w:val="32"/>
          <w:highlight w:val="none"/>
          <w:lang w:val="en-US" w:eastAsia="zh-CN"/>
        </w:rPr>
        <w:t>负责人</w:t>
      </w:r>
      <w:r>
        <w:rPr>
          <w:rFonts w:hint="default" w:ascii="Times New Roman" w:hAnsi="Times New Roman" w:eastAsia="方正仿宋简体"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方正仿宋简体" w:cs="Times New Roman"/>
          <w:color w:val="auto"/>
          <w:sz w:val="32"/>
          <w:szCs w:val="32"/>
          <w:highlight w:val="none"/>
          <w:lang w:val="en-US" w:eastAsia="zh-CN"/>
        </w:rPr>
        <w:t>服务</w:t>
      </w:r>
      <w:r>
        <w:rPr>
          <w:rFonts w:hint="default" w:ascii="Times New Roman" w:hAnsi="Times New Roman" w:eastAsia="方正仿宋简体" w:cs="Times New Roman"/>
          <w:color w:val="auto"/>
          <w:sz w:val="32"/>
          <w:szCs w:val="32"/>
          <w:highlight w:val="none"/>
          <w:lang w:val="zh-CN" w:eastAsia="zh-CN"/>
        </w:rPr>
        <w:t>用车0辆、其他用车1辆，其他用车主要是：一般公务用车；单价100万元（含）以上设备（不含车辆）0</w:t>
      </w:r>
      <w:r>
        <w:rPr>
          <w:rFonts w:hint="default" w:ascii="Times New Roman" w:hAnsi="Times New Roman" w:eastAsia="方正仿宋简体" w:cs="Times New Roman"/>
          <w:color w:val="auto"/>
          <w:sz w:val="32"/>
          <w:szCs w:val="32"/>
          <w:highlight w:val="none"/>
          <w:lang w:val="en-US" w:eastAsia="zh-CN"/>
        </w:rPr>
        <w:t>台（</w:t>
      </w:r>
      <w:r>
        <w:rPr>
          <w:rFonts w:hint="default" w:ascii="Times New Roman" w:hAnsi="Times New Roman" w:eastAsia="方正仿宋简体" w:cs="Times New Roman"/>
          <w:color w:val="auto"/>
          <w:sz w:val="32"/>
          <w:szCs w:val="32"/>
          <w:highlight w:val="none"/>
          <w:lang w:val="zh-CN" w:eastAsia="zh-CN"/>
        </w:rPr>
        <w:t>套）。</w:t>
      </w:r>
    </w:p>
    <w:p w14:paraId="5B54418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435"/>
      <w:bookmarkStart w:id="29" w:name="_Toc11283"/>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1F68A21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lang w:eastAsia="zh-CN"/>
        </w:rPr>
        <w:t>根据预算绩效管理要求，我</w:t>
      </w:r>
      <w:r>
        <w:rPr>
          <w:rFonts w:hint="default" w:ascii="Times New Roman" w:hAnsi="Times New Roman" w:eastAsia="方正仿宋简体" w:cs="Times New Roman"/>
          <w:color w:val="auto"/>
          <w:sz w:val="32"/>
          <w:szCs w:val="32"/>
          <w:highlight w:val="none"/>
          <w:lang w:val="en-US" w:eastAsia="zh-CN"/>
        </w:rPr>
        <w:t>单位</w:t>
      </w:r>
      <w:r>
        <w:rPr>
          <w:rFonts w:hint="default" w:ascii="Times New Roman" w:hAnsi="Times New Roman" w:eastAsia="方正仿宋简体" w:cs="Times New Roman"/>
          <w:color w:val="auto"/>
          <w:sz w:val="32"/>
          <w:szCs w:val="32"/>
          <w:highlight w:val="none"/>
          <w:lang w:eastAsia="zh-CN"/>
        </w:rPr>
        <w:t>2023年度</w:t>
      </w:r>
      <w:r>
        <w:rPr>
          <w:rFonts w:hint="default" w:ascii="Times New Roman" w:hAnsi="Times New Roman" w:eastAsia="方正仿宋简体" w:cs="Times New Roman"/>
          <w:color w:val="auto"/>
          <w:kern w:val="0"/>
          <w:sz w:val="32"/>
          <w:szCs w:val="32"/>
          <w:highlight w:val="none"/>
        </w:rPr>
        <w:t>预算绩效管理整体</w:t>
      </w:r>
      <w:r>
        <w:rPr>
          <w:rFonts w:hint="default" w:ascii="Times New Roman" w:hAnsi="Times New Roman" w:eastAsia="方正仿宋简体" w:cs="Times New Roman"/>
          <w:color w:val="auto"/>
          <w:kern w:val="0"/>
          <w:sz w:val="32"/>
          <w:szCs w:val="32"/>
          <w:highlight w:val="none"/>
          <w:lang w:val="en-US" w:eastAsia="zh-CN"/>
        </w:rPr>
        <w:t>支出</w:t>
      </w:r>
      <w:r>
        <w:rPr>
          <w:rFonts w:hint="default" w:ascii="Times New Roman" w:hAnsi="Times New Roman" w:eastAsia="方正仿宋简体" w:cs="Times New Roman"/>
          <w:color w:val="auto"/>
          <w:kern w:val="0"/>
          <w:sz w:val="32"/>
          <w:szCs w:val="32"/>
          <w:highlight w:val="none"/>
        </w:rPr>
        <w:t>绩效自评表</w:t>
      </w:r>
      <w:r>
        <w:rPr>
          <w:rFonts w:hint="eastAsia" w:eastAsia="方正仿宋简体" w:cs="Times New Roman"/>
          <w:color w:val="auto"/>
          <w:sz w:val="32"/>
          <w:szCs w:val="32"/>
          <w:highlight w:val="none"/>
          <w:lang w:val="en-US" w:eastAsia="zh-CN"/>
        </w:rPr>
        <w:t>0</w:t>
      </w:r>
      <w:r>
        <w:rPr>
          <w:rFonts w:hint="default" w:ascii="Times New Roman" w:hAnsi="Times New Roman" w:eastAsia="方正仿宋简体" w:cs="Times New Roman"/>
          <w:color w:val="auto"/>
          <w:kern w:val="0"/>
          <w:sz w:val="32"/>
          <w:szCs w:val="32"/>
          <w:highlight w:val="none"/>
          <w:lang w:val="en-US" w:eastAsia="zh-CN"/>
        </w:rPr>
        <w:t>个，全年</w:t>
      </w:r>
      <w:r>
        <w:rPr>
          <w:rFonts w:hint="default" w:ascii="Times New Roman" w:hAnsi="Times New Roman" w:eastAsia="方正仿宋简体" w:cs="Times New Roman"/>
          <w:color w:val="auto"/>
          <w:sz w:val="32"/>
          <w:szCs w:val="32"/>
          <w:highlight w:val="none"/>
          <w:lang w:val="en-US" w:eastAsia="zh-CN"/>
        </w:rPr>
        <w:t>预算总额0.00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实际执行总额</w:t>
      </w:r>
      <w:r>
        <w:rPr>
          <w:rFonts w:hint="eastAsia" w:eastAsia="方正仿宋简体" w:cs="Times New Roman"/>
          <w:color w:val="auto"/>
          <w:sz w:val="32"/>
          <w:szCs w:val="32"/>
          <w:highlight w:val="none"/>
          <w:lang w:val="en-US" w:eastAsia="zh-CN"/>
        </w:rPr>
        <w:t>0.00</w:t>
      </w:r>
      <w:r>
        <w:rPr>
          <w:rFonts w:hint="default" w:ascii="Times New Roman" w:hAnsi="Times New Roman" w:eastAsia="方正仿宋简体" w:cs="Times New Roman"/>
          <w:color w:val="auto"/>
          <w:sz w:val="32"/>
          <w:szCs w:val="32"/>
          <w:highlight w:val="none"/>
        </w:rPr>
        <w:t>万元</w:t>
      </w:r>
      <w:r>
        <w:rPr>
          <w:rFonts w:hint="eastAsia" w:eastAsia="方正仿宋简体" w:cs="Times New Roman"/>
          <w:color w:val="auto"/>
          <w:sz w:val="32"/>
          <w:szCs w:val="32"/>
          <w:highlight w:val="none"/>
          <w:lang w:eastAsia="zh-CN"/>
        </w:rPr>
        <w:t>，</w:t>
      </w:r>
      <w:r>
        <w:rPr>
          <w:rFonts w:hint="eastAsia" w:ascii="仿宋_GB2312" w:hAnsi="仿宋_GB2312" w:eastAsia="仿宋_GB2312" w:cs="仿宋_GB2312"/>
          <w:sz w:val="32"/>
          <w:szCs w:val="32"/>
          <w:lang w:val="en-US" w:eastAsia="zh-CN"/>
        </w:rPr>
        <w:t>我单位整体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sz w:val="32"/>
          <w:szCs w:val="32"/>
          <w:lang w:val="en-US" w:eastAsia="zh-CN"/>
        </w:rPr>
        <w:t>绩效自评表由主管部门编报并公开</w:t>
      </w:r>
      <w:r>
        <w:rPr>
          <w:rFonts w:hint="default" w:ascii="Times New Roman" w:hAnsi="Times New Roman" w:eastAsia="方正仿宋简体" w:cs="Times New Roman"/>
          <w:color w:val="auto"/>
          <w:kern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eastAsia="zh-CN"/>
        </w:rPr>
        <w:t>预算绩效评价项目</w:t>
      </w:r>
      <w:r>
        <w:rPr>
          <w:rFonts w:hint="default" w:ascii="Times New Roman" w:hAnsi="Times New Roman" w:eastAsia="方正仿宋简体" w:cs="Times New Roman"/>
          <w:color w:val="auto"/>
          <w:sz w:val="32"/>
          <w:szCs w:val="32"/>
          <w:highlight w:val="none"/>
          <w:lang w:val="en-US" w:eastAsia="zh-CN"/>
        </w:rPr>
        <w:t>1</w:t>
      </w:r>
      <w:r>
        <w:rPr>
          <w:rFonts w:hint="default" w:ascii="Times New Roman" w:hAnsi="Times New Roman" w:eastAsia="方正仿宋简体" w:cs="Times New Roman"/>
          <w:color w:val="auto"/>
          <w:sz w:val="32"/>
          <w:szCs w:val="32"/>
          <w:highlight w:val="none"/>
          <w:lang w:eastAsia="zh-CN"/>
        </w:rPr>
        <w:t>个，</w:t>
      </w:r>
      <w:r>
        <w:rPr>
          <w:rFonts w:hint="default" w:ascii="Times New Roman" w:hAnsi="Times New Roman" w:eastAsia="方正仿宋简体" w:cs="Times New Roman"/>
          <w:color w:val="auto"/>
          <w:sz w:val="32"/>
          <w:szCs w:val="32"/>
          <w:highlight w:val="none"/>
          <w:lang w:val="en-US" w:eastAsia="zh-CN"/>
        </w:rPr>
        <w:t>全年预算数100.00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全年执行数83.10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。预算绩效管理取得的成效：</w:t>
      </w:r>
      <w:r>
        <w:rPr>
          <w:rFonts w:hint="default" w:ascii="Times New Roman" w:hAnsi="Times New Roman" w:eastAsia="方正仿宋简体" w:cs="Times New Roman"/>
          <w:color w:val="000000"/>
          <w:kern w:val="0"/>
          <w:sz w:val="31"/>
          <w:szCs w:val="31"/>
          <w:lang w:val="en-US" w:eastAsia="zh-CN" w:bidi="ar"/>
        </w:rPr>
        <w:t>一是通过加强预算绩效管理各个环节的制度建设，进一步牢固树立“花钱必问效，无效必问责”的绩效管理理念，进一步明确绩效管理职责分工。二是通过加强绩效管理内部控制工作，规范权利运行、降低资金效益风险。三是通过加强绩效评价成果应用，压减项目支出，进一步促进各部门履职效果和资源配置正向关联。发现的问题及原因：一是预算管理制度流程尚需优化；二是绩效理念有待进一步提高。下一步改进措施：一是加强预算管理的业务学习，不断完善预算绩效管理内部控制制度，优化流程管理，梳理风险点，规范权力、职责运行；二是加强宣传培训，提升机关文化，进一步树立“讲绩效、重绩效、用绩效”的绩效管理理念。</w:t>
      </w:r>
      <w:r>
        <w:rPr>
          <w:rFonts w:hint="default" w:ascii="Times New Roman" w:hAnsi="Times New Roman" w:eastAsia="方正仿宋简体" w:cs="Times New Roman"/>
          <w:color w:val="auto"/>
          <w:sz w:val="32"/>
          <w:szCs w:val="32"/>
          <w:highlight w:val="none"/>
          <w:lang w:eastAsia="zh-CN"/>
        </w:rPr>
        <w:t>具体</w:t>
      </w:r>
      <w:r>
        <w:rPr>
          <w:rFonts w:hint="default" w:ascii="Times New Roman" w:hAnsi="Times New Roman" w:eastAsia="方正仿宋简体" w:cs="Times New Roman"/>
          <w:color w:val="auto"/>
          <w:sz w:val="32"/>
          <w:szCs w:val="32"/>
          <w:highlight w:val="none"/>
        </w:rPr>
        <w:t>项目自评情况附绩效自评表</w:t>
      </w:r>
      <w:r>
        <w:rPr>
          <w:rFonts w:hint="default" w:ascii="Times New Roman" w:hAnsi="Times New Roman" w:eastAsia="方正仿宋简体" w:cs="Times New Roman"/>
          <w:color w:val="auto"/>
          <w:sz w:val="32"/>
          <w:szCs w:val="32"/>
          <w:highlight w:val="none"/>
          <w:lang w:val="en-US" w:eastAsia="zh-CN"/>
        </w:rPr>
        <w:t>及自评报告</w:t>
      </w:r>
      <w:r>
        <w:rPr>
          <w:rFonts w:hint="default" w:ascii="Times New Roman" w:hAnsi="Times New Roman" w:eastAsia="方正仿宋简体" w:cs="Times New Roman"/>
          <w:color w:val="auto"/>
          <w:sz w:val="32"/>
          <w:szCs w:val="32"/>
          <w:highlight w:val="none"/>
        </w:rPr>
        <w:t>。</w:t>
      </w:r>
    </w:p>
    <w:p w14:paraId="396C6B0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2A094F5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48834FF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0163920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6A26226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3DBFD5C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5CE16D4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43581C3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72D18C1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348B064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0181864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5FF7CA9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14:paraId="2502D1F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tbl>
      <w:tblPr>
        <w:tblStyle w:val="9"/>
        <w:tblW w:w="8874" w:type="dxa"/>
        <w:tblInd w:w="0" w:type="dxa"/>
        <w:shd w:val="clear" w:color="auto" w:fill="auto"/>
        <w:tblLayout w:type="fixed"/>
        <w:tblCellMar>
          <w:top w:w="0" w:type="dxa"/>
          <w:left w:w="0" w:type="dxa"/>
          <w:bottom w:w="0" w:type="dxa"/>
          <w:right w:w="0" w:type="dxa"/>
        </w:tblCellMar>
      </w:tblPr>
      <w:tblGrid>
        <w:gridCol w:w="415"/>
        <w:gridCol w:w="416"/>
        <w:gridCol w:w="542"/>
        <w:gridCol w:w="775"/>
        <w:gridCol w:w="699"/>
        <w:gridCol w:w="548"/>
        <w:gridCol w:w="547"/>
        <w:gridCol w:w="594"/>
        <w:gridCol w:w="594"/>
        <w:gridCol w:w="663"/>
        <w:gridCol w:w="635"/>
        <w:gridCol w:w="576"/>
        <w:gridCol w:w="600"/>
        <w:gridCol w:w="1270"/>
      </w:tblGrid>
      <w:tr w14:paraId="19C146E0">
        <w:tblPrEx>
          <w:shd w:val="clear" w:color="auto" w:fill="auto"/>
          <w:tblCellMar>
            <w:top w:w="0" w:type="dxa"/>
            <w:left w:w="0" w:type="dxa"/>
            <w:bottom w:w="0" w:type="dxa"/>
            <w:right w:w="0" w:type="dxa"/>
          </w:tblCellMar>
        </w:tblPrEx>
        <w:trPr>
          <w:trHeight w:val="800" w:hRule="atLeast"/>
        </w:trPr>
        <w:tc>
          <w:tcPr>
            <w:tcW w:w="8874" w:type="dxa"/>
            <w:gridSpan w:val="14"/>
            <w:tcBorders>
              <w:top w:val="nil"/>
              <w:left w:val="nil"/>
              <w:bottom w:val="nil"/>
              <w:right w:val="nil"/>
            </w:tcBorders>
            <w:shd w:val="clear" w:color="auto" w:fill="auto"/>
            <w:tcMar>
              <w:top w:w="15" w:type="dxa"/>
              <w:left w:w="15" w:type="dxa"/>
              <w:right w:w="15" w:type="dxa"/>
            </w:tcMar>
            <w:vAlign w:val="center"/>
          </w:tcPr>
          <w:p w14:paraId="38F02AD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华文中宋" w:cs="Times New Roman"/>
                <w:b/>
                <w:i w:val="0"/>
                <w:color w:val="000000"/>
                <w:sz w:val="40"/>
                <w:szCs w:val="40"/>
                <w:u w:val="none"/>
              </w:rPr>
            </w:pPr>
            <w:r>
              <w:rPr>
                <w:rFonts w:hint="default" w:ascii="Times New Roman" w:hAnsi="Times New Roman" w:eastAsia="华文中宋" w:cs="Times New Roman"/>
                <w:b/>
                <w:i w:val="0"/>
                <w:color w:val="000000"/>
                <w:kern w:val="0"/>
                <w:sz w:val="40"/>
                <w:szCs w:val="40"/>
                <w:u w:val="none"/>
                <w:lang w:val="en-US" w:eastAsia="zh-CN" w:bidi="ar"/>
              </w:rPr>
              <w:t>项目支出绩效自评表（参考模板）</w:t>
            </w:r>
          </w:p>
        </w:tc>
      </w:tr>
      <w:tr w14:paraId="268C656B">
        <w:tblPrEx>
          <w:tblCellMar>
            <w:top w:w="0" w:type="dxa"/>
            <w:left w:w="0" w:type="dxa"/>
            <w:bottom w:w="0" w:type="dxa"/>
            <w:right w:w="0" w:type="dxa"/>
          </w:tblCellMar>
        </w:tblPrEx>
        <w:trPr>
          <w:trHeight w:val="440" w:hRule="atLeast"/>
        </w:trPr>
        <w:tc>
          <w:tcPr>
            <w:tcW w:w="8874" w:type="dxa"/>
            <w:gridSpan w:val="14"/>
            <w:tcBorders>
              <w:top w:val="nil"/>
              <w:left w:val="nil"/>
              <w:bottom w:val="nil"/>
              <w:right w:val="nil"/>
            </w:tcBorders>
            <w:shd w:val="clear" w:color="auto" w:fill="auto"/>
            <w:tcMar>
              <w:top w:w="15" w:type="dxa"/>
              <w:left w:w="15" w:type="dxa"/>
              <w:right w:w="15" w:type="dxa"/>
            </w:tcMar>
            <w:vAlign w:val="center"/>
          </w:tcPr>
          <w:p w14:paraId="07BED35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（2023年度）</w:t>
            </w:r>
          </w:p>
        </w:tc>
      </w:tr>
      <w:tr w14:paraId="4D94E5B0">
        <w:tblPrEx>
          <w:tblCellMar>
            <w:top w:w="0" w:type="dxa"/>
            <w:left w:w="0" w:type="dxa"/>
            <w:bottom w:w="0" w:type="dxa"/>
            <w:right w:w="0" w:type="dxa"/>
          </w:tblCellMar>
        </w:tblPrEx>
        <w:trPr>
          <w:trHeight w:val="600" w:hRule="atLeast"/>
        </w:trPr>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24D5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项目名称</w:t>
            </w:r>
          </w:p>
        </w:tc>
        <w:tc>
          <w:tcPr>
            <w:tcW w:w="8043"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0EAD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新疆平安网信息中心运行经费</w:t>
            </w:r>
          </w:p>
        </w:tc>
      </w:tr>
      <w:tr w14:paraId="53C1A55D">
        <w:tblPrEx>
          <w:tblCellMar>
            <w:top w:w="0" w:type="dxa"/>
            <w:left w:w="0" w:type="dxa"/>
            <w:bottom w:w="0" w:type="dxa"/>
            <w:right w:w="0" w:type="dxa"/>
          </w:tblCellMar>
        </w:tblPrEx>
        <w:trPr>
          <w:trHeight w:val="600" w:hRule="atLeast"/>
        </w:trPr>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0DE1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主管部门</w:t>
            </w:r>
          </w:p>
        </w:tc>
        <w:tc>
          <w:tcPr>
            <w:tcW w:w="311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7AC5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中共新疆维吾尔自治区委员会政法委员会</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E174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实施单位</w:t>
            </w:r>
          </w:p>
        </w:tc>
        <w:tc>
          <w:tcPr>
            <w:tcW w:w="374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FFFE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新疆平安网信息中心</w:t>
            </w:r>
          </w:p>
        </w:tc>
      </w:tr>
      <w:tr w14:paraId="3A52BEA2">
        <w:tblPrEx>
          <w:tblCellMar>
            <w:top w:w="0" w:type="dxa"/>
            <w:left w:w="0" w:type="dxa"/>
            <w:bottom w:w="0" w:type="dxa"/>
            <w:right w:w="0" w:type="dxa"/>
          </w:tblCellMar>
        </w:tblPrEx>
        <w:trPr>
          <w:trHeight w:val="600" w:hRule="atLeast"/>
        </w:trPr>
        <w:tc>
          <w:tcPr>
            <w:tcW w:w="8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759C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项目资金</w:t>
            </w:r>
            <w:r>
              <w:rPr>
                <w:rFonts w:hint="default" w:ascii="Times New Roman" w:hAnsi="Times New Roman" w:eastAsia="宋体" w:cs="Times New Roman"/>
                <w:i w:val="0"/>
                <w:color w:val="000000"/>
                <w:kern w:val="0"/>
                <w:sz w:val="15"/>
                <w:szCs w:val="15"/>
                <w:u w:val="none"/>
                <w:lang w:val="en-US" w:eastAsia="zh-CN" w:bidi="ar"/>
              </w:rPr>
              <w:br w:type="textWrapping"/>
            </w:r>
            <w:r>
              <w:rPr>
                <w:rFonts w:hint="default" w:ascii="Times New Roman" w:hAnsi="Times New Roman" w:eastAsia="宋体" w:cs="Times New Roman"/>
                <w:i w:val="0"/>
                <w:color w:val="000000"/>
                <w:kern w:val="0"/>
                <w:sz w:val="15"/>
                <w:szCs w:val="15"/>
                <w:u w:val="none"/>
                <w:lang w:val="en-US" w:eastAsia="zh-CN" w:bidi="ar"/>
              </w:rPr>
              <w:t>（万元）</w:t>
            </w:r>
          </w:p>
        </w:tc>
        <w:tc>
          <w:tcPr>
            <w:tcW w:w="13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02AA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资金来源</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CE15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年初预算数</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D2D3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全年预算数</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4EA8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全年执行数</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43EB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分值权重</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DEDC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执行率</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2F0C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得分</w:t>
            </w:r>
          </w:p>
        </w:tc>
      </w:tr>
      <w:tr w14:paraId="79753EAC">
        <w:tblPrEx>
          <w:tblCellMar>
            <w:top w:w="0" w:type="dxa"/>
            <w:left w:w="0" w:type="dxa"/>
            <w:bottom w:w="0" w:type="dxa"/>
            <w:right w:w="0" w:type="dxa"/>
          </w:tblCellMar>
        </w:tblPrEx>
        <w:trPr>
          <w:trHeight w:val="600" w:hRule="atLeast"/>
        </w:trPr>
        <w:tc>
          <w:tcPr>
            <w:tcW w:w="8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CFE3A">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3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8483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年度资金总额</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D36E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52A6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3917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CA2F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3E9E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AB29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r>
      <w:tr w14:paraId="71B696C5">
        <w:tblPrEx>
          <w:tblCellMar>
            <w:top w:w="0" w:type="dxa"/>
            <w:left w:w="0" w:type="dxa"/>
            <w:bottom w:w="0" w:type="dxa"/>
            <w:right w:w="0" w:type="dxa"/>
          </w:tblCellMar>
        </w:tblPrEx>
        <w:trPr>
          <w:trHeight w:val="600" w:hRule="atLeast"/>
        </w:trPr>
        <w:tc>
          <w:tcPr>
            <w:tcW w:w="8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9ADDC">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3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7B68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其中：当年财政拨款</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D7DB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100.00 </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B651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100.00 </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6C49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8E99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6988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DA81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r>
      <w:tr w14:paraId="6789F843">
        <w:tblPrEx>
          <w:tblCellMar>
            <w:top w:w="0" w:type="dxa"/>
            <w:left w:w="0" w:type="dxa"/>
            <w:bottom w:w="0" w:type="dxa"/>
            <w:right w:w="0" w:type="dxa"/>
          </w:tblCellMar>
        </w:tblPrEx>
        <w:trPr>
          <w:trHeight w:val="600" w:hRule="atLeast"/>
        </w:trPr>
        <w:tc>
          <w:tcPr>
            <w:tcW w:w="8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1FEBD">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31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DF44F4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其他资金</w:t>
            </w:r>
          </w:p>
        </w:tc>
        <w:tc>
          <w:tcPr>
            <w:tcW w:w="69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EBB7ED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E6AC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CBBC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2367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2E7B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5859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r>
      <w:tr w14:paraId="468D6C93">
        <w:tblPrEx>
          <w:tblCellMar>
            <w:top w:w="0" w:type="dxa"/>
            <w:left w:w="0" w:type="dxa"/>
            <w:bottom w:w="0" w:type="dxa"/>
            <w:right w:w="0" w:type="dxa"/>
          </w:tblCellMar>
        </w:tblPrEx>
        <w:trPr>
          <w:trHeight w:val="60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812B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年度总体目标</w:t>
            </w:r>
          </w:p>
        </w:tc>
        <w:tc>
          <w:tcPr>
            <w:tcW w:w="47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B23C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总体目标</w:t>
            </w:r>
          </w:p>
        </w:tc>
        <w:tc>
          <w:tcPr>
            <w:tcW w:w="374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4101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总体目标完成情况</w:t>
            </w:r>
          </w:p>
        </w:tc>
      </w:tr>
      <w:tr w14:paraId="6B90CA1C">
        <w:tblPrEx>
          <w:tblCellMar>
            <w:top w:w="0" w:type="dxa"/>
            <w:left w:w="0" w:type="dxa"/>
            <w:bottom w:w="0" w:type="dxa"/>
            <w:right w:w="0" w:type="dxa"/>
          </w:tblCellMar>
        </w:tblPrEx>
        <w:trPr>
          <w:trHeight w:val="192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13FC0">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7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C6E7C">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    加强全疆政法信息宣传，扎实开展意识形态领域反分裂斗争教育。强化新闻纪律学习，加大培训教育力度，确保政法舆论阵地安全；不断增强政法宣传的传播力、引导力、影响力、公信力；加强队伍建设，建立健全员工绩效考核激励机制，确保政法宣传队伍人才辈出。</w:t>
            </w:r>
          </w:p>
        </w:tc>
        <w:tc>
          <w:tcPr>
            <w:tcW w:w="374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6484F">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    坚持以习近平新时代中国特色社会主义思想为指导，紧紧围绕《2023年全区政法宣传工作要点》，积极完成预期目标，持续深入抓好全疆政法综治宣传，讲好政法故事，助力新疆法治与平安建设。同时，把握时代发展变化脉搏，守正创新，强化宣传阵地建设，做好新疆政法工作宣传报道和舆论引导工作。</w:t>
            </w:r>
          </w:p>
        </w:tc>
      </w:tr>
      <w:tr w14:paraId="1C3E6B64">
        <w:tblPrEx>
          <w:tblCellMar>
            <w:top w:w="0" w:type="dxa"/>
            <w:left w:w="0" w:type="dxa"/>
            <w:bottom w:w="0" w:type="dxa"/>
            <w:right w:w="0" w:type="dxa"/>
          </w:tblCellMar>
        </w:tblPrEx>
        <w:trPr>
          <w:trHeight w:val="60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36B1A">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C4B0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一级指标</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9EAD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二级指标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7041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三级指标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25A0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E473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指标值设置依据</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D284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上年完成值</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177D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指标分值权重</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7812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指标赋分规则</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EBA7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佐证资料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E52C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指标实际完成值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F5CF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完成率</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1A25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指标得分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3FF9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偏差原因分析及改进措施</w:t>
            </w:r>
          </w:p>
        </w:tc>
      </w:tr>
      <w:tr w14:paraId="77475B01">
        <w:tblPrEx>
          <w:tblCellMar>
            <w:top w:w="0" w:type="dxa"/>
            <w:left w:w="0" w:type="dxa"/>
            <w:bottom w:w="0" w:type="dxa"/>
            <w:right w:w="0" w:type="dxa"/>
          </w:tblCellMar>
        </w:tblPrEx>
        <w:trPr>
          <w:trHeight w:val="60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2DA4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年度绩效指标完成情况</w:t>
            </w:r>
          </w:p>
        </w:tc>
        <w:tc>
          <w:tcPr>
            <w:tcW w:w="4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AD27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产出指标</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60A0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数量指标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5F99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微信、微博关注度（万人）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E280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≥25万人</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0AC1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386F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29.1万人</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7D4F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8F8D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354A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097D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29.5万人</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4B22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ABD6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96A16">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14:paraId="6E9A3CF9">
        <w:tblPrEx>
          <w:tblCellMar>
            <w:top w:w="0" w:type="dxa"/>
            <w:left w:w="0" w:type="dxa"/>
            <w:bottom w:w="0" w:type="dxa"/>
            <w:right w:w="0" w:type="dxa"/>
          </w:tblCellMar>
        </w:tblPrEx>
        <w:trPr>
          <w:trHeight w:val="63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3BBEF">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A716A">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F64AE">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9AED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视频点击量过百万作品（部）</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6CF8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5部</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672F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EE32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20部</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E8C9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B198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B235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F829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74部</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89D5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1480%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2D6B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C5D3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加强对中心编辑和通讯员业务培训，积极推动全区政法新媒体联动，促使视频观看人数大幅增长。今后继续做好相关工作，结合实际做好指标值设定。</w:t>
            </w:r>
          </w:p>
        </w:tc>
      </w:tr>
      <w:tr w14:paraId="6127A8D6">
        <w:tblPrEx>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C07F2">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8E78B">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2CC05">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0D08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编发稿件数量（条）</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54D4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≥20000条</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0D8D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DEFC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18614条</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B6E8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04DB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6EB8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3185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20870条</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FFC8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D3E2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4F9B6">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14:paraId="227BFF55">
        <w:tblPrEx>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C177F">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64FDE">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DD73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质量指标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DC10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原创占全部发表稿件的比率（%）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B84E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D126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F50E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DA02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4B39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A7B0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1784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9F20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8AE6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920F5">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14:paraId="076F0009">
        <w:tblPrEx>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C2C86">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ECF05">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B80FA">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AC6C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采编稿件优秀作品增长率（%）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DD30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CE8E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C4EF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762C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3014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2478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E58F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5FD4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F780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0413A">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14:paraId="430E297D">
        <w:tblPrEx>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BC506">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15FDA">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1732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时效指标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E24A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年度任务完成时限</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22DB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FEC8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1B49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0EF7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992C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8E62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8954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52B6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5806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85501">
            <w:pPr>
              <w:keepNext w:val="0"/>
              <w:keepLines w:val="0"/>
              <w:suppressLineNumbers w:val="0"/>
              <w:spacing w:before="0" w:beforeAutospacing="0" w:after="0" w:afterAutospacing="0"/>
              <w:ind w:left="0" w:right="0"/>
              <w:jc w:val="center"/>
              <w:rPr>
                <w:rFonts w:hint="default" w:ascii="Times New Roman" w:hAnsi="Times New Roman" w:eastAsia="宋体" w:cs="Times New Roman"/>
                <w:b/>
                <w:i w:val="0"/>
                <w:color w:val="000000"/>
                <w:sz w:val="15"/>
                <w:szCs w:val="15"/>
                <w:u w:val="none"/>
              </w:rPr>
            </w:pPr>
          </w:p>
        </w:tc>
      </w:tr>
      <w:tr w14:paraId="1B2C70BA">
        <w:tblPrEx>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E84D6">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6A1A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成本指标</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F77B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经济成本指标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07F9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网站运行支出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8C17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42万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867E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77BA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24万元</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03CB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6370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C394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4566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33.67万元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7A5F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B26F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5.8</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3252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部分项目实际发生额低于预算。今后将进一步做好市场调研，做好精准预算。</w:t>
            </w:r>
          </w:p>
        </w:tc>
      </w:tr>
      <w:tr w14:paraId="13497794">
        <w:tblPrEx>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770D0">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88D0E">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D0638">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B270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人员劳务支出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207C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45万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9882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9650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33.66万元</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A800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B638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1990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01F0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41.64万元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1AF9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3633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6.51</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ABFE0">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14:paraId="62362805">
        <w:tblPrEx>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C509E">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883A0">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C8DD9">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1876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其他业务支出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FBA1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13万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2D55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56D9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16.57万元</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B810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109A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E43C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5A3A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7.79万元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6D0A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E139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3.6</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50E0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部分项目实际发生额低于预算。今后将进一步做好市场调研，做好精准预算。</w:t>
            </w:r>
          </w:p>
        </w:tc>
      </w:tr>
      <w:tr w14:paraId="7B022D15">
        <w:tblPrEx>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10DA5">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B4E5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效益指标</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2A4D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社会效益指标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6A0F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公众号订阅人数及网站点击量增长率（%）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5C59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E55E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C247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342C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A1C3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F685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270A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14%</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56A3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A66E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6327B">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14:paraId="59FEEF02">
        <w:tblPrEx>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D7B92">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739F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B882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1B58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各地州读者满意度</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1AFB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1595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4162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39D8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87F6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2227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5D32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82C8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2486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9DEA7">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14:paraId="21AEFE43">
        <w:tblPrEx>
          <w:tblCellMar>
            <w:top w:w="0" w:type="dxa"/>
            <w:left w:w="0" w:type="dxa"/>
            <w:bottom w:w="0" w:type="dxa"/>
            <w:right w:w="0" w:type="dxa"/>
          </w:tblCellMar>
        </w:tblPrEx>
        <w:trPr>
          <w:trHeight w:val="400" w:hRule="atLeast"/>
        </w:trPr>
        <w:tc>
          <w:tcPr>
            <w:tcW w:w="2148"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389D7A9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总分</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BE6A0">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8"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738F9EE">
            <w:pPr>
              <w:keepNext w:val="0"/>
              <w:keepLines w:val="0"/>
              <w:suppressLineNumbers w:val="0"/>
              <w:spacing w:before="0" w:beforeAutospacing="0" w:after="0" w:afterAutospacing="0"/>
              <w:ind w:left="0" w:right="0"/>
              <w:rPr>
                <w:rFonts w:hint="default" w:ascii="Times New Roman" w:hAnsi="Times New Roman" w:eastAsia="宋体" w:cs="Times New Roman"/>
                <w:b/>
                <w:i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A7C32">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654DC">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D41F5">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89322">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151BE">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C80E7">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A221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96.22</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3600B">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r>
    </w:tbl>
    <w:p w14:paraId="51BE4AFF">
      <w:pPr>
        <w:keepNext w:val="0"/>
        <w:keepLines w:val="0"/>
        <w:pageBreakBefore w:val="0"/>
        <w:widowControl w:val="0"/>
        <w:kinsoku/>
        <w:wordWrap/>
        <w:overflowPunct/>
        <w:topLinePunct w:val="0"/>
        <w:autoSpaceDE/>
        <w:autoSpaceDN/>
        <w:bidi w:val="0"/>
        <w:adjustRightInd/>
        <w:snapToGrid/>
        <w:spacing w:line="600" w:lineRule="exact"/>
        <w:textAlignment w:val="auto"/>
        <w:rPr>
          <w:rStyle w:val="11"/>
          <w:rFonts w:hint="default" w:ascii="Times New Roman" w:hAnsi="Times New Roman" w:eastAsia="方正仿宋简体" w:cs="Times New Roman"/>
          <w:b w:val="0"/>
          <w:spacing w:val="-4"/>
          <w:sz w:val="32"/>
          <w:szCs w:val="32"/>
        </w:rPr>
      </w:pPr>
    </w:p>
    <w:p w14:paraId="004FA05B">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p>
    <w:p w14:paraId="5413A225">
      <w:pPr>
        <w:keepNext w:val="0"/>
        <w:keepLines w:val="0"/>
        <w:pageBreakBefore w:val="0"/>
        <w:widowControl w:val="0"/>
        <w:kinsoku/>
        <w:wordWrap/>
        <w:overflowPunct/>
        <w:topLinePunct w:val="0"/>
        <w:bidi w:val="0"/>
        <w:adjustRightInd/>
        <w:snapToGrid/>
        <w:spacing w:line="600" w:lineRule="exact"/>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1D0523FF">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本单位无其他需说明事项。</w:t>
      </w:r>
    </w:p>
    <w:p w14:paraId="65246FE2">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3250"/>
      <w:bookmarkStart w:id="31" w:name="_Toc24143"/>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5919359F">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一、</w:t>
      </w:r>
      <w:r>
        <w:rPr>
          <w:rFonts w:hint="default" w:ascii="Times New Roman" w:hAnsi="Times New Roman" w:eastAsia="方正仿宋简体" w:cs="Times New Roman"/>
          <w:b/>
          <w:bCs/>
          <w:color w:val="auto"/>
          <w:sz w:val="32"/>
          <w:szCs w:val="32"/>
          <w:highlight w:val="none"/>
        </w:rPr>
        <w:t>财政拨款收入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指同级财政当年拨付的资金</w:t>
      </w:r>
      <w:r>
        <w:rPr>
          <w:rFonts w:hint="default" w:ascii="Times New Roman" w:hAnsi="Times New Roman" w:eastAsia="方正仿宋简体" w:cs="Times New Roman"/>
          <w:color w:val="auto"/>
          <w:sz w:val="32"/>
          <w:szCs w:val="32"/>
          <w:highlight w:val="none"/>
          <w:lang w:eastAsia="zh-CN"/>
        </w:rPr>
        <w:t>。</w:t>
      </w:r>
    </w:p>
    <w:p w14:paraId="31325128">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二、</w:t>
      </w:r>
      <w:r>
        <w:rPr>
          <w:rFonts w:hint="default" w:ascii="Times New Roman" w:hAnsi="Times New Roman" w:eastAsia="方正仿宋简体" w:cs="Times New Roman"/>
          <w:b/>
          <w:bCs/>
          <w:color w:val="auto"/>
          <w:sz w:val="32"/>
          <w:szCs w:val="32"/>
          <w:highlight w:val="none"/>
        </w:rPr>
        <w:t>上级补助收入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指事业单位从主管部门和上级单位取得的非财政补助收入</w:t>
      </w:r>
      <w:r>
        <w:rPr>
          <w:rFonts w:hint="default" w:ascii="Times New Roman" w:hAnsi="Times New Roman" w:eastAsia="方正仿宋简体" w:cs="Times New Roman"/>
          <w:color w:val="auto"/>
          <w:sz w:val="32"/>
          <w:szCs w:val="32"/>
          <w:highlight w:val="none"/>
          <w:lang w:eastAsia="zh-CN"/>
        </w:rPr>
        <w:t>。</w:t>
      </w:r>
    </w:p>
    <w:p w14:paraId="10D05BBA">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三、</w:t>
      </w:r>
      <w:r>
        <w:rPr>
          <w:rFonts w:hint="default" w:ascii="Times New Roman" w:hAnsi="Times New Roman" w:eastAsia="方正仿宋简体" w:cs="Times New Roman"/>
          <w:b/>
          <w:bCs/>
          <w:color w:val="auto"/>
          <w:sz w:val="32"/>
          <w:szCs w:val="32"/>
          <w:highlight w:val="none"/>
        </w:rPr>
        <w:t>事业收入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指事业单位开展专业业务活动及其辅助活动所取得的收入</w:t>
      </w:r>
      <w:r>
        <w:rPr>
          <w:rFonts w:hint="default" w:ascii="Times New Roman" w:hAnsi="Times New Roman" w:eastAsia="方正仿宋简体" w:cs="Times New Roman"/>
          <w:color w:val="auto"/>
          <w:sz w:val="32"/>
          <w:szCs w:val="32"/>
          <w:highlight w:val="none"/>
          <w:lang w:eastAsia="zh-CN"/>
        </w:rPr>
        <w:t>。</w:t>
      </w:r>
    </w:p>
    <w:p w14:paraId="6D228170">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四、</w:t>
      </w:r>
      <w:r>
        <w:rPr>
          <w:rFonts w:hint="default" w:ascii="Times New Roman" w:hAnsi="Times New Roman" w:eastAsia="方正仿宋简体" w:cs="Times New Roman"/>
          <w:b/>
          <w:bCs/>
          <w:color w:val="auto"/>
          <w:sz w:val="32"/>
          <w:szCs w:val="32"/>
          <w:highlight w:val="none"/>
        </w:rPr>
        <w:t>经营收入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指事业单位在专业业务活动及其辅助活动之外开展非独立核算经营活动取得的收入</w:t>
      </w:r>
      <w:r>
        <w:rPr>
          <w:rFonts w:hint="default" w:ascii="Times New Roman" w:hAnsi="Times New Roman" w:eastAsia="方正仿宋简体" w:cs="Times New Roman"/>
          <w:color w:val="auto"/>
          <w:sz w:val="32"/>
          <w:szCs w:val="32"/>
          <w:highlight w:val="none"/>
          <w:lang w:eastAsia="zh-CN"/>
        </w:rPr>
        <w:t>。</w:t>
      </w:r>
    </w:p>
    <w:p w14:paraId="73DAA163">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五、</w:t>
      </w:r>
      <w:r>
        <w:rPr>
          <w:rFonts w:hint="default" w:ascii="Times New Roman" w:hAnsi="Times New Roman" w:eastAsia="方正仿宋简体" w:cs="Times New Roman"/>
          <w:b/>
          <w:bCs/>
          <w:color w:val="auto"/>
          <w:sz w:val="32"/>
          <w:szCs w:val="32"/>
          <w:highlight w:val="none"/>
        </w:rPr>
        <w:t>附属单位上缴收入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指事业单位附属的独立核算单位按有关规定上缴的收入</w:t>
      </w:r>
      <w:r>
        <w:rPr>
          <w:rFonts w:hint="default" w:ascii="Times New Roman" w:hAnsi="Times New Roman" w:eastAsia="方正仿宋简体" w:cs="Times New Roman"/>
          <w:color w:val="auto"/>
          <w:sz w:val="32"/>
          <w:szCs w:val="32"/>
          <w:highlight w:val="none"/>
          <w:lang w:eastAsia="zh-CN"/>
        </w:rPr>
        <w:t>。</w:t>
      </w:r>
    </w:p>
    <w:p w14:paraId="43A11B71">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六、</w:t>
      </w:r>
      <w:r>
        <w:rPr>
          <w:rFonts w:hint="default" w:ascii="Times New Roman" w:hAnsi="Times New Roman" w:eastAsia="方正仿宋简体" w:cs="Times New Roman"/>
          <w:b/>
          <w:bCs/>
          <w:color w:val="auto"/>
          <w:sz w:val="32"/>
          <w:szCs w:val="32"/>
          <w:highlight w:val="none"/>
        </w:rPr>
        <w:t>其他收入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指除上述</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财政拨款收入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事业收入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附属单位上缴收入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等之外取得的收入</w:t>
      </w:r>
      <w:r>
        <w:rPr>
          <w:rFonts w:hint="default" w:ascii="Times New Roman" w:hAnsi="Times New Roman" w:eastAsia="方正仿宋简体" w:cs="Times New Roman"/>
          <w:color w:val="auto"/>
          <w:sz w:val="32"/>
          <w:szCs w:val="32"/>
          <w:highlight w:val="none"/>
          <w:lang w:eastAsia="zh-CN"/>
        </w:rPr>
        <w:t>。</w:t>
      </w:r>
    </w:p>
    <w:p w14:paraId="69BE2F70">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七、</w:t>
      </w:r>
      <w:r>
        <w:rPr>
          <w:rFonts w:hint="default" w:ascii="Times New Roman" w:hAnsi="Times New Roman" w:eastAsia="方正仿宋简体" w:cs="Times New Roman"/>
          <w:b/>
          <w:bCs/>
          <w:color w:val="auto"/>
          <w:sz w:val="32"/>
          <w:szCs w:val="32"/>
          <w:highlight w:val="none"/>
          <w:lang w:eastAsia="zh-CN"/>
        </w:rPr>
        <w:t>年初</w:t>
      </w:r>
      <w:r>
        <w:rPr>
          <w:rFonts w:hint="default" w:ascii="Times New Roman" w:hAnsi="Times New Roman" w:eastAsia="方正仿宋简体" w:cs="Times New Roman"/>
          <w:b/>
          <w:bCs/>
          <w:color w:val="auto"/>
          <w:sz w:val="32"/>
          <w:szCs w:val="32"/>
          <w:highlight w:val="none"/>
        </w:rPr>
        <w:t>结转和结余</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指以前年度支出预算因客观条件变化未执行完毕</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结转到本年度按有关规定继续使用的资金</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既包括财政拨款结转和结余</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也包括事业收入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其他收入的结转和结余</w:t>
      </w:r>
      <w:r>
        <w:rPr>
          <w:rFonts w:hint="default" w:ascii="Times New Roman" w:hAnsi="Times New Roman" w:eastAsia="方正仿宋简体" w:cs="Times New Roman"/>
          <w:color w:val="auto"/>
          <w:sz w:val="32"/>
          <w:szCs w:val="32"/>
          <w:highlight w:val="none"/>
          <w:lang w:eastAsia="zh-CN"/>
        </w:rPr>
        <w:t>。</w:t>
      </w:r>
    </w:p>
    <w:p w14:paraId="2E773A8C">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八、</w:t>
      </w:r>
      <w:r>
        <w:rPr>
          <w:rFonts w:hint="default" w:ascii="Times New Roman" w:hAnsi="Times New Roman" w:eastAsia="方正仿宋简体" w:cs="Times New Roman"/>
          <w:b/>
          <w:bCs/>
          <w:color w:val="auto"/>
          <w:sz w:val="32"/>
          <w:szCs w:val="32"/>
          <w:highlight w:val="none"/>
        </w:rPr>
        <w:t>年末结转和结余</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指本年度或以前年度预算安排</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因客观条件发生变化无法按原计划实施</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需要延迟到以后年度按有关规定继续使用的资金</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既包括财政拨款结转和结余</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也包括事业收入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其他收入的结转和结余</w:t>
      </w:r>
      <w:r>
        <w:rPr>
          <w:rFonts w:hint="default" w:ascii="Times New Roman" w:hAnsi="Times New Roman" w:eastAsia="方正仿宋简体" w:cs="Times New Roman"/>
          <w:color w:val="auto"/>
          <w:sz w:val="32"/>
          <w:szCs w:val="32"/>
          <w:highlight w:val="none"/>
          <w:lang w:eastAsia="zh-CN"/>
        </w:rPr>
        <w:t>。</w:t>
      </w:r>
    </w:p>
    <w:p w14:paraId="4F2BCBBD">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九、</w:t>
      </w:r>
      <w:r>
        <w:rPr>
          <w:rFonts w:hint="default" w:ascii="Times New Roman" w:hAnsi="Times New Roman" w:eastAsia="方正仿宋简体" w:cs="Times New Roman"/>
          <w:b/>
          <w:bCs/>
          <w:color w:val="auto"/>
          <w:sz w:val="32"/>
          <w:szCs w:val="32"/>
          <w:highlight w:val="none"/>
        </w:rPr>
        <w:t>基本支出</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指为保障机构正常运转</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完成日常工作任务而发生的人员支出和公用支出</w:t>
      </w:r>
      <w:r>
        <w:rPr>
          <w:rFonts w:hint="default" w:ascii="Times New Roman" w:hAnsi="Times New Roman" w:eastAsia="方正仿宋简体" w:cs="Times New Roman"/>
          <w:color w:val="auto"/>
          <w:sz w:val="32"/>
          <w:szCs w:val="32"/>
          <w:highlight w:val="none"/>
          <w:lang w:eastAsia="zh-CN"/>
        </w:rPr>
        <w:t>。</w:t>
      </w:r>
    </w:p>
    <w:p w14:paraId="5C8A1E17">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w:t>
      </w:r>
      <w:r>
        <w:rPr>
          <w:rFonts w:hint="default" w:ascii="Times New Roman" w:hAnsi="Times New Roman" w:eastAsia="方正仿宋简体" w:cs="Times New Roman"/>
          <w:b/>
          <w:bCs/>
          <w:color w:val="auto"/>
          <w:sz w:val="32"/>
          <w:szCs w:val="32"/>
          <w:highlight w:val="none"/>
        </w:rPr>
        <w:t>项目支出</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指在基本支出之外为完成特定行政任务和事业发展目标所发生的支出</w:t>
      </w:r>
      <w:r>
        <w:rPr>
          <w:rFonts w:hint="default" w:ascii="Times New Roman" w:hAnsi="Times New Roman" w:eastAsia="方正仿宋简体" w:cs="Times New Roman"/>
          <w:color w:val="auto"/>
          <w:sz w:val="32"/>
          <w:szCs w:val="32"/>
          <w:highlight w:val="none"/>
          <w:lang w:eastAsia="zh-CN"/>
        </w:rPr>
        <w:t>。</w:t>
      </w:r>
    </w:p>
    <w:p w14:paraId="7E5F9B2C">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十一、</w:t>
      </w:r>
      <w:r>
        <w:rPr>
          <w:rFonts w:hint="default" w:ascii="Times New Roman" w:hAnsi="Times New Roman" w:eastAsia="方正仿宋简体" w:cs="Times New Roman"/>
          <w:b/>
          <w:bCs/>
          <w:color w:val="auto"/>
          <w:sz w:val="32"/>
          <w:szCs w:val="32"/>
          <w:highlight w:val="none"/>
        </w:rPr>
        <w:t>经营支出</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指事业单位在专业业务活动及其辅助活动之外开展非独立核算经营活动发生的支出</w:t>
      </w:r>
      <w:r>
        <w:rPr>
          <w:rFonts w:hint="default" w:ascii="Times New Roman" w:hAnsi="Times New Roman" w:eastAsia="方正仿宋简体" w:cs="Times New Roman"/>
          <w:color w:val="auto"/>
          <w:sz w:val="32"/>
          <w:szCs w:val="32"/>
          <w:highlight w:val="none"/>
          <w:lang w:eastAsia="zh-CN"/>
        </w:rPr>
        <w:t>。</w:t>
      </w:r>
    </w:p>
    <w:p w14:paraId="42610DEF">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十二、</w:t>
      </w:r>
      <w:r>
        <w:rPr>
          <w:rFonts w:hint="default" w:ascii="Times New Roman" w:hAnsi="Times New Roman" w:eastAsia="方正仿宋简体" w:cs="Times New Roman"/>
          <w:b/>
          <w:bCs/>
          <w:color w:val="auto"/>
          <w:sz w:val="32"/>
          <w:szCs w:val="32"/>
          <w:highlight w:val="none"/>
        </w:rPr>
        <w:t>对附属单位补助支出</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指事业单位发生的用非财政预算资金对附属单位的补助支出</w:t>
      </w:r>
      <w:r>
        <w:rPr>
          <w:rFonts w:hint="default" w:ascii="Times New Roman" w:hAnsi="Times New Roman" w:eastAsia="方正仿宋简体" w:cs="Times New Roman"/>
          <w:color w:val="auto"/>
          <w:sz w:val="32"/>
          <w:szCs w:val="32"/>
          <w:highlight w:val="none"/>
          <w:lang w:eastAsia="zh-CN"/>
        </w:rPr>
        <w:t>。</w:t>
      </w:r>
    </w:p>
    <w:p w14:paraId="10F62FA7">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十三、“</w:t>
      </w:r>
      <w:r>
        <w:rPr>
          <w:rFonts w:hint="default" w:ascii="Times New Roman" w:hAnsi="Times New Roman" w:eastAsia="方正仿宋简体" w:cs="Times New Roman"/>
          <w:b/>
          <w:bCs/>
          <w:color w:val="auto"/>
          <w:sz w:val="32"/>
          <w:szCs w:val="32"/>
          <w:highlight w:val="none"/>
        </w:rPr>
        <w:t>三公</w:t>
      </w:r>
      <w:r>
        <w:rPr>
          <w:rFonts w:hint="default" w:ascii="Times New Roman" w:hAnsi="Times New Roman" w:eastAsia="方正仿宋简体" w:cs="Times New Roman"/>
          <w:b/>
          <w:bCs/>
          <w:color w:val="auto"/>
          <w:sz w:val="32"/>
          <w:szCs w:val="32"/>
          <w:highlight w:val="none"/>
          <w:lang w:val="en-US" w:eastAsia="zh-CN"/>
        </w:rPr>
        <w:t>”</w:t>
      </w:r>
      <w:r>
        <w:rPr>
          <w:rFonts w:hint="default" w:ascii="Times New Roman" w:hAnsi="Times New Roman" w:eastAsia="方正仿宋简体" w:cs="Times New Roman"/>
          <w:b/>
          <w:bCs/>
          <w:color w:val="auto"/>
          <w:sz w:val="32"/>
          <w:szCs w:val="32"/>
          <w:highlight w:val="none"/>
        </w:rPr>
        <w:t>经费</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指用财政拨款安排的因公出国（境）费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公务用车购置及运行费和公务接待费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因公出国（境）费反映单位公务出国（境）的</w:t>
      </w:r>
      <w:r>
        <w:rPr>
          <w:rFonts w:hint="default" w:ascii="Times New Roman" w:hAnsi="Times New Roman" w:eastAsia="方正仿宋简体" w:cs="Times New Roman"/>
          <w:color w:val="auto"/>
          <w:sz w:val="32"/>
          <w:szCs w:val="32"/>
          <w:highlight w:val="none"/>
          <w:lang w:eastAsia="zh-CN"/>
        </w:rPr>
        <w:t>国际旅费、国外城市间交通费、</w:t>
      </w:r>
      <w:r>
        <w:rPr>
          <w:rFonts w:hint="default" w:ascii="Times New Roman" w:hAnsi="Times New Roman" w:eastAsia="方正仿宋简体" w:cs="Times New Roman"/>
          <w:color w:val="auto"/>
          <w:sz w:val="32"/>
          <w:szCs w:val="32"/>
          <w:highlight w:val="none"/>
        </w:rPr>
        <w:t>住宿费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伙食费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培训费</w:t>
      </w:r>
      <w:r>
        <w:rPr>
          <w:rFonts w:hint="default" w:ascii="Times New Roman" w:hAnsi="Times New Roman" w:eastAsia="方正仿宋简体" w:cs="Times New Roman"/>
          <w:color w:val="auto"/>
          <w:sz w:val="32"/>
          <w:szCs w:val="32"/>
          <w:highlight w:val="none"/>
          <w:lang w:eastAsia="zh-CN"/>
        </w:rPr>
        <w:t>、公</w:t>
      </w:r>
      <w:r>
        <w:rPr>
          <w:rFonts w:hint="default" w:ascii="Times New Roman" w:hAnsi="Times New Roman" w:eastAsia="方正仿宋简体" w:cs="Times New Roman"/>
          <w:color w:val="auto"/>
          <w:sz w:val="32"/>
          <w:szCs w:val="32"/>
          <w:highlight w:val="none"/>
        </w:rPr>
        <w:t>杂费等支出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公务用车购置费</w:t>
      </w:r>
      <w:r>
        <w:rPr>
          <w:rFonts w:hint="default" w:ascii="Times New Roman" w:hAnsi="Times New Roman" w:eastAsia="方正仿宋简体" w:cs="Times New Roman"/>
          <w:color w:val="auto"/>
          <w:sz w:val="32"/>
          <w:szCs w:val="32"/>
          <w:highlight w:val="none"/>
          <w:lang w:eastAsia="zh-CN"/>
        </w:rPr>
        <w:t>反映公务用车购置支出（含车辆购置税、牌照费）；</w:t>
      </w:r>
      <w:r>
        <w:rPr>
          <w:rFonts w:hint="default" w:ascii="Times New Roman" w:hAnsi="Times New Roman" w:eastAsia="方正仿宋简体" w:cs="Times New Roman"/>
          <w:color w:val="auto"/>
          <w:sz w:val="32"/>
          <w:szCs w:val="32"/>
          <w:highlight w:val="none"/>
        </w:rPr>
        <w:t>公务用车运行</w:t>
      </w:r>
      <w:r>
        <w:rPr>
          <w:rFonts w:hint="default" w:ascii="Times New Roman" w:hAnsi="Times New Roman" w:eastAsia="方正仿宋简体" w:cs="Times New Roman"/>
          <w:color w:val="auto"/>
          <w:sz w:val="32"/>
          <w:szCs w:val="32"/>
          <w:highlight w:val="none"/>
          <w:lang w:eastAsia="zh-CN"/>
        </w:rPr>
        <w:t>维护</w:t>
      </w:r>
      <w:r>
        <w:rPr>
          <w:rFonts w:hint="default" w:ascii="Times New Roman" w:hAnsi="Times New Roman" w:eastAsia="方正仿宋简体" w:cs="Times New Roman"/>
          <w:color w:val="auto"/>
          <w:sz w:val="32"/>
          <w:szCs w:val="32"/>
          <w:highlight w:val="none"/>
        </w:rPr>
        <w:t>费反映</w:t>
      </w:r>
      <w:r>
        <w:rPr>
          <w:rFonts w:hint="default" w:ascii="Times New Roman" w:hAnsi="Times New Roman" w:eastAsia="方正仿宋简体" w:cs="Times New Roman"/>
          <w:color w:val="auto"/>
          <w:sz w:val="32"/>
          <w:szCs w:val="32"/>
          <w:highlight w:val="none"/>
          <w:lang w:eastAsia="zh-CN"/>
        </w:rPr>
        <w:t>单位按规定保留的公务用车燃料费、维修费、</w:t>
      </w:r>
      <w:r>
        <w:rPr>
          <w:rFonts w:hint="default" w:ascii="Times New Roman" w:hAnsi="Times New Roman" w:eastAsia="方正仿宋简体" w:cs="Times New Roman"/>
          <w:color w:val="auto"/>
          <w:sz w:val="32"/>
          <w:szCs w:val="32"/>
          <w:highlight w:val="none"/>
        </w:rPr>
        <w:t>过路过桥费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保险费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安全奖励费用等支出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公务接待费反映单位按规定开支的各类公务接待（含外宾接待）</w:t>
      </w:r>
      <w:r>
        <w:rPr>
          <w:rFonts w:hint="default" w:ascii="Times New Roman" w:hAnsi="Times New Roman" w:eastAsia="方正仿宋简体" w:cs="Times New Roman"/>
          <w:color w:val="auto"/>
          <w:sz w:val="32"/>
          <w:szCs w:val="32"/>
          <w:highlight w:val="none"/>
          <w:lang w:eastAsia="zh-CN"/>
        </w:rPr>
        <w:t>费用。</w:t>
      </w:r>
    </w:p>
    <w:p w14:paraId="75D654C7">
      <w:pPr>
        <w:keepNext w:val="0"/>
        <w:keepLines w:val="0"/>
        <w:pageBreakBefore w:val="0"/>
        <w:widowControl w:val="0"/>
        <w:kinsoku/>
        <w:wordWrap/>
        <w:overflowPunct/>
        <w:topLinePunct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十四、</w:t>
      </w:r>
      <w:r>
        <w:rPr>
          <w:rFonts w:hint="default" w:ascii="Times New Roman" w:hAnsi="Times New Roman" w:eastAsia="方正仿宋简体" w:cs="Times New Roman"/>
          <w:b/>
          <w:bCs/>
          <w:color w:val="auto"/>
          <w:sz w:val="32"/>
          <w:szCs w:val="32"/>
          <w:highlight w:val="none"/>
        </w:rPr>
        <w:t>机关运行经费</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行政单位和参照公务员法管理的事业单位财政拨款基本支出中的公用经费支出</w:t>
      </w:r>
      <w:r>
        <w:rPr>
          <w:rFonts w:hint="default" w:ascii="Times New Roman" w:hAnsi="Times New Roman" w:eastAsia="方正仿宋简体" w:cs="Times New Roman"/>
          <w:color w:val="auto"/>
          <w:sz w:val="32"/>
          <w:szCs w:val="32"/>
          <w:highlight w:val="none"/>
          <w:lang w:eastAsia="zh-CN"/>
        </w:rPr>
        <w:t>。</w:t>
      </w:r>
    </w:p>
    <w:p w14:paraId="32E2CA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方正仿宋简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1E5729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2" w:name="_Toc2183"/>
      <w:bookmarkStart w:id="33" w:name="_Toc6062"/>
      <w:r>
        <w:rPr>
          <w:rFonts w:hint="default" w:ascii="Times New Roman" w:hAnsi="Times New Roman" w:eastAsia="方正仿宋简体" w:cs="Times New Roman"/>
          <w:bCs/>
          <w:color w:val="auto"/>
          <w:kern w:val="0"/>
          <w:sz w:val="32"/>
          <w:szCs w:val="32"/>
          <w:highlight w:val="none"/>
        </w:rPr>
        <w:t>一、《收入支出决算总表》</w:t>
      </w:r>
      <w:bookmarkEnd w:id="32"/>
      <w:bookmarkEnd w:id="33"/>
    </w:p>
    <w:p w14:paraId="0C65B9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4" w:name="_Toc24532"/>
      <w:bookmarkStart w:id="35" w:name="_Toc30364"/>
      <w:r>
        <w:rPr>
          <w:rFonts w:hint="default" w:ascii="Times New Roman" w:hAnsi="Times New Roman" w:eastAsia="方正仿宋简体" w:cs="Times New Roman"/>
          <w:bCs/>
          <w:color w:val="auto"/>
          <w:kern w:val="0"/>
          <w:sz w:val="32"/>
          <w:szCs w:val="32"/>
          <w:highlight w:val="none"/>
        </w:rPr>
        <w:t>二、《收入决算表》</w:t>
      </w:r>
      <w:bookmarkEnd w:id="34"/>
      <w:bookmarkEnd w:id="35"/>
    </w:p>
    <w:p w14:paraId="4D0AA33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6" w:name="_Toc32434"/>
      <w:bookmarkStart w:id="37" w:name="_Toc21304"/>
      <w:r>
        <w:rPr>
          <w:rFonts w:hint="default" w:ascii="Times New Roman" w:hAnsi="Times New Roman" w:eastAsia="方正仿宋简体" w:cs="Times New Roman"/>
          <w:bCs/>
          <w:color w:val="auto"/>
          <w:kern w:val="0"/>
          <w:sz w:val="32"/>
          <w:szCs w:val="32"/>
          <w:highlight w:val="none"/>
        </w:rPr>
        <w:t>三、《支出决算表》</w:t>
      </w:r>
      <w:bookmarkEnd w:id="36"/>
      <w:bookmarkEnd w:id="37"/>
    </w:p>
    <w:p w14:paraId="530D9D1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8" w:name="_Toc28786"/>
      <w:bookmarkStart w:id="39" w:name="_Toc14238"/>
      <w:r>
        <w:rPr>
          <w:rFonts w:hint="default" w:ascii="Times New Roman" w:hAnsi="Times New Roman" w:eastAsia="方正仿宋简体" w:cs="Times New Roman"/>
          <w:bCs/>
          <w:color w:val="auto"/>
          <w:kern w:val="0"/>
          <w:sz w:val="32"/>
          <w:szCs w:val="32"/>
          <w:highlight w:val="none"/>
        </w:rPr>
        <w:t>四、《财政拨款收入支出决算总表》</w:t>
      </w:r>
      <w:bookmarkEnd w:id="38"/>
      <w:bookmarkEnd w:id="39"/>
    </w:p>
    <w:p w14:paraId="1991DFA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40" w:name="_Toc10347"/>
      <w:bookmarkStart w:id="41" w:name="_Toc14869"/>
      <w:r>
        <w:rPr>
          <w:rFonts w:hint="default" w:ascii="Times New Roman" w:hAnsi="Times New Roman" w:eastAsia="方正仿宋简体" w:cs="Times New Roman"/>
          <w:bCs/>
          <w:color w:val="auto"/>
          <w:kern w:val="0"/>
          <w:sz w:val="32"/>
          <w:szCs w:val="32"/>
          <w:highlight w:val="none"/>
        </w:rPr>
        <w:t>五、《一般公共预算财政拨款支出决算表》</w:t>
      </w:r>
      <w:bookmarkEnd w:id="40"/>
      <w:bookmarkEnd w:id="41"/>
    </w:p>
    <w:p w14:paraId="25E45D7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42" w:name="_Toc8884"/>
      <w:bookmarkStart w:id="43" w:name="_Toc5626"/>
      <w:r>
        <w:rPr>
          <w:rFonts w:hint="default" w:ascii="Times New Roman" w:hAnsi="Times New Roman" w:eastAsia="方正仿宋简体" w:cs="Times New Roman"/>
          <w:bCs/>
          <w:color w:val="auto"/>
          <w:kern w:val="0"/>
          <w:sz w:val="32"/>
          <w:szCs w:val="32"/>
          <w:highlight w:val="none"/>
        </w:rPr>
        <w:t>六、《一般公共预算财政拨款基本支出决算表》</w:t>
      </w:r>
      <w:bookmarkEnd w:id="42"/>
      <w:bookmarkEnd w:id="43"/>
    </w:p>
    <w:p w14:paraId="75A4BC2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r>
        <w:rPr>
          <w:rFonts w:hint="default" w:ascii="Times New Roman" w:hAnsi="Times New Roman" w:eastAsia="方正仿宋简体" w:cs="Times New Roman"/>
          <w:bCs/>
          <w:color w:val="auto"/>
          <w:kern w:val="0"/>
          <w:sz w:val="32"/>
          <w:szCs w:val="32"/>
          <w:highlight w:val="none"/>
        </w:rPr>
        <w:t>七、</w:t>
      </w:r>
      <w:bookmarkStart w:id="44" w:name="_Toc32663"/>
      <w:bookmarkStart w:id="45" w:name="_Toc29106"/>
      <w:r>
        <w:rPr>
          <w:rFonts w:hint="default" w:ascii="Times New Roman" w:hAnsi="Times New Roman" w:eastAsia="方正仿宋简体" w:cs="Times New Roman"/>
          <w:bCs/>
          <w:color w:val="auto"/>
          <w:kern w:val="0"/>
          <w:sz w:val="32"/>
          <w:szCs w:val="32"/>
          <w:highlight w:val="none"/>
        </w:rPr>
        <w:t>《财政拨款“三公”经费支出决算表》</w:t>
      </w:r>
      <w:bookmarkEnd w:id="44"/>
      <w:bookmarkEnd w:id="45"/>
    </w:p>
    <w:p w14:paraId="6EE588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46" w:name="_Toc5453"/>
      <w:bookmarkStart w:id="47" w:name="_Toc7643"/>
      <w:r>
        <w:rPr>
          <w:rFonts w:hint="default" w:ascii="Times New Roman" w:hAnsi="Times New Roman" w:eastAsia="方正仿宋简体" w:cs="Times New Roman"/>
          <w:bCs/>
          <w:color w:val="auto"/>
          <w:kern w:val="0"/>
          <w:sz w:val="32"/>
          <w:szCs w:val="32"/>
          <w:highlight w:val="none"/>
        </w:rPr>
        <w:t>八、《政府性基金预算财政拨款收入支出决算表》</w:t>
      </w:r>
      <w:bookmarkEnd w:id="46"/>
      <w:bookmarkEnd w:id="47"/>
    </w:p>
    <w:p w14:paraId="5D011EC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r>
        <w:rPr>
          <w:rFonts w:hint="default" w:ascii="Times New Roman" w:hAnsi="Times New Roman" w:eastAsia="方正仿宋简体" w:cs="Times New Roman"/>
          <w:bCs/>
          <w:color w:val="auto"/>
          <w:kern w:val="0"/>
          <w:sz w:val="32"/>
          <w:szCs w:val="32"/>
          <w:highlight w:val="none"/>
          <w:lang w:val="en-US" w:eastAsia="zh-CN"/>
        </w:rPr>
        <w:t>九</w:t>
      </w:r>
      <w:r>
        <w:rPr>
          <w:rFonts w:hint="default" w:ascii="Times New Roman" w:hAnsi="Times New Roman" w:eastAsia="方正仿宋简体" w:cs="Times New Roman"/>
          <w:bCs/>
          <w:color w:val="auto"/>
          <w:kern w:val="0"/>
          <w:sz w:val="32"/>
          <w:szCs w:val="32"/>
          <w:highlight w:val="none"/>
        </w:rPr>
        <w:t>、《</w:t>
      </w:r>
      <w:r>
        <w:rPr>
          <w:rFonts w:hint="default" w:ascii="Times New Roman" w:hAnsi="Times New Roman" w:eastAsia="方正仿宋简体" w:cs="Times New Roman"/>
          <w:bCs/>
          <w:color w:val="auto"/>
          <w:kern w:val="0"/>
          <w:sz w:val="32"/>
          <w:szCs w:val="32"/>
          <w:highlight w:val="none"/>
          <w:lang w:eastAsia="zh-CN"/>
        </w:rPr>
        <w:t>国有资本经营</w:t>
      </w:r>
      <w:r>
        <w:rPr>
          <w:rFonts w:hint="default" w:ascii="Times New Roman" w:hAnsi="Times New Roman" w:eastAsia="方正仿宋简体" w:cs="Times New Roman"/>
          <w:bCs/>
          <w:color w:val="auto"/>
          <w:kern w:val="0"/>
          <w:sz w:val="32"/>
          <w:szCs w:val="32"/>
          <w:highlight w:val="none"/>
        </w:rPr>
        <w:t>预算财政拨款收入支出决算表》</w:t>
      </w:r>
    </w:p>
    <w:p w14:paraId="5E547580">
      <w:pPr>
        <w:keepNext w:val="0"/>
        <w:keepLines w:val="0"/>
        <w:pageBreakBefore w:val="0"/>
        <w:widowControl w:val="0"/>
        <w:kinsoku/>
        <w:wordWrap/>
        <w:overflowPunct/>
        <w:topLinePunct w:val="0"/>
        <w:bidi w:val="0"/>
        <w:adjustRightInd/>
        <w:snapToGrid/>
        <w:spacing w:line="600" w:lineRule="exact"/>
        <w:ind w:firstLine="640" w:firstLineChars="200"/>
        <w:textAlignment w:val="auto"/>
        <w:rPr>
          <w:rFonts w:hint="default" w:ascii="Times New Roman" w:hAnsi="Times New Roman" w:eastAsia="方正仿宋简体" w:cs="Times New Roman"/>
          <w:color w:val="auto"/>
          <w:sz w:val="32"/>
          <w:szCs w:val="32"/>
          <w:highlight w:val="none"/>
        </w:rPr>
      </w:pPr>
    </w:p>
    <w:p w14:paraId="4FD32F5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footerReference r:id="rId3" w:type="default"/>
      <w:pgSz w:w="11906" w:h="16838"/>
      <w:pgMar w:top="2098" w:right="1531" w:bottom="209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华文中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4784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F8B95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4F8B95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011B14"/>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3031B7"/>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E65B0A"/>
    <w:rsid w:val="160D1149"/>
    <w:rsid w:val="163563C0"/>
    <w:rsid w:val="164315EF"/>
    <w:rsid w:val="16557DFE"/>
    <w:rsid w:val="167268FB"/>
    <w:rsid w:val="16770D0A"/>
    <w:rsid w:val="16D50C50"/>
    <w:rsid w:val="16E120E1"/>
    <w:rsid w:val="17385A05"/>
    <w:rsid w:val="173B3901"/>
    <w:rsid w:val="176747F9"/>
    <w:rsid w:val="17954A6E"/>
    <w:rsid w:val="17DE7A3A"/>
    <w:rsid w:val="180059E9"/>
    <w:rsid w:val="1822198E"/>
    <w:rsid w:val="184510FD"/>
    <w:rsid w:val="190648B0"/>
    <w:rsid w:val="19071D6C"/>
    <w:rsid w:val="19D26CD4"/>
    <w:rsid w:val="19E60D19"/>
    <w:rsid w:val="19FA0202"/>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411716"/>
    <w:rsid w:val="1FA15E62"/>
    <w:rsid w:val="1FED69B6"/>
    <w:rsid w:val="2064678E"/>
    <w:rsid w:val="207A0470"/>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20089B"/>
    <w:rsid w:val="264A7253"/>
    <w:rsid w:val="26F0170C"/>
    <w:rsid w:val="27201D62"/>
    <w:rsid w:val="27286E73"/>
    <w:rsid w:val="27CF2642"/>
    <w:rsid w:val="27E777F5"/>
    <w:rsid w:val="27EA1D4C"/>
    <w:rsid w:val="27EA2E41"/>
    <w:rsid w:val="282459E2"/>
    <w:rsid w:val="283A7FE5"/>
    <w:rsid w:val="284F6CB7"/>
    <w:rsid w:val="285F51FF"/>
    <w:rsid w:val="28DF2665"/>
    <w:rsid w:val="29072599"/>
    <w:rsid w:val="291029F3"/>
    <w:rsid w:val="29CB58F0"/>
    <w:rsid w:val="2A053397"/>
    <w:rsid w:val="2A145E96"/>
    <w:rsid w:val="2A2131BB"/>
    <w:rsid w:val="2AF5378F"/>
    <w:rsid w:val="2B3E1E37"/>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872E9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BA3594"/>
    <w:rsid w:val="37F94FA0"/>
    <w:rsid w:val="380D3381"/>
    <w:rsid w:val="38115B1F"/>
    <w:rsid w:val="385E3AC3"/>
    <w:rsid w:val="387D6B9E"/>
    <w:rsid w:val="38B75FF0"/>
    <w:rsid w:val="38D45016"/>
    <w:rsid w:val="38D90432"/>
    <w:rsid w:val="3914510A"/>
    <w:rsid w:val="391A7556"/>
    <w:rsid w:val="3926770B"/>
    <w:rsid w:val="398D3668"/>
    <w:rsid w:val="39DA0497"/>
    <w:rsid w:val="3A893816"/>
    <w:rsid w:val="3A893B6D"/>
    <w:rsid w:val="3AD1763A"/>
    <w:rsid w:val="3B6716E3"/>
    <w:rsid w:val="3B6C6B2D"/>
    <w:rsid w:val="3B9001C6"/>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3A27CA"/>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7B7928"/>
    <w:rsid w:val="518D0ED5"/>
    <w:rsid w:val="525C687F"/>
    <w:rsid w:val="52F647F7"/>
    <w:rsid w:val="52F92565"/>
    <w:rsid w:val="53285ADC"/>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605170"/>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0C66E5"/>
    <w:rsid w:val="691B3D98"/>
    <w:rsid w:val="693748F0"/>
    <w:rsid w:val="69846A0E"/>
    <w:rsid w:val="69AA1366"/>
    <w:rsid w:val="69AD798C"/>
    <w:rsid w:val="69D005C0"/>
    <w:rsid w:val="69D80B96"/>
    <w:rsid w:val="6ABC4C20"/>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0CE611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B76A67"/>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A3673E"/>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6460</Words>
  <Characters>20598</Characters>
  <Lines>0</Lines>
  <Paragraphs>0</Paragraphs>
  <TotalTime>6</TotalTime>
  <ScaleCrop>false</ScaleCrop>
  <LinksUpToDate>false</LinksUpToDate>
  <CharactersWithSpaces>20832</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2024-10-30T07:17:06Z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D624B15633CD43C8BF9435464A96BF70</vt:lpwstr>
  </property>
</Properties>
</file>