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left="0" w:leftChars="0" w:firstLine="960" w:firstLineChars="3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tbl>
      <w:tblPr>
        <w:tblStyle w:val="7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98"/>
        <w:gridCol w:w="398"/>
        <w:gridCol w:w="398"/>
        <w:gridCol w:w="893"/>
        <w:gridCol w:w="717"/>
        <w:gridCol w:w="642"/>
        <w:gridCol w:w="642"/>
        <w:gridCol w:w="634"/>
        <w:gridCol w:w="642"/>
        <w:gridCol w:w="632"/>
        <w:gridCol w:w="636"/>
        <w:gridCol w:w="764"/>
        <w:gridCol w:w="682"/>
        <w:gridCol w:w="15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5000" w:type="pct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(2023年度)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4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587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2023年食品抽检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4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70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新疆维吾尔自治区产品质量监督检验研究院</w:t>
            </w:r>
          </w:p>
        </w:tc>
        <w:tc>
          <w:tcPr>
            <w:tcW w:w="66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22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新疆维吾尔自治区产品质量监督检验研究院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41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66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6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66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6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7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8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41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1129.85</w:t>
            </w:r>
          </w:p>
        </w:tc>
        <w:tc>
          <w:tcPr>
            <w:tcW w:w="6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1129.85</w:t>
            </w:r>
          </w:p>
        </w:tc>
        <w:tc>
          <w:tcPr>
            <w:tcW w:w="66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1129.85</w:t>
            </w:r>
          </w:p>
        </w:tc>
        <w:tc>
          <w:tcPr>
            <w:tcW w:w="6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100.00%</w:t>
            </w:r>
          </w:p>
        </w:tc>
        <w:tc>
          <w:tcPr>
            <w:tcW w:w="8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41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1129.85</w:t>
            </w:r>
          </w:p>
        </w:tc>
        <w:tc>
          <w:tcPr>
            <w:tcW w:w="6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1129.85</w:t>
            </w:r>
          </w:p>
        </w:tc>
        <w:tc>
          <w:tcPr>
            <w:tcW w:w="66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1129.85</w:t>
            </w:r>
          </w:p>
        </w:tc>
        <w:tc>
          <w:tcPr>
            <w:tcW w:w="6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7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8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41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6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7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8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20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909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288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2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09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目标：根据国家总局对抽检工作的部署安排，结合我区当前工作实际，2023年，计划完成：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1.2023年抽检监测任务6277余批次，需要经费1129.85万元；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2.开展食品相关产品抽检、检验和出具检验报告和质量分析报告；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3.严格按照区局相关要求，规范抽样行为、高效完成自治区产品质量监督抽查工作任务；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4.食品安全监督抽检信息公示；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5.食品抽检不合格和问题食品核查处置；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6.食品安全风险预警交流。</w:t>
            </w:r>
          </w:p>
        </w:tc>
        <w:tc>
          <w:tcPr>
            <w:tcW w:w="288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ind w:left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根据国家总局对抽检工作的部署安排，结合我区当前工作实际，2023年已完成： a.2023年抽检监测任务6277批次； b.食品安全抽检监测系统运行正常； c.食品安全监督抽检信息公示； d.食品抽检不合格和问题食品核查处置； e.食品安全风险预警交流。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0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0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46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37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权重</w:t>
            </w:r>
          </w:p>
        </w:tc>
        <w:tc>
          <w:tcPr>
            <w:tcW w:w="33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目标值</w:t>
            </w:r>
          </w:p>
        </w:tc>
        <w:tc>
          <w:tcPr>
            <w:tcW w:w="33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业绩值</w:t>
            </w:r>
          </w:p>
        </w:tc>
        <w:tc>
          <w:tcPr>
            <w:tcW w:w="3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完成率</w:t>
            </w:r>
          </w:p>
        </w:tc>
        <w:tc>
          <w:tcPr>
            <w:tcW w:w="33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指标得分</w:t>
            </w:r>
          </w:p>
        </w:tc>
        <w:tc>
          <w:tcPr>
            <w:tcW w:w="3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指标值设定依据</w:t>
            </w:r>
          </w:p>
        </w:tc>
        <w:tc>
          <w:tcPr>
            <w:tcW w:w="3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上年完成情况</w:t>
            </w:r>
          </w:p>
        </w:tc>
        <w:tc>
          <w:tcPr>
            <w:tcW w:w="39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赋分规则</w:t>
            </w:r>
          </w:p>
        </w:tc>
        <w:tc>
          <w:tcPr>
            <w:tcW w:w="35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  <w:tc>
          <w:tcPr>
            <w:tcW w:w="81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20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20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4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监督抽查批次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&gt;=6277批次</w:t>
            </w: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=6277批次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工作资料</w:t>
            </w:r>
          </w:p>
        </w:tc>
        <w:tc>
          <w:tcPr>
            <w:tcW w:w="8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2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4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完成检查报告数量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&gt;=6277个</w:t>
            </w: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=6277个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工作资料</w:t>
            </w:r>
          </w:p>
        </w:tc>
        <w:tc>
          <w:tcPr>
            <w:tcW w:w="8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2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4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抽检覆盖率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&gt;=90%</w:t>
            </w: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=90%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历史标准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85%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工作资料</w:t>
            </w:r>
          </w:p>
        </w:tc>
        <w:tc>
          <w:tcPr>
            <w:tcW w:w="8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2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4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抽检任务完成及时率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&gt;=90%</w:t>
            </w: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=90%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历史标准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按时完成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工作资料</w:t>
            </w:r>
          </w:p>
        </w:tc>
        <w:tc>
          <w:tcPr>
            <w:tcW w:w="8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2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4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检验报告出具及时率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&gt;=95%</w:t>
            </w: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=95%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工作资料</w:t>
            </w:r>
          </w:p>
        </w:tc>
        <w:tc>
          <w:tcPr>
            <w:tcW w:w="8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2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4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抽检成本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&lt;=1800元/批次</w:t>
            </w: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=1800元/批次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原始凭证</w:t>
            </w:r>
          </w:p>
        </w:tc>
        <w:tc>
          <w:tcPr>
            <w:tcW w:w="8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2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4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2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4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2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4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2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4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辖区食品产业健康有序发展的活力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逐步提高</w:t>
            </w: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逐步提高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工作资料</w:t>
            </w:r>
          </w:p>
        </w:tc>
        <w:tc>
          <w:tcPr>
            <w:tcW w:w="8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2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4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2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4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受检企业满意度(%)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&gt;=85%</w:t>
            </w: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=85%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工作资料</w:t>
            </w:r>
          </w:p>
        </w:tc>
        <w:tc>
          <w:tcPr>
            <w:tcW w:w="8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08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3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33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100.00分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bookmarkStart w:id="0" w:name="_GoBack"/>
    <w:bookmarkEnd w:id="0"/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4NGU5ZTY3YzQ1ZTU2ZDY2M2UzOGYyZmJkYTIwYzEifQ=="/>
  </w:docVars>
  <w:rsids>
    <w:rsidRoot w:val="5359356E"/>
    <w:rsid w:val="14894780"/>
    <w:rsid w:val="525210BA"/>
    <w:rsid w:val="5359356E"/>
    <w:rsid w:val="6E384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3">
    <w:name w:val="Body Text Indent"/>
    <w:basedOn w:val="1"/>
    <w:semiHidden/>
    <w:unhideWhenUsed/>
    <w:qFormat/>
    <w:uiPriority w:val="99"/>
    <w:pPr>
      <w:spacing w:after="120"/>
      <w:ind w:left="420" w:leftChars="200"/>
    </w:pPr>
  </w:style>
  <w:style w:type="paragraph" w:styleId="4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First Indent 2"/>
    <w:basedOn w:val="3"/>
    <w:qFormat/>
    <w:uiPriority w:val="0"/>
    <w:pPr>
      <w:ind w:firstLine="420" w:firstLineChars="200"/>
    </w:pPr>
    <w:rPr>
      <w:rFonts w:ascii="Calibri" w:hAnsi="Calibri" w:eastAsia="宋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2024-04-03T02:16:00Z</dcterms:created>
  <dc:creator>WPS_1668047295</dc:creator>
  <cp:lastModifiedBy>WPS_1668047295</cp:lastModifiedBy>
  <dcterms:modified xsi:type="dcterms:W3CDTF">2024-04-03T02:28:21Z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3F299B6B48274B81B549D543D97D387F_11</vt:lpwstr>
  </property>
</Properties>
</file>