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宋体" w:hAnsi="宋体" w:eastAsia="仿宋_GB2312" w:cs="Arial"/>
          <w:b/>
          <w:bCs/>
          <w:sz w:val="48"/>
          <w:szCs w:val="48"/>
        </w:rPr>
      </w:pPr>
    </w:p>
    <w:p>
      <w:pPr>
        <w:jc w:val="center"/>
        <w:rPr>
          <w:rFonts w:hint="eastAsia" w:ascii="宋体" w:hAnsi="宋体" w:eastAsia="仿宋_GB2312" w:cs="Arial"/>
          <w:b/>
          <w:bCs/>
          <w:sz w:val="52"/>
          <w:szCs w:val="52"/>
        </w:rPr>
      </w:pPr>
    </w:p>
    <w:p>
      <w:pPr>
        <w:jc w:val="center"/>
        <w:rPr>
          <w:rFonts w:hint="eastAsia" w:ascii="宋体" w:hAnsi="宋体" w:eastAsia="仿宋_GB2312" w:cs="Arial"/>
          <w:b/>
          <w:bCs/>
          <w:sz w:val="52"/>
          <w:szCs w:val="52"/>
        </w:rPr>
      </w:pPr>
    </w:p>
    <w:p>
      <w:pPr>
        <w:jc w:val="center"/>
        <w:rPr>
          <w:rFonts w:ascii="宋体" w:hAnsi="宋体" w:eastAsia="仿宋_GB2312" w:cs="Arial"/>
          <w:b/>
          <w:bCs/>
          <w:sz w:val="52"/>
          <w:szCs w:val="52"/>
        </w:rPr>
      </w:pPr>
      <w:r>
        <w:rPr>
          <w:rFonts w:hint="eastAsia" w:ascii="宋体" w:hAnsi="宋体" w:eastAsia="仿宋_GB2312" w:cs="Arial"/>
          <w:b/>
          <w:bCs/>
          <w:sz w:val="52"/>
          <w:szCs w:val="52"/>
          <w:lang w:val="en-US" w:eastAsia="zh-CN"/>
        </w:rPr>
        <w:t>项目支出</w:t>
      </w:r>
      <w:r>
        <w:rPr>
          <w:rFonts w:hint="eastAsia" w:ascii="宋体" w:hAnsi="宋体" w:eastAsia="仿宋_GB2312" w:cs="Arial"/>
          <w:b/>
          <w:bCs/>
          <w:sz w:val="52"/>
          <w:szCs w:val="52"/>
        </w:rPr>
        <w:t>绩效评价报告</w:t>
      </w:r>
    </w:p>
    <w:p>
      <w:pPr>
        <w:jc w:val="center"/>
        <w:rPr>
          <w:rFonts w:ascii="宋体" w:hAnsi="宋体" w:eastAsia="仿宋_GB2312"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3</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项目名称：</w:t>
      </w:r>
      <w:r>
        <w:rPr>
          <w:rFonts w:hint="eastAsia" w:ascii="宋体" w:hAnsi="宋体" w:eastAsia="仿宋_GB2312" w:cs="仿宋_GB2312"/>
          <w:b/>
          <w:bCs/>
          <w:color w:val="000000"/>
          <w:kern w:val="0"/>
          <w:sz w:val="32"/>
          <w:szCs w:val="32"/>
          <w:lang w:val="en-US" w:eastAsia="zh-CN"/>
        </w:rPr>
        <w:t>2023年食品抽检项目</w:t>
      </w:r>
    </w:p>
    <w:p>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实施单位（公章）：</w:t>
      </w:r>
      <w:r>
        <w:rPr>
          <w:rFonts w:hint="eastAsia" w:ascii="宋体" w:hAnsi="宋体" w:eastAsia="仿宋_GB2312" w:cs="仿宋_GB2312"/>
          <w:b/>
          <w:bCs/>
          <w:color w:val="000000"/>
          <w:kern w:val="0"/>
          <w:sz w:val="32"/>
          <w:szCs w:val="32"/>
          <w:lang w:val="en-US" w:eastAsia="zh-CN"/>
        </w:rPr>
        <w:t>新疆维吾尔自治区产品质量监督检验研究院</w:t>
      </w:r>
      <w:r>
        <w:rPr>
          <w:rFonts w:hint="eastAsia" w:ascii="宋体" w:hAnsi="宋体" w:eastAsia="仿宋_GB2312" w:cs="仿宋_GB2312"/>
          <w:b/>
          <w:bCs/>
          <w:color w:val="000000"/>
          <w:kern w:val="0"/>
          <w:sz w:val="32"/>
          <w:szCs w:val="32"/>
        </w:rPr>
        <w:t xml:space="preserve"> </w:t>
      </w:r>
    </w:p>
    <w:p>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 xml:space="preserve">主管部门（公章）： </w:t>
      </w:r>
      <w:r>
        <w:rPr>
          <w:rFonts w:hint="eastAsia" w:ascii="宋体" w:hAnsi="宋体" w:eastAsia="仿宋_GB2312" w:cs="仿宋_GB2312"/>
          <w:b/>
          <w:bCs/>
          <w:color w:val="000000"/>
          <w:kern w:val="0"/>
          <w:sz w:val="32"/>
          <w:szCs w:val="32"/>
          <w:lang w:val="en-US" w:eastAsia="zh-CN"/>
        </w:rPr>
        <w:t>新疆维吾尔自治区市场监督管理局</w:t>
      </w:r>
    </w:p>
    <w:p>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 xml:space="preserve">项目负责人（签章）： </w:t>
      </w:r>
      <w:r>
        <w:rPr>
          <w:rFonts w:hint="eastAsia" w:ascii="宋体" w:hAnsi="宋体" w:eastAsia="仿宋_GB2312" w:cs="仿宋_GB2312"/>
          <w:b/>
          <w:bCs/>
          <w:color w:val="000000"/>
          <w:kern w:val="0"/>
          <w:sz w:val="32"/>
          <w:szCs w:val="32"/>
          <w:lang w:val="en-US" w:eastAsia="zh-CN"/>
        </w:rPr>
        <w:t>李强</w:t>
      </w:r>
    </w:p>
    <w:p>
      <w:pPr>
        <w:spacing w:line="560" w:lineRule="exact"/>
        <w:ind w:firstLine="321" w:firstLineChars="100"/>
        <w:rPr>
          <w:rFonts w:hint="eastAsia" w:ascii="宋体" w:hAnsi="宋体" w:eastAsia="仿宋_GB2312" w:cs="仿宋_GB2312"/>
          <w:b/>
          <w:bCs/>
          <w:color w:val="000000"/>
          <w:kern w:val="0"/>
          <w:sz w:val="32"/>
          <w:szCs w:val="32"/>
          <w:lang w:val="en-US" w:eastAsia="zh-CN"/>
        </w:rPr>
      </w:pPr>
      <w:r>
        <w:rPr>
          <w:rFonts w:hint="eastAsia" w:ascii="宋体" w:hAnsi="宋体" w:eastAsia="仿宋_GB2312" w:cs="仿宋_GB2312"/>
          <w:b/>
          <w:bCs/>
          <w:color w:val="000000"/>
          <w:kern w:val="0"/>
          <w:sz w:val="32"/>
          <w:szCs w:val="32"/>
        </w:rPr>
        <w:t>填报时间：</w:t>
      </w:r>
      <w:r>
        <w:rPr>
          <w:rFonts w:hint="eastAsia" w:ascii="宋体" w:hAnsi="宋体" w:eastAsia="仿宋_GB2312" w:cs="仿宋_GB2312"/>
          <w:b/>
          <w:bCs/>
          <w:color w:val="000000"/>
          <w:kern w:val="0"/>
          <w:sz w:val="32"/>
          <w:szCs w:val="32"/>
          <w:lang w:val="en-US" w:eastAsia="zh-CN"/>
        </w:rPr>
        <w:t xml:space="preserve"> 202</w:t>
      </w:r>
      <w:r>
        <w:rPr>
          <w:rFonts w:hint="eastAsia" w:ascii="宋体" w:hAnsi="宋体" w:cs="仿宋_GB2312"/>
          <w:b/>
          <w:bCs/>
          <w:color w:val="000000"/>
          <w:kern w:val="0"/>
          <w:sz w:val="32"/>
          <w:szCs w:val="32"/>
          <w:lang w:val="en-US" w:eastAsia="zh-CN"/>
        </w:rPr>
        <w:t>4</w:t>
      </w:r>
      <w:r>
        <w:rPr>
          <w:rFonts w:hint="eastAsia" w:ascii="宋体" w:hAnsi="宋体" w:eastAsia="仿宋_GB2312" w:cs="仿宋_GB2312"/>
          <w:b/>
          <w:bCs/>
          <w:color w:val="000000"/>
          <w:kern w:val="0"/>
          <w:sz w:val="32"/>
          <w:szCs w:val="32"/>
          <w:lang w:val="en-US" w:eastAsia="zh-CN"/>
        </w:rPr>
        <w:t>年</w:t>
      </w:r>
      <w:r>
        <w:rPr>
          <w:rFonts w:hint="eastAsia" w:ascii="宋体" w:hAnsi="宋体" w:cs="仿宋_GB2312"/>
          <w:b/>
          <w:bCs/>
          <w:color w:val="000000"/>
          <w:kern w:val="0"/>
          <w:sz w:val="32"/>
          <w:szCs w:val="32"/>
          <w:lang w:val="en-US" w:eastAsia="zh-CN"/>
        </w:rPr>
        <w:t>3</w:t>
      </w:r>
      <w:r>
        <w:rPr>
          <w:rFonts w:hint="eastAsia" w:ascii="宋体" w:hAnsi="宋体" w:eastAsia="仿宋_GB2312" w:cs="仿宋_GB2312"/>
          <w:b/>
          <w:bCs/>
          <w:color w:val="000000"/>
          <w:kern w:val="0"/>
          <w:sz w:val="32"/>
          <w:szCs w:val="32"/>
          <w:lang w:val="en-US" w:eastAsia="zh-CN"/>
        </w:rPr>
        <w:t>月</w:t>
      </w:r>
      <w:r>
        <w:rPr>
          <w:rFonts w:hint="eastAsia" w:ascii="宋体" w:hAnsi="宋体" w:cs="仿宋_GB2312"/>
          <w:b/>
          <w:bCs/>
          <w:color w:val="000000"/>
          <w:kern w:val="0"/>
          <w:sz w:val="32"/>
          <w:szCs w:val="32"/>
          <w:lang w:val="en-US" w:eastAsia="zh-CN"/>
        </w:rPr>
        <w:t>20</w:t>
      </w:r>
      <w:r>
        <w:rPr>
          <w:rFonts w:hint="eastAsia" w:ascii="宋体" w:hAnsi="宋体" w:eastAsia="仿宋_GB2312" w:cs="仿宋_GB2312"/>
          <w:b/>
          <w:bCs/>
          <w:color w:val="000000"/>
          <w:kern w:val="0"/>
          <w:sz w:val="32"/>
          <w:szCs w:val="32"/>
          <w:lang w:val="en-US" w:eastAsia="zh-CN"/>
        </w:rPr>
        <w:t>日</w:t>
      </w:r>
    </w:p>
    <w:p>
      <w:pPr>
        <w:jc w:val="center"/>
        <w:rPr>
          <w:rFonts w:ascii="宋体" w:hAnsi="宋体" w:eastAsia="仿宋_GB2312" w:cs="Arial"/>
          <w:b/>
          <w:bCs/>
          <w:sz w:val="36"/>
          <w:szCs w:val="36"/>
        </w:rPr>
      </w:pPr>
    </w:p>
    <w:p>
      <w:pPr>
        <w:widowControl/>
        <w:jc w:val="left"/>
        <w:rPr>
          <w:rFonts w:ascii="宋体" w:hAnsi="宋体" w:eastAsia="仿宋_GB2312" w:cs="Arial"/>
          <w:b/>
          <w:bCs/>
          <w:sz w:val="36"/>
          <w:szCs w:val="36"/>
        </w:rPr>
      </w:pPr>
      <w:r>
        <w:rPr>
          <w:rFonts w:ascii="宋体" w:hAnsi="宋体" w:eastAsia="仿宋_GB2312" w:cs="Arial"/>
          <w:b/>
          <w:bCs/>
          <w:sz w:val="36"/>
          <w:szCs w:val="36"/>
        </w:rPr>
        <w:br w:type="page"/>
      </w:r>
    </w:p>
    <w:sdt>
      <w:sdtPr>
        <w:rPr>
          <w:rFonts w:ascii="Times New Roman" w:hAnsi="Times New Roman" w:eastAsia="仿宋_GB2312" w:cs="Times New Roman"/>
          <w:color w:val="auto"/>
          <w:kern w:val="2"/>
          <w:sz w:val="30"/>
          <w:szCs w:val="24"/>
          <w:lang w:val="zh-CN"/>
        </w:rPr>
        <w:id w:val="-514851075"/>
        <w:docPartObj>
          <w:docPartGallery w:val="Table of Contents"/>
          <w:docPartUnique/>
        </w:docPartObj>
      </w:sdtPr>
      <w:sdtEndPr>
        <w:rPr>
          <w:rFonts w:ascii="Times New Roman" w:hAnsi="Times New Roman" w:eastAsia="仿宋_GB2312" w:cs="Times New Roman"/>
          <w:b/>
          <w:bCs/>
          <w:color w:val="auto"/>
          <w:kern w:val="2"/>
          <w:sz w:val="30"/>
          <w:szCs w:val="24"/>
          <w:lang w:val="zh-CN"/>
        </w:rPr>
      </w:sdtEndPr>
      <w:sdtContent>
        <w:p>
          <w:pPr>
            <w:pStyle w:val="22"/>
            <w:jc w:val="center"/>
            <w:rPr>
              <w:rFonts w:ascii="宋体" w:hAnsi="宋体" w:eastAsia="仿宋_GB2312"/>
              <w:b/>
              <w:bCs/>
              <w:color w:val="auto"/>
              <w:lang w:val="zh-CN"/>
            </w:rPr>
          </w:pPr>
          <w:r>
            <w:rPr>
              <w:rFonts w:ascii="宋体" w:hAnsi="宋体" w:eastAsia="仿宋_GB2312"/>
              <w:b/>
              <w:bCs/>
              <w:color w:val="auto"/>
              <w:lang w:val="zh-CN"/>
            </w:rPr>
            <w:t>目录</w:t>
          </w:r>
        </w:p>
        <w:p>
          <w:pPr>
            <w:pStyle w:val="12"/>
            <w:tabs>
              <w:tab w:val="right" w:leader="dot" w:pos="8834"/>
            </w:tabs>
            <w:rPr>
              <w:rFonts w:cstheme="minorBidi"/>
              <w:kern w:val="2"/>
              <w:sz w:val="21"/>
            </w:rPr>
          </w:pPr>
          <w:r>
            <w:fldChar w:fldCharType="begin"/>
          </w:r>
          <w:r>
            <w:instrText xml:space="preserve"> TOC \o "1-3" \h \z \u </w:instrText>
          </w:r>
          <w:r>
            <w:fldChar w:fldCharType="separate"/>
          </w:r>
          <w:r>
            <w:fldChar w:fldCharType="begin"/>
          </w:r>
          <w:r>
            <w:instrText xml:space="preserve"> HYPERLINK \l "_Toc68702112" </w:instrText>
          </w:r>
          <w:r>
            <w:fldChar w:fldCharType="separate"/>
          </w:r>
          <w:r>
            <w:rPr>
              <w:rStyle w:val="19"/>
              <w:rFonts w:ascii="宋体" w:hAnsi="宋体" w:eastAsia="仿宋_GB2312"/>
            </w:rPr>
            <w:t>一、基本情况</w:t>
          </w:r>
          <w:r>
            <w:tab/>
          </w:r>
          <w:r>
            <w:fldChar w:fldCharType="begin"/>
          </w:r>
          <w:r>
            <w:instrText xml:space="preserve"> PAGEREF _Toc68702112 \h </w:instrText>
          </w:r>
          <w:r>
            <w:fldChar w:fldCharType="separate"/>
          </w:r>
          <w:r>
            <w:t>3</w:t>
          </w:r>
          <w:r>
            <w:fldChar w:fldCharType="end"/>
          </w:r>
          <w:r>
            <w:fldChar w:fldCharType="end"/>
          </w:r>
        </w:p>
        <w:p>
          <w:pPr>
            <w:pStyle w:val="13"/>
            <w:tabs>
              <w:tab w:val="right" w:leader="dot" w:pos="8834"/>
            </w:tabs>
            <w:rPr>
              <w:rFonts w:cstheme="minorBidi"/>
              <w:kern w:val="2"/>
              <w:sz w:val="21"/>
            </w:rPr>
          </w:pPr>
          <w:r>
            <w:fldChar w:fldCharType="begin"/>
          </w:r>
          <w:r>
            <w:instrText xml:space="preserve"> HYPERLINK \l "_Toc68702113" </w:instrText>
          </w:r>
          <w:r>
            <w:fldChar w:fldCharType="separate"/>
          </w:r>
          <w:r>
            <w:rPr>
              <w:rStyle w:val="19"/>
              <w:rFonts w:ascii="仿宋_GB2312" w:eastAsia="仿宋_GB2312"/>
            </w:rPr>
            <w:t>（一）项目概况</w:t>
          </w:r>
          <w:r>
            <w:tab/>
          </w:r>
          <w:r>
            <w:fldChar w:fldCharType="begin"/>
          </w:r>
          <w:r>
            <w:instrText xml:space="preserve"> PAGEREF _Toc68702113 \h </w:instrText>
          </w:r>
          <w:r>
            <w:fldChar w:fldCharType="separate"/>
          </w:r>
          <w:r>
            <w:t>3</w:t>
          </w:r>
          <w:r>
            <w:fldChar w:fldCharType="end"/>
          </w:r>
          <w:r>
            <w:fldChar w:fldCharType="end"/>
          </w:r>
        </w:p>
        <w:p>
          <w:pPr>
            <w:pStyle w:val="13"/>
            <w:tabs>
              <w:tab w:val="right" w:leader="dot" w:pos="8834"/>
            </w:tabs>
            <w:rPr>
              <w:rFonts w:cstheme="minorBidi"/>
              <w:kern w:val="2"/>
              <w:sz w:val="21"/>
            </w:rPr>
          </w:pPr>
          <w:r>
            <w:fldChar w:fldCharType="begin"/>
          </w:r>
          <w:r>
            <w:instrText xml:space="preserve"> HYPERLINK \l "_Toc68702114" </w:instrText>
          </w:r>
          <w:r>
            <w:fldChar w:fldCharType="separate"/>
          </w:r>
          <w:r>
            <w:rPr>
              <w:rStyle w:val="19"/>
              <w:rFonts w:ascii="仿宋_GB2312" w:eastAsia="仿宋_GB2312"/>
            </w:rPr>
            <w:t>（二）项目绩效目标</w:t>
          </w:r>
          <w:r>
            <w:tab/>
          </w:r>
          <w:r>
            <w:fldChar w:fldCharType="begin"/>
          </w:r>
          <w:r>
            <w:instrText xml:space="preserve"> PAGEREF _Toc68702114 \h </w:instrText>
          </w:r>
          <w:r>
            <w:fldChar w:fldCharType="separate"/>
          </w:r>
          <w:r>
            <w:t>4</w:t>
          </w:r>
          <w:r>
            <w:fldChar w:fldCharType="end"/>
          </w:r>
          <w:r>
            <w:fldChar w:fldCharType="end"/>
          </w:r>
        </w:p>
        <w:p>
          <w:pPr>
            <w:pStyle w:val="12"/>
            <w:tabs>
              <w:tab w:val="right" w:leader="dot" w:pos="8834"/>
            </w:tabs>
            <w:rPr>
              <w:rFonts w:cstheme="minorBidi"/>
              <w:kern w:val="2"/>
              <w:sz w:val="21"/>
            </w:rPr>
          </w:pPr>
          <w:r>
            <w:fldChar w:fldCharType="begin"/>
          </w:r>
          <w:r>
            <w:instrText xml:space="preserve"> HYPERLINK \l "_Toc68702115" </w:instrText>
          </w:r>
          <w:r>
            <w:fldChar w:fldCharType="separate"/>
          </w:r>
          <w:r>
            <w:rPr>
              <w:rStyle w:val="19"/>
              <w:rFonts w:ascii="宋体" w:hAnsi="宋体" w:eastAsia="仿宋_GB2312"/>
            </w:rPr>
            <w:t>二、绩效评价工作开展情况</w:t>
          </w:r>
          <w:r>
            <w:tab/>
          </w:r>
          <w:r>
            <w:fldChar w:fldCharType="begin"/>
          </w:r>
          <w:r>
            <w:instrText xml:space="preserve"> PAGEREF _Toc68702115 \h </w:instrText>
          </w:r>
          <w:r>
            <w:fldChar w:fldCharType="separate"/>
          </w:r>
          <w:r>
            <w:t>4</w:t>
          </w:r>
          <w:r>
            <w:fldChar w:fldCharType="end"/>
          </w:r>
          <w:r>
            <w:fldChar w:fldCharType="end"/>
          </w:r>
        </w:p>
        <w:p>
          <w:pPr>
            <w:pStyle w:val="13"/>
            <w:tabs>
              <w:tab w:val="right" w:leader="dot" w:pos="8834"/>
            </w:tabs>
            <w:rPr>
              <w:rFonts w:cstheme="minorBidi"/>
              <w:kern w:val="2"/>
              <w:sz w:val="21"/>
            </w:rPr>
          </w:pPr>
          <w:r>
            <w:fldChar w:fldCharType="begin"/>
          </w:r>
          <w:r>
            <w:instrText xml:space="preserve"> HYPERLINK \l "_Toc68702116" </w:instrText>
          </w:r>
          <w:r>
            <w:fldChar w:fldCharType="separate"/>
          </w:r>
          <w:r>
            <w:rPr>
              <w:rStyle w:val="19"/>
              <w:rFonts w:ascii="仿宋_GB2312" w:eastAsia="仿宋_GB2312"/>
            </w:rPr>
            <w:t>（一）绩效评价目的、对象和范围</w:t>
          </w:r>
          <w:r>
            <w:tab/>
          </w:r>
          <w:r>
            <w:fldChar w:fldCharType="begin"/>
          </w:r>
          <w:r>
            <w:instrText xml:space="preserve"> PAGEREF _Toc68702116 \h </w:instrText>
          </w:r>
          <w:r>
            <w:fldChar w:fldCharType="separate"/>
          </w:r>
          <w:r>
            <w:t>4</w:t>
          </w:r>
          <w:r>
            <w:fldChar w:fldCharType="end"/>
          </w:r>
          <w:r>
            <w:fldChar w:fldCharType="end"/>
          </w:r>
        </w:p>
        <w:p>
          <w:pPr>
            <w:pStyle w:val="13"/>
            <w:tabs>
              <w:tab w:val="right" w:leader="dot" w:pos="8834"/>
            </w:tabs>
            <w:rPr>
              <w:rFonts w:cstheme="minorBidi"/>
              <w:kern w:val="2"/>
              <w:sz w:val="21"/>
            </w:rPr>
          </w:pPr>
          <w:r>
            <w:fldChar w:fldCharType="begin"/>
          </w:r>
          <w:r>
            <w:instrText xml:space="preserve"> HYPERLINK \l "_Toc68702117" </w:instrText>
          </w:r>
          <w:r>
            <w:fldChar w:fldCharType="separate"/>
          </w:r>
          <w:r>
            <w:rPr>
              <w:rStyle w:val="19"/>
              <w:rFonts w:ascii="仿宋_GB2312" w:eastAsia="仿宋_GB2312"/>
            </w:rPr>
            <w:t>（二）绩效评价原则、评价指标体系、评价方法、评价标准等</w:t>
          </w:r>
          <w:r>
            <w:tab/>
          </w:r>
          <w:r>
            <w:fldChar w:fldCharType="begin"/>
          </w:r>
          <w:r>
            <w:instrText xml:space="preserve"> PAGEREF _Toc68702117 \h </w:instrText>
          </w:r>
          <w:r>
            <w:fldChar w:fldCharType="separate"/>
          </w:r>
          <w:r>
            <w:t>5</w:t>
          </w:r>
          <w:r>
            <w:fldChar w:fldCharType="end"/>
          </w:r>
          <w:r>
            <w:fldChar w:fldCharType="end"/>
          </w:r>
        </w:p>
        <w:p>
          <w:pPr>
            <w:pStyle w:val="13"/>
            <w:tabs>
              <w:tab w:val="right" w:leader="dot" w:pos="8834"/>
            </w:tabs>
            <w:rPr>
              <w:rFonts w:cstheme="minorBidi"/>
              <w:kern w:val="2"/>
              <w:sz w:val="21"/>
            </w:rPr>
          </w:pPr>
          <w:r>
            <w:fldChar w:fldCharType="begin"/>
          </w:r>
          <w:r>
            <w:instrText xml:space="preserve"> HYPERLINK \l "_Toc68702118" </w:instrText>
          </w:r>
          <w:r>
            <w:fldChar w:fldCharType="separate"/>
          </w:r>
          <w:r>
            <w:rPr>
              <w:rStyle w:val="19"/>
              <w:rFonts w:ascii="仿宋_GB2312" w:eastAsia="仿宋_GB2312"/>
            </w:rPr>
            <w:t>（三）绩效评价工作过程</w:t>
          </w:r>
          <w:r>
            <w:tab/>
          </w:r>
          <w:r>
            <w:rPr>
              <w:rFonts w:hint="eastAsia"/>
              <w:lang w:val="en-US" w:eastAsia="zh-CN"/>
            </w:rPr>
            <w:t>8</w:t>
          </w:r>
          <w:r>
            <w:fldChar w:fldCharType="end"/>
          </w:r>
        </w:p>
        <w:p>
          <w:pPr>
            <w:pStyle w:val="12"/>
            <w:tabs>
              <w:tab w:val="right" w:leader="dot" w:pos="8834"/>
            </w:tabs>
            <w:rPr>
              <w:rFonts w:cstheme="minorBidi"/>
              <w:kern w:val="2"/>
              <w:sz w:val="21"/>
            </w:rPr>
          </w:pPr>
          <w:r>
            <w:fldChar w:fldCharType="begin"/>
          </w:r>
          <w:r>
            <w:instrText xml:space="preserve"> HYPERLINK \l "_Toc68702119" </w:instrText>
          </w:r>
          <w:r>
            <w:fldChar w:fldCharType="separate"/>
          </w:r>
          <w:r>
            <w:rPr>
              <w:rStyle w:val="19"/>
              <w:rFonts w:ascii="宋体" w:hAnsi="宋体" w:eastAsia="仿宋_GB2312"/>
            </w:rPr>
            <w:t>三、综合评价情况及评价结论</w:t>
          </w:r>
          <w:r>
            <w:tab/>
          </w:r>
          <w:r>
            <w:rPr>
              <w:rFonts w:hint="eastAsia"/>
              <w:lang w:val="en-US" w:eastAsia="zh-CN"/>
            </w:rPr>
            <w:t>8</w:t>
          </w:r>
          <w:r>
            <w:fldChar w:fldCharType="end"/>
          </w:r>
        </w:p>
        <w:p>
          <w:pPr>
            <w:pStyle w:val="13"/>
            <w:tabs>
              <w:tab w:val="right" w:leader="dot" w:pos="8834"/>
            </w:tabs>
            <w:rPr>
              <w:rFonts w:cstheme="minorBidi"/>
              <w:kern w:val="2"/>
              <w:sz w:val="21"/>
            </w:rPr>
          </w:pPr>
          <w:r>
            <w:fldChar w:fldCharType="begin"/>
          </w:r>
          <w:r>
            <w:instrText xml:space="preserve"> HYPERLINK \l "_Toc68702120" </w:instrText>
          </w:r>
          <w:r>
            <w:fldChar w:fldCharType="separate"/>
          </w:r>
          <w:r>
            <w:rPr>
              <w:rStyle w:val="19"/>
              <w:rFonts w:ascii="仿宋_GB2312" w:eastAsia="仿宋_GB2312"/>
            </w:rPr>
            <w:t>（一）综合评价情况</w:t>
          </w:r>
          <w:r>
            <w:tab/>
          </w:r>
          <w:r>
            <w:rPr>
              <w:rFonts w:hint="eastAsia"/>
              <w:lang w:val="en-US" w:eastAsia="zh-CN"/>
            </w:rPr>
            <w:t>8</w:t>
          </w:r>
          <w:r>
            <w:fldChar w:fldCharType="end"/>
          </w:r>
        </w:p>
        <w:p>
          <w:pPr>
            <w:pStyle w:val="13"/>
            <w:tabs>
              <w:tab w:val="right" w:leader="dot" w:pos="8834"/>
            </w:tabs>
            <w:rPr>
              <w:rFonts w:cstheme="minorBidi"/>
              <w:kern w:val="2"/>
              <w:sz w:val="21"/>
            </w:rPr>
          </w:pPr>
          <w:r>
            <w:fldChar w:fldCharType="begin"/>
          </w:r>
          <w:r>
            <w:instrText xml:space="preserve"> HYPERLINK \l "_Toc68702121" </w:instrText>
          </w:r>
          <w:r>
            <w:fldChar w:fldCharType="separate"/>
          </w:r>
          <w:r>
            <w:rPr>
              <w:rStyle w:val="19"/>
              <w:rFonts w:ascii="仿宋_GB2312" w:eastAsia="仿宋_GB2312"/>
            </w:rPr>
            <w:t>（二）评价结论</w:t>
          </w:r>
          <w:r>
            <w:tab/>
          </w:r>
          <w:r>
            <w:rPr>
              <w:rFonts w:hint="eastAsia"/>
              <w:lang w:val="en-US" w:eastAsia="zh-CN"/>
            </w:rPr>
            <w:t>8</w:t>
          </w:r>
          <w:r>
            <w:fldChar w:fldCharType="end"/>
          </w:r>
        </w:p>
        <w:p>
          <w:pPr>
            <w:pStyle w:val="12"/>
            <w:tabs>
              <w:tab w:val="right" w:leader="dot" w:pos="8834"/>
            </w:tabs>
            <w:rPr>
              <w:rFonts w:cstheme="minorBidi"/>
              <w:kern w:val="2"/>
              <w:sz w:val="21"/>
            </w:rPr>
          </w:pPr>
          <w:r>
            <w:fldChar w:fldCharType="begin"/>
          </w:r>
          <w:r>
            <w:instrText xml:space="preserve"> HYPERLINK \l "_Toc68702122" </w:instrText>
          </w:r>
          <w:r>
            <w:fldChar w:fldCharType="separate"/>
          </w:r>
          <w:r>
            <w:rPr>
              <w:rStyle w:val="19"/>
              <w:rFonts w:ascii="宋体" w:hAnsi="宋体" w:eastAsia="仿宋_GB2312"/>
            </w:rPr>
            <w:t>四、绩效评价指标分析</w:t>
          </w:r>
          <w:r>
            <w:tab/>
          </w:r>
          <w:r>
            <w:rPr>
              <w:rFonts w:hint="eastAsia"/>
              <w:lang w:val="en-US" w:eastAsia="zh-CN"/>
            </w:rPr>
            <w:t>9</w:t>
          </w:r>
          <w:r>
            <w:fldChar w:fldCharType="end"/>
          </w:r>
        </w:p>
        <w:p>
          <w:pPr>
            <w:pStyle w:val="13"/>
            <w:tabs>
              <w:tab w:val="right" w:leader="dot" w:pos="8834"/>
            </w:tabs>
            <w:rPr>
              <w:rFonts w:cstheme="minorBidi"/>
              <w:kern w:val="2"/>
              <w:sz w:val="21"/>
            </w:rPr>
          </w:pPr>
          <w:r>
            <w:fldChar w:fldCharType="begin"/>
          </w:r>
          <w:r>
            <w:instrText xml:space="preserve"> HYPERLINK \l "_Toc68702123" </w:instrText>
          </w:r>
          <w:r>
            <w:fldChar w:fldCharType="separate"/>
          </w:r>
          <w:r>
            <w:rPr>
              <w:rStyle w:val="19"/>
              <w:rFonts w:ascii="仿宋_GB2312" w:eastAsia="仿宋_GB2312"/>
            </w:rPr>
            <w:t>（一）项目决策情况</w:t>
          </w:r>
          <w:r>
            <w:tab/>
          </w:r>
          <w:r>
            <w:rPr>
              <w:rFonts w:hint="eastAsia"/>
              <w:lang w:val="en-US" w:eastAsia="zh-CN"/>
            </w:rPr>
            <w:t>9</w:t>
          </w:r>
          <w:r>
            <w:fldChar w:fldCharType="end"/>
          </w:r>
        </w:p>
        <w:p>
          <w:pPr>
            <w:pStyle w:val="13"/>
            <w:tabs>
              <w:tab w:val="right" w:leader="dot" w:pos="8834"/>
            </w:tabs>
            <w:rPr>
              <w:rFonts w:hint="eastAsia" w:eastAsiaTheme="minorEastAsia" w:cstheme="minorBidi"/>
              <w:kern w:val="2"/>
              <w:sz w:val="21"/>
              <w:lang w:val="en-US" w:eastAsia="zh-CN"/>
            </w:rPr>
          </w:pPr>
          <w:r>
            <w:fldChar w:fldCharType="begin"/>
          </w:r>
          <w:r>
            <w:instrText xml:space="preserve"> HYPERLINK \l "_Toc68702124" </w:instrText>
          </w:r>
          <w:r>
            <w:fldChar w:fldCharType="separate"/>
          </w:r>
          <w:r>
            <w:rPr>
              <w:rStyle w:val="19"/>
              <w:rFonts w:ascii="仿宋_GB2312" w:eastAsia="仿宋_GB2312"/>
            </w:rPr>
            <w:t>（二）项目过程情况</w:t>
          </w:r>
          <w:r>
            <w:tab/>
          </w:r>
          <w:r>
            <w:rPr>
              <w:rFonts w:hint="eastAsia"/>
              <w:lang w:val="en-US" w:eastAsia="zh-CN"/>
            </w:rPr>
            <w:t>1</w:t>
          </w:r>
          <w:r>
            <w:fldChar w:fldCharType="end"/>
          </w:r>
          <w:r>
            <w:rPr>
              <w:rFonts w:hint="eastAsia"/>
              <w:lang w:val="en-US" w:eastAsia="zh-CN"/>
            </w:rPr>
            <w:t>0</w:t>
          </w:r>
        </w:p>
        <w:p>
          <w:pPr>
            <w:pStyle w:val="13"/>
            <w:tabs>
              <w:tab w:val="right" w:leader="dot" w:pos="8834"/>
            </w:tabs>
            <w:rPr>
              <w:rFonts w:cstheme="minorBidi"/>
              <w:kern w:val="2"/>
              <w:sz w:val="21"/>
            </w:rPr>
          </w:pPr>
          <w:r>
            <w:fldChar w:fldCharType="begin"/>
          </w:r>
          <w:r>
            <w:instrText xml:space="preserve"> HYPERLINK \l "_Toc68702125" </w:instrText>
          </w:r>
          <w:r>
            <w:fldChar w:fldCharType="separate"/>
          </w:r>
          <w:r>
            <w:rPr>
              <w:rStyle w:val="19"/>
              <w:rFonts w:ascii="仿宋_GB2312" w:eastAsia="仿宋_GB2312"/>
            </w:rPr>
            <w:t>（三）项目产出情况</w:t>
          </w:r>
          <w:r>
            <w:tab/>
          </w:r>
          <w:r>
            <w:fldChar w:fldCharType="begin"/>
          </w:r>
          <w:r>
            <w:instrText xml:space="preserve"> PAGEREF _Toc68702125 \h </w:instrText>
          </w:r>
          <w:r>
            <w:fldChar w:fldCharType="separate"/>
          </w:r>
          <w:r>
            <w:t>1</w:t>
          </w:r>
          <w:r>
            <w:rPr>
              <w:rFonts w:hint="eastAsia"/>
              <w:lang w:val="en-US" w:eastAsia="zh-CN"/>
            </w:rPr>
            <w:t>1</w:t>
          </w:r>
          <w:r>
            <w:fldChar w:fldCharType="end"/>
          </w:r>
          <w:r>
            <w:fldChar w:fldCharType="end"/>
          </w:r>
        </w:p>
        <w:p>
          <w:pPr>
            <w:pStyle w:val="13"/>
            <w:tabs>
              <w:tab w:val="right" w:leader="dot" w:pos="8834"/>
            </w:tabs>
            <w:rPr>
              <w:rFonts w:hint="eastAsia" w:eastAsiaTheme="minorEastAsia" w:cstheme="minorBidi"/>
              <w:kern w:val="2"/>
              <w:sz w:val="21"/>
              <w:lang w:val="en-US" w:eastAsia="zh-CN"/>
            </w:rPr>
          </w:pPr>
          <w:r>
            <w:fldChar w:fldCharType="begin"/>
          </w:r>
          <w:r>
            <w:instrText xml:space="preserve"> HYPERLINK \l "_Toc68702126" </w:instrText>
          </w:r>
          <w:r>
            <w:fldChar w:fldCharType="separate"/>
          </w:r>
          <w:r>
            <w:rPr>
              <w:rStyle w:val="19"/>
              <w:rFonts w:ascii="仿宋_GB2312" w:eastAsia="仿宋_GB2312"/>
            </w:rPr>
            <w:t>（四）项目效益情况</w:t>
          </w:r>
          <w:r>
            <w:tab/>
          </w:r>
          <w:r>
            <w:rPr>
              <w:rFonts w:hint="eastAsia"/>
              <w:lang w:val="en-US" w:eastAsia="zh-CN"/>
            </w:rPr>
            <w:t>1</w:t>
          </w:r>
          <w:r>
            <w:fldChar w:fldCharType="end"/>
          </w:r>
          <w:r>
            <w:rPr>
              <w:rFonts w:hint="eastAsia"/>
              <w:lang w:val="en-US" w:eastAsia="zh-CN"/>
            </w:rPr>
            <w:t>1</w:t>
          </w:r>
        </w:p>
        <w:p>
          <w:pPr>
            <w:pStyle w:val="12"/>
            <w:tabs>
              <w:tab w:val="right" w:leader="dot" w:pos="8834"/>
            </w:tabs>
            <w:rPr>
              <w:rFonts w:hint="eastAsia" w:eastAsiaTheme="minorEastAsia" w:cstheme="minorBidi"/>
              <w:kern w:val="2"/>
              <w:sz w:val="21"/>
              <w:lang w:val="en-US" w:eastAsia="zh-CN"/>
            </w:rPr>
          </w:pPr>
          <w:r>
            <w:fldChar w:fldCharType="begin"/>
          </w:r>
          <w:r>
            <w:instrText xml:space="preserve"> HYPERLINK \l "_Toc68702127" </w:instrText>
          </w:r>
          <w:r>
            <w:fldChar w:fldCharType="separate"/>
          </w:r>
          <w:r>
            <w:rPr>
              <w:rStyle w:val="19"/>
              <w:rFonts w:ascii="宋体" w:hAnsi="宋体" w:eastAsia="仿宋_GB2312"/>
            </w:rPr>
            <w:t>五、主要经验及做法、存在的问题及原因分析</w:t>
          </w:r>
          <w:r>
            <w:tab/>
          </w:r>
          <w:r>
            <w:rPr>
              <w:rFonts w:hint="eastAsia"/>
              <w:lang w:val="en-US" w:eastAsia="zh-CN"/>
            </w:rPr>
            <w:t>1</w:t>
          </w:r>
          <w:r>
            <w:fldChar w:fldCharType="end"/>
          </w:r>
          <w:r>
            <w:rPr>
              <w:rFonts w:hint="eastAsia"/>
              <w:lang w:val="en-US" w:eastAsia="zh-CN"/>
            </w:rPr>
            <w:t>2</w:t>
          </w:r>
        </w:p>
        <w:p>
          <w:pPr>
            <w:pStyle w:val="13"/>
            <w:tabs>
              <w:tab w:val="right" w:leader="dot" w:pos="8834"/>
            </w:tabs>
            <w:rPr>
              <w:rFonts w:hint="eastAsia" w:eastAsiaTheme="minorEastAsia" w:cstheme="minorBidi"/>
              <w:kern w:val="2"/>
              <w:sz w:val="21"/>
              <w:lang w:val="en-US" w:eastAsia="zh-CN"/>
            </w:rPr>
          </w:pPr>
          <w:r>
            <w:fldChar w:fldCharType="begin"/>
          </w:r>
          <w:r>
            <w:instrText xml:space="preserve"> HYPERLINK \l "_Toc68702128" </w:instrText>
          </w:r>
          <w:r>
            <w:fldChar w:fldCharType="separate"/>
          </w:r>
          <w:r>
            <w:rPr>
              <w:rStyle w:val="19"/>
              <w:rFonts w:ascii="仿宋_GB2312" w:eastAsia="仿宋_GB2312"/>
            </w:rPr>
            <w:t>（一）主要经验及做法</w:t>
          </w:r>
          <w:r>
            <w:tab/>
          </w:r>
          <w:r>
            <w:rPr>
              <w:rFonts w:hint="eastAsia"/>
              <w:lang w:val="en-US" w:eastAsia="zh-CN"/>
            </w:rPr>
            <w:t>1</w:t>
          </w:r>
          <w:r>
            <w:fldChar w:fldCharType="end"/>
          </w:r>
          <w:r>
            <w:rPr>
              <w:rFonts w:hint="eastAsia"/>
              <w:lang w:val="en-US" w:eastAsia="zh-CN"/>
            </w:rPr>
            <w:t>2</w:t>
          </w:r>
        </w:p>
        <w:p>
          <w:pPr>
            <w:pStyle w:val="13"/>
            <w:tabs>
              <w:tab w:val="right" w:leader="dot" w:pos="8834"/>
            </w:tabs>
            <w:rPr>
              <w:rFonts w:hint="eastAsia" w:eastAsiaTheme="minorEastAsia" w:cstheme="minorBidi"/>
              <w:kern w:val="2"/>
              <w:sz w:val="21"/>
              <w:lang w:val="en-US" w:eastAsia="zh-CN"/>
            </w:rPr>
          </w:pPr>
          <w:r>
            <w:fldChar w:fldCharType="begin"/>
          </w:r>
          <w:r>
            <w:instrText xml:space="preserve"> HYPERLINK \l "_Toc68702129" </w:instrText>
          </w:r>
          <w:r>
            <w:fldChar w:fldCharType="separate"/>
          </w:r>
          <w:r>
            <w:rPr>
              <w:rStyle w:val="19"/>
              <w:rFonts w:ascii="仿宋_GB2312" w:eastAsia="仿宋_GB2312"/>
            </w:rPr>
            <w:t>（二）存在的问题及原因分析</w:t>
          </w:r>
          <w:r>
            <w:tab/>
          </w:r>
          <w:r>
            <w:rPr>
              <w:rFonts w:hint="eastAsia"/>
              <w:lang w:val="en-US" w:eastAsia="zh-CN"/>
            </w:rPr>
            <w:t>1</w:t>
          </w:r>
          <w:r>
            <w:fldChar w:fldCharType="end"/>
          </w:r>
          <w:r>
            <w:rPr>
              <w:rFonts w:hint="eastAsia"/>
              <w:lang w:val="en-US" w:eastAsia="zh-CN"/>
            </w:rPr>
            <w:t>2</w:t>
          </w:r>
        </w:p>
        <w:p>
          <w:pPr>
            <w:pStyle w:val="12"/>
            <w:tabs>
              <w:tab w:val="right" w:leader="dot" w:pos="8834"/>
            </w:tabs>
            <w:rPr>
              <w:rFonts w:hint="eastAsia" w:eastAsiaTheme="minorEastAsia" w:cstheme="minorBidi"/>
              <w:kern w:val="2"/>
              <w:sz w:val="21"/>
              <w:lang w:val="en-US" w:eastAsia="zh-CN"/>
            </w:rPr>
          </w:pPr>
          <w:r>
            <w:fldChar w:fldCharType="begin"/>
          </w:r>
          <w:r>
            <w:instrText xml:space="preserve"> HYPERLINK \l "_Toc68702130" </w:instrText>
          </w:r>
          <w:r>
            <w:fldChar w:fldCharType="separate"/>
          </w:r>
          <w:r>
            <w:rPr>
              <w:rStyle w:val="19"/>
              <w:rFonts w:ascii="宋体" w:hAnsi="宋体" w:eastAsia="仿宋_GB2312"/>
            </w:rPr>
            <w:t>六、有关建议</w:t>
          </w:r>
          <w:r>
            <w:tab/>
          </w:r>
          <w:r>
            <w:rPr>
              <w:rFonts w:hint="eastAsia"/>
              <w:lang w:val="en-US" w:eastAsia="zh-CN"/>
            </w:rPr>
            <w:t>1</w:t>
          </w:r>
          <w:r>
            <w:fldChar w:fldCharType="end"/>
          </w:r>
          <w:r>
            <w:rPr>
              <w:rFonts w:hint="eastAsia"/>
              <w:lang w:val="en-US" w:eastAsia="zh-CN"/>
            </w:rPr>
            <w:t>2</w:t>
          </w:r>
        </w:p>
        <w:p>
          <w:pPr>
            <w:pStyle w:val="12"/>
            <w:tabs>
              <w:tab w:val="right" w:leader="dot" w:pos="8834"/>
            </w:tabs>
            <w:rPr>
              <w:rFonts w:hint="eastAsia" w:eastAsiaTheme="minorEastAsia" w:cstheme="minorBidi"/>
              <w:kern w:val="2"/>
              <w:sz w:val="21"/>
              <w:lang w:val="en-US" w:eastAsia="zh-CN"/>
            </w:rPr>
          </w:pPr>
          <w:r>
            <w:fldChar w:fldCharType="begin"/>
          </w:r>
          <w:r>
            <w:instrText xml:space="preserve"> HYPERLINK \l "_Toc68702131" </w:instrText>
          </w:r>
          <w:r>
            <w:fldChar w:fldCharType="separate"/>
          </w:r>
          <w:r>
            <w:rPr>
              <w:rStyle w:val="19"/>
              <w:rFonts w:ascii="宋体" w:hAnsi="宋体" w:eastAsia="仿宋_GB2312"/>
            </w:rPr>
            <w:t>七、其他需要说明的问题</w:t>
          </w:r>
          <w:r>
            <w:tab/>
          </w:r>
          <w:r>
            <w:rPr>
              <w:rFonts w:hint="eastAsia"/>
              <w:lang w:val="en-US" w:eastAsia="zh-CN"/>
            </w:rPr>
            <w:t>1</w:t>
          </w:r>
          <w:r>
            <w:fldChar w:fldCharType="end"/>
          </w:r>
          <w:r>
            <w:rPr>
              <w:rFonts w:hint="eastAsia"/>
              <w:lang w:val="en-US" w:eastAsia="zh-CN"/>
            </w:rPr>
            <w:t>2</w:t>
          </w:r>
        </w:p>
        <w:p>
          <w:r>
            <w:rPr>
              <w:b/>
              <w:bCs/>
              <w:lang w:val="zh-CN"/>
            </w:rPr>
            <w:fldChar w:fldCharType="end"/>
          </w:r>
        </w:p>
      </w:sdtContent>
    </w:sdt>
    <w:p>
      <w:pPr>
        <w:widowControl/>
        <w:jc w:val="left"/>
        <w:rPr>
          <w:rFonts w:ascii="宋体" w:hAnsi="宋体" w:eastAsia="仿宋_GB2312" w:cs="Arial"/>
          <w:b/>
          <w:bCs/>
          <w:sz w:val="36"/>
          <w:szCs w:val="36"/>
        </w:rPr>
      </w:pPr>
      <w:r>
        <w:rPr>
          <w:rFonts w:ascii="宋体" w:hAnsi="宋体" w:eastAsia="仿宋_GB2312" w:cs="Arial"/>
          <w:b/>
          <w:bCs/>
          <w:sz w:val="36"/>
          <w:szCs w:val="36"/>
        </w:rPr>
        <w:br w:type="page"/>
      </w:r>
    </w:p>
    <w:p>
      <w:pPr>
        <w:jc w:val="center"/>
        <w:rPr>
          <w:rFonts w:ascii="Arial" w:hAnsi="Arial" w:eastAsia="宋体" w:cs="Arial"/>
          <w:b/>
          <w:bCs/>
          <w:sz w:val="36"/>
          <w:szCs w:val="36"/>
        </w:rPr>
      </w:pPr>
      <w:r>
        <w:rPr>
          <w:rFonts w:hint="eastAsia" w:ascii="宋体" w:hAnsi="宋体" w:eastAsia="仿宋_GB2312" w:cs="Arial"/>
          <w:b/>
          <w:bCs/>
          <w:sz w:val="36"/>
          <w:szCs w:val="36"/>
        </w:rPr>
        <w:t>项目支出</w:t>
      </w:r>
      <w:r>
        <w:rPr>
          <w:rFonts w:ascii="宋体" w:hAnsi="宋体" w:eastAsia="仿宋_GB2312" w:cs="Arial"/>
          <w:b/>
          <w:bCs/>
          <w:sz w:val="36"/>
          <w:szCs w:val="36"/>
        </w:rPr>
        <w:t>绩效</w:t>
      </w:r>
      <w:r>
        <w:rPr>
          <w:rFonts w:hint="eastAsia" w:ascii="宋体" w:hAnsi="宋体" w:eastAsia="仿宋_GB2312" w:cs="Arial"/>
          <w:b/>
          <w:bCs/>
          <w:sz w:val="36"/>
          <w:szCs w:val="36"/>
        </w:rPr>
        <w:t>评价报告</w:t>
      </w:r>
    </w:p>
    <w:p>
      <w:pPr>
        <w:pStyle w:val="3"/>
        <w:spacing w:line="360" w:lineRule="auto"/>
        <w:rPr>
          <w:rFonts w:ascii="宋体" w:hAnsi="宋体" w:eastAsia="仿宋_GB2312"/>
          <w:sz w:val="32"/>
          <w:szCs w:val="32"/>
        </w:rPr>
      </w:pPr>
      <w:bookmarkStart w:id="0" w:name="_Toc68702112"/>
      <w:r>
        <w:rPr>
          <w:rFonts w:hint="eastAsia" w:ascii="宋体" w:hAnsi="宋体" w:eastAsia="仿宋_GB2312"/>
          <w:sz w:val="32"/>
          <w:szCs w:val="32"/>
        </w:rPr>
        <w:t>一、基本情况</w:t>
      </w:r>
      <w:bookmarkEnd w:id="0"/>
    </w:p>
    <w:p>
      <w:pPr>
        <w:pStyle w:val="4"/>
        <w:pageBreakBefore w:val="0"/>
        <w:widowControl w:val="0"/>
        <w:kinsoku/>
        <w:wordWrap/>
        <w:overflowPunct/>
        <w:topLinePunct w:val="0"/>
        <w:autoSpaceDE/>
        <w:autoSpaceDN/>
        <w:bidi w:val="0"/>
        <w:adjustRightInd/>
        <w:snapToGrid/>
        <w:spacing w:line="560" w:lineRule="exact"/>
        <w:textAlignment w:val="auto"/>
        <w:rPr>
          <w:rFonts w:ascii="仿宋_GB2312" w:eastAsia="仿宋_GB2312"/>
          <w:b w:val="0"/>
          <w:bCs w:val="0"/>
        </w:rPr>
      </w:pPr>
      <w:bookmarkStart w:id="1" w:name="_Toc68702113"/>
      <w:r>
        <w:rPr>
          <w:rFonts w:hint="eastAsia" w:ascii="仿宋_GB2312" w:eastAsia="仿宋_GB2312"/>
          <w:b w:val="0"/>
          <w:bCs w:val="0"/>
        </w:rPr>
        <w:t>（一）项目概况。</w:t>
      </w:r>
      <w:bookmarkEnd w:id="1"/>
    </w:p>
    <w:p>
      <w:pPr>
        <w:pageBreakBefore w:val="0"/>
        <w:widowControl w:val="0"/>
        <w:kinsoku/>
        <w:wordWrap/>
        <w:overflowPunct/>
        <w:topLinePunct w:val="0"/>
        <w:autoSpaceDE/>
        <w:autoSpaceDN/>
        <w:bidi w:val="0"/>
        <w:adjustRightInd/>
        <w:snapToGrid/>
        <w:spacing w:line="560" w:lineRule="exact"/>
        <w:ind w:firstLine="641"/>
        <w:textAlignment w:val="auto"/>
        <w:rPr>
          <w:rFonts w:hint="eastAsia"/>
          <w:b/>
          <w:bCs/>
          <w:sz w:val="32"/>
          <w:szCs w:val="32"/>
        </w:rPr>
      </w:pPr>
      <w:r>
        <w:rPr>
          <w:rFonts w:hint="eastAsia"/>
          <w:b/>
          <w:bCs/>
          <w:sz w:val="32"/>
          <w:szCs w:val="32"/>
        </w:rPr>
        <w:t>1、项目背景</w:t>
      </w:r>
    </w:p>
    <w:p>
      <w:pPr>
        <w:pageBreakBefore w:val="0"/>
        <w:widowControl w:val="0"/>
        <w:kinsoku/>
        <w:wordWrap/>
        <w:overflowPunct/>
        <w:topLinePunct w:val="0"/>
        <w:autoSpaceDE/>
        <w:autoSpaceDN/>
        <w:bidi w:val="0"/>
        <w:adjustRightInd/>
        <w:snapToGrid/>
        <w:spacing w:line="560" w:lineRule="exact"/>
        <w:ind w:firstLine="641"/>
        <w:textAlignment w:val="auto"/>
        <w:rPr>
          <w:rFonts w:hint="eastAsia" w:eastAsia="宋体"/>
          <w:b/>
          <w:bCs/>
          <w:sz w:val="32"/>
          <w:szCs w:val="32"/>
          <w:lang w:val="en-US" w:eastAsia="zh-CN"/>
        </w:rPr>
      </w:pPr>
      <w:r>
        <w:rPr>
          <w:rFonts w:ascii="仿宋_GB2312" w:hAnsi="Times New Roman" w:cs="Times New Roman"/>
          <w:sz w:val="28"/>
          <w:szCs w:val="28"/>
        </w:rPr>
        <w:t>根据国家总局的要求</w:t>
      </w:r>
      <w:r>
        <w:rPr>
          <w:rFonts w:hint="eastAsia" w:ascii="仿宋_GB2312" w:hAnsi="Times New Roman" w:cs="Times New Roman"/>
          <w:sz w:val="28"/>
          <w:szCs w:val="28"/>
          <w:lang w:val="en-US" w:eastAsia="zh-CN"/>
        </w:rPr>
        <w:t>和</w:t>
      </w:r>
      <w:r>
        <w:rPr>
          <w:rFonts w:hint="eastAsia" w:ascii="仿宋_GB2312" w:hAnsi="Times New Roman" w:cs="Times New Roman"/>
          <w:sz w:val="28"/>
          <w:szCs w:val="28"/>
        </w:rPr>
        <w:t>《</w:t>
      </w:r>
      <w:r>
        <w:rPr>
          <w:rFonts w:hint="eastAsia" w:ascii="仿宋_GB2312" w:hAnsi="Times New Roman" w:cs="Times New Roman"/>
          <w:sz w:val="28"/>
          <w:szCs w:val="28"/>
          <w:lang w:val="en-US" w:eastAsia="zh-CN"/>
        </w:rPr>
        <w:t>自治区关于下达2023年食品安全专项监督抽检任务</w:t>
      </w:r>
      <w:r>
        <w:rPr>
          <w:rFonts w:ascii="仿宋_GB2312" w:hAnsi="Times New Roman" w:cs="Times New Roman"/>
          <w:sz w:val="28"/>
          <w:szCs w:val="28"/>
        </w:rPr>
        <w:t>的通知</w:t>
      </w:r>
      <w:r>
        <w:rPr>
          <w:rFonts w:hint="eastAsia" w:ascii="仿宋_GB2312" w:hAnsi="Times New Roman" w:cs="Times New Roman"/>
          <w:sz w:val="28"/>
          <w:szCs w:val="28"/>
        </w:rPr>
        <w:t>》</w:t>
      </w:r>
      <w:r>
        <w:rPr>
          <w:rFonts w:hint="eastAsia" w:ascii="仿宋_GB2312" w:hAnsi="Times New Roman" w:cs="Times New Roman"/>
          <w:sz w:val="28"/>
          <w:szCs w:val="28"/>
          <w:lang w:val="en-US" w:eastAsia="zh-CN"/>
        </w:rPr>
        <w:t>,</w:t>
      </w:r>
      <w:r>
        <w:rPr>
          <w:rFonts w:ascii="仿宋_GB2312" w:hAnsi="Times New Roman" w:cs="Times New Roman"/>
          <w:sz w:val="28"/>
          <w:szCs w:val="28"/>
        </w:rPr>
        <w:t>本次承担全疆各地州县范围内</w:t>
      </w:r>
      <w:r>
        <w:rPr>
          <w:rFonts w:hint="eastAsia" w:ascii="仿宋_GB2312" w:cs="Times New Roman"/>
          <w:sz w:val="28"/>
          <w:szCs w:val="28"/>
          <w:lang w:val="en-US" w:eastAsia="zh-CN"/>
        </w:rPr>
        <w:t>6277</w:t>
      </w:r>
      <w:r>
        <w:rPr>
          <w:rFonts w:ascii="仿宋_GB2312" w:hAnsi="Times New Roman" w:cs="Times New Roman"/>
          <w:sz w:val="28"/>
          <w:szCs w:val="28"/>
        </w:rPr>
        <w:t>余批次食品的抽检检测工作</w:t>
      </w:r>
      <w:r>
        <w:rPr>
          <w:rFonts w:ascii="仿宋_GB2312" w:hAnsi="Times New Roman" w:cs="Times New Roman"/>
        </w:rPr>
        <w:t>；</w:t>
      </w:r>
      <w:r>
        <w:rPr>
          <w:rFonts w:ascii="仿宋_GB2312" w:hAnsi="Times New Roman" w:cs="Times New Roman"/>
          <w:sz w:val="28"/>
          <w:szCs w:val="28"/>
        </w:rPr>
        <w:t>有效加强食品安全监督工作，全面提高检测能力，为全疆食品安全保驾护航</w:t>
      </w:r>
      <w:r>
        <w:rPr>
          <w:rFonts w:ascii="仿宋_GB2312" w:hAnsi="Times New Roman" w:cs="Times New Roman"/>
        </w:rPr>
        <w:t>。</w:t>
      </w:r>
    </w:p>
    <w:p>
      <w:pPr>
        <w:spacing w:line="600" w:lineRule="exact"/>
        <w:ind w:firstLine="641"/>
        <w:rPr>
          <w:b/>
          <w:bCs/>
          <w:sz w:val="32"/>
          <w:szCs w:val="32"/>
        </w:rPr>
      </w:pPr>
      <w:r>
        <w:rPr>
          <w:rFonts w:hint="eastAsia"/>
          <w:b/>
          <w:bCs/>
          <w:sz w:val="32"/>
          <w:szCs w:val="32"/>
        </w:rPr>
        <w:t>2、主要内容及实施情况</w:t>
      </w:r>
    </w:p>
    <w:p>
      <w:pPr>
        <w:spacing w:line="360" w:lineRule="auto"/>
        <w:ind w:firstLine="560" w:firstLineChars="200"/>
        <w:rPr>
          <w:rFonts w:hint="eastAsia" w:ascii="宋体" w:hAnsi="宋体" w:eastAsia="仿宋_GB2312" w:cs="宋体"/>
          <w:sz w:val="28"/>
          <w:szCs w:val="28"/>
          <w:lang w:val="en-US" w:eastAsia="zh-CN"/>
        </w:rPr>
      </w:pPr>
      <w:r>
        <w:rPr>
          <w:rFonts w:hint="eastAsia" w:ascii="仿宋_GB2312"/>
          <w:sz w:val="28"/>
          <w:szCs w:val="28"/>
        </w:rPr>
        <w:t>主要内容：</w:t>
      </w:r>
      <w:r>
        <w:rPr>
          <w:rFonts w:hint="eastAsia" w:ascii="宋体" w:hAnsi="宋体" w:eastAsia="仿宋_GB2312" w:cs="宋体"/>
          <w:sz w:val="28"/>
          <w:szCs w:val="28"/>
          <w:lang w:val="en-US" w:eastAsia="zh-CN"/>
        </w:rPr>
        <w:t>对全疆各地州县</w:t>
      </w:r>
      <w:r>
        <w:rPr>
          <w:rFonts w:hint="eastAsia" w:ascii="宋体" w:hAnsi="宋体" w:eastAsia="仿宋_GB2312" w:cs="宋体"/>
          <w:sz w:val="28"/>
          <w:szCs w:val="28"/>
        </w:rPr>
        <w:t>范围内</w:t>
      </w:r>
      <w:r>
        <w:rPr>
          <w:rFonts w:hint="eastAsia" w:ascii="宋体" w:hAnsi="宋体" w:eastAsia="仿宋_GB2312" w:cs="宋体"/>
          <w:sz w:val="28"/>
          <w:szCs w:val="28"/>
          <w:lang w:val="en-US" w:eastAsia="zh-CN"/>
        </w:rPr>
        <w:t>食用农产品、餐饮食品进行抽检检测</w:t>
      </w:r>
      <w:r>
        <w:rPr>
          <w:rFonts w:hint="eastAsia" w:ascii="宋体" w:hAnsi="宋体" w:eastAsia="仿宋_GB2312" w:cs="宋体"/>
          <w:sz w:val="28"/>
          <w:szCs w:val="28"/>
        </w:rPr>
        <w:t>工作</w:t>
      </w:r>
      <w:r>
        <w:rPr>
          <w:rFonts w:hint="eastAsia" w:ascii="宋体" w:hAnsi="宋体" w:eastAsia="仿宋_GB2312" w:cs="宋体"/>
          <w:sz w:val="28"/>
          <w:szCs w:val="28"/>
          <w:lang w:eastAsia="zh-CN"/>
        </w:rPr>
        <w:t>。</w:t>
      </w:r>
    </w:p>
    <w:p>
      <w:pPr>
        <w:spacing w:line="360" w:lineRule="auto"/>
        <w:ind w:firstLine="560" w:firstLineChars="200"/>
        <w:rPr>
          <w:rFonts w:ascii="仿宋_GB2312"/>
          <w:sz w:val="28"/>
          <w:szCs w:val="28"/>
        </w:rPr>
      </w:pPr>
      <w:r>
        <w:rPr>
          <w:rFonts w:hint="eastAsia" w:ascii="仿宋_GB2312"/>
          <w:sz w:val="28"/>
          <w:szCs w:val="28"/>
        </w:rPr>
        <w:t>实施情况：</w:t>
      </w:r>
      <w:r>
        <w:rPr>
          <w:rFonts w:ascii="仿宋_GB2312"/>
          <w:sz w:val="28"/>
          <w:szCs w:val="28"/>
        </w:rPr>
        <w:t>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560" w:firstLineChars="200"/>
        <w:rPr>
          <w:rFonts w:eastAsia="仿宋_GB2312"/>
          <w:sz w:val="28"/>
          <w:szCs w:val="28"/>
          <w:highlight w:val="none"/>
        </w:rPr>
      </w:pPr>
      <w:r>
        <w:rPr>
          <w:rFonts w:eastAsia="仿宋_GB2312"/>
          <w:sz w:val="28"/>
          <w:szCs w:val="28"/>
        </w:rPr>
        <w:t>本项目总投资</w:t>
      </w:r>
      <w:r>
        <w:rPr>
          <w:rFonts w:hint="eastAsia" w:ascii="宋体" w:hAnsi="宋体" w:eastAsia="仿宋_GB2312"/>
          <w:sz w:val="28"/>
          <w:szCs w:val="28"/>
          <w:lang w:val="en-US" w:eastAsia="zh-CN"/>
        </w:rPr>
        <w:t>1129.85</w:t>
      </w:r>
      <w:r>
        <w:rPr>
          <w:rFonts w:eastAsia="仿宋_GB2312"/>
          <w:sz w:val="28"/>
          <w:szCs w:val="28"/>
          <w:highlight w:val="none"/>
        </w:rPr>
        <w:t>万元，其中：财政本级资金</w:t>
      </w:r>
      <w:r>
        <w:rPr>
          <w:rFonts w:hint="eastAsia" w:ascii="宋体" w:hAnsi="宋体" w:eastAsia="仿宋_GB2312"/>
          <w:sz w:val="28"/>
          <w:szCs w:val="28"/>
          <w:lang w:val="en-US" w:eastAsia="zh-CN"/>
        </w:rPr>
        <w:t>1129.85</w:t>
      </w:r>
      <w:r>
        <w:rPr>
          <w:rFonts w:eastAsia="仿宋_GB2312"/>
          <w:sz w:val="28"/>
          <w:szCs w:val="28"/>
          <w:highlight w:val="none"/>
        </w:rPr>
        <w:t>万元。项目实际支出</w:t>
      </w:r>
      <w:r>
        <w:rPr>
          <w:rFonts w:hint="eastAsia" w:ascii="宋体" w:hAnsi="宋体" w:eastAsia="仿宋_GB2312"/>
          <w:sz w:val="28"/>
          <w:szCs w:val="28"/>
          <w:lang w:val="en-US" w:eastAsia="zh-CN"/>
        </w:rPr>
        <w:t>1129.85</w:t>
      </w:r>
      <w:r>
        <w:rPr>
          <w:rFonts w:eastAsia="仿宋_GB2312"/>
          <w:sz w:val="28"/>
          <w:szCs w:val="28"/>
          <w:highlight w:val="none"/>
        </w:rPr>
        <w:t>万元，支出率为100%。</w:t>
      </w:r>
    </w:p>
    <w:p>
      <w:pPr>
        <w:spacing w:line="600" w:lineRule="exact"/>
        <w:ind w:firstLine="643" w:firstLineChars="200"/>
        <w:rPr>
          <w:b/>
          <w:bCs/>
          <w:sz w:val="32"/>
          <w:szCs w:val="32"/>
        </w:rPr>
      </w:pPr>
      <w:r>
        <w:rPr>
          <w:b/>
          <w:bCs/>
          <w:sz w:val="32"/>
          <w:szCs w:val="32"/>
        </w:rPr>
        <w:t>3</w:t>
      </w:r>
      <w:r>
        <w:rPr>
          <w:rFonts w:hint="eastAsia"/>
          <w:b/>
          <w:bCs/>
          <w:sz w:val="32"/>
          <w:szCs w:val="32"/>
        </w:rPr>
        <w:t>、资金投入和使用情况</w:t>
      </w:r>
    </w:p>
    <w:p>
      <w:pPr>
        <w:spacing w:line="360" w:lineRule="auto"/>
        <w:ind w:firstLine="560" w:firstLineChars="200"/>
        <w:rPr>
          <w:rFonts w:hint="eastAsia" w:ascii="仿宋_GB2312" w:hAnsi="Times New Roman" w:cs="Times New Roman"/>
          <w:sz w:val="28"/>
          <w:szCs w:val="28"/>
          <w:lang w:val="en-US" w:eastAsia="zh-CN"/>
        </w:rPr>
      </w:pPr>
      <w:r>
        <w:rPr>
          <w:rFonts w:hint="eastAsia" w:ascii="仿宋_GB2312" w:hAnsi="Times New Roman" w:cs="Times New Roman"/>
          <w:sz w:val="28"/>
          <w:szCs w:val="28"/>
        </w:rPr>
        <w:t>资金投入情况：该项目年初预算数</w:t>
      </w:r>
      <w:r>
        <w:rPr>
          <w:rFonts w:hint="eastAsia" w:ascii="仿宋_GB2312" w:cs="Times New Roman"/>
          <w:sz w:val="28"/>
          <w:szCs w:val="28"/>
          <w:lang w:val="en-US" w:eastAsia="zh-CN"/>
        </w:rPr>
        <w:t>1129.85</w:t>
      </w:r>
      <w:r>
        <w:rPr>
          <w:rFonts w:hint="eastAsia" w:ascii="仿宋_GB2312" w:hAnsi="Times New Roman" w:cs="Times New Roman"/>
          <w:sz w:val="28"/>
          <w:szCs w:val="28"/>
        </w:rPr>
        <w:t>万元，全年预算数</w:t>
      </w:r>
      <w:r>
        <w:rPr>
          <w:rFonts w:hint="eastAsia" w:ascii="仿宋_GB2312" w:cs="Times New Roman"/>
          <w:sz w:val="28"/>
          <w:szCs w:val="28"/>
          <w:lang w:val="en-US" w:eastAsia="zh-CN"/>
        </w:rPr>
        <w:t>1129.85</w:t>
      </w:r>
      <w:r>
        <w:rPr>
          <w:rFonts w:hint="eastAsia" w:ascii="仿宋_GB2312" w:hAnsi="Times New Roman" w:cs="Times New Roman"/>
          <w:sz w:val="28"/>
          <w:szCs w:val="28"/>
        </w:rPr>
        <w:t>万元，实际总投入</w:t>
      </w:r>
      <w:r>
        <w:rPr>
          <w:rFonts w:hint="eastAsia" w:ascii="仿宋_GB2312" w:cs="Times New Roman"/>
          <w:sz w:val="28"/>
          <w:szCs w:val="28"/>
          <w:lang w:val="en-US" w:eastAsia="zh-CN"/>
        </w:rPr>
        <w:t>1129.85</w:t>
      </w:r>
      <w:r>
        <w:rPr>
          <w:rFonts w:hint="eastAsia" w:ascii="仿宋_GB2312" w:hAnsi="Times New Roman" w:cs="Times New Roman"/>
          <w:sz w:val="28"/>
          <w:szCs w:val="28"/>
        </w:rPr>
        <w:t>万元，该项目资金已全部落实到位，资金来源为</w:t>
      </w:r>
      <w:r>
        <w:rPr>
          <w:rFonts w:hint="eastAsia" w:ascii="仿宋_GB2312" w:cs="Times New Roman"/>
          <w:sz w:val="28"/>
          <w:szCs w:val="28"/>
          <w:lang w:val="en-US" w:eastAsia="zh-CN"/>
        </w:rPr>
        <w:t>财政拨款</w:t>
      </w:r>
      <w:r>
        <w:rPr>
          <w:rFonts w:hint="eastAsia" w:ascii="仿宋_GB2312" w:hAnsi="Times New Roman" w:cs="Times New Roman"/>
          <w:sz w:val="28"/>
          <w:szCs w:val="28"/>
          <w:lang w:val="en-US" w:eastAsia="zh-CN"/>
        </w:rPr>
        <w:t>。</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color w:val="FF0000"/>
          <w:sz w:val="28"/>
          <w:szCs w:val="28"/>
          <w:lang w:val="en-US"/>
        </w:rPr>
      </w:pPr>
      <w:r>
        <w:rPr>
          <w:rFonts w:hint="eastAsia"/>
          <w:sz w:val="28"/>
          <w:szCs w:val="28"/>
        </w:rPr>
        <w:t>资金使用情况：</w:t>
      </w:r>
      <w:r>
        <w:rPr>
          <w:rFonts w:hint="eastAsia" w:ascii="Times New Roman" w:hAnsi="Times New Roman" w:eastAsia="仿宋_GB2312"/>
          <w:b w:val="0"/>
          <w:bCs w:val="0"/>
          <w:kern w:val="2"/>
          <w:sz w:val="28"/>
          <w:szCs w:val="28"/>
          <w:highlight w:val="none"/>
        </w:rPr>
        <w:t>该项目年初预算数</w:t>
      </w:r>
      <w:r>
        <w:rPr>
          <w:rFonts w:hint="eastAsia" w:ascii="宋体" w:hAnsi="宋体" w:eastAsia="仿宋_GB2312"/>
          <w:sz w:val="28"/>
          <w:szCs w:val="28"/>
          <w:lang w:val="en-US" w:eastAsia="zh-CN"/>
        </w:rPr>
        <w:t>1129.85</w:t>
      </w:r>
      <w:r>
        <w:rPr>
          <w:rFonts w:hint="eastAsia" w:ascii="Times New Roman" w:hAnsi="Times New Roman" w:eastAsia="仿宋_GB2312"/>
          <w:b w:val="0"/>
          <w:bCs w:val="0"/>
          <w:kern w:val="2"/>
          <w:sz w:val="28"/>
          <w:szCs w:val="28"/>
          <w:highlight w:val="none"/>
        </w:rPr>
        <w:t>万元，全年预算数</w:t>
      </w:r>
      <w:r>
        <w:rPr>
          <w:rFonts w:hint="eastAsia" w:ascii="宋体" w:hAnsi="宋体" w:eastAsia="仿宋_GB2312"/>
          <w:sz w:val="28"/>
          <w:szCs w:val="28"/>
          <w:lang w:val="en-US" w:eastAsia="zh-CN"/>
        </w:rPr>
        <w:t>1129.85</w:t>
      </w:r>
      <w:r>
        <w:rPr>
          <w:rFonts w:hint="eastAsia" w:ascii="Times New Roman" w:hAnsi="Times New Roman" w:eastAsia="仿宋_GB2312"/>
          <w:b w:val="0"/>
          <w:bCs w:val="0"/>
          <w:kern w:val="2"/>
          <w:sz w:val="28"/>
          <w:szCs w:val="28"/>
          <w:highlight w:val="none"/>
        </w:rPr>
        <w:t>万元</w:t>
      </w:r>
      <w:r>
        <w:rPr>
          <w:rFonts w:hint="eastAsia" w:ascii="Times New Roman" w:hAnsi="Times New Roman" w:eastAsia="仿宋_GB2312"/>
          <w:b w:val="0"/>
          <w:bCs w:val="0"/>
          <w:kern w:val="2"/>
          <w:sz w:val="28"/>
          <w:szCs w:val="28"/>
          <w:highlight w:val="none"/>
          <w:lang w:val="en-US" w:eastAsia="zh-CN"/>
        </w:rPr>
        <w:t>,</w:t>
      </w:r>
      <w:r>
        <w:rPr>
          <w:rFonts w:hint="eastAsia" w:ascii="Times New Roman" w:hAnsi="Times New Roman" w:eastAsia="仿宋_GB2312"/>
          <w:b w:val="0"/>
          <w:bCs w:val="0"/>
          <w:color w:val="auto"/>
          <w:kern w:val="2"/>
          <w:sz w:val="28"/>
          <w:szCs w:val="28"/>
          <w:highlight w:val="none"/>
        </w:rPr>
        <w:t>全年执行数</w:t>
      </w:r>
      <w:r>
        <w:rPr>
          <w:rFonts w:hint="eastAsia" w:ascii="宋体" w:hAnsi="宋体" w:eastAsia="仿宋_GB2312"/>
          <w:sz w:val="28"/>
          <w:szCs w:val="28"/>
          <w:lang w:val="en-US" w:eastAsia="zh-CN"/>
        </w:rPr>
        <w:t>1129.85</w:t>
      </w:r>
      <w:r>
        <w:rPr>
          <w:rFonts w:hint="eastAsia" w:ascii="Times New Roman" w:hAnsi="Times New Roman" w:eastAsia="仿宋_GB2312"/>
          <w:b w:val="0"/>
          <w:bCs w:val="0"/>
          <w:color w:val="auto"/>
          <w:kern w:val="2"/>
          <w:sz w:val="28"/>
          <w:szCs w:val="28"/>
          <w:highlight w:val="none"/>
        </w:rPr>
        <w:t>万元，预算执行率为</w:t>
      </w:r>
      <w:r>
        <w:rPr>
          <w:rFonts w:hint="eastAsia" w:ascii="Times New Roman" w:hAnsi="Times New Roman" w:eastAsia="仿宋_GB2312"/>
          <w:b w:val="0"/>
          <w:bCs w:val="0"/>
          <w:color w:val="auto"/>
          <w:kern w:val="2"/>
          <w:sz w:val="28"/>
          <w:szCs w:val="28"/>
          <w:highlight w:val="none"/>
          <w:lang w:val="en-US" w:eastAsia="zh-CN"/>
        </w:rPr>
        <w:t>100</w:t>
      </w:r>
      <w:r>
        <w:rPr>
          <w:rFonts w:hint="eastAsia" w:ascii="Times New Roman" w:hAnsi="Times New Roman" w:eastAsia="仿宋_GB2312"/>
          <w:b w:val="0"/>
          <w:bCs w:val="0"/>
          <w:color w:val="auto"/>
          <w:kern w:val="2"/>
          <w:sz w:val="28"/>
          <w:szCs w:val="28"/>
          <w:highlight w:val="none"/>
        </w:rPr>
        <w:t>%，主要</w:t>
      </w:r>
      <w:r>
        <w:rPr>
          <w:rFonts w:ascii="Times New Roman" w:hAnsi="Times New Roman" w:eastAsia="仿宋_GB2312"/>
          <w:b w:val="0"/>
          <w:bCs w:val="0"/>
          <w:color w:val="auto"/>
          <w:kern w:val="2"/>
          <w:sz w:val="28"/>
          <w:szCs w:val="28"/>
          <w:highlight w:val="none"/>
        </w:rPr>
        <w:t>用于</w:t>
      </w:r>
      <w:r>
        <w:rPr>
          <w:rFonts w:hint="eastAsia" w:ascii="Times New Roman" w:hAnsi="Times New Roman" w:eastAsia="仿宋_GB2312"/>
          <w:b w:val="0"/>
          <w:bCs w:val="0"/>
          <w:color w:val="auto"/>
          <w:kern w:val="2"/>
          <w:sz w:val="28"/>
          <w:szCs w:val="28"/>
          <w:highlight w:val="none"/>
        </w:rPr>
        <w:t>：</w:t>
      </w:r>
      <w:r>
        <w:rPr>
          <w:rFonts w:hint="eastAsia" w:ascii="Times New Roman" w:hAnsi="Times New Roman" w:eastAsia="仿宋_GB2312"/>
          <w:b w:val="0"/>
          <w:bCs w:val="0"/>
          <w:color w:val="auto"/>
          <w:kern w:val="2"/>
          <w:sz w:val="28"/>
          <w:szCs w:val="28"/>
          <w:highlight w:val="none"/>
          <w:lang w:val="en-US" w:eastAsia="zh-CN"/>
        </w:rPr>
        <w:t>食品</w:t>
      </w:r>
      <w:r>
        <w:rPr>
          <w:rFonts w:hint="eastAsia"/>
          <w:b w:val="0"/>
          <w:bCs w:val="0"/>
          <w:color w:val="auto"/>
          <w:kern w:val="2"/>
          <w:sz w:val="28"/>
          <w:szCs w:val="28"/>
          <w:highlight w:val="none"/>
          <w:lang w:val="en-US" w:eastAsia="zh-CN"/>
        </w:rPr>
        <w:t>抽检成本。</w:t>
      </w:r>
    </w:p>
    <w:p>
      <w:pPr>
        <w:pStyle w:val="4"/>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b w:val="0"/>
          <w:bCs w:val="0"/>
        </w:rPr>
      </w:pPr>
      <w:bookmarkStart w:id="2" w:name="_Toc68702114"/>
      <w:r>
        <w:rPr>
          <w:rFonts w:hint="eastAsia" w:ascii="仿宋_GB2312" w:eastAsia="仿宋_GB2312"/>
          <w:b w:val="0"/>
          <w:bCs w:val="0"/>
        </w:rPr>
        <w:t>（二）项目绩效目标。</w:t>
      </w:r>
      <w:bookmarkEnd w:id="2"/>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highlight w:val="none"/>
        </w:rPr>
      </w:pPr>
      <w:r>
        <w:rPr>
          <w:rFonts w:hint="eastAsia"/>
        </w:rPr>
        <w:t>1、总体</w:t>
      </w:r>
      <w:r>
        <w:rPr>
          <w:rFonts w:hint="eastAsia"/>
          <w:highlight w:val="none"/>
        </w:rPr>
        <w:t>目标：</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sz w:val="28"/>
          <w:szCs w:val="28"/>
          <w:highlight w:val="none"/>
          <w:lang w:val="en-US" w:eastAsia="zh-CN"/>
        </w:rPr>
      </w:pPr>
      <w:r>
        <w:rPr>
          <w:rFonts w:hint="eastAsia" w:ascii="Times New Roman" w:hAnsi="Times New Roman" w:cs="Times New Roman"/>
          <w:sz w:val="28"/>
          <w:szCs w:val="28"/>
          <w:highlight w:val="none"/>
          <w:lang w:val="en-US" w:eastAsia="zh-CN"/>
        </w:rPr>
        <w:t>绩效目标为完成2023年抽检监测任务</w:t>
      </w:r>
      <w:r>
        <w:rPr>
          <w:rFonts w:hint="eastAsia" w:cs="Times New Roman"/>
          <w:sz w:val="28"/>
          <w:szCs w:val="28"/>
          <w:highlight w:val="none"/>
          <w:lang w:val="en-US" w:eastAsia="zh-CN"/>
        </w:rPr>
        <w:t>6277</w:t>
      </w:r>
      <w:r>
        <w:rPr>
          <w:rFonts w:hint="eastAsia" w:ascii="Times New Roman" w:hAnsi="Times New Roman" w:cs="Times New Roman"/>
          <w:sz w:val="28"/>
          <w:szCs w:val="28"/>
          <w:highlight w:val="none"/>
          <w:lang w:val="en-US" w:eastAsia="zh-CN"/>
        </w:rPr>
        <w:t>余批次，食品安全抽检监测系统运行正常，食品安全监督抽检信息按要求公示；对食品抽检不合格和问题食品核查处置；进行食品安全风险预警交流。</w:t>
      </w:r>
    </w:p>
    <w:p>
      <w:pPr>
        <w:numPr>
          <w:ilvl w:val="0"/>
          <w:numId w:val="0"/>
        </w:numPr>
        <w:spacing w:line="560" w:lineRule="exact"/>
        <w:ind w:firstLine="640" w:firstLineChars="200"/>
        <w:rPr>
          <w:rFonts w:hint="default"/>
          <w:lang w:val="en-US"/>
        </w:rPr>
      </w:pPr>
      <w:r>
        <w:rPr>
          <w:rFonts w:hint="eastAsia" w:ascii="仿宋_GB2312" w:hAnsi="仿宋_GB2312" w:eastAsia="仿宋_GB2312" w:cs="仿宋_GB2312"/>
          <w:sz w:val="32"/>
          <w:szCs w:val="32"/>
          <w:highlight w:val="none"/>
        </w:rPr>
        <w:t>2、阶段性目标</w:t>
      </w:r>
      <w:r>
        <w:rPr>
          <w:rFonts w:hint="eastAsia"/>
          <w:sz w:val="28"/>
          <w:szCs w:val="36"/>
          <w:highlight w:val="none"/>
          <w:lang w:val="en-US" w:eastAsia="zh-CN"/>
        </w:rPr>
        <w:t>我院按计划4-6月开展网络食品、进口食品、</w:t>
      </w:r>
      <w:r>
        <w:rPr>
          <w:rFonts w:hint="eastAsia"/>
          <w:sz w:val="28"/>
          <w:szCs w:val="36"/>
          <w:lang w:val="en-US" w:eastAsia="zh-CN"/>
        </w:rPr>
        <w:t>你点我检等监督抽检1267批次；11-12月监督抽检4375批次、风险监测635批次。</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仿宋_GB2312"/>
          <w:sz w:val="32"/>
          <w:szCs w:val="32"/>
        </w:rPr>
      </w:pPr>
      <w:bookmarkStart w:id="3" w:name="_Toc68702115"/>
      <w:r>
        <w:rPr>
          <w:rFonts w:hint="eastAsia" w:ascii="宋体" w:hAnsi="宋体" w:eastAsia="仿宋_GB2312"/>
          <w:sz w:val="32"/>
          <w:szCs w:val="32"/>
        </w:rPr>
        <w:t>二、绩效评价工作开展情况</w:t>
      </w:r>
      <w:bookmarkEnd w:id="3"/>
    </w:p>
    <w:p>
      <w:pPr>
        <w:pStyle w:val="4"/>
        <w:pageBreakBefore w:val="0"/>
        <w:widowControl w:val="0"/>
        <w:kinsoku/>
        <w:wordWrap/>
        <w:overflowPunct/>
        <w:topLinePunct w:val="0"/>
        <w:autoSpaceDE/>
        <w:autoSpaceDN/>
        <w:bidi w:val="0"/>
        <w:adjustRightInd/>
        <w:snapToGrid/>
        <w:spacing w:line="560" w:lineRule="exact"/>
        <w:textAlignment w:val="auto"/>
        <w:rPr>
          <w:rFonts w:ascii="仿宋_GB2312" w:eastAsia="仿宋_GB2312"/>
          <w:b w:val="0"/>
          <w:bCs w:val="0"/>
        </w:rPr>
      </w:pPr>
      <w:bookmarkStart w:id="4" w:name="_Toc68702116"/>
      <w:r>
        <w:rPr>
          <w:rFonts w:hint="eastAsia" w:ascii="仿宋_GB2312" w:eastAsia="仿宋_GB2312"/>
          <w:b w:val="0"/>
          <w:bCs w:val="0"/>
        </w:rPr>
        <w:t>（一）绩效评价目的、对象和范围。</w:t>
      </w:r>
      <w:bookmarkEnd w:id="4"/>
    </w:p>
    <w:p>
      <w:pPr>
        <w:pageBreakBefore w:val="0"/>
        <w:widowControl w:val="0"/>
        <w:kinsoku/>
        <w:wordWrap/>
        <w:overflowPunct/>
        <w:topLinePunct w:val="0"/>
        <w:autoSpaceDE/>
        <w:autoSpaceDN/>
        <w:bidi w:val="0"/>
        <w:adjustRightInd/>
        <w:snapToGrid/>
        <w:spacing w:line="560" w:lineRule="exact"/>
        <w:textAlignment w:val="auto"/>
      </w:pPr>
      <w:r>
        <w:rPr>
          <w:rFonts w:hint="eastAsia"/>
          <w:sz w:val="32"/>
          <w:szCs w:val="32"/>
        </w:rPr>
        <w:t>1、绩效评价目的</w:t>
      </w:r>
      <w:r>
        <w:rPr>
          <w:rFonts w:hint="eastAsia"/>
        </w:rPr>
        <w:t>：</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600" w:lineRule="exact"/>
        <w:ind w:firstLine="560" w:firstLineChars="200"/>
        <w:rPr>
          <w:sz w:val="28"/>
          <w:szCs w:val="28"/>
        </w:rPr>
      </w:pPr>
      <w:r>
        <w:rPr>
          <w:sz w:val="28"/>
          <w:szCs w:val="28"/>
        </w:rPr>
        <w:t>项目在实施前向项目负责人提供财政支出绩效方面的资金管理信息，促进项目支出严格按照资金管理规定进行。</w:t>
      </w:r>
    </w:p>
    <w:p>
      <w:pPr>
        <w:spacing w:line="600" w:lineRule="exact"/>
        <w:ind w:firstLine="560" w:firstLineChars="200"/>
        <w:rPr>
          <w:sz w:val="28"/>
          <w:szCs w:val="28"/>
        </w:rPr>
      </w:pPr>
      <w:r>
        <w:rPr>
          <w:sz w:val="28"/>
          <w:szCs w:val="28"/>
        </w:rPr>
        <w:t>（2）项目绩效管理财政支出运行提供及时、有效的信息。</w:t>
      </w:r>
    </w:p>
    <w:p>
      <w:pPr>
        <w:spacing w:line="600" w:lineRule="exact"/>
        <w:rPr>
          <w:sz w:val="28"/>
          <w:szCs w:val="28"/>
        </w:rPr>
      </w:pPr>
      <w:r>
        <w:rPr>
          <w:sz w:val="28"/>
          <w:szCs w:val="28"/>
        </w:rPr>
        <w:t>综合来看，通过开展有效的财政支出绩效评价管理，达到改进预算管理、控制节约成本，提高预算资金使用效益的目的。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pPr>
      <w:r>
        <w:rPr>
          <w:rFonts w:hint="eastAsia" w:ascii="Times New Roman" w:hAnsi="Times New Roman" w:cs="Times New Roman"/>
          <w:sz w:val="32"/>
          <w:szCs w:val="32"/>
        </w:rPr>
        <w:t>2、绩效评价对象</w:t>
      </w:r>
      <w:r>
        <w:rPr>
          <w:rFonts w:hint="eastAsia"/>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highlight w:val="yellow"/>
        </w:rPr>
      </w:pPr>
      <w:r>
        <w:rPr>
          <w:rFonts w:hint="eastAsia" w:ascii="仿宋_GB2312" w:hAnsi="仿宋_GB2312" w:cs="仿宋_GB2312"/>
          <w:sz w:val="28"/>
          <w:szCs w:val="28"/>
          <w:highlight w:val="none"/>
          <w:lang w:val="en-US" w:eastAsia="zh-CN"/>
        </w:rPr>
        <w:t>2023年食品抽检项目</w:t>
      </w:r>
      <w:r>
        <w:rPr>
          <w:rFonts w:hint="eastAsia" w:ascii="仿宋_GB2312" w:hAnsi="仿宋_GB2312" w:cs="仿宋_GB2312"/>
          <w:sz w:val="28"/>
          <w:szCs w:val="28"/>
          <w:highlight w:val="none"/>
        </w:rPr>
        <w:t>所包含的全部项目建设内容。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3、绩效评价范围：</w:t>
      </w:r>
    </w:p>
    <w:p>
      <w:pPr>
        <w:spacing w:line="576" w:lineRule="exact"/>
        <w:ind w:firstLine="560" w:firstLineChars="200"/>
        <w:rPr>
          <w:sz w:val="28"/>
          <w:szCs w:val="28"/>
        </w:rPr>
      </w:pPr>
      <w:r>
        <w:rPr>
          <w:rFonts w:hint="eastAsia" w:ascii="仿宋_GB2312" w:hAnsi="仿宋_GB2312" w:eastAsia="仿宋_GB2312" w:cs="仿宋_GB2312"/>
          <w:sz w:val="28"/>
          <w:szCs w:val="28"/>
          <w:highlight w:val="none"/>
        </w:rPr>
        <w:t>本次评价从项目决策（包括绩效目标、</w:t>
      </w:r>
      <w:r>
        <w:rPr>
          <w:rFonts w:hint="eastAsia" w:ascii="仿宋_GB2312" w:hAnsi="仿宋_GB2312" w:cs="仿宋_GB2312"/>
          <w:sz w:val="28"/>
          <w:szCs w:val="28"/>
          <w:highlight w:val="none"/>
          <w:lang w:val="en-US" w:eastAsia="zh-CN"/>
        </w:rPr>
        <w:t>决策过程</w:t>
      </w:r>
      <w:r>
        <w:rPr>
          <w:rFonts w:hint="eastAsia" w:ascii="仿宋_GB2312" w:hAnsi="仿宋_GB2312" w:eastAsia="仿宋_GB2312" w:cs="仿宋_GB2312"/>
          <w:sz w:val="28"/>
          <w:szCs w:val="28"/>
          <w:highlight w:val="none"/>
        </w:rPr>
        <w:t>）、项目管理（包括项目资金、项目实施）、项目产出（包括项目产出数量、产出质量、产出时效和产出成本）项目效益四个维度对</w:t>
      </w:r>
      <w:r>
        <w:rPr>
          <w:rFonts w:hint="eastAsia" w:ascii="仿宋_GB2312" w:hAnsi="仿宋_GB2312" w:cs="仿宋_GB2312"/>
          <w:sz w:val="28"/>
          <w:szCs w:val="28"/>
          <w:highlight w:val="none"/>
          <w:lang w:val="en-US" w:eastAsia="zh-CN"/>
        </w:rPr>
        <w:t>2023年食品抽检</w:t>
      </w:r>
      <w:r>
        <w:rPr>
          <w:rFonts w:hint="eastAsia" w:ascii="仿宋_GB2312" w:hAnsi="仿宋_GB2312" w:eastAsia="仿宋_GB2312" w:cs="仿宋_GB2312"/>
          <w:sz w:val="28"/>
          <w:szCs w:val="28"/>
          <w:highlight w:val="none"/>
          <w:lang w:val="en-US" w:eastAsia="zh-CN"/>
        </w:rPr>
        <w:t>项目</w:t>
      </w:r>
      <w:r>
        <w:rPr>
          <w:rFonts w:hint="eastAsia" w:ascii="仿宋_GB2312" w:hAnsi="仿宋_GB2312" w:eastAsia="仿宋_GB2312" w:cs="仿宋_GB2312"/>
          <w:sz w:val="28"/>
          <w:szCs w:val="28"/>
          <w:highlight w:val="none"/>
        </w:rPr>
        <w:t>进行评价，评价核心为专项资金的支出完成情况和效果。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ascii="仿宋_GB2312" w:eastAsia="仿宋_GB2312"/>
          <w:b w:val="0"/>
          <w:bCs w:val="0"/>
        </w:rPr>
      </w:pPr>
      <w:bookmarkStart w:id="5" w:name="_Toc68702117"/>
      <w:r>
        <w:rPr>
          <w:rFonts w:hint="eastAsia" w:ascii="仿宋_GB2312" w:eastAsia="仿宋_GB2312"/>
          <w:b w:val="0"/>
          <w:bCs w:val="0"/>
        </w:rPr>
        <w:t>（二）绩效评价原则、评价指标体系、评价方法、评价标准等。</w:t>
      </w:r>
      <w:bookmarkEnd w:id="5"/>
    </w:p>
    <w:p>
      <w:pPr>
        <w:pageBreakBefore w:val="0"/>
        <w:widowControl w:val="0"/>
        <w:kinsoku/>
        <w:wordWrap/>
        <w:overflowPunct/>
        <w:topLinePunct w:val="0"/>
        <w:autoSpaceDE/>
        <w:autoSpaceDN/>
        <w:bidi w:val="0"/>
        <w:adjustRightInd/>
        <w:snapToGrid/>
        <w:spacing w:line="560" w:lineRule="exact"/>
        <w:textAlignment w:val="auto"/>
      </w:pPr>
      <w:r>
        <w:rPr>
          <w:rFonts w:hint="eastAsia"/>
        </w:rPr>
        <w:t>1、绩效评价原则</w:t>
      </w:r>
    </w:p>
    <w:p>
      <w:pPr>
        <w:pageBreakBefore w:val="0"/>
        <w:widowControl w:val="0"/>
        <w:kinsoku/>
        <w:wordWrap/>
        <w:overflowPunct/>
        <w:topLinePunct w:val="0"/>
        <w:autoSpaceDE/>
        <w:autoSpaceDN/>
        <w:bidi w:val="0"/>
        <w:adjustRightInd/>
        <w:snapToGrid/>
        <w:spacing w:line="560" w:lineRule="exact"/>
        <w:ind w:firstLine="640"/>
        <w:textAlignment w:val="auto"/>
        <w:rPr>
          <w:rFonts w:ascii="仿宋_GB2312"/>
          <w:bCs/>
          <w:sz w:val="28"/>
          <w:szCs w:val="28"/>
        </w:rPr>
      </w:pPr>
      <w:r>
        <w:rPr>
          <w:rFonts w:hint="eastAsia" w:ascii="仿宋_GB2312"/>
          <w:bCs/>
          <w:sz w:val="28"/>
          <w:szCs w:val="28"/>
        </w:rPr>
        <w:t>（一）科学公正。绩效评价应当运用科学合理的方法，按照规范的程序，对项目绩效进行客观、公正的反映。</w:t>
      </w:r>
    </w:p>
    <w:p>
      <w:pPr>
        <w:spacing w:line="600" w:lineRule="exact"/>
        <w:ind w:firstLine="640"/>
        <w:rPr>
          <w:rFonts w:ascii="仿宋_GB2312"/>
          <w:bCs/>
          <w:sz w:val="28"/>
          <w:szCs w:val="28"/>
        </w:rPr>
      </w:pPr>
      <w:r>
        <w:rPr>
          <w:rFonts w:hint="eastAsia" w:ascii="仿宋_GB2312"/>
          <w:bCs/>
          <w:sz w:val="28"/>
          <w:szCs w:val="28"/>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ascii="仿宋_GB2312"/>
          <w:bCs/>
          <w:sz w:val="28"/>
          <w:szCs w:val="28"/>
        </w:rPr>
      </w:pPr>
      <w:r>
        <w:rPr>
          <w:rFonts w:hint="eastAsia" w:ascii="仿宋_GB2312"/>
          <w:bCs/>
          <w:sz w:val="28"/>
          <w:szCs w:val="28"/>
        </w:rPr>
        <w:t>（三）激励约束。绩效评价结果应与预算安排、政策调整、改进管理实质性挂钩，体现奖优罚劣和激励相容导向，有效要安排、低效要压减、无效要问责。</w:t>
      </w:r>
    </w:p>
    <w:p>
      <w:pPr>
        <w:spacing w:line="600" w:lineRule="exact"/>
        <w:ind w:firstLine="640"/>
        <w:rPr>
          <w:sz w:val="28"/>
          <w:szCs w:val="28"/>
        </w:rPr>
      </w:pPr>
      <w:r>
        <w:rPr>
          <w:rFonts w:hint="eastAsia" w:ascii="仿宋_GB2312"/>
          <w:bCs/>
          <w:sz w:val="28"/>
          <w:szCs w:val="28"/>
        </w:rPr>
        <w:t>（四）公开透明。绩效评价结果应依法依规公开，并自觉接受社会监督。</w:t>
      </w:r>
    </w:p>
    <w:p>
      <w:pPr>
        <w:spacing w:line="360" w:lineRule="auto"/>
      </w:pPr>
      <w:r>
        <w:rPr>
          <w:rFonts w:hint="eastAsia"/>
        </w:rPr>
        <w:t>2、评价指标体系（附表说明）</w:t>
      </w:r>
    </w:p>
    <w:p>
      <w:pPr>
        <w:spacing w:line="600" w:lineRule="exact"/>
        <w:ind w:firstLine="628" w:firstLineChars="200"/>
        <w:rPr>
          <w:color w:val="000000"/>
          <w:spacing w:val="17"/>
          <w:sz w:val="32"/>
          <w:szCs w:val="32"/>
        </w:rPr>
      </w:pPr>
      <w:r>
        <w:rPr>
          <w:color w:val="000000"/>
          <w:spacing w:val="17"/>
          <w:sz w:val="28"/>
          <w:szCs w:val="28"/>
        </w:rPr>
        <w:t>绩效评价框架是开展绩效评价的核心。绩效评价框架包括评价准则、关键评价问题、评价指标、数据来源、数据收集方法等。指标体系建立过程如下：</w:t>
      </w:r>
    </w:p>
    <w:p>
      <w:pPr>
        <w:spacing w:line="600" w:lineRule="exact"/>
        <w:ind w:firstLine="708" w:firstLineChars="200"/>
        <w:rPr>
          <w:color w:val="000000"/>
          <w:spacing w:val="17"/>
          <w:sz w:val="32"/>
          <w:szCs w:val="32"/>
        </w:rPr>
      </w:pPr>
      <w:r>
        <w:rPr>
          <w:color w:val="000000"/>
          <w:spacing w:val="17"/>
          <w:sz w:val="32"/>
          <w:szCs w:val="32"/>
        </w:rPr>
        <w:t>（1）确定评价指标</w:t>
      </w:r>
    </w:p>
    <w:p>
      <w:pPr>
        <w:spacing w:line="600" w:lineRule="exact"/>
        <w:ind w:firstLine="628" w:firstLineChars="200"/>
        <w:rPr>
          <w:color w:val="000000"/>
          <w:spacing w:val="17"/>
          <w:sz w:val="28"/>
          <w:szCs w:val="28"/>
        </w:rPr>
      </w:pPr>
      <w:r>
        <w:rPr>
          <w:color w:val="000000"/>
          <w:spacing w:val="17"/>
          <w:sz w:val="28"/>
          <w:szCs w:val="28"/>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color w:val="000000"/>
          <w:spacing w:val="17"/>
          <w:sz w:val="32"/>
          <w:szCs w:val="32"/>
        </w:rPr>
      </w:pPr>
      <w:r>
        <w:rPr>
          <w:color w:val="000000"/>
          <w:spacing w:val="17"/>
          <w:sz w:val="32"/>
          <w:szCs w:val="32"/>
        </w:rPr>
        <w:t>（2）确定权重</w:t>
      </w:r>
    </w:p>
    <w:p>
      <w:pPr>
        <w:spacing w:line="600" w:lineRule="exact"/>
        <w:ind w:firstLine="628" w:firstLineChars="200"/>
        <w:rPr>
          <w:color w:val="000000"/>
          <w:spacing w:val="17"/>
          <w:sz w:val="28"/>
          <w:szCs w:val="28"/>
        </w:rPr>
      </w:pPr>
      <w:r>
        <w:rPr>
          <w:color w:val="000000"/>
          <w:spacing w:val="17"/>
          <w:sz w:val="28"/>
          <w:szCs w:val="28"/>
        </w:rPr>
        <w:t>确定各个指标相对于项目总体绩效的权重分值。在绩效评价指标体系中，项目决策权重为</w:t>
      </w:r>
      <w:r>
        <w:rPr>
          <w:rFonts w:hint="eastAsia"/>
          <w:color w:val="000000"/>
          <w:spacing w:val="17"/>
          <w:sz w:val="28"/>
          <w:szCs w:val="28"/>
          <w:lang w:val="en-US" w:eastAsia="zh-CN"/>
        </w:rPr>
        <w:t>20</w:t>
      </w:r>
      <w:r>
        <w:rPr>
          <w:color w:val="000000"/>
          <w:spacing w:val="17"/>
          <w:sz w:val="28"/>
          <w:szCs w:val="28"/>
        </w:rPr>
        <w:t>分，项目过程权重为</w:t>
      </w:r>
      <w:r>
        <w:rPr>
          <w:rFonts w:hint="eastAsia"/>
          <w:color w:val="000000"/>
          <w:spacing w:val="17"/>
          <w:sz w:val="28"/>
          <w:szCs w:val="28"/>
          <w:lang w:val="en-US" w:eastAsia="zh-CN"/>
        </w:rPr>
        <w:t>20</w:t>
      </w:r>
      <w:r>
        <w:rPr>
          <w:color w:val="000000"/>
          <w:spacing w:val="17"/>
          <w:sz w:val="28"/>
          <w:szCs w:val="28"/>
        </w:rPr>
        <w:t>分，项目产出权重为</w:t>
      </w:r>
      <w:r>
        <w:rPr>
          <w:rFonts w:hint="eastAsia"/>
          <w:color w:val="000000"/>
          <w:spacing w:val="17"/>
          <w:sz w:val="28"/>
          <w:szCs w:val="28"/>
          <w:lang w:val="en-US" w:eastAsia="zh-CN"/>
        </w:rPr>
        <w:t>4</w:t>
      </w:r>
      <w:r>
        <w:rPr>
          <w:color w:val="000000"/>
          <w:spacing w:val="17"/>
          <w:sz w:val="28"/>
          <w:szCs w:val="28"/>
        </w:rPr>
        <w:t>0分，项目效益权重为</w:t>
      </w:r>
      <w:r>
        <w:rPr>
          <w:rFonts w:hint="eastAsia"/>
          <w:color w:val="000000"/>
          <w:spacing w:val="17"/>
          <w:sz w:val="28"/>
          <w:szCs w:val="28"/>
          <w:lang w:val="en-US" w:eastAsia="zh-CN"/>
        </w:rPr>
        <w:t>2</w:t>
      </w:r>
      <w:r>
        <w:rPr>
          <w:color w:val="000000"/>
          <w:spacing w:val="17"/>
          <w:sz w:val="28"/>
          <w:szCs w:val="28"/>
        </w:rPr>
        <w:t>0分。</w:t>
      </w:r>
    </w:p>
    <w:p>
      <w:pPr>
        <w:spacing w:line="600" w:lineRule="exact"/>
        <w:ind w:firstLine="708" w:firstLineChars="200"/>
        <w:rPr>
          <w:color w:val="000000"/>
          <w:spacing w:val="17"/>
          <w:sz w:val="32"/>
          <w:szCs w:val="32"/>
        </w:rPr>
      </w:pPr>
      <w:r>
        <w:rPr>
          <w:color w:val="000000"/>
          <w:spacing w:val="17"/>
          <w:sz w:val="32"/>
          <w:szCs w:val="32"/>
        </w:rPr>
        <w:t>（3）确定指标标准值</w:t>
      </w:r>
    </w:p>
    <w:p>
      <w:pPr>
        <w:spacing w:line="600" w:lineRule="exact"/>
        <w:ind w:firstLine="628" w:firstLineChars="200"/>
        <w:rPr>
          <w:color w:val="000000"/>
          <w:spacing w:val="17"/>
          <w:sz w:val="28"/>
          <w:szCs w:val="28"/>
        </w:rPr>
      </w:pPr>
      <w:r>
        <w:rPr>
          <w:color w:val="000000"/>
          <w:spacing w:val="17"/>
          <w:sz w:val="28"/>
          <w:szCs w:val="28"/>
        </w:rPr>
        <w:t>指标标准值是绩效评价指标的尺度，既要反映同类项目的先进水平，又要符合项目的实际绩效水平。具体采用计划标准等确定此次绩效评价指标标准值。</w:t>
      </w:r>
    </w:p>
    <w:p>
      <w:pPr>
        <w:pStyle w:val="2"/>
        <w:spacing w:before="0" w:after="0" w:line="600" w:lineRule="exact"/>
        <w:ind w:firstLine="628" w:firstLineChars="200"/>
        <w:jc w:val="both"/>
        <w:rPr>
          <w:rFonts w:ascii="Times New Roman" w:hAnsi="Times New Roman" w:eastAsia="仿宋_GB2312"/>
          <w:b w:val="0"/>
          <w:bCs w:val="0"/>
          <w:color w:val="000000"/>
          <w:spacing w:val="17"/>
          <w:kern w:val="2"/>
          <w:sz w:val="28"/>
          <w:szCs w:val="28"/>
        </w:rPr>
      </w:pPr>
      <w:r>
        <w:rPr>
          <w:rFonts w:ascii="Times New Roman" w:hAnsi="Times New Roman" w:eastAsia="仿宋_GB2312"/>
          <w:b w:val="0"/>
          <w:bCs w:val="0"/>
          <w:color w:val="000000"/>
          <w:spacing w:val="17"/>
          <w:kern w:val="2"/>
          <w:sz w:val="28"/>
          <w:szCs w:val="28"/>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628" w:firstLineChars="200"/>
        <w:jc w:val="both"/>
        <w:outlineLvl w:val="9"/>
        <w:rPr>
          <w:rFonts w:ascii="Times New Roman" w:hAnsi="Times New Roman" w:eastAsia="仿宋_GB2312"/>
          <w:b w:val="0"/>
          <w:bCs w:val="0"/>
          <w:color w:val="000000"/>
          <w:spacing w:val="17"/>
          <w:sz w:val="28"/>
          <w:szCs w:val="28"/>
        </w:rPr>
      </w:pPr>
      <w:r>
        <w:rPr>
          <w:rFonts w:ascii="Times New Roman" w:hAnsi="Times New Roman" w:eastAsia="仿宋_GB2312"/>
          <w:b w:val="0"/>
          <w:bCs w:val="0"/>
          <w:color w:val="000000"/>
          <w:spacing w:val="17"/>
          <w:sz w:val="28"/>
          <w:szCs w:val="28"/>
        </w:rPr>
        <w:t>具体评价指标体系详情见附件1</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628" w:firstLineChars="200"/>
        <w:rPr>
          <w:color w:val="000000"/>
          <w:spacing w:val="17"/>
          <w:sz w:val="28"/>
          <w:szCs w:val="28"/>
        </w:rPr>
      </w:pPr>
      <w:r>
        <w:rPr>
          <w:color w:val="000000"/>
          <w:spacing w:val="17"/>
          <w:sz w:val="28"/>
          <w:szCs w:val="28"/>
        </w:rPr>
        <w:t>绩效评价从项目决策、项目过程、项目产出、项目效益四个维度进行评价。评价对象为项目目标实施情况，  评价核心为资金的支出完成情况和项目的产出效益。</w:t>
      </w:r>
    </w:p>
    <w:p>
      <w:pPr>
        <w:spacing w:line="600" w:lineRule="exact"/>
        <w:ind w:firstLine="628" w:firstLineChars="200"/>
        <w:rPr>
          <w:color w:val="000000"/>
          <w:spacing w:val="17"/>
          <w:sz w:val="32"/>
          <w:szCs w:val="32"/>
        </w:rPr>
      </w:pPr>
      <w:r>
        <w:rPr>
          <w:color w:val="000000"/>
          <w:spacing w:val="17"/>
          <w:sz w:val="28"/>
          <w:szCs w:val="28"/>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color w:val="000000"/>
          <w:spacing w:val="17"/>
          <w:sz w:val="32"/>
          <w:szCs w:val="32"/>
        </w:rPr>
      </w:pPr>
      <w:r>
        <w:rPr>
          <w:color w:val="000000"/>
          <w:spacing w:val="17"/>
          <w:sz w:val="32"/>
          <w:szCs w:val="32"/>
        </w:rPr>
        <w:t>（1）比较法</w:t>
      </w:r>
    </w:p>
    <w:p>
      <w:pPr>
        <w:spacing w:line="600" w:lineRule="exact"/>
        <w:ind w:firstLine="628" w:firstLineChars="200"/>
        <w:rPr>
          <w:color w:val="000000"/>
          <w:spacing w:val="17"/>
          <w:sz w:val="28"/>
          <w:szCs w:val="28"/>
        </w:rPr>
      </w:pPr>
      <w:r>
        <w:rPr>
          <w:color w:val="000000"/>
          <w:spacing w:val="17"/>
          <w:sz w:val="28"/>
          <w:szCs w:val="28"/>
        </w:rPr>
        <w:t>通过对绩效目标与实施效果、历史与当期情况，综合分析绩效目标实现程度。对</w:t>
      </w:r>
      <w:r>
        <w:rPr>
          <w:sz w:val="28"/>
          <w:szCs w:val="28"/>
        </w:rPr>
        <w:t>项目</w:t>
      </w:r>
      <w:r>
        <w:rPr>
          <w:color w:val="000000"/>
          <w:spacing w:val="17"/>
          <w:sz w:val="28"/>
          <w:szCs w:val="28"/>
        </w:rPr>
        <w:t>最终验收情况与年度绩效目标对比、预算资金执行情况等相关因素进行比较。</w:t>
      </w:r>
    </w:p>
    <w:p>
      <w:pPr>
        <w:spacing w:line="600" w:lineRule="exact"/>
        <w:ind w:firstLine="708" w:firstLineChars="200"/>
        <w:rPr>
          <w:color w:val="000000"/>
          <w:spacing w:val="17"/>
          <w:sz w:val="32"/>
          <w:szCs w:val="32"/>
        </w:rPr>
      </w:pPr>
      <w:r>
        <w:rPr>
          <w:color w:val="000000"/>
          <w:spacing w:val="17"/>
          <w:sz w:val="32"/>
          <w:szCs w:val="32"/>
        </w:rPr>
        <w:t>（2）因素分析法</w:t>
      </w:r>
    </w:p>
    <w:p>
      <w:pPr>
        <w:spacing w:line="600" w:lineRule="exact"/>
        <w:ind w:firstLine="708" w:firstLineChars="200"/>
        <w:rPr>
          <w:color w:val="000000"/>
          <w:spacing w:val="17"/>
          <w:sz w:val="32"/>
          <w:szCs w:val="32"/>
        </w:rPr>
      </w:pPr>
      <w:r>
        <w:rPr>
          <w:color w:val="000000"/>
          <w:spacing w:val="17"/>
          <w:sz w:val="32"/>
          <w:szCs w:val="32"/>
        </w:rPr>
        <w:t>通过综合分析影响绩效目标实现、实施效果的内外因素，评价绩效目标实现程度。通过对</w:t>
      </w:r>
      <w:r>
        <w:rPr>
          <w:sz w:val="32"/>
          <w:szCs w:val="32"/>
        </w:rPr>
        <w:t>项目</w:t>
      </w:r>
      <w:r>
        <w:rPr>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628" w:firstLineChars="200"/>
        <w:rPr>
          <w:color w:val="000000"/>
          <w:spacing w:val="17"/>
          <w:sz w:val="28"/>
          <w:szCs w:val="28"/>
        </w:rPr>
      </w:pPr>
      <w:r>
        <w:rPr>
          <w:color w:val="000000"/>
          <w:spacing w:val="17"/>
          <w:sz w:val="28"/>
          <w:szCs w:val="28"/>
        </w:rPr>
        <w:t>绩效评价标准通常包括计划标准、行业标准、历史标准等，用于对绩效指标完成情况进行比较。本次评价主要采用了计划标准和行业标准。</w:t>
      </w:r>
    </w:p>
    <w:p>
      <w:pPr>
        <w:pStyle w:val="2"/>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3"/>
        </w:numPr>
        <w:spacing w:line="600" w:lineRule="exact"/>
        <w:ind w:firstLine="560" w:firstLineChars="200"/>
        <w:rPr>
          <w:bCs/>
          <w:sz w:val="28"/>
          <w:szCs w:val="28"/>
        </w:rPr>
      </w:pPr>
      <w:r>
        <w:rPr>
          <w:rFonts w:hint="eastAsia"/>
          <w:bCs/>
          <w:sz w:val="28"/>
          <w:szCs w:val="28"/>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3"/>
        </w:numPr>
        <w:spacing w:line="600" w:lineRule="exact"/>
        <w:ind w:firstLine="560" w:firstLineChars="200"/>
        <w:rPr>
          <w:bCs/>
          <w:sz w:val="28"/>
          <w:szCs w:val="28"/>
        </w:rPr>
      </w:pPr>
      <w:r>
        <w:rPr>
          <w:rFonts w:hint="eastAsia"/>
          <w:bCs/>
          <w:sz w:val="28"/>
          <w:szCs w:val="28"/>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3"/>
        </w:numPr>
        <w:spacing w:line="600" w:lineRule="exact"/>
        <w:ind w:firstLine="560" w:firstLineChars="200"/>
        <w:rPr>
          <w:sz w:val="28"/>
          <w:szCs w:val="28"/>
        </w:rPr>
      </w:pPr>
      <w:r>
        <w:rPr>
          <w:rFonts w:hint="eastAsia"/>
          <w:bCs/>
          <w:sz w:val="28"/>
          <w:szCs w:val="28"/>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仿宋_GB2312"/>
          <w:sz w:val="30"/>
          <w:szCs w:val="30"/>
        </w:rPr>
      </w:pPr>
      <w:r>
        <w:rPr>
          <w:rFonts w:hint="eastAsia" w:ascii="Times New Roman" w:hAnsi="Times New Roman" w:cs="Times New Roman"/>
          <w:bCs/>
          <w:sz w:val="28"/>
          <w:szCs w:val="28"/>
          <w:lang w:val="en-US" w:eastAsia="zh-CN"/>
        </w:rPr>
        <w:t>2023年食品药品监管补助</w:t>
      </w:r>
      <w:r>
        <w:rPr>
          <w:rFonts w:hint="eastAsia" w:ascii="Times New Roman" w:hAnsi="Times New Roman" w:cs="Times New Roman"/>
          <w:bCs/>
          <w:sz w:val="28"/>
          <w:szCs w:val="28"/>
        </w:rPr>
        <w:t>项目进行客观评价，最终评分结果：总得分为</w:t>
      </w:r>
      <w:r>
        <w:rPr>
          <w:rFonts w:hint="eastAsia" w:cs="Times New Roman"/>
          <w:bCs/>
          <w:sz w:val="28"/>
          <w:szCs w:val="28"/>
          <w:lang w:val="en-US" w:eastAsia="zh-CN"/>
        </w:rPr>
        <w:t>100</w:t>
      </w:r>
      <w:r>
        <w:rPr>
          <w:rFonts w:hint="eastAsia" w:ascii="Times New Roman" w:hAnsi="Times New Roman" w:cs="Times New Roman"/>
          <w:bCs/>
          <w:sz w:val="28"/>
          <w:szCs w:val="28"/>
        </w:rPr>
        <w:t>分，属于“优”。</w:t>
      </w:r>
      <w:r>
        <w:rPr>
          <w:rFonts w:ascii="Times New Roman" w:hAnsi="Times New Roman" w:eastAsia="仿宋_GB2312"/>
          <w:b w:val="0"/>
          <w:bCs w:val="0"/>
        </w:rPr>
        <w:t>其</w:t>
      </w:r>
      <w:r>
        <w:rPr>
          <w:rFonts w:hint="eastAsia" w:ascii="Times New Roman" w:hAnsi="Times New Roman" w:cs="Times New Roman"/>
          <w:bCs/>
          <w:sz w:val="28"/>
          <w:szCs w:val="28"/>
        </w:rPr>
        <w:t>中，项目决策类指标权重为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 xml:space="preserve">分，得分为 </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 xml:space="preserve">分，得分率为 </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%。项目过程类指标权重为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分，得分为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 xml:space="preserve">分，得分率为 </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%。项目产出类指标权重为</w:t>
      </w:r>
      <w:r>
        <w:rPr>
          <w:rFonts w:hint="eastAsia" w:ascii="Times New Roman" w:hAnsi="Times New Roman" w:cs="Times New Roman"/>
          <w:bCs/>
          <w:sz w:val="28"/>
          <w:szCs w:val="28"/>
          <w:lang w:val="en-US" w:eastAsia="zh-CN"/>
        </w:rPr>
        <w:t>4</w:t>
      </w:r>
      <w:r>
        <w:rPr>
          <w:rFonts w:hint="eastAsia" w:ascii="Times New Roman" w:hAnsi="Times New Roman" w:cs="Times New Roman"/>
          <w:bCs/>
          <w:sz w:val="28"/>
          <w:szCs w:val="28"/>
        </w:rPr>
        <w:t>0分，得分为</w:t>
      </w:r>
      <w:r>
        <w:rPr>
          <w:rFonts w:hint="eastAsia" w:ascii="Times New Roman" w:hAnsi="Times New Roman" w:cs="Times New Roman"/>
          <w:bCs/>
          <w:sz w:val="28"/>
          <w:szCs w:val="28"/>
          <w:lang w:val="en-US" w:eastAsia="zh-CN"/>
        </w:rPr>
        <w:t>40</w:t>
      </w:r>
      <w:r>
        <w:rPr>
          <w:rFonts w:hint="eastAsia" w:ascii="Times New Roman" w:hAnsi="Times New Roman" w:cs="Times New Roman"/>
          <w:bCs/>
          <w:sz w:val="28"/>
          <w:szCs w:val="28"/>
        </w:rPr>
        <w:t xml:space="preserve">分，得分率为 </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%。项目效益类指标权重为</w:t>
      </w:r>
      <w:r>
        <w:rPr>
          <w:rFonts w:hint="eastAsia" w:ascii="Times New Roman" w:hAnsi="Times New Roman" w:cs="Times New Roman"/>
          <w:bCs/>
          <w:sz w:val="28"/>
          <w:szCs w:val="28"/>
          <w:lang w:val="en-US" w:eastAsia="zh-CN"/>
        </w:rPr>
        <w:t>2</w:t>
      </w:r>
      <w:r>
        <w:rPr>
          <w:rFonts w:hint="eastAsia" w:ascii="Times New Roman" w:hAnsi="Times New Roman" w:cs="Times New Roman"/>
          <w:bCs/>
          <w:sz w:val="28"/>
          <w:szCs w:val="28"/>
        </w:rPr>
        <w:t>0分，得分为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分，得分率为</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w:t>
      </w:r>
    </w:p>
    <w:p>
      <w:pPr>
        <w:pStyle w:val="2"/>
        <w:jc w:val="center"/>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6"/>
        <w:tblW w:w="90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5"/>
        <w:gridCol w:w="901"/>
        <w:gridCol w:w="1168"/>
        <w:gridCol w:w="1553"/>
        <w:gridCol w:w="662"/>
        <w:gridCol w:w="950"/>
        <w:gridCol w:w="841"/>
        <w:gridCol w:w="1106"/>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atLeast"/>
          <w:tblHeader/>
        </w:trPr>
        <w:tc>
          <w:tcPr>
            <w:tcW w:w="1005"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01"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168"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55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662"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95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841"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106"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87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01"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168"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66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9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84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106" w:type="dxa"/>
            <w:shd w:val="clear" w:color="auto"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vMerge w:val="continue"/>
            <w:shd w:val="clear" w:color="auto" w:fill="FFFFFF"/>
            <w:vAlign w:val="center"/>
          </w:tcPr>
          <w:p>
            <w:pPr>
              <w:widowControl/>
              <w:spacing w:line="0" w:lineRule="atLeast"/>
              <w:jc w:val="center"/>
              <w:rPr>
                <w:color w:val="000000"/>
                <w:kern w:val="0"/>
                <w:sz w:val="22"/>
                <w:szCs w:val="22"/>
              </w:rPr>
            </w:pP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66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9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84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106"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100</w:t>
            </w:r>
          </w:p>
        </w:tc>
        <w:tc>
          <w:tcPr>
            <w:tcW w:w="874"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841"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106"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widowControl/>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vMerge w:val="continue"/>
            <w:shd w:val="clear" w:color="auto" w:fill="FFFFFF"/>
            <w:vAlign w:val="center"/>
          </w:tcPr>
          <w:p>
            <w:pPr>
              <w:widowControl/>
              <w:spacing w:line="0" w:lineRule="atLeast"/>
              <w:jc w:val="center"/>
              <w:rPr>
                <w:color w:val="000000"/>
                <w:kern w:val="0"/>
                <w:sz w:val="22"/>
                <w:szCs w:val="22"/>
              </w:rPr>
            </w:pP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841"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106"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spacing w:line="0" w:lineRule="atLeast"/>
              <w:jc w:val="center"/>
              <w:rPr>
                <w:color w:val="000000"/>
                <w:kern w:val="0"/>
                <w:sz w:val="22"/>
                <w:szCs w:val="22"/>
              </w:rPr>
            </w:pPr>
          </w:p>
        </w:tc>
        <w:tc>
          <w:tcPr>
            <w:tcW w:w="901" w:type="dxa"/>
            <w:vMerge w:val="continue"/>
            <w:shd w:val="clear" w:color="auto" w:fill="FFFFFF"/>
            <w:vAlign w:val="center"/>
          </w:tcPr>
          <w:p>
            <w:pPr>
              <w:spacing w:line="0" w:lineRule="atLeast"/>
              <w:jc w:val="center"/>
              <w:rPr>
                <w:color w:val="000000"/>
                <w:kern w:val="0"/>
                <w:sz w:val="22"/>
                <w:szCs w:val="22"/>
              </w:rPr>
            </w:pPr>
          </w:p>
        </w:tc>
        <w:tc>
          <w:tcPr>
            <w:tcW w:w="1168"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66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9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84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10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widowControl/>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vMerge w:val="continue"/>
            <w:shd w:val="clear" w:color="auto" w:fill="FFFFFF"/>
            <w:vAlign w:val="center"/>
          </w:tcPr>
          <w:p>
            <w:pPr>
              <w:widowControl/>
              <w:spacing w:line="0" w:lineRule="atLeast"/>
              <w:jc w:val="center"/>
              <w:rPr>
                <w:color w:val="000000"/>
                <w:kern w:val="0"/>
                <w:sz w:val="22"/>
                <w:szCs w:val="22"/>
              </w:rPr>
            </w:pP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66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9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84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10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01"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168"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spacing w:line="0" w:lineRule="atLeast"/>
              <w:jc w:val="center"/>
              <w:rPr>
                <w:color w:val="000000"/>
                <w:kern w:val="0"/>
                <w:sz w:val="22"/>
                <w:szCs w:val="22"/>
              </w:rPr>
            </w:pPr>
          </w:p>
        </w:tc>
        <w:tc>
          <w:tcPr>
            <w:tcW w:w="901" w:type="dxa"/>
            <w:vMerge w:val="continue"/>
            <w:shd w:val="clear" w:color="auto" w:fill="FFFFFF"/>
            <w:vAlign w:val="center"/>
          </w:tcPr>
          <w:p>
            <w:pPr>
              <w:spacing w:line="0" w:lineRule="atLeast"/>
              <w:jc w:val="center"/>
              <w:rPr>
                <w:color w:val="000000"/>
                <w:kern w:val="0"/>
                <w:sz w:val="22"/>
                <w:szCs w:val="22"/>
              </w:rPr>
            </w:pPr>
          </w:p>
        </w:tc>
        <w:tc>
          <w:tcPr>
            <w:tcW w:w="1168" w:type="dxa"/>
            <w:vMerge w:val="continue"/>
            <w:shd w:val="clear" w:color="auto" w:fill="FFFFFF"/>
            <w:vAlign w:val="center"/>
          </w:tcPr>
          <w:p>
            <w:pPr>
              <w:spacing w:line="0" w:lineRule="atLeast"/>
              <w:jc w:val="center"/>
              <w:rPr>
                <w:color w:val="000000"/>
                <w:kern w:val="0"/>
                <w:sz w:val="22"/>
                <w:szCs w:val="22"/>
              </w:rPr>
            </w:pP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66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9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841"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合格</w:t>
            </w:r>
          </w:p>
        </w:tc>
        <w:tc>
          <w:tcPr>
            <w:tcW w:w="1106"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spacing w:line="0" w:lineRule="atLeast"/>
              <w:jc w:val="center"/>
              <w:rPr>
                <w:color w:val="000000"/>
                <w:kern w:val="0"/>
                <w:sz w:val="22"/>
                <w:szCs w:val="22"/>
              </w:rPr>
            </w:pPr>
          </w:p>
        </w:tc>
        <w:tc>
          <w:tcPr>
            <w:tcW w:w="901" w:type="dxa"/>
            <w:vMerge w:val="continue"/>
            <w:shd w:val="clear" w:color="auto" w:fill="FFFFFF"/>
            <w:vAlign w:val="center"/>
          </w:tcPr>
          <w:p>
            <w:pPr>
              <w:spacing w:line="0" w:lineRule="atLeast"/>
              <w:jc w:val="center"/>
              <w:rPr>
                <w:color w:val="000000"/>
                <w:kern w:val="0"/>
                <w:sz w:val="22"/>
                <w:szCs w:val="22"/>
              </w:rPr>
            </w:pPr>
          </w:p>
        </w:tc>
        <w:tc>
          <w:tcPr>
            <w:tcW w:w="1168"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健全</w:t>
            </w:r>
          </w:p>
        </w:tc>
        <w:tc>
          <w:tcPr>
            <w:tcW w:w="1106"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widowControl/>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vMerge w:val="continue"/>
            <w:shd w:val="clear" w:color="auto" w:fill="FFFFFF"/>
            <w:vAlign w:val="center"/>
          </w:tcPr>
          <w:p>
            <w:pPr>
              <w:widowControl/>
              <w:spacing w:line="0" w:lineRule="atLeast"/>
              <w:jc w:val="center"/>
              <w:rPr>
                <w:color w:val="000000"/>
                <w:kern w:val="0"/>
                <w:sz w:val="22"/>
                <w:szCs w:val="22"/>
              </w:rPr>
            </w:pP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有效</w:t>
            </w:r>
          </w:p>
        </w:tc>
        <w:tc>
          <w:tcPr>
            <w:tcW w:w="1106"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01"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40分</w:t>
            </w:r>
          </w:p>
        </w:tc>
        <w:tc>
          <w:tcPr>
            <w:tcW w:w="1168"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widowControl/>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spacing w:line="0" w:lineRule="atLeast"/>
              <w:jc w:val="center"/>
              <w:rPr>
                <w:color w:val="000000"/>
                <w:kern w:val="0"/>
                <w:sz w:val="22"/>
                <w:szCs w:val="22"/>
              </w:rPr>
            </w:pPr>
          </w:p>
        </w:tc>
        <w:tc>
          <w:tcPr>
            <w:tcW w:w="901" w:type="dxa"/>
            <w:vMerge w:val="continue"/>
            <w:shd w:val="clear" w:color="auto" w:fill="FFFFFF"/>
            <w:vAlign w:val="center"/>
          </w:tcPr>
          <w:p>
            <w:pPr>
              <w:spacing w:line="0" w:lineRule="atLeast"/>
              <w:jc w:val="center"/>
              <w:rPr>
                <w:color w:val="000000"/>
                <w:kern w:val="0"/>
                <w:sz w:val="22"/>
                <w:szCs w:val="22"/>
              </w:rPr>
            </w:pPr>
          </w:p>
        </w:tc>
        <w:tc>
          <w:tcPr>
            <w:tcW w:w="1168"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及时</w:t>
            </w:r>
          </w:p>
        </w:tc>
        <w:tc>
          <w:tcPr>
            <w:tcW w:w="1106"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widowControl/>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95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01"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20分</w:t>
            </w:r>
          </w:p>
        </w:tc>
        <w:tc>
          <w:tcPr>
            <w:tcW w:w="1168"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w:t>
            </w:r>
          </w:p>
        </w:tc>
        <w:tc>
          <w:tcPr>
            <w:tcW w:w="662"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w:t>
            </w:r>
          </w:p>
        </w:tc>
        <w:tc>
          <w:tcPr>
            <w:tcW w:w="9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841"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有效</w:t>
            </w:r>
          </w:p>
        </w:tc>
        <w:tc>
          <w:tcPr>
            <w:tcW w:w="1106"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auto"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pPr>
              <w:widowControl/>
              <w:spacing w:line="0" w:lineRule="atLeast"/>
              <w:jc w:val="center"/>
              <w:rPr>
                <w:color w:val="000000"/>
                <w:kern w:val="0"/>
                <w:sz w:val="22"/>
                <w:szCs w:val="22"/>
              </w:rPr>
            </w:pPr>
          </w:p>
        </w:tc>
        <w:tc>
          <w:tcPr>
            <w:tcW w:w="901" w:type="dxa"/>
            <w:vMerge w:val="continue"/>
            <w:shd w:val="clear" w:color="auto" w:fill="FFFFFF"/>
            <w:vAlign w:val="center"/>
          </w:tcPr>
          <w:p>
            <w:pPr>
              <w:widowControl/>
              <w:spacing w:line="0" w:lineRule="atLeast"/>
              <w:jc w:val="center"/>
              <w:rPr>
                <w:color w:val="000000"/>
                <w:kern w:val="0"/>
                <w:sz w:val="22"/>
                <w:szCs w:val="22"/>
              </w:rPr>
            </w:pPr>
          </w:p>
        </w:tc>
        <w:tc>
          <w:tcPr>
            <w:tcW w:w="1168" w:type="dxa"/>
            <w:vMerge w:val="continue"/>
            <w:shd w:val="clear" w:color="auto" w:fill="FFFFFF"/>
            <w:vAlign w:val="center"/>
          </w:tcPr>
          <w:p>
            <w:pPr>
              <w:widowControl/>
              <w:spacing w:line="0" w:lineRule="atLeast"/>
              <w:jc w:val="center"/>
              <w:rPr>
                <w:color w:val="000000"/>
                <w:kern w:val="0"/>
                <w:sz w:val="22"/>
                <w:szCs w:val="22"/>
              </w:rPr>
            </w:pPr>
          </w:p>
        </w:tc>
        <w:tc>
          <w:tcPr>
            <w:tcW w:w="15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662"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950" w:type="dxa"/>
            <w:shd w:val="clear" w:color="000000" w:fill="FFFFFF"/>
            <w:vAlign w:val="center"/>
          </w:tcPr>
          <w:p>
            <w:pPr>
              <w:widowControl/>
              <w:spacing w:line="0" w:lineRule="atLeast"/>
              <w:jc w:val="center"/>
              <w:rPr>
                <w:color w:val="000000"/>
                <w:kern w:val="0"/>
                <w:sz w:val="22"/>
                <w:szCs w:val="22"/>
                <w:highlight w:val="yellow"/>
              </w:rPr>
            </w:pPr>
            <w:r>
              <w:rPr>
                <w:color w:val="000000"/>
                <w:kern w:val="0"/>
                <w:sz w:val="22"/>
                <w:szCs w:val="22"/>
              </w:rPr>
              <w:t>≥</w:t>
            </w:r>
            <w:r>
              <w:rPr>
                <w:rFonts w:hint="eastAsia"/>
                <w:color w:val="000000"/>
                <w:kern w:val="0"/>
                <w:sz w:val="22"/>
                <w:szCs w:val="22"/>
                <w:lang w:val="en-US" w:eastAsia="zh-CN"/>
              </w:rPr>
              <w:t>100</w:t>
            </w:r>
            <w:r>
              <w:rPr>
                <w:color w:val="000000"/>
                <w:kern w:val="0"/>
                <w:sz w:val="22"/>
                <w:szCs w:val="22"/>
              </w:rPr>
              <w:t>%</w:t>
            </w:r>
          </w:p>
        </w:tc>
        <w:tc>
          <w:tcPr>
            <w:tcW w:w="841"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bl>
    <w:p>
      <w:pPr>
        <w:pStyle w:val="2"/>
        <w:rPr>
          <w:rFonts w:ascii="Times New Roman" w:hAnsi="Times New Roman" w:eastAsia="仿宋_GB2312"/>
          <w:sz w:val="30"/>
          <w:szCs w:val="30"/>
        </w:rPr>
      </w:pPr>
    </w:p>
    <w:p/>
    <w:p/>
    <w:p>
      <w:pPr>
        <w:spacing w:line="600" w:lineRule="exact"/>
        <w:rPr>
          <w:rFonts w:eastAsia="黑体"/>
          <w:sz w:val="32"/>
          <w:szCs w:val="32"/>
        </w:rPr>
      </w:pPr>
    </w:p>
    <w:p>
      <w:pPr>
        <w:spacing w:line="600" w:lineRule="exact"/>
        <w:ind w:firstLine="320" w:firstLineChars="100"/>
        <w:rPr>
          <w:rFonts w:eastAsia="黑体"/>
          <w:sz w:val="32"/>
          <w:szCs w:val="32"/>
        </w:rPr>
      </w:pPr>
      <w:r>
        <w:rPr>
          <w:rFonts w:eastAsia="黑体"/>
          <w:sz w:val="32"/>
          <w:szCs w:val="32"/>
        </w:rPr>
        <w:t>四、绩效评价指标分析</w:t>
      </w:r>
    </w:p>
    <w:p>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项目决策类指标包括项目立项、绩效目标和资金投入三方面的内容，由6个三级指标构成，权重分值为20分，实际得分20分，得分率为100%。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1.项目立项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（1）立项依据充分性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（2）立项程序规范性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rPr>
        <w:t>项目申请、设立过程符合相关要求，</w:t>
      </w:r>
      <w:r>
        <w:rPr>
          <w:rFonts w:hint="eastAsia"/>
          <w:lang w:eastAsia="zh-Hans"/>
        </w:rPr>
        <w:t>严格按照审批流程准备符合要求的文件、材料；</w:t>
      </w:r>
      <w:r>
        <w:rPr>
          <w:rFonts w:hint="eastAsia"/>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（1）绩效目标合理性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Hans"/>
        </w:rPr>
        <w:t>年初结合实际工作内容</w:t>
      </w:r>
      <w:r>
        <w:rPr>
          <w:rFonts w:hint="eastAsia"/>
          <w:lang w:val="en-US" w:eastAsia="zh-CN"/>
        </w:rPr>
        <w:t>设定绩效目标</w:t>
      </w:r>
      <w:r>
        <w:rPr>
          <w:rFonts w:hint="eastAsia"/>
          <w:lang w:val="en-US" w:eastAsia="zh-Hans"/>
        </w:rPr>
        <w:t>，绩效目标</w:t>
      </w:r>
      <w:r>
        <w:rPr>
          <w:rFonts w:hint="eastAsia"/>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（2）绩效指标明确性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3.资金投入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（1）预算编制科学性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预算编制经过科学论证，提供充分的测算依据佐证资料，预算内容与项目内容相匹配。项目投资额与工作任务相匹配。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（2）资金分配合理性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资金分配额度与项目单位实际工作内容相适应，资金分配额度合理，资金分配依据充分。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cs="Times New Roman"/>
          <w:bCs/>
          <w:sz w:val="28"/>
          <w:szCs w:val="28"/>
          <w:lang w:val="en-US" w:eastAsia="zh-CN"/>
        </w:rPr>
      </w:pPr>
    </w:p>
    <w:p>
      <w:pPr>
        <w:pStyle w:val="2"/>
        <w:numPr>
          <w:ilvl w:val="0"/>
          <w:numId w:val="5"/>
        </w:numPr>
        <w:ind w:firstLine="321" w:firstLineChars="100"/>
        <w:jc w:val="both"/>
        <w:rPr>
          <w:rFonts w:ascii="Times New Roman" w:hAnsi="Times New Roman"/>
        </w:rPr>
      </w:pPr>
      <w:r>
        <w:rPr>
          <w:rFonts w:ascii="Times New Roman" w:hAnsi="Times New Roman" w:eastAsia="楷体_GB2312"/>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w:t>
      </w:r>
      <w:r>
        <w:rPr>
          <w:rFonts w:hint="eastAsia" w:ascii="仿宋_GB2312" w:hAnsi="仿宋_GB2312" w:eastAsia="仿宋_GB2312" w:cs="仿宋_GB2312"/>
          <w:sz w:val="32"/>
          <w:szCs w:val="32"/>
          <w:highlight w:val="none"/>
          <w:lang w:val="en-US" w:eastAsia="zh-CN"/>
        </w:rPr>
        <w:t>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1129.85</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1129.85</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keepNext w:val="0"/>
        <w:keepLines w:val="0"/>
        <w:pageBreakBefore w:val="0"/>
        <w:widowControl w:val="0"/>
        <w:kinsoku/>
        <w:wordWrap/>
        <w:overflowPunct/>
        <w:topLinePunct w:val="0"/>
        <w:autoSpaceDE/>
        <w:autoSpaceDN/>
        <w:bidi w:val="0"/>
        <w:adjustRightInd/>
        <w:snapToGrid/>
        <w:ind w:firstLine="0" w:firstLineChars="0"/>
        <w:textAlignment w:val="auto"/>
      </w:pPr>
    </w:p>
    <w:p>
      <w:pPr>
        <w:pStyle w:val="14"/>
        <w:numPr>
          <w:ilvl w:val="0"/>
          <w:numId w:val="5"/>
        </w:numPr>
        <w:ind w:firstLine="321" w:firstLineChars="100"/>
        <w:rPr>
          <w:rFonts w:eastAsia="楷体_GB2312"/>
          <w:b/>
          <w:bCs/>
          <w:sz w:val="32"/>
          <w:szCs w:val="32"/>
        </w:rPr>
      </w:pPr>
      <w:r>
        <w:rPr>
          <w:rFonts w:eastAsia="楷体_GB2312"/>
          <w:b/>
          <w:bCs/>
          <w:sz w:val="32"/>
          <w:szCs w:val="32"/>
        </w:rPr>
        <w:t>项目产出</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eastAsia="仿宋"/>
          <w:b w:val="0"/>
          <w:spacing w:val="-4"/>
          <w:sz w:val="32"/>
          <w:szCs w:val="32"/>
        </w:rPr>
      </w:pPr>
      <w:r>
        <w:rPr>
          <w:rStyle w:val="18"/>
          <w:rFonts w:eastAsia="仿宋"/>
          <w:bCs w:val="0"/>
          <w:spacing w:val="-4"/>
          <w:sz w:val="32"/>
          <w:szCs w:val="32"/>
        </w:rPr>
        <w:t>数量指标方面：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bCs/>
          <w:color w:val="auto"/>
          <w:sz w:val="28"/>
          <w:szCs w:val="28"/>
          <w:lang w:val="en-US" w:eastAsia="zh-CN"/>
        </w:rPr>
      </w:pPr>
      <w:r>
        <w:rPr>
          <w:rFonts w:hint="eastAsia" w:ascii="Times New Roman" w:hAnsi="Times New Roman" w:cs="Times New Roman"/>
          <w:bCs/>
          <w:sz w:val="28"/>
          <w:szCs w:val="28"/>
          <w:lang w:val="en-US" w:eastAsia="zh-CN"/>
        </w:rPr>
        <w:tab/>
      </w: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：食品监督抽检批次数</w:t>
      </w:r>
      <w:r>
        <w:rPr>
          <w:rFonts w:hint="eastAsia" w:ascii="宋体" w:hAnsi="宋体" w:eastAsia="仿宋_GB2312" w:cs="宋体"/>
          <w:bCs/>
          <w:sz w:val="28"/>
          <w:szCs w:val="28"/>
          <w:lang w:val="en-US" w:eastAsia="zh-CN"/>
        </w:rPr>
        <w:t>≧</w:t>
      </w:r>
      <w:r>
        <w:rPr>
          <w:rFonts w:hint="eastAsia" w:cs="Times New Roman"/>
          <w:bCs/>
          <w:sz w:val="28"/>
          <w:szCs w:val="28"/>
          <w:lang w:val="en-US" w:eastAsia="zh-CN"/>
        </w:rPr>
        <w:t>6277批次，完成值6277批次。</w:t>
      </w:r>
      <w:r>
        <w:rPr>
          <w:rFonts w:hint="eastAsia" w:ascii="Times New Roman" w:hAnsi="Times New Roman" w:cs="Times New Roman"/>
          <w:bCs/>
          <w:color w:val="auto"/>
          <w:sz w:val="28"/>
          <w:szCs w:val="28"/>
          <w:lang w:val="en-US" w:eastAsia="zh-CN"/>
        </w:rPr>
        <w:t>绩效目标完成率100%，绩效目标完成情况无偏差。</w:t>
      </w:r>
    </w:p>
    <w:p>
      <w:pPr>
        <w:pStyle w:val="14"/>
        <w:rPr>
          <w:rFonts w:hint="eastAsia"/>
          <w:lang w:val="en-US" w:eastAsia="zh-CN"/>
        </w:rPr>
      </w:pPr>
      <w:r>
        <w:rPr>
          <w:rFonts w:hint="eastAsia"/>
          <w:lang w:val="en-US" w:eastAsia="zh-CN"/>
        </w:rPr>
        <w:tab/>
      </w:r>
      <w:r>
        <w:rPr>
          <w:rFonts w:hint="eastAsia" w:cs="Times New Roman"/>
          <w:bCs/>
          <w:sz w:val="28"/>
          <w:szCs w:val="28"/>
          <w:lang w:val="en-US" w:eastAsia="zh-CN"/>
        </w:rPr>
        <w:t>指标2</w:t>
      </w:r>
      <w:r>
        <w:rPr>
          <w:rFonts w:hint="eastAsia" w:ascii="Times New Roman" w:hAnsi="Times New Roman" w:eastAsia="仿宋_GB2312" w:cs="Times New Roman"/>
          <w:bCs/>
          <w:kern w:val="2"/>
          <w:sz w:val="28"/>
          <w:szCs w:val="28"/>
          <w:lang w:val="en-US" w:eastAsia="zh-CN" w:bidi="ar-SA"/>
        </w:rPr>
        <w:t>：完成检查报告数量≧6277批次，完成值6277批次。绩效目标完成率100%，绩效目标完成情况无偏差。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Times New Roman" w:hAnsi="Times New Roman" w:eastAsia="仿宋" w:cs="Times New Roman"/>
          <w:bCs w:val="0"/>
          <w:spacing w:val="-4"/>
          <w:sz w:val="32"/>
          <w:szCs w:val="32"/>
        </w:rPr>
      </w:pPr>
      <w:r>
        <w:rPr>
          <w:rStyle w:val="18"/>
          <w:rFonts w:ascii="Times New Roman" w:hAnsi="Times New Roman" w:eastAsia="仿宋" w:cs="Times New Roman"/>
          <w:bCs w:val="0"/>
          <w:spacing w:val="-4"/>
          <w:sz w:val="32"/>
          <w:szCs w:val="32"/>
        </w:rPr>
        <w:t>质量指标方面：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Theme="majorEastAsia"/>
          <w:color w:val="auto"/>
          <w:lang w:eastAsia="zh-CN"/>
        </w:rPr>
      </w:pP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w:t>
      </w:r>
      <w:r>
        <w:rPr>
          <w:rFonts w:hint="eastAsia" w:ascii="Times New Roman" w:hAnsi="Times New Roman" w:cs="Times New Roman"/>
          <w:bCs/>
          <w:color w:val="auto"/>
          <w:sz w:val="28"/>
          <w:szCs w:val="28"/>
          <w:lang w:val="en-US" w:eastAsia="zh-CN"/>
        </w:rPr>
        <w:t>抽检覆盖率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完成值90%</w:t>
      </w:r>
      <w:r>
        <w:rPr>
          <w:rFonts w:hint="eastAsia" w:ascii="Times New Roman" w:hAnsi="Times New Roman" w:cs="Times New Roman"/>
          <w:bCs/>
          <w:color w:val="auto"/>
          <w:sz w:val="28"/>
          <w:szCs w:val="28"/>
          <w:lang w:val="en-US" w:eastAsia="zh-CN"/>
        </w:rPr>
        <w:t>，绩效目标完成率100%，绩效目标完成情况无偏差。</w:t>
      </w:r>
    </w:p>
    <w:p>
      <w:pPr>
        <w:pStyle w:val="2"/>
        <w:spacing w:before="0" w:after="0" w:line="600" w:lineRule="exact"/>
        <w:ind w:firstLine="627" w:firstLineChars="200"/>
        <w:jc w:val="both"/>
      </w:pPr>
      <w:r>
        <w:rPr>
          <w:rStyle w:val="18"/>
          <w:rFonts w:ascii="Times New Roman" w:hAnsi="Times New Roman" w:eastAsia="仿宋" w:cs="Times New Roman"/>
          <w:b/>
          <w:bCs w:val="0"/>
          <w:spacing w:val="-4"/>
          <w:kern w:val="2"/>
          <w:sz w:val="32"/>
          <w:szCs w:val="32"/>
          <w:lang w:val="en-US" w:eastAsia="zh-CN" w:bidi="ar-SA"/>
        </w:rPr>
        <w:t>成本指标方面：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pP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：抽检成本≤</w:t>
      </w:r>
      <w:r>
        <w:rPr>
          <w:rFonts w:hint="eastAsia" w:cs="Times New Roman"/>
          <w:bCs/>
          <w:sz w:val="28"/>
          <w:szCs w:val="28"/>
          <w:lang w:val="en-US" w:eastAsia="zh-CN"/>
        </w:rPr>
        <w:t>1800元/批次</w:t>
      </w:r>
      <w:r>
        <w:rPr>
          <w:rFonts w:hint="eastAsia" w:ascii="Times New Roman" w:hAnsi="Times New Roman" w:cs="Times New Roman"/>
          <w:bCs/>
          <w:sz w:val="28"/>
          <w:szCs w:val="28"/>
          <w:lang w:val="en-US" w:eastAsia="zh-CN"/>
        </w:rPr>
        <w:t>，</w:t>
      </w:r>
      <w:r>
        <w:rPr>
          <w:rFonts w:hint="eastAsia" w:cs="Times New Roman"/>
          <w:bCs/>
          <w:sz w:val="28"/>
          <w:szCs w:val="28"/>
          <w:lang w:val="en-US" w:eastAsia="zh-CN"/>
        </w:rPr>
        <w:t>完成值1799.98元</w:t>
      </w:r>
      <w:r>
        <w:rPr>
          <w:rFonts w:hint="eastAsia" w:ascii="Times New Roman" w:hAnsi="Times New Roman" w:cs="Times New Roman"/>
          <w:bCs/>
          <w:sz w:val="28"/>
          <w:szCs w:val="28"/>
          <w:lang w:val="en-US" w:eastAsia="zh-CN"/>
        </w:rPr>
        <w:t>，</w:t>
      </w:r>
      <w:r>
        <w:rPr>
          <w:rFonts w:hint="eastAsia" w:cs="Times New Roman"/>
          <w:bCs/>
          <w:sz w:val="28"/>
          <w:szCs w:val="28"/>
          <w:lang w:val="en-US" w:eastAsia="zh-CN"/>
        </w:rPr>
        <w:t>绩效目标完成率100%，</w:t>
      </w:r>
      <w:r>
        <w:rPr>
          <w:rFonts w:hint="eastAsia" w:ascii="Times New Roman" w:hAnsi="Times New Roman" w:cs="Times New Roman"/>
          <w:bCs/>
          <w:color w:val="auto"/>
          <w:sz w:val="28"/>
          <w:szCs w:val="28"/>
          <w:lang w:val="en-US" w:eastAsia="zh-CN"/>
        </w:rPr>
        <w:t>绩效目标完成情况无偏差</w:t>
      </w:r>
      <w:r>
        <w:rPr>
          <w:rFonts w:hint="eastAsia" w:ascii="Times New Roman" w:hAnsi="Times New Roman" w:cs="Times New Roman"/>
          <w:bCs/>
          <w:sz w:val="28"/>
          <w:szCs w:val="28"/>
          <w:lang w:val="en-US" w:eastAsia="zh-CN"/>
        </w:rPr>
        <w:t>。</w:t>
      </w:r>
    </w:p>
    <w:p>
      <w:pPr>
        <w:spacing w:line="600" w:lineRule="exact"/>
        <w:ind w:firstLine="627" w:firstLineChars="200"/>
        <w:rPr>
          <w:rStyle w:val="18"/>
          <w:rFonts w:ascii="Times New Roman" w:hAnsi="Times New Roman" w:eastAsia="仿宋" w:cs="Times New Roman"/>
          <w:bCs w:val="0"/>
          <w:spacing w:val="-4"/>
          <w:kern w:val="2"/>
          <w:sz w:val="32"/>
          <w:szCs w:val="32"/>
          <w:lang w:val="en-US" w:eastAsia="zh-CN" w:bidi="ar-SA"/>
        </w:rPr>
      </w:pPr>
      <w:r>
        <w:rPr>
          <w:rStyle w:val="18"/>
          <w:rFonts w:ascii="Times New Roman" w:hAnsi="Times New Roman" w:eastAsia="仿宋" w:cs="Times New Roman"/>
          <w:bCs w:val="0"/>
          <w:spacing w:val="-4"/>
          <w:kern w:val="2"/>
          <w:sz w:val="32"/>
          <w:szCs w:val="32"/>
          <w:lang w:val="en-US" w:eastAsia="zh-CN" w:bidi="ar-SA"/>
        </w:rPr>
        <w:t>时效指标方面：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bCs/>
          <w:sz w:val="28"/>
          <w:szCs w:val="28"/>
          <w:lang w:val="en-US" w:eastAsia="zh-CN"/>
        </w:rPr>
      </w:pP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：抽检任务完成及时率&gt;=90%</w:t>
      </w:r>
      <w:r>
        <w:rPr>
          <w:rFonts w:hint="eastAsia" w:cs="Times New Roman"/>
          <w:bCs/>
          <w:sz w:val="28"/>
          <w:szCs w:val="28"/>
          <w:lang w:val="en-US" w:eastAsia="zh-CN"/>
        </w:rPr>
        <w:t>，检验报告出具及时率&gt;=95%，完成值</w:t>
      </w:r>
      <w:r>
        <w:rPr>
          <w:rFonts w:hint="eastAsia" w:ascii="Times New Roman" w:hAnsi="Times New Roman" w:cs="Times New Roman"/>
          <w:bCs/>
          <w:sz w:val="28"/>
          <w:szCs w:val="28"/>
          <w:lang w:val="en-US" w:eastAsia="zh-CN"/>
        </w:rPr>
        <w:t>抽检任务完成及时率</w:t>
      </w:r>
      <w:r>
        <w:rPr>
          <w:rFonts w:hint="eastAsia" w:cs="Times New Roman"/>
          <w:bCs/>
          <w:sz w:val="28"/>
          <w:szCs w:val="28"/>
          <w:lang w:val="en-US" w:eastAsia="zh-CN"/>
        </w:rPr>
        <w:t>90%</w:t>
      </w:r>
      <w:r>
        <w:rPr>
          <w:rFonts w:hint="eastAsia" w:ascii="Times New Roman" w:hAnsi="Times New Roman" w:cs="Times New Roman"/>
          <w:bCs/>
          <w:sz w:val="28"/>
          <w:szCs w:val="28"/>
          <w:lang w:val="en-US" w:eastAsia="zh-CN"/>
        </w:rPr>
        <w:t>，</w:t>
      </w:r>
      <w:r>
        <w:rPr>
          <w:rFonts w:hint="eastAsia" w:cs="Times New Roman"/>
          <w:bCs/>
          <w:sz w:val="28"/>
          <w:szCs w:val="28"/>
          <w:lang w:val="en-US" w:eastAsia="zh-CN"/>
        </w:rPr>
        <w:t>检验报告出具及时率95%，</w:t>
      </w:r>
      <w:r>
        <w:rPr>
          <w:rFonts w:hint="eastAsia" w:ascii="Times New Roman" w:hAnsi="Times New Roman" w:cs="Times New Roman"/>
          <w:bCs/>
          <w:sz w:val="28"/>
          <w:szCs w:val="28"/>
          <w:lang w:val="en-US" w:eastAsia="zh-CN"/>
        </w:rPr>
        <w:t>绩效目标执行无偏差。</w:t>
      </w:r>
    </w:p>
    <w:p>
      <w:pPr>
        <w:pStyle w:val="14"/>
        <w:numPr>
          <w:ilvl w:val="0"/>
          <w:numId w:val="5"/>
        </w:numPr>
        <w:spacing w:line="600" w:lineRule="exact"/>
        <w:ind w:firstLine="643"/>
        <w:rPr>
          <w:rFonts w:eastAsia="楷体_GB2312"/>
          <w:b/>
          <w:bCs/>
          <w:sz w:val="32"/>
          <w:szCs w:val="32"/>
        </w:rPr>
      </w:pPr>
      <w:r>
        <w:rPr>
          <w:rFonts w:eastAsia="楷体_GB2312"/>
          <w:b/>
          <w:bCs/>
          <w:sz w:val="32"/>
          <w:szCs w:val="32"/>
        </w:rPr>
        <w:t>效益情况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Times New Roman" w:hAnsi="Times New Roman"/>
        </w:rPr>
      </w:pPr>
      <w:r>
        <w:rPr>
          <w:rFonts w:hint="eastAsia" w:cs="Times New Roman"/>
          <w:bCs/>
          <w:sz w:val="28"/>
          <w:szCs w:val="28"/>
          <w:lang w:val="en-US" w:eastAsia="zh-CN"/>
        </w:rPr>
        <w:t>指标1</w:t>
      </w:r>
      <w:r>
        <w:rPr>
          <w:rFonts w:hint="eastAsia" w:cs="Times New Roman"/>
          <w:sz w:val="28"/>
          <w:szCs w:val="28"/>
          <w:lang w:val="en-US" w:eastAsia="zh-CN"/>
        </w:rPr>
        <w:t>：社会</w:t>
      </w:r>
      <w:r>
        <w:rPr>
          <w:rFonts w:hint="eastAsia" w:ascii="Times New Roman" w:hAnsi="Times New Roman" w:cs="Times New Roman"/>
          <w:sz w:val="28"/>
          <w:szCs w:val="28"/>
          <w:lang w:val="en-US" w:eastAsia="zh-CN"/>
        </w:rPr>
        <w:t>效益指标，辖区食品产业健康有序发展的活力</w:t>
      </w:r>
      <w:r>
        <w:rPr>
          <w:rFonts w:hint="eastAsia" w:cs="Times New Roman"/>
          <w:sz w:val="28"/>
          <w:szCs w:val="28"/>
          <w:lang w:val="en-US" w:eastAsia="zh-CN"/>
        </w:rPr>
        <w:t>逐</w:t>
      </w:r>
      <w:r>
        <w:rPr>
          <w:rFonts w:hint="eastAsia" w:ascii="Times New Roman" w:hAnsi="Times New Roman" w:cs="Times New Roman"/>
          <w:sz w:val="28"/>
          <w:szCs w:val="28"/>
          <w:lang w:val="en-US" w:eastAsia="zh-CN"/>
        </w:rPr>
        <w:t>步提高，</w:t>
      </w:r>
      <w:r>
        <w:rPr>
          <w:rFonts w:hint="eastAsia" w:cs="Times New Roman"/>
          <w:sz w:val="28"/>
          <w:szCs w:val="28"/>
          <w:lang w:val="en-US" w:eastAsia="zh-CN"/>
        </w:rPr>
        <w:t>完成值：</w:t>
      </w:r>
      <w:r>
        <w:rPr>
          <w:rFonts w:hint="eastAsia" w:ascii="Times New Roman" w:hAnsi="Times New Roman" w:cs="Times New Roman"/>
          <w:sz w:val="28"/>
          <w:szCs w:val="28"/>
          <w:lang w:val="en-US" w:eastAsia="zh-CN"/>
        </w:rPr>
        <w:t>食品行业健康有序发展，保障了人民群众食品安全，提高了食品安全抽检能力，为单位未来持续发展奠定了坚实基础。社会效益完成情况良好，</w:t>
      </w:r>
      <w:r>
        <w:rPr>
          <w:rFonts w:hint="eastAsia" w:ascii="Times New Roman" w:hAnsi="Times New Roman" w:cs="Times New Roman"/>
          <w:bCs/>
          <w:sz w:val="28"/>
          <w:szCs w:val="28"/>
          <w:lang w:val="en-US" w:eastAsia="zh-CN"/>
        </w:rPr>
        <w:t>绩效目标执行无偏差</w:t>
      </w:r>
      <w:r>
        <w:rPr>
          <w:rFonts w:hint="eastAsia" w:ascii="Times New Roman" w:hAnsi="Times New Roman" w:cs="Times New Roman"/>
          <w:sz w:val="28"/>
          <w:szCs w:val="28"/>
          <w:lang w:val="en-US" w:eastAsia="zh-CN"/>
        </w:rPr>
        <w:t>。</w:t>
      </w:r>
    </w:p>
    <w:p>
      <w:pPr>
        <w:spacing w:line="600" w:lineRule="exact"/>
        <w:ind w:firstLine="627" w:firstLineChars="200"/>
        <w:rPr>
          <w:rStyle w:val="18"/>
          <w:rFonts w:ascii="Times New Roman" w:hAnsi="Times New Roman" w:eastAsia="仿宋" w:cs="Times New Roman"/>
          <w:bCs w:val="0"/>
          <w:spacing w:val="-4"/>
          <w:kern w:val="2"/>
          <w:sz w:val="32"/>
          <w:szCs w:val="32"/>
          <w:lang w:val="en-US" w:eastAsia="zh-CN" w:bidi="ar-SA"/>
        </w:rPr>
      </w:pPr>
      <w:r>
        <w:rPr>
          <w:rStyle w:val="18"/>
          <w:rFonts w:ascii="Times New Roman" w:hAnsi="Times New Roman" w:eastAsia="仿宋" w:cs="Times New Roman"/>
          <w:bCs w:val="0"/>
          <w:spacing w:val="-4"/>
          <w:kern w:val="2"/>
          <w:sz w:val="32"/>
          <w:szCs w:val="32"/>
          <w:lang w:val="en-US" w:eastAsia="zh-CN" w:bidi="ar-SA"/>
        </w:rPr>
        <w:t>满意度指标方面：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31"/>
        </w:rPr>
      </w:pPr>
      <w:r>
        <w:rPr>
          <w:rFonts w:hint="eastAsia" w:cs="Times New Roman"/>
          <w:bCs/>
          <w:sz w:val="28"/>
          <w:szCs w:val="28"/>
          <w:lang w:val="en-US" w:eastAsia="zh-CN"/>
        </w:rPr>
        <w:t>指标1</w:t>
      </w:r>
      <w:r>
        <w:rPr>
          <w:rFonts w:hint="eastAsia" w:ascii="Times New Roman" w:hAnsi="Times New Roman" w:cs="Times New Roman"/>
          <w:sz w:val="28"/>
          <w:szCs w:val="28"/>
          <w:lang w:val="en-US" w:eastAsia="zh-CN"/>
        </w:rPr>
        <w:t>：受检企业满意度≥85%</w:t>
      </w:r>
      <w:r>
        <w:rPr>
          <w:rFonts w:hint="eastAsia" w:cs="Times New Roman"/>
          <w:sz w:val="28"/>
          <w:szCs w:val="28"/>
          <w:lang w:val="en-US" w:eastAsia="zh-CN"/>
        </w:rPr>
        <w:t>，完成值：</w:t>
      </w:r>
      <w:r>
        <w:rPr>
          <w:rFonts w:hint="eastAsia" w:ascii="Times New Roman" w:hAnsi="Times New Roman" w:cs="Times New Roman"/>
          <w:sz w:val="28"/>
          <w:szCs w:val="28"/>
          <w:lang w:val="en-US" w:eastAsia="zh-CN"/>
        </w:rPr>
        <w:t>通过专项任务的执行，食品安全得到保障，食品行业健康有序发展，人民群众食品安全获得感、幸福感、安全感进一步得到提高，满意度指标完成</w:t>
      </w:r>
      <w:r>
        <w:rPr>
          <w:rFonts w:hint="eastAsia" w:cs="Times New Roman"/>
          <w:sz w:val="28"/>
          <w:szCs w:val="28"/>
          <w:lang w:val="en-US" w:eastAsia="zh-CN"/>
        </w:rPr>
        <w:t>85%</w:t>
      </w:r>
      <w:r>
        <w:rPr>
          <w:rFonts w:hint="eastAsia" w:ascii="Times New Roman" w:hAnsi="Times New Roman" w:cs="Times New Roman"/>
          <w:sz w:val="28"/>
          <w:szCs w:val="28"/>
          <w:lang w:val="en-US" w:eastAsia="zh-CN"/>
        </w:rPr>
        <w:t>，绩效目标执行无偏差</w:t>
      </w:r>
      <w:r>
        <w:rPr>
          <w:rFonts w:hint="eastAsia" w:ascii="Times New Roman" w:hAnsi="Times New Roman" w:cs="Times New Roman"/>
          <w:lang w:val="en-US" w:eastAsia="zh-CN"/>
        </w:rPr>
        <w:t>。</w:t>
      </w:r>
    </w:p>
    <w:p>
      <w:pPr>
        <w:spacing w:line="600" w:lineRule="exact"/>
        <w:ind w:firstLine="640" w:firstLineChars="200"/>
        <w:rPr>
          <w:rStyle w:val="31"/>
        </w:rPr>
      </w:pPr>
      <w:r>
        <w:rPr>
          <w:rFonts w:eastAsia="黑体"/>
          <w:sz w:val="32"/>
          <w:szCs w:val="32"/>
        </w:rPr>
        <w:t>五、主要经验及做法、存在的问题及原因分析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3" w:firstLineChars="200"/>
        <w:rPr>
          <w:rFonts w:hint="default" w:eastAsia="楷体_GB2312"/>
          <w:b/>
          <w:bCs/>
          <w:sz w:val="32"/>
          <w:szCs w:val="32"/>
          <w:lang w:val="en-US" w:eastAsia="zh-CN"/>
        </w:rPr>
      </w:pPr>
      <w:r>
        <w:rPr>
          <w:rFonts w:eastAsia="楷体_GB2312"/>
          <w:b/>
          <w:bCs/>
          <w:sz w:val="32"/>
          <w:szCs w:val="32"/>
        </w:rPr>
        <w:t>存在的问题及原因分析</w:t>
      </w:r>
    </w:p>
    <w:p>
      <w:pPr>
        <w:pStyle w:val="2"/>
        <w:spacing w:before="0" w:after="0" w:line="600" w:lineRule="exact"/>
        <w:ind w:firstLine="640" w:firstLineChars="200"/>
        <w:jc w:val="both"/>
        <w:rPr>
          <w:rFonts w:hint="eastAsia" w:ascii="Times New Roman" w:hAnsi="Times New Roman" w:eastAsia="仿宋_GB2312"/>
          <w:b w:val="0"/>
          <w:bCs w:val="0"/>
          <w:kern w:val="2"/>
          <w:lang w:val="en-US" w:eastAsia="zh-CN"/>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b w:val="0"/>
          <w:bCs w:val="0"/>
          <w:kern w:val="2"/>
          <w:lang w:val="en-US" w:eastAsia="zh-CN"/>
        </w:rPr>
        <w:t>无</w:t>
      </w:r>
    </w:p>
    <w:p>
      <w:pPr>
        <w:pageBreakBefore w:val="0"/>
        <w:numPr>
          <w:ilvl w:val="0"/>
          <w:numId w:val="7"/>
        </w:numPr>
        <w:kinsoku/>
        <w:wordWrap/>
        <w:overflowPunct/>
        <w:topLinePunct w:val="0"/>
        <w:autoSpaceDE/>
        <w:autoSpaceDN/>
        <w:bidi w:val="0"/>
        <w:adjustRightInd/>
        <w:spacing w:line="560" w:lineRule="exact"/>
        <w:ind w:left="0" w:leftChars="0" w:firstLine="640" w:firstLineChars="200"/>
        <w:textAlignment w:val="auto"/>
        <w:rPr>
          <w:rFonts w:eastAsia="黑体"/>
          <w:sz w:val="32"/>
          <w:szCs w:val="32"/>
          <w:highlight w:val="none"/>
        </w:rPr>
      </w:pPr>
      <w:r>
        <w:rPr>
          <w:rFonts w:eastAsia="黑体"/>
          <w:sz w:val="32"/>
          <w:szCs w:val="32"/>
          <w:highlight w:val="none"/>
        </w:rPr>
        <w:t>有关建议</w:t>
      </w:r>
    </w:p>
    <w:p>
      <w:pPr>
        <w:numPr>
          <w:numId w:val="0"/>
        </w:numPr>
        <w:spacing w:line="560" w:lineRule="exact"/>
        <w:ind w:left="600" w:leftChars="200"/>
        <w:rPr>
          <w:rFonts w:hint="eastAsia"/>
          <w:lang w:eastAsia="zh-CN"/>
        </w:rPr>
      </w:pPr>
      <w:r>
        <w:rPr>
          <w:rFonts w:hint="eastAsia" w:ascii="仿宋_GB2312" w:hAnsi="仿宋_GB2312" w:eastAsia="仿宋_GB2312" w:cs="仿宋_GB2312"/>
          <w:b w:val="0"/>
          <w:bCs w:val="0"/>
          <w:sz w:val="32"/>
          <w:szCs w:val="32"/>
          <w:highlight w:val="none"/>
          <w:lang w:val="en-US" w:eastAsia="zh-CN"/>
        </w:rPr>
        <w:t>无</w:t>
      </w:r>
      <w:bookmarkStart w:id="7" w:name="_GoBack"/>
      <w:bookmarkEnd w:id="7"/>
    </w:p>
    <w:p>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6" w:name="page8"/>
      <w:bookmarkEnd w:id="6"/>
      <w:r>
        <w:rPr>
          <w:rFonts w:eastAsia="黑体"/>
          <w:sz w:val="32"/>
          <w:szCs w:val="32"/>
        </w:rPr>
        <w:t>明的问题</w:t>
      </w:r>
    </w:p>
    <w:p>
      <w:pPr>
        <w:pStyle w:val="15"/>
        <w:ind w:left="0" w:leftChars="0" w:firstLine="960" w:firstLineChars="3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2023年食品抽检</w:t>
      </w:r>
      <w:r>
        <w:rPr>
          <w:rFonts w:hint="eastAsia" w:ascii="仿宋_GB2312" w:hAnsi="仿宋_GB2312" w:eastAsia="仿宋_GB2312" w:cs="仿宋_GB2312"/>
          <w:sz w:val="32"/>
          <w:szCs w:val="32"/>
          <w:highlight w:val="none"/>
        </w:rPr>
        <w:t>项目年初预算</w:t>
      </w:r>
      <w:r>
        <w:rPr>
          <w:rFonts w:hint="eastAsia" w:ascii="仿宋_GB2312" w:hAnsi="仿宋_GB2312" w:eastAsia="仿宋_GB2312" w:cs="仿宋_GB2312"/>
          <w:sz w:val="32"/>
          <w:szCs w:val="32"/>
          <w:highlight w:val="none"/>
          <w:lang w:val="en-US" w:eastAsia="zh-CN"/>
        </w:rPr>
        <w:t>1129.85</w:t>
      </w:r>
      <w:r>
        <w:rPr>
          <w:rFonts w:hint="eastAsia"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1129.85</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1129.85</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Hans"/>
        </w:rPr>
        <w:t>总体</w:t>
      </w:r>
      <w:r>
        <w:rPr>
          <w:rFonts w:hint="eastAsia"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无偏差</w:t>
      </w:r>
      <w:r>
        <w:rPr>
          <w:rFonts w:hint="eastAsia" w:ascii="仿宋_GB2312" w:hAnsi="仿宋_GB2312" w:eastAsia="仿宋_GB2312" w:cs="仿宋_GB2312"/>
          <w:sz w:val="32"/>
          <w:szCs w:val="32"/>
          <w:highlight w:val="none"/>
        </w:rPr>
        <w:t>。</w:t>
      </w:r>
    </w:p>
    <w:p>
      <w:pPr>
        <w:pStyle w:val="15"/>
        <w:ind w:left="0" w:leftChars="0" w:firstLine="960" w:firstLineChars="300"/>
        <w:rPr>
          <w:rFonts w:hint="eastAsia" w:ascii="仿宋_GB2312" w:hAnsi="仿宋_GB2312" w:eastAsia="仿宋_GB2312" w:cs="仿宋_GB2312"/>
          <w:sz w:val="32"/>
          <w:szCs w:val="32"/>
          <w:highlight w:val="none"/>
        </w:rPr>
      </w:pPr>
    </w:p>
    <w:p>
      <w:pPr>
        <w:pStyle w:val="15"/>
        <w:ind w:left="0" w:leftChars="0" w:firstLine="960" w:firstLineChars="300"/>
        <w:rPr>
          <w:rFonts w:hint="eastAsia" w:ascii="仿宋_GB2312" w:hAnsi="仿宋_GB2312" w:eastAsia="仿宋_GB2312" w:cs="仿宋_GB2312"/>
          <w:sz w:val="32"/>
          <w:szCs w:val="32"/>
          <w:highlight w:val="none"/>
        </w:rPr>
      </w:pPr>
    </w:p>
    <w:p>
      <w:pPr>
        <w:pStyle w:val="15"/>
        <w:ind w:left="0" w:leftChars="0" w:firstLine="960" w:firstLineChars="300"/>
        <w:rPr>
          <w:rFonts w:hint="eastAsia" w:ascii="仿宋_GB2312" w:hAnsi="仿宋_GB2312" w:eastAsia="仿宋_GB2312" w:cs="仿宋_GB2312"/>
          <w:sz w:val="32"/>
          <w:szCs w:val="32"/>
          <w:highlight w:val="none"/>
        </w:rPr>
      </w:pPr>
    </w:p>
    <w:p>
      <w:pPr>
        <w:pStyle w:val="15"/>
        <w:ind w:left="0" w:leftChars="0" w:firstLine="960" w:firstLineChars="300"/>
        <w:rPr>
          <w:rFonts w:hint="eastAsia" w:ascii="仿宋_GB2312" w:hAnsi="仿宋_GB2312" w:eastAsia="仿宋_GB2312" w:cs="仿宋_GB2312"/>
          <w:sz w:val="32"/>
          <w:szCs w:val="32"/>
          <w:highlight w:val="none"/>
        </w:rPr>
      </w:pPr>
    </w:p>
    <w:p>
      <w:pPr>
        <w:pStyle w:val="15"/>
        <w:ind w:left="0" w:leftChars="0" w:firstLine="960" w:firstLineChars="300"/>
        <w:rPr>
          <w:rFonts w:hint="eastAsia" w:ascii="仿宋_GB2312" w:hAnsi="仿宋_GB2312" w:eastAsia="仿宋_GB2312" w:cs="仿宋_GB2312"/>
          <w:sz w:val="32"/>
          <w:szCs w:val="32"/>
          <w:highlight w:val="none"/>
        </w:rPr>
      </w:pPr>
    </w:p>
    <w:p>
      <w:pPr>
        <w:pStyle w:val="15"/>
        <w:ind w:left="0" w:leftChars="0" w:firstLine="0" w:firstLineChars="0"/>
        <w:rPr>
          <w:rFonts w:hint="eastAsia" w:ascii="仿宋_GB2312" w:hAnsi="仿宋_GB2312" w:eastAsia="仿宋_GB2312" w:cs="仿宋_GB2312"/>
          <w:sz w:val="32"/>
          <w:szCs w:val="32"/>
          <w:highlight w:val="none"/>
        </w:rPr>
      </w:pPr>
    </w:p>
    <w:p>
      <w:pPr>
        <w:pStyle w:val="15"/>
        <w:ind w:left="0" w:leftChars="0" w:firstLine="960" w:firstLineChars="300"/>
        <w:rPr>
          <w:rFonts w:hint="eastAsia" w:ascii="仿宋_GB2312" w:hAnsi="仿宋_GB2312" w:eastAsia="仿宋_GB2312" w:cs="仿宋_GB2312"/>
          <w:sz w:val="32"/>
          <w:szCs w:val="32"/>
          <w:highlight w:val="none"/>
        </w:rPr>
        <w:sectPr>
          <w:footerReference r:id="rId3" w:type="default"/>
          <w:pgSz w:w="11906" w:h="16838"/>
          <w:pgMar w:top="1928" w:right="1531" w:bottom="1701" w:left="1531" w:header="737" w:footer="851" w:gutter="0"/>
          <w:cols w:space="720" w:num="1"/>
          <w:docGrid w:type="lines" w:linePitch="408" w:charSpace="0"/>
        </w:sectPr>
      </w:pPr>
    </w:p>
    <w:p>
      <w:pPr>
        <w:pStyle w:val="15"/>
        <w:ind w:left="0" w:leftChars="0" w:firstLine="960" w:firstLineChars="300"/>
        <w:rPr>
          <w:rFonts w:hint="eastAsia" w:ascii="仿宋_GB2312" w:hAnsi="仿宋_GB2312" w:eastAsia="仿宋_GB2312" w:cs="仿宋_GB2312"/>
          <w:sz w:val="32"/>
          <w:szCs w:val="32"/>
          <w:highlight w:val="none"/>
        </w:rPr>
      </w:pP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45"/>
        <w:gridCol w:w="545"/>
        <w:gridCol w:w="545"/>
        <w:gridCol w:w="1223"/>
        <w:gridCol w:w="982"/>
        <w:gridCol w:w="879"/>
        <w:gridCol w:w="879"/>
        <w:gridCol w:w="868"/>
        <w:gridCol w:w="879"/>
        <w:gridCol w:w="866"/>
        <w:gridCol w:w="871"/>
        <w:gridCol w:w="1047"/>
        <w:gridCol w:w="933"/>
        <w:gridCol w:w="21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58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2023年食品抽检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170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新疆维吾尔自治区产品质量监督检验研究院</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222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新疆维吾尔自治区产品质量监督检验研究院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1909"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288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2"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909"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目标：根据国家总局对抽检工作的部署安排，结合我区当前工作实际，2023年，计划完成：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1.2023年抽检监测任务6277余批次，需要经费1129.85万元；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2.开展食品相关产品抽检、检验和出具检验报告和质量分析报告；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3.严格按照区局相关要求，规范抽样行为、高效完成自治区产品质量监督抽查工作任务；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4.食品安全监督抽检信息公示；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5.食品抽检不合格和问题食品核查处置；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6.食品安全风险预警交流。</w:t>
            </w:r>
          </w:p>
        </w:tc>
        <w:tc>
          <w:tcPr>
            <w:tcW w:w="288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根据国家总局对抽检工作的部署安排，结合我区当前工作实际，2023年已完成： a.2023年抽检监测任务6277批次； b.食品安全抽检监测系统运行正常； c.食品安全监督抽检信息公示； d.食品抽检不合格和问题食品核查处置； e.食品安全风险预警交流。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37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8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监督抽查批次</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&gt;=6277批次</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=6277批次</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完成检查报告数量</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&gt;=6277个</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=6277个</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抽检覆盖率</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抽检任务完成及时率</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按时完成</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检验报告出具及时率</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抽检成本</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&lt;=1800元/批次</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=1800元/批次</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辖区食品产业健康有序发展的活力</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受检企业满意度(%)</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&gt;=85%</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 w:hRule="atLeast"/>
        </w:trPr>
        <w:tc>
          <w:tcPr>
            <w:tcW w:w="1080" w:type="pct"/>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pStyle w:val="15"/>
        <w:ind w:left="0" w:leftChars="0" w:firstLine="630" w:firstLineChars="300"/>
        <w:rPr>
          <w:rFonts w:hint="eastAsia" w:eastAsia="仿宋_GB2312"/>
          <w:lang w:eastAsia="zh-CN"/>
        </w:rPr>
        <w:sectPr>
          <w:pgSz w:w="16838" w:h="11906" w:orient="landscape"/>
          <w:pgMar w:top="1531" w:right="1928" w:bottom="1531" w:left="1701" w:header="737" w:footer="851" w:gutter="0"/>
          <w:cols w:space="720" w:num="1"/>
          <w:docGrid w:type="lines" w:linePitch="408" w:charSpace="0"/>
        </w:sectPr>
      </w:pPr>
    </w:p>
    <w:p>
      <w:pPr>
        <w:jc w:val="center"/>
        <w:rPr>
          <w:rFonts w:hint="default" w:ascii="Times New Roman" w:hAnsi="Times New Roman" w:cs="Times New Roman"/>
          <w:bCs w:val="0"/>
          <w:color w:val="auto"/>
        </w:rPr>
      </w:pPr>
      <w:r>
        <w:rPr>
          <w:rFonts w:hint="default" w:ascii="Times New Roman" w:hAnsi="Times New Roman" w:eastAsia="宋体" w:cs="Times New Roman"/>
          <w:b/>
          <w:bCs/>
          <w:color w:val="auto"/>
          <w:sz w:val="36"/>
          <w:szCs w:val="32"/>
        </w:rPr>
        <w:t>项目支出绩效评价指标体系框架</w:t>
      </w:r>
    </w:p>
    <w:tbl>
      <w:tblPr>
        <w:tblStyle w:val="16"/>
        <w:tblW w:w="132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5"/>
        <w:gridCol w:w="1010"/>
        <w:gridCol w:w="1188"/>
        <w:gridCol w:w="2351"/>
        <w:gridCol w:w="5915"/>
        <w:gridCol w:w="1134"/>
        <w:gridCol w:w="89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6" w:hRule="atLeast"/>
          <w:tblHeader/>
          <w:jc w:val="center"/>
        </w:trPr>
        <w:tc>
          <w:tcPr>
            <w:tcW w:w="725"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一级指标</w:t>
            </w:r>
          </w:p>
        </w:tc>
        <w:tc>
          <w:tcPr>
            <w:tcW w:w="1010"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二级指标</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三级指标</w:t>
            </w:r>
          </w:p>
        </w:tc>
        <w:tc>
          <w:tcPr>
            <w:tcW w:w="2351"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指标解释</w:t>
            </w:r>
          </w:p>
        </w:tc>
        <w:tc>
          <w:tcPr>
            <w:tcW w:w="5915"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指标说明</w:t>
            </w:r>
          </w:p>
        </w:tc>
        <w:tc>
          <w:tcPr>
            <w:tcW w:w="1134"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权重</w:t>
            </w:r>
          </w:p>
        </w:tc>
        <w:tc>
          <w:tcPr>
            <w:tcW w:w="891"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0" w:hRule="atLeast"/>
          <w:jc w:val="center"/>
        </w:trPr>
        <w:tc>
          <w:tcPr>
            <w:tcW w:w="725"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决策　</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p>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tc>
        <w:tc>
          <w:tcPr>
            <w:tcW w:w="1010"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项目立项　</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立项依据</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充分性</w:t>
            </w:r>
          </w:p>
        </w:tc>
        <w:tc>
          <w:tcPr>
            <w:tcW w:w="2351"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项目立项是否符合法律法规、相关政策、发展规划以及部门职责，用以反映和考核项目立项依据情况。</w:t>
            </w:r>
          </w:p>
        </w:tc>
        <w:tc>
          <w:tcPr>
            <w:tcW w:w="5915" w:type="dxa"/>
            <w:shd w:val="clear" w:color="auto" w:fill="FFFFFF"/>
            <w:vAlign w:val="center"/>
          </w:tcPr>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①项目立项是否符合国家法律法规、国民经济发展规划和相关政策；</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②项目立项是否符合行业发展规划和政策要求；</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③项目立项是否与部门职责范围相符，属于部门履职所需；</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④项目是否属于公共财政支持范围，是否符合中央、地方事权支出责任划分原则；</w:t>
            </w:r>
          </w:p>
          <w:p>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⑤项目是否与相关部门同类项目或部门内部相关项目重复。</w:t>
            </w:r>
          </w:p>
        </w:tc>
        <w:tc>
          <w:tcPr>
            <w:tcW w:w="1134"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auto" w:fill="FFFFFF"/>
            <w:vAlign w:val="center"/>
          </w:tcPr>
          <w:p>
            <w:pPr>
              <w:widowControl/>
              <w:spacing w:line="0" w:lineRule="atLeast"/>
              <w:jc w:val="center"/>
              <w:rPr>
                <w:rFonts w:hint="eastAsia" w:ascii="Times New Roman" w:hAnsi="Times New Roman" w:eastAsia="仿宋_GB2312" w:cs="Times New Roman"/>
                <w:color w:val="auto"/>
                <w:kern w:val="0"/>
                <w:sz w:val="22"/>
                <w:szCs w:val="2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6" w:hRule="atLeast"/>
          <w:jc w:val="center"/>
        </w:trPr>
        <w:tc>
          <w:tcPr>
            <w:tcW w:w="725" w:type="dxa"/>
            <w:vMerge w:val="continue"/>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立项程序</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规范性</w:t>
            </w:r>
          </w:p>
        </w:tc>
        <w:tc>
          <w:tcPr>
            <w:tcW w:w="2351"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项目申请、设立过程是否符合相关要求，用以反映和考核项目立项的规范情况。</w:t>
            </w:r>
          </w:p>
        </w:tc>
        <w:tc>
          <w:tcPr>
            <w:tcW w:w="5915" w:type="dxa"/>
            <w:shd w:val="clear" w:color="auto" w:fill="FFFFFF"/>
            <w:vAlign w:val="center"/>
          </w:tcPr>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①项目是否按照规定的程序申请设立；</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②审批文件、材料是否符合相关要求；</w:t>
            </w:r>
          </w:p>
          <w:p>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③事前是否已经过必要的可行性研究、专家论证、风险评估、绩效评估、集体决策。</w:t>
            </w:r>
          </w:p>
        </w:tc>
        <w:tc>
          <w:tcPr>
            <w:tcW w:w="1134"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auto"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4" w:hRule="atLeast"/>
          <w:jc w:val="center"/>
        </w:trPr>
        <w:tc>
          <w:tcPr>
            <w:tcW w:w="725" w:type="dxa"/>
            <w:vMerge w:val="continue"/>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p>
        </w:tc>
        <w:tc>
          <w:tcPr>
            <w:tcW w:w="101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绩效目标　</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绩效目标</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合理性</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项目所设定的绩效目标是否依据充分，是否符合客观实际，用以反映和考核项目绩效目标与项目实施的相符情况。</w:t>
            </w:r>
          </w:p>
        </w:tc>
        <w:tc>
          <w:tcPr>
            <w:tcW w:w="5915" w:type="dxa"/>
            <w:shd w:val="clear" w:color="000000" w:fill="FFFFFF"/>
            <w:vAlign w:val="center"/>
          </w:tcPr>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（如未设定预算绩效目标，也可考核其他工作任务目标）</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①项目是否有绩效目标；</w:t>
            </w:r>
          </w:p>
          <w:p>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②项目绩效目标与实际工作内容是否具有相关性；</w:t>
            </w:r>
          </w:p>
          <w:p>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③项目预期产出效益和效果是否符合正常的业绩水平；</w:t>
            </w:r>
          </w:p>
          <w:p>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④是否与预算确定的项目投资额或资金量相匹配。</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000000"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2" w:hRule="atLeast"/>
          <w:jc w:val="center"/>
        </w:trPr>
        <w:tc>
          <w:tcPr>
            <w:tcW w:w="725"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决策　</w:t>
            </w:r>
          </w:p>
        </w:tc>
        <w:tc>
          <w:tcPr>
            <w:tcW w:w="101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绩效目标</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绩效指标</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明确性</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依据绩效目标设定的绩效指标是否清晰、细化、可衡量等，用以反映和考核项目绩效目标的明细化情况。</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①是否将项目绩效目标细化分解为具体的绩效指标；</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②是否通过清晰、可衡量的指标值予以体现；</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③是否与项目目标任务数或计划数相对应。</w:t>
            </w:r>
          </w:p>
          <w:p>
            <w:pPr>
              <w:widowControl/>
              <w:spacing w:line="0" w:lineRule="atLeast"/>
              <w:rPr>
                <w:rFonts w:hint="default" w:ascii="Times New Roman" w:hAnsi="Times New Roman" w:eastAsia="宋体" w:cs="Times New Roman"/>
                <w:color w:val="auto"/>
                <w:kern w:val="0"/>
                <w:sz w:val="22"/>
                <w:szCs w:val="22"/>
                <w:lang w:eastAsia="zh-CN"/>
              </w:rPr>
            </w:pP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000000"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27" w:hRule="atLeast"/>
          <w:jc w:val="center"/>
        </w:trPr>
        <w:tc>
          <w:tcPr>
            <w:tcW w:w="725" w:type="dxa"/>
            <w:vMerge w:val="continue"/>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p>
        </w:tc>
        <w:tc>
          <w:tcPr>
            <w:tcW w:w="1010"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资金投入</w:t>
            </w:r>
          </w:p>
          <w:p>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预算编制</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科学性</w:t>
            </w:r>
          </w:p>
        </w:tc>
        <w:tc>
          <w:tcPr>
            <w:tcW w:w="2351"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项目预算编制是否经过科学论证、有明确标准，资金额度与年度目标是否相适应，用以反映和考核项目预算编制的科学性、合理性情况。</w:t>
            </w:r>
          </w:p>
        </w:tc>
        <w:tc>
          <w:tcPr>
            <w:tcW w:w="5915"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①预算编制是否经过科学论证；</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②预算内容与项目内容是否匹配；</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③预算额度测算依据是否充分，是否按照标准编制；</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④预算确定的项目投资额或资金量是否与工作任务相匹配。</w:t>
            </w:r>
          </w:p>
        </w:tc>
        <w:tc>
          <w:tcPr>
            <w:tcW w:w="1134"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auto"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92" w:hRule="atLeast"/>
          <w:jc w:val="center"/>
        </w:trPr>
        <w:tc>
          <w:tcPr>
            <w:tcW w:w="725"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资金分配</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合理性</w:t>
            </w:r>
          </w:p>
        </w:tc>
        <w:tc>
          <w:tcPr>
            <w:tcW w:w="2351"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项目预算资金分配是否有测算依据，与补助单位或地方实际是否相适应，用以反映和考核项目预算资金分配的科学性、合理性情况。</w:t>
            </w:r>
          </w:p>
        </w:tc>
        <w:tc>
          <w:tcPr>
            <w:tcW w:w="5915"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①预算资金分配依据是否充分；</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②资金分配额度是否合理，与项目单位或地方实际是否相适应。</w:t>
            </w:r>
          </w:p>
        </w:tc>
        <w:tc>
          <w:tcPr>
            <w:tcW w:w="1134"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auto"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4" w:hRule="atLeast"/>
          <w:jc w:val="center"/>
        </w:trPr>
        <w:tc>
          <w:tcPr>
            <w:tcW w:w="725" w:type="dxa"/>
            <w:vMerge w:val="restart"/>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过程</w:t>
            </w:r>
          </w:p>
        </w:tc>
        <w:tc>
          <w:tcPr>
            <w:tcW w:w="1010"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资金管理</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资金到位率</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实际到位资金与预算资金的比率，用以反映和考核资金落实情况对项目实施的总体保障程度。</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资金到位率=（实际到位资金/预算资金）×100%。</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实际到位资金：一定时期（本年度或项目期）内落实到具体项目的资金。</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预算资金：一定时期（本年度或项目期）内预算安排到具体项目的资金。</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9" w:hRule="atLeast"/>
          <w:jc w:val="center"/>
        </w:trPr>
        <w:tc>
          <w:tcPr>
            <w:tcW w:w="725" w:type="dxa"/>
            <w:vMerge w:val="continue"/>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预算执行率</w:t>
            </w:r>
          </w:p>
        </w:tc>
        <w:tc>
          <w:tcPr>
            <w:tcW w:w="2351"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项目预算资金是否按照计划执行，用以反映或考核项目预算执行情况。</w:t>
            </w:r>
          </w:p>
        </w:tc>
        <w:tc>
          <w:tcPr>
            <w:tcW w:w="5915"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预算执行率=（实际支出资金/实际到位资金）×100%。</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实际支出资金：一定时期（本年度或项目期）内项目实际拨付的资金。</w:t>
            </w:r>
          </w:p>
        </w:tc>
        <w:tc>
          <w:tcPr>
            <w:tcW w:w="1134"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auto"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59" w:hRule="atLeast"/>
          <w:jc w:val="center"/>
        </w:trPr>
        <w:tc>
          <w:tcPr>
            <w:tcW w:w="725"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p>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过程　</w:t>
            </w:r>
          </w:p>
        </w:tc>
        <w:tc>
          <w:tcPr>
            <w:tcW w:w="101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资金管理</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资金使用</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合规性</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项目资金使用是否符合相关的财务管理制度规定，用以反映和考核项目资金的规范运行情况。</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①是否符合国家财经法规和财务管理制度以及有关专项资金管理办法的规定；</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②资金的拨付是否有完整的审批程序和手续；</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③是否符合项目预算批复或合同规定的用途；</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④是否存在截留、挤占、挪用、虚列支出等情况。</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3" w:hRule="atLeast"/>
          <w:jc w:val="center"/>
        </w:trPr>
        <w:tc>
          <w:tcPr>
            <w:tcW w:w="725" w:type="dxa"/>
            <w:vMerge w:val="continue"/>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p>
        </w:tc>
        <w:tc>
          <w:tcPr>
            <w:tcW w:w="1010"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组织实施</w:t>
            </w:r>
          </w:p>
          <w:p>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管理制度</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健全性</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项目实施单位的财务和业务管理制度是否健全，用以反映和考核财务和业务管理制度对项目顺利实施的保障情况。</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①是否已制定或具有相应的财务和业务管理制度；</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②财务和业务管理制度是否合法、合规、完整。</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5" w:hRule="atLeast"/>
          <w:jc w:val="center"/>
        </w:trPr>
        <w:tc>
          <w:tcPr>
            <w:tcW w:w="725"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制度执行</w:t>
            </w:r>
          </w:p>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有效性</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项目实施是否符合相关管理规定，用以反映和考核相关管理制度的有效执行情况。</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①是否遵守相关法律法规和相关管理规定；</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②项目调整及支出调整手续是否完备；</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③项目合同书、验收报告、技术鉴定等资料是否齐全并及时归档；</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④项目实施的人员条件、场地设备、信息支撑等是否落实到位。</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2" w:hRule="atLeast"/>
          <w:jc w:val="center"/>
        </w:trPr>
        <w:tc>
          <w:tcPr>
            <w:tcW w:w="72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w:t>
            </w:r>
          </w:p>
        </w:tc>
        <w:tc>
          <w:tcPr>
            <w:tcW w:w="101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产出数量</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实际完成率</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项目实施的实际产出数与计划产出数的比率，用以反映和考核项目产出数量目标的实现程度。</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实际完成率=（实际产出数/计划产出数）×100%。</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实际产出数：一定时期（本年度或项目期）内项目实际产出的产品或提供的服务数量。</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计划产出数：项目绩效目标确定的在一定时期（本年度或项目期）内计划产出的产品或提供的服务数量。</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4" w:hRule="atLeast"/>
          <w:jc w:val="center"/>
        </w:trPr>
        <w:tc>
          <w:tcPr>
            <w:tcW w:w="725"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w:t>
            </w:r>
          </w:p>
        </w:tc>
        <w:tc>
          <w:tcPr>
            <w:tcW w:w="101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产出质量</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质量达标率</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项目完成的质量达标产出数与实际产出数的比率，用以反映和考核项目产出质量目标的实现程度。</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质量达标率=（质量达标产出数/实际产出数）×100%。</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94" w:hRule="atLeast"/>
          <w:jc w:val="center"/>
        </w:trPr>
        <w:tc>
          <w:tcPr>
            <w:tcW w:w="725" w:type="dxa"/>
            <w:vMerge w:val="continue"/>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p>
        </w:tc>
        <w:tc>
          <w:tcPr>
            <w:tcW w:w="1010" w:type="dxa"/>
            <w:shd w:val="clear" w:color="auto" w:fill="FFFFFF"/>
            <w:vAlign w:val="center"/>
          </w:tcPr>
          <w:p>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产出时效</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完成及时性</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项目实际完成时间与计划完成时间的比较，用以反映和考核项目产出时效目标的实现程度。</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实际完成时间：项目实施单位完成该项目实际所耗用的时间。</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计划完成时间：按照项目实施计划或相关规定完成该项目所需的时间。</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59" w:hRule="atLeast"/>
          <w:jc w:val="center"/>
        </w:trPr>
        <w:tc>
          <w:tcPr>
            <w:tcW w:w="725"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01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产出成本</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成本节约率</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完成项目计划工作目标的实际节约成本与计划成本的比率，用以反映和考核项目的成本节约程度。</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lang w:eastAsia="zh-CN"/>
              </w:rPr>
            </w:pP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成本节约率=[（计划成本-实际成本）/计划成本]×100%。</w:t>
            </w:r>
          </w:p>
          <w:p>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实际成本：项目实施单位如期、保质、保量完成既定工作目标实际所耗费的支出。</w:t>
            </w:r>
          </w:p>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计划成本：项目实施单位为完成工作目标计划安排的支出，一般以项目预算为参考。</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1" w:hRule="atLeast"/>
          <w:jc w:val="center"/>
        </w:trPr>
        <w:tc>
          <w:tcPr>
            <w:tcW w:w="725"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效益　</w:t>
            </w:r>
          </w:p>
        </w:tc>
        <w:tc>
          <w:tcPr>
            <w:tcW w:w="1010" w:type="dxa"/>
            <w:vMerge w:val="restart"/>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项目效益　</w:t>
            </w: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实施效益</w:t>
            </w:r>
          </w:p>
        </w:tc>
        <w:tc>
          <w:tcPr>
            <w:tcW w:w="2351" w:type="dxa"/>
            <w:shd w:val="clear" w:color="auto" w:fill="FFFFFF"/>
            <w:vAlign w:val="center"/>
          </w:tcPr>
          <w:p>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项目实施所产生的效益。</w:t>
            </w:r>
          </w:p>
        </w:tc>
        <w:tc>
          <w:tcPr>
            <w:tcW w:w="5915" w:type="dxa"/>
            <w:shd w:val="clear" w:color="auto"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项目实施所产生的社会效益、经济效益、生态效益、可持续影响等。可根据项目实际情况有选择地设置和细化。</w:t>
            </w:r>
          </w:p>
        </w:tc>
        <w:tc>
          <w:tcPr>
            <w:tcW w:w="1134"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8" w:hRule="atLeast"/>
          <w:jc w:val="center"/>
        </w:trPr>
        <w:tc>
          <w:tcPr>
            <w:tcW w:w="725"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满意度</w:t>
            </w:r>
          </w:p>
        </w:tc>
        <w:tc>
          <w:tcPr>
            <w:tcW w:w="2351"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社会公众或服务对象对项目实施效果的满意程度。</w:t>
            </w:r>
          </w:p>
        </w:tc>
        <w:tc>
          <w:tcPr>
            <w:tcW w:w="5915" w:type="dxa"/>
            <w:shd w:val="clear" w:color="000000" w:fill="FFFFFF"/>
            <w:vAlign w:val="center"/>
          </w:tcPr>
          <w:p>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社会公众或服务对象是指因该项目实施而受到影响的部门（单位）、群体或个人。一般采取社会调查的方式。</w:t>
            </w:r>
          </w:p>
        </w:tc>
        <w:tc>
          <w:tcPr>
            <w:tcW w:w="1134"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bl>
    <w:p>
      <w:pPr>
        <w:pStyle w:val="15"/>
        <w:ind w:left="0" w:leftChars="0" w:firstLine="0" w:firstLineChars="0"/>
        <w:rPr>
          <w:rFonts w:hint="eastAsia" w:ascii="Times New Roman" w:hAnsi="Times New Roman" w:eastAsia="仿宋_GB2312" w:cs="Times New Roman"/>
          <w:b w:val="0"/>
          <w:bCs w:val="0"/>
          <w:kern w:val="2"/>
          <w:sz w:val="32"/>
          <w:szCs w:val="32"/>
          <w:lang w:val="en-US" w:eastAsia="zh-CN" w:bidi="ar-SA"/>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5"/>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HorizontalSpacing w:val="15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xYTY5Njg0NWU1NDU5MmE3NzhjZDNiMDAyZDZjNWUifQ=="/>
  </w:docVars>
  <w:rsids>
    <w:rsidRoot w:val="00EF3108"/>
    <w:rsid w:val="00016D87"/>
    <w:rsid w:val="00035F66"/>
    <w:rsid w:val="00095887"/>
    <w:rsid w:val="000958B5"/>
    <w:rsid w:val="00096556"/>
    <w:rsid w:val="000C018D"/>
    <w:rsid w:val="000E0D96"/>
    <w:rsid w:val="001D04D5"/>
    <w:rsid w:val="00216C61"/>
    <w:rsid w:val="00366061"/>
    <w:rsid w:val="0039791B"/>
    <w:rsid w:val="00425A1B"/>
    <w:rsid w:val="00572284"/>
    <w:rsid w:val="005C7C27"/>
    <w:rsid w:val="007A70D7"/>
    <w:rsid w:val="007F0BEB"/>
    <w:rsid w:val="009B498A"/>
    <w:rsid w:val="00B347D9"/>
    <w:rsid w:val="00C81069"/>
    <w:rsid w:val="00CF67E3"/>
    <w:rsid w:val="00D9760A"/>
    <w:rsid w:val="00DB6438"/>
    <w:rsid w:val="00E55B1E"/>
    <w:rsid w:val="00EA058C"/>
    <w:rsid w:val="00EF3108"/>
    <w:rsid w:val="00F00725"/>
    <w:rsid w:val="00F202C2"/>
    <w:rsid w:val="01D2160D"/>
    <w:rsid w:val="01EA4EF6"/>
    <w:rsid w:val="01F10824"/>
    <w:rsid w:val="020C008E"/>
    <w:rsid w:val="027009BA"/>
    <w:rsid w:val="04B939DD"/>
    <w:rsid w:val="05A21435"/>
    <w:rsid w:val="078E413B"/>
    <w:rsid w:val="07AE4770"/>
    <w:rsid w:val="07B92A66"/>
    <w:rsid w:val="085E7285"/>
    <w:rsid w:val="08C07E24"/>
    <w:rsid w:val="08C23ACD"/>
    <w:rsid w:val="091F7224"/>
    <w:rsid w:val="09F204B1"/>
    <w:rsid w:val="0A774F99"/>
    <w:rsid w:val="0AA17F37"/>
    <w:rsid w:val="0AE918B4"/>
    <w:rsid w:val="0B334FD6"/>
    <w:rsid w:val="0C436DA2"/>
    <w:rsid w:val="0C741652"/>
    <w:rsid w:val="0CA6242F"/>
    <w:rsid w:val="0CBA3508"/>
    <w:rsid w:val="0FE06630"/>
    <w:rsid w:val="10D821AF"/>
    <w:rsid w:val="11072A94"/>
    <w:rsid w:val="12541C40"/>
    <w:rsid w:val="130D276C"/>
    <w:rsid w:val="140019B1"/>
    <w:rsid w:val="140468D7"/>
    <w:rsid w:val="15202377"/>
    <w:rsid w:val="1594066F"/>
    <w:rsid w:val="15973E85"/>
    <w:rsid w:val="15ED3494"/>
    <w:rsid w:val="1620087B"/>
    <w:rsid w:val="16C17241"/>
    <w:rsid w:val="18205C1B"/>
    <w:rsid w:val="18B352B0"/>
    <w:rsid w:val="18C140E3"/>
    <w:rsid w:val="1930705F"/>
    <w:rsid w:val="193F7C3D"/>
    <w:rsid w:val="1A7C004F"/>
    <w:rsid w:val="1D813BCE"/>
    <w:rsid w:val="1DB13584"/>
    <w:rsid w:val="1E366767"/>
    <w:rsid w:val="1E3D7AF5"/>
    <w:rsid w:val="1E440D52"/>
    <w:rsid w:val="1EF328AA"/>
    <w:rsid w:val="1F422248"/>
    <w:rsid w:val="1FE741BD"/>
    <w:rsid w:val="1FEF3071"/>
    <w:rsid w:val="20EE304E"/>
    <w:rsid w:val="212A430E"/>
    <w:rsid w:val="213B4094"/>
    <w:rsid w:val="228026A7"/>
    <w:rsid w:val="24CD76F9"/>
    <w:rsid w:val="24DE7AB1"/>
    <w:rsid w:val="25686BE6"/>
    <w:rsid w:val="269F4647"/>
    <w:rsid w:val="26AD5127"/>
    <w:rsid w:val="282D46A0"/>
    <w:rsid w:val="290F2A22"/>
    <w:rsid w:val="2A5B642A"/>
    <w:rsid w:val="2A5F2115"/>
    <w:rsid w:val="2B4B4B3E"/>
    <w:rsid w:val="2B722AAB"/>
    <w:rsid w:val="2B786611"/>
    <w:rsid w:val="2B8E5B2E"/>
    <w:rsid w:val="2BAA15EF"/>
    <w:rsid w:val="2C6C08BB"/>
    <w:rsid w:val="2DCA0C7A"/>
    <w:rsid w:val="2FC220BE"/>
    <w:rsid w:val="306B4596"/>
    <w:rsid w:val="31203605"/>
    <w:rsid w:val="31F43FB3"/>
    <w:rsid w:val="31FE5396"/>
    <w:rsid w:val="32313075"/>
    <w:rsid w:val="33C3672D"/>
    <w:rsid w:val="353A6148"/>
    <w:rsid w:val="356814A4"/>
    <w:rsid w:val="35721D54"/>
    <w:rsid w:val="35C610B8"/>
    <w:rsid w:val="363F215A"/>
    <w:rsid w:val="3709701A"/>
    <w:rsid w:val="37503F9E"/>
    <w:rsid w:val="381476FF"/>
    <w:rsid w:val="38FE0627"/>
    <w:rsid w:val="39193105"/>
    <w:rsid w:val="399B6124"/>
    <w:rsid w:val="3A3C4CAD"/>
    <w:rsid w:val="3A545295"/>
    <w:rsid w:val="3B096B15"/>
    <w:rsid w:val="3BC92453"/>
    <w:rsid w:val="3CDD7A44"/>
    <w:rsid w:val="3D5D5666"/>
    <w:rsid w:val="3D6E7BFF"/>
    <w:rsid w:val="3DA60DBB"/>
    <w:rsid w:val="3E161EE2"/>
    <w:rsid w:val="3E1F0B6E"/>
    <w:rsid w:val="3E2A4032"/>
    <w:rsid w:val="3E304B29"/>
    <w:rsid w:val="3F562CD9"/>
    <w:rsid w:val="3F664AAE"/>
    <w:rsid w:val="4151248C"/>
    <w:rsid w:val="415434BB"/>
    <w:rsid w:val="416C40CA"/>
    <w:rsid w:val="41831414"/>
    <w:rsid w:val="422B27BD"/>
    <w:rsid w:val="426B25D4"/>
    <w:rsid w:val="42BA70B7"/>
    <w:rsid w:val="430B16C1"/>
    <w:rsid w:val="43383198"/>
    <w:rsid w:val="44AC7624"/>
    <w:rsid w:val="44EB5985"/>
    <w:rsid w:val="45827DE8"/>
    <w:rsid w:val="4585575A"/>
    <w:rsid w:val="45E96E2F"/>
    <w:rsid w:val="461B60BF"/>
    <w:rsid w:val="4630482D"/>
    <w:rsid w:val="47460945"/>
    <w:rsid w:val="478F0B12"/>
    <w:rsid w:val="47D93B3C"/>
    <w:rsid w:val="48431F99"/>
    <w:rsid w:val="48FA3A57"/>
    <w:rsid w:val="4C194E4E"/>
    <w:rsid w:val="4CD11D47"/>
    <w:rsid w:val="4CE87A6B"/>
    <w:rsid w:val="4D3F08E5"/>
    <w:rsid w:val="4E2F0959"/>
    <w:rsid w:val="4ED23752"/>
    <w:rsid w:val="4FC21359"/>
    <w:rsid w:val="504F7091"/>
    <w:rsid w:val="50F558A1"/>
    <w:rsid w:val="510F0862"/>
    <w:rsid w:val="518E0DE8"/>
    <w:rsid w:val="51CB035E"/>
    <w:rsid w:val="51E1640E"/>
    <w:rsid w:val="530D4FE1"/>
    <w:rsid w:val="531D1C70"/>
    <w:rsid w:val="534C5B09"/>
    <w:rsid w:val="53D9176C"/>
    <w:rsid w:val="5424155C"/>
    <w:rsid w:val="54951BD4"/>
    <w:rsid w:val="55172679"/>
    <w:rsid w:val="55A71C1C"/>
    <w:rsid w:val="56F95461"/>
    <w:rsid w:val="57611BAF"/>
    <w:rsid w:val="58255E11"/>
    <w:rsid w:val="59BE5287"/>
    <w:rsid w:val="5C5836F2"/>
    <w:rsid w:val="5DBE7604"/>
    <w:rsid w:val="5EB629D1"/>
    <w:rsid w:val="5EF14A58"/>
    <w:rsid w:val="5F221E14"/>
    <w:rsid w:val="5FC52ECB"/>
    <w:rsid w:val="60114363"/>
    <w:rsid w:val="603A3E64"/>
    <w:rsid w:val="60594B57"/>
    <w:rsid w:val="606677D2"/>
    <w:rsid w:val="606D5311"/>
    <w:rsid w:val="610A5A0A"/>
    <w:rsid w:val="614F35D6"/>
    <w:rsid w:val="615C160D"/>
    <w:rsid w:val="61630BEE"/>
    <w:rsid w:val="6211064A"/>
    <w:rsid w:val="62943029"/>
    <w:rsid w:val="636D7043"/>
    <w:rsid w:val="638135AD"/>
    <w:rsid w:val="63D556A7"/>
    <w:rsid w:val="654B2BE9"/>
    <w:rsid w:val="65F60252"/>
    <w:rsid w:val="664663E8"/>
    <w:rsid w:val="66B060A5"/>
    <w:rsid w:val="67231035"/>
    <w:rsid w:val="68093B71"/>
    <w:rsid w:val="689E42BA"/>
    <w:rsid w:val="6ABB2CE9"/>
    <w:rsid w:val="6B2869D3"/>
    <w:rsid w:val="6CB34D00"/>
    <w:rsid w:val="6CE52E52"/>
    <w:rsid w:val="6D885538"/>
    <w:rsid w:val="6DE7130E"/>
    <w:rsid w:val="6E0B7E4C"/>
    <w:rsid w:val="6E2E259D"/>
    <w:rsid w:val="6E4126F4"/>
    <w:rsid w:val="6EB20ABF"/>
    <w:rsid w:val="70B05D02"/>
    <w:rsid w:val="7250347F"/>
    <w:rsid w:val="725D3437"/>
    <w:rsid w:val="73041B05"/>
    <w:rsid w:val="73137F9A"/>
    <w:rsid w:val="734A7C38"/>
    <w:rsid w:val="74B318EF"/>
    <w:rsid w:val="75994965"/>
    <w:rsid w:val="76BF021D"/>
    <w:rsid w:val="781F7EAF"/>
    <w:rsid w:val="78CE6AC8"/>
    <w:rsid w:val="79B0563F"/>
    <w:rsid w:val="7CCC5441"/>
    <w:rsid w:val="7D625DA6"/>
    <w:rsid w:val="7DAF48C5"/>
    <w:rsid w:val="7E3D77BD"/>
    <w:rsid w:val="7E8021A4"/>
    <w:rsid w:val="7F2E23E3"/>
    <w:rsid w:val="7FF30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7">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2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autoRedefine/>
    <w:semiHidden/>
    <w:unhideWhenUsed/>
    <w:qFormat/>
    <w:uiPriority w:val="99"/>
    <w:pPr>
      <w:jc w:val="left"/>
    </w:pPr>
  </w:style>
  <w:style w:type="paragraph" w:styleId="6">
    <w:name w:val="Body Text"/>
    <w:basedOn w:val="1"/>
    <w:next w:val="7"/>
    <w:link w:val="27"/>
    <w:autoRedefine/>
    <w:semiHidden/>
    <w:unhideWhenUsed/>
    <w:qFormat/>
    <w:uiPriority w:val="99"/>
    <w:pPr>
      <w:spacing w:after="120"/>
    </w:pPr>
  </w:style>
  <w:style w:type="paragraph" w:customStyle="1" w:styleId="7">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Body Text Indent"/>
    <w:basedOn w:val="1"/>
    <w:link w:val="29"/>
    <w:autoRedefine/>
    <w:semiHidden/>
    <w:unhideWhenUsed/>
    <w:qFormat/>
    <w:uiPriority w:val="99"/>
    <w:pPr>
      <w:spacing w:after="120"/>
      <w:ind w:left="420" w:leftChars="200"/>
    </w:pPr>
  </w:style>
  <w:style w:type="paragraph" w:styleId="9">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10">
    <w:name w:val="footer"/>
    <w:basedOn w:val="1"/>
    <w:autoRedefine/>
    <w:semiHidden/>
    <w:unhideWhenUsed/>
    <w:qFormat/>
    <w:uiPriority w:val="99"/>
    <w:pPr>
      <w:tabs>
        <w:tab w:val="center" w:pos="4153"/>
        <w:tab w:val="right" w:pos="8306"/>
      </w:tabs>
      <w:snapToGrid w:val="0"/>
      <w:jc w:val="left"/>
    </w:pPr>
    <w:rPr>
      <w:sz w:val="18"/>
    </w:rPr>
  </w:style>
  <w:style w:type="paragraph" w:styleId="11">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3">
    <w:name w:val="toc 2"/>
    <w:basedOn w:val="1"/>
    <w:next w:val="1"/>
    <w:autoRedefine/>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4">
    <w:name w:val="Body Text First Indent"/>
    <w:basedOn w:val="6"/>
    <w:link w:val="28"/>
    <w:autoRedefine/>
    <w:qFormat/>
    <w:uiPriority w:val="0"/>
    <w:pPr>
      <w:spacing w:after="0"/>
      <w:ind w:firstLine="200" w:firstLineChars="200"/>
    </w:pPr>
    <w:rPr>
      <w:rFonts w:eastAsia="宋体"/>
      <w:sz w:val="21"/>
    </w:rPr>
  </w:style>
  <w:style w:type="paragraph" w:styleId="15">
    <w:name w:val="Body Text First Indent 2"/>
    <w:basedOn w:val="8"/>
    <w:link w:val="30"/>
    <w:autoRedefine/>
    <w:qFormat/>
    <w:uiPriority w:val="0"/>
    <w:pPr>
      <w:ind w:firstLine="420" w:firstLineChars="200"/>
    </w:pPr>
    <w:rPr>
      <w:rFonts w:ascii="Calibri" w:hAnsi="Calibri" w:eastAsia="宋体"/>
      <w:sz w:val="21"/>
    </w:rPr>
  </w:style>
  <w:style w:type="character" w:styleId="18">
    <w:name w:val="Strong"/>
    <w:basedOn w:val="17"/>
    <w:autoRedefine/>
    <w:qFormat/>
    <w:uiPriority w:val="0"/>
    <w:rPr>
      <w:b/>
      <w:bCs/>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3"/>
    <w:autoRedefine/>
    <w:qFormat/>
    <w:uiPriority w:val="9"/>
    <w:rPr>
      <w:rFonts w:ascii="Times New Roman" w:hAnsi="Times New Roman" w:eastAsia="仿宋_GB2312" w:cs="Times New Roman"/>
      <w:b/>
      <w:bCs/>
      <w:kern w:val="44"/>
      <w:sz w:val="44"/>
      <w:szCs w:val="44"/>
    </w:rPr>
  </w:style>
  <w:style w:type="paragraph" w:styleId="21">
    <w:name w:val="List Paragraph"/>
    <w:basedOn w:val="1"/>
    <w:autoRedefine/>
    <w:qFormat/>
    <w:uiPriority w:val="34"/>
    <w:pPr>
      <w:ind w:firstLine="420" w:firstLineChars="200"/>
    </w:pPr>
  </w:style>
  <w:style w:type="paragraph" w:customStyle="1" w:styleId="22">
    <w:name w:val="TOC 标题1"/>
    <w:basedOn w:val="3"/>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3">
    <w:name w:val="标题 2 字符"/>
    <w:basedOn w:val="17"/>
    <w:link w:val="4"/>
    <w:autoRedefine/>
    <w:qFormat/>
    <w:uiPriority w:val="9"/>
    <w:rPr>
      <w:rFonts w:asciiTheme="majorHAnsi" w:hAnsiTheme="majorHAnsi" w:eastAsiaTheme="majorEastAsia" w:cstheme="majorBidi"/>
      <w:b/>
      <w:bCs/>
      <w:sz w:val="32"/>
      <w:szCs w:val="32"/>
    </w:rPr>
  </w:style>
  <w:style w:type="paragraph" w:customStyle="1" w:styleId="24">
    <w:name w:val="闻政-正文段落文字"/>
    <w:basedOn w:val="1"/>
    <w:link w:val="25"/>
    <w:autoRedefine/>
    <w:qFormat/>
    <w:uiPriority w:val="3"/>
    <w:pPr>
      <w:spacing w:line="500" w:lineRule="exact"/>
      <w:ind w:firstLine="200"/>
    </w:pPr>
    <w:rPr>
      <w:kern w:val="0"/>
      <w:szCs w:val="28"/>
    </w:rPr>
  </w:style>
  <w:style w:type="character" w:customStyle="1" w:styleId="25">
    <w:name w:val="闻政-正文段落文字 Char"/>
    <w:link w:val="24"/>
    <w:qFormat/>
    <w:uiPriority w:val="3"/>
    <w:rPr>
      <w:rFonts w:ascii="Times New Roman" w:hAnsi="Times New Roman" w:eastAsia="仿宋_GB2312" w:cs="Times New Roman"/>
      <w:kern w:val="0"/>
      <w:sz w:val="30"/>
      <w:szCs w:val="28"/>
    </w:rPr>
  </w:style>
  <w:style w:type="character" w:customStyle="1" w:styleId="26">
    <w:name w:val="标题 字符"/>
    <w:basedOn w:val="17"/>
    <w:link w:val="2"/>
    <w:qFormat/>
    <w:uiPriority w:val="10"/>
    <w:rPr>
      <w:rFonts w:cs="Times New Roman" w:asciiTheme="majorHAnsi" w:hAnsiTheme="majorHAnsi" w:eastAsiaTheme="majorEastAsia"/>
      <w:b/>
      <w:bCs/>
      <w:kern w:val="28"/>
      <w:sz w:val="32"/>
      <w:szCs w:val="32"/>
    </w:rPr>
  </w:style>
  <w:style w:type="character" w:customStyle="1" w:styleId="27">
    <w:name w:val="正文文本 字符"/>
    <w:basedOn w:val="17"/>
    <w:link w:val="6"/>
    <w:autoRedefine/>
    <w:semiHidden/>
    <w:qFormat/>
    <w:uiPriority w:val="99"/>
    <w:rPr>
      <w:rFonts w:ascii="Times New Roman" w:hAnsi="Times New Roman" w:eastAsia="仿宋_GB2312" w:cs="Times New Roman"/>
      <w:kern w:val="2"/>
      <w:sz w:val="30"/>
      <w:szCs w:val="24"/>
    </w:rPr>
  </w:style>
  <w:style w:type="character" w:customStyle="1" w:styleId="28">
    <w:name w:val="正文首行缩进 字符"/>
    <w:basedOn w:val="27"/>
    <w:link w:val="14"/>
    <w:qFormat/>
    <w:uiPriority w:val="0"/>
    <w:rPr>
      <w:rFonts w:ascii="Times New Roman" w:hAnsi="Times New Roman" w:eastAsia="宋体" w:cs="Times New Roman"/>
      <w:kern w:val="2"/>
      <w:sz w:val="21"/>
      <w:szCs w:val="24"/>
    </w:rPr>
  </w:style>
  <w:style w:type="character" w:customStyle="1" w:styleId="29">
    <w:name w:val="正文文本缩进 字符"/>
    <w:basedOn w:val="17"/>
    <w:link w:val="8"/>
    <w:autoRedefine/>
    <w:semiHidden/>
    <w:qFormat/>
    <w:uiPriority w:val="99"/>
    <w:rPr>
      <w:rFonts w:ascii="Times New Roman" w:hAnsi="Times New Roman" w:eastAsia="仿宋_GB2312" w:cs="Times New Roman"/>
      <w:kern w:val="2"/>
      <w:sz w:val="30"/>
      <w:szCs w:val="24"/>
    </w:rPr>
  </w:style>
  <w:style w:type="character" w:customStyle="1" w:styleId="30">
    <w:name w:val="正文首行缩进 2 字符"/>
    <w:basedOn w:val="29"/>
    <w:link w:val="15"/>
    <w:autoRedefine/>
    <w:qFormat/>
    <w:uiPriority w:val="0"/>
    <w:rPr>
      <w:rFonts w:ascii="Calibri" w:hAnsi="Calibri" w:eastAsia="宋体" w:cs="Times New Roman"/>
      <w:kern w:val="2"/>
      <w:sz w:val="21"/>
      <w:szCs w:val="24"/>
    </w:rPr>
  </w:style>
  <w:style w:type="character" w:customStyle="1" w:styleId="31">
    <w:name w:val="fontstyle01"/>
    <w:autoRedefine/>
    <w:qFormat/>
    <w:uiPriority w:val="0"/>
    <w:rPr>
      <w:rFonts w:ascii="仿宋_GB2312" w:hAnsi="仿宋_GB2312" w:eastAsia="仿宋_GB2312" w:cs="仿宋_GB2312"/>
      <w:color w:val="000000"/>
      <w:sz w:val="32"/>
      <w:szCs w:val="32"/>
    </w:rPr>
  </w:style>
  <w:style w:type="paragraph" w:customStyle="1" w:styleId="32">
    <w:name w:val="样式1"/>
    <w:basedOn w:val="1"/>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5AE2A-7ECE-4C0D-AAEB-22A9CAEED4FD}">
  <ds:schemaRefs/>
</ds:datastoreItem>
</file>

<file path=docProps/app.xml><?xml version="1.0" encoding="utf-8"?>
<Properties xmlns="http://schemas.openxmlformats.org/officeDocument/2006/extended-properties" xmlns:vt="http://schemas.openxmlformats.org/officeDocument/2006/docPropsVTypes">
  <Template>Normal</Template>
  <Pages>19</Pages>
  <Words>1190</Words>
  <Characters>6785</Characters>
  <Lines>56</Lines>
  <Paragraphs>15</Paragraphs>
  <TotalTime>0</TotalTime>
  <ScaleCrop>false</ScaleCrop>
  <LinksUpToDate>false</LinksUpToDate>
  <CharactersWithSpaces>7960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2021-12-20T08:47:00Z</dcterms:created>
  <dc:creator>翘楚</dc:creator>
  <cp:lastModifiedBy>Admin-G</cp:lastModifiedBy>
  <dcterms:modified xsi:type="dcterms:W3CDTF">2024-04-03T02:05:32Z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9C40FA02E1C845E4B7CBDD032D6423FE_13</vt:lpwstr>
  </property>
</Properties>
</file>