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DE692">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color w:val="auto"/>
          <w:sz w:val="32"/>
          <w:szCs w:val="32"/>
          <w:highlight w:val="none"/>
          <w:lang w:val="en-US" w:eastAsia="zh-CN"/>
        </w:rPr>
      </w:pPr>
      <w:r>
        <w:rPr>
          <w:rFonts w:hint="eastAsia" w:ascii="黑体" w:hAnsi="黑体" w:eastAsia="黑体"/>
          <w:color w:val="auto"/>
          <w:sz w:val="32"/>
          <w:szCs w:val="32"/>
          <w:highlight w:val="none"/>
          <w:lang w:val="en-US" w:eastAsia="zh-CN"/>
        </w:rPr>
        <w:t xml:space="preserve">                                                                                                                                                                                                                                                                                                                                                                                                                                                                                                                                                                                                                                                                                                                                                                                                                                                                                                                                                                                                                                                                                                                                                                                                                                                                                                                                                                                                                                                                                                                                                                                                                                                                                                                                                                                                                                                                                                                                                                                                                                                                                                                                                                                                                                                                                                                                                                                                                                                                                                                                                                                                                                                                                                                                                                                                                                                                                                                                                                                                                                                                                                                                                                                                                                                                                                                                                                                                                            </w:t>
      </w:r>
    </w:p>
    <w:p w14:paraId="061B6FD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7A9CF5F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新疆维吾尔自治区文博院（本级）</w:t>
      </w:r>
    </w:p>
    <w:p w14:paraId="7C3C1BF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3539FBD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7069AABD">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6DE86040">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0B04497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1BA4BA5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73F0C0C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5754AE02">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33A909F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2CBDE9F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2195ED9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044344C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10CAAF6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20704F5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15E9334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72573C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3A9BEDFB">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3BF0F95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E762ECB">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587AB4E7">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4176A7FA">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994FFF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43A668C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1886B57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2B8CB6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5E0A945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1328F59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F69A3C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0C8A4BC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9C08AF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8BBE2D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5E0252F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69F0CC5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3A56F13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65A8AD50">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516C52D1">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64EB838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096D318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57E8296A">
      <w:pPr>
        <w:ind w:firstLine="640" w:firstLineChars="200"/>
        <w:outlineLvl w:val="1"/>
        <w:rPr>
          <w:rFonts w:hint="eastAsia" w:ascii="仿宋_GB2312" w:hAnsi="仿宋" w:eastAsia="仿宋_GB2312" w:cs="仿宋"/>
          <w:bCs/>
          <w:sz w:val="32"/>
          <w:szCs w:val="32"/>
          <w:highlight w:val="none"/>
        </w:rPr>
      </w:pPr>
      <w:bookmarkStart w:id="4" w:name="_Toc31238"/>
      <w:bookmarkStart w:id="5" w:name="_Toc2151"/>
      <w:r>
        <w:rPr>
          <w:rFonts w:hint="eastAsia" w:ascii="仿宋_GB2312" w:hAnsi="仿宋" w:eastAsia="仿宋_GB2312" w:cs="仿宋"/>
          <w:bCs/>
          <w:sz w:val="32"/>
          <w:szCs w:val="32"/>
          <w:highlight w:val="none"/>
        </w:rPr>
        <w:t>（1）贯彻执行党和国家有关文物博物的法律法规和方针政策，承担文物博物事业发展研究及实施。</w:t>
      </w:r>
    </w:p>
    <w:p w14:paraId="0FBFDACB">
      <w:pPr>
        <w:ind w:firstLine="640" w:firstLineChars="200"/>
        <w:outlineLvl w:val="1"/>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（2）承担全区文物的考古研究、保护维修、展示利用、文创研发和博物馆建设等工作。</w:t>
      </w:r>
    </w:p>
    <w:p w14:paraId="2F6B4CAE">
      <w:pPr>
        <w:ind w:firstLine="640" w:firstLineChars="200"/>
        <w:outlineLvl w:val="1"/>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（3）承担“文化润疆”战略相关课题研究及组织实施工作。</w:t>
      </w:r>
    </w:p>
    <w:p w14:paraId="2B4B643B">
      <w:pPr>
        <w:ind w:firstLine="640" w:firstLineChars="200"/>
        <w:outlineLvl w:val="1"/>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（4）承担文物保护利用技术、保护材料、文物资源规划、馆藏文物修复技术的研究和学术交流等工作。</w:t>
      </w:r>
    </w:p>
    <w:p w14:paraId="5E729701">
      <w:pPr>
        <w:ind w:firstLine="640" w:firstLineChars="200"/>
        <w:outlineLvl w:val="1"/>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（5）承担龟兹文化研究，龟兹石窟的保护、管理、展示利用和相关学术交流活动。</w:t>
      </w:r>
    </w:p>
    <w:p w14:paraId="4C8FF3F4">
      <w:pPr>
        <w:ind w:firstLine="640" w:firstLineChars="200"/>
        <w:outlineLvl w:val="1"/>
        <w:rPr>
          <w:rFonts w:ascii="仿宋_GB2312" w:hAnsi="仿宋" w:eastAsia="仿宋_GB2312" w:cs="仿宋"/>
          <w:bCs/>
          <w:sz w:val="32"/>
          <w:szCs w:val="32"/>
          <w:highlight w:val="none"/>
        </w:rPr>
      </w:pPr>
      <w:r>
        <w:rPr>
          <w:rFonts w:hint="eastAsia" w:ascii="仿宋_GB2312" w:hAnsi="仿宋" w:eastAsia="仿宋_GB2312" w:cs="仿宋"/>
          <w:bCs/>
          <w:sz w:val="32"/>
          <w:szCs w:val="32"/>
          <w:highlight w:val="none"/>
        </w:rPr>
        <w:t>（6）完成自治区党委、自治区人民政府交办的其他事项。</w:t>
      </w:r>
    </w:p>
    <w:p w14:paraId="10DF0F9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10B3AC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新疆维吾尔自治区文博院（本级）</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29</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w:t>
      </w:r>
    </w:p>
    <w:p w14:paraId="68E373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pPr>
      <w:r>
        <w:rPr>
          <w:rFonts w:hint="eastAsia" w:ascii="仿宋_GB2312" w:hAnsi="黑体" w:eastAsia="仿宋_GB2312" w:cs="宋体"/>
          <w:bCs/>
          <w:color w:val="auto"/>
          <w:kern w:val="0"/>
          <w:sz w:val="32"/>
          <w:szCs w:val="32"/>
          <w:highlight w:val="none"/>
          <w:lang w:val="en-US" w:eastAsia="zh-CN"/>
        </w:rPr>
        <w:t>单位无下属预算单位，</w:t>
      </w:r>
      <w:r>
        <w:rPr>
          <w:rFonts w:hint="eastAsia" w:ascii="仿宋_GB2312" w:hAnsi="黑体" w:eastAsia="仿宋_GB2312" w:cs="宋体"/>
          <w:bCs/>
          <w:color w:val="auto"/>
          <w:kern w:val="0"/>
          <w:sz w:val="32"/>
          <w:szCs w:val="32"/>
          <w:highlight w:val="none"/>
        </w:rPr>
        <w:t>下设</w:t>
      </w:r>
      <w:r>
        <w:rPr>
          <w:rFonts w:hint="eastAsia" w:ascii="仿宋_GB2312" w:eastAsia="仿宋_GB2312"/>
          <w:color w:val="auto"/>
          <w:sz w:val="32"/>
          <w:szCs w:val="32"/>
          <w:highlight w:val="none"/>
          <w:lang w:val="en-US" w:eastAsia="zh-CN"/>
        </w:rPr>
        <w:t>8</w:t>
      </w:r>
      <w:r>
        <w:rPr>
          <w:rFonts w:hint="eastAsia" w:ascii="仿宋_GB2312" w:hAnsi="黑体" w:eastAsia="仿宋_GB2312" w:cs="宋体"/>
          <w:bCs/>
          <w:color w:val="auto"/>
          <w:kern w:val="0"/>
          <w:sz w:val="32"/>
          <w:szCs w:val="32"/>
          <w:highlight w:val="none"/>
        </w:rPr>
        <w:t>个处室，分别是：</w:t>
      </w:r>
      <w:r>
        <w:rPr>
          <w:rFonts w:hint="eastAsia" w:ascii="仿宋_GB2312" w:hAnsi="宋体" w:eastAsia="仿宋_GB2312" w:cs="宋体"/>
          <w:kern w:val="0"/>
          <w:sz w:val="32"/>
          <w:szCs w:val="32"/>
          <w:highlight w:val="none"/>
        </w:rPr>
        <w:t>办公室、组织人事部（机关党委）、规划财务部、信息技术部、龟兹学术部、交流推广部、博物馆与革命文物部、文物安全部</w:t>
      </w:r>
      <w:r>
        <w:rPr>
          <w:rFonts w:hint="eastAsia" w:ascii="仿宋_GB2312" w:hAnsi="宋体" w:eastAsia="仿宋_GB2312" w:cs="宋体"/>
          <w:color w:val="auto"/>
          <w:kern w:val="0"/>
          <w:sz w:val="32"/>
          <w:szCs w:val="32"/>
          <w:highlight w:val="none"/>
        </w:rPr>
        <w:t>。</w:t>
      </w:r>
    </w:p>
    <w:p w14:paraId="389DBFE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lang w:val="en-US" w:eastAsia="zh-CN"/>
        </w:rPr>
      </w:pPr>
    </w:p>
    <w:p w14:paraId="0E98123E">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cs="宋体"/>
          <w:color w:val="auto"/>
          <w:kern w:val="0"/>
          <w:sz w:val="32"/>
          <w:szCs w:val="32"/>
          <w:highlight w:val="none"/>
          <w:lang w:val="en-US" w:eastAsia="zh-CN"/>
        </w:rPr>
        <w:sectPr>
          <w:footerReference r:id="rId3" w:type="default"/>
          <w:pgSz w:w="11906" w:h="16838"/>
          <w:pgMar w:top="1440" w:right="1800" w:bottom="1440" w:left="1800" w:header="851" w:footer="992" w:gutter="0"/>
          <w:cols w:space="720" w:num="1"/>
          <w:docGrid w:type="lines" w:linePitch="312" w:charSpace="0"/>
        </w:sectPr>
      </w:pPr>
    </w:p>
    <w:p w14:paraId="23876CD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46D4D8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3BA90CC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eastAsia="zh-CN"/>
        </w:rPr>
        <w:t>2023年度</w:t>
      </w:r>
      <w:r>
        <w:rPr>
          <w:rFonts w:hint="eastAsia" w:ascii="仿宋_GB2312" w:hAnsi="仿宋_GB2312" w:eastAsia="仿宋_GB2312" w:cs="仿宋_GB2312"/>
          <w:b/>
          <w:bCs/>
          <w:color w:val="auto"/>
          <w:spacing w:val="0"/>
          <w:sz w:val="32"/>
          <w:szCs w:val="32"/>
          <w:highlight w:val="none"/>
          <w:lang w:val="en-US" w:eastAsia="zh-CN"/>
        </w:rPr>
        <w:t>收入总计</w:t>
      </w:r>
      <w:r>
        <w:rPr>
          <w:rFonts w:hint="eastAsia" w:ascii="仿宋_GB2312" w:hAnsi="仿宋_GB2312" w:eastAsia="仿宋_GB2312" w:cs="仿宋_GB2312"/>
          <w:b/>
          <w:bCs/>
          <w:color w:val="auto"/>
          <w:spacing w:val="0"/>
          <w:sz w:val="32"/>
          <w:szCs w:val="32"/>
          <w:highlight w:val="none"/>
          <w:lang w:eastAsia="zh-CN"/>
        </w:rPr>
        <w:t>857.92万元，</w:t>
      </w:r>
      <w:r>
        <w:rPr>
          <w:rFonts w:hint="eastAsia" w:ascii="仿宋_GB2312" w:hAnsi="仿宋_GB2312" w:eastAsia="仿宋_GB2312" w:cs="仿宋_GB2312"/>
          <w:color w:val="auto"/>
          <w:spacing w:val="0"/>
          <w:sz w:val="32"/>
          <w:szCs w:val="32"/>
          <w:highlight w:val="none"/>
          <w:lang w:val="en-US" w:eastAsia="zh-CN"/>
        </w:rPr>
        <w:t>其中：本年收入合计</w:t>
      </w:r>
      <w:r>
        <w:rPr>
          <w:rFonts w:hint="eastAsia" w:ascii="仿宋_GB2312" w:hAnsi="仿宋_GB2312" w:eastAsia="仿宋_GB2312" w:cs="仿宋_GB2312"/>
          <w:color w:val="auto"/>
          <w:spacing w:val="0"/>
          <w:sz w:val="32"/>
          <w:szCs w:val="32"/>
          <w:highlight w:val="none"/>
          <w:lang w:eastAsia="zh-CN"/>
        </w:rPr>
        <w:t>857.82万元，使用非财政拨款结余0.00万元，年初结转和结余0.10万元。</w:t>
      </w:r>
    </w:p>
    <w:p w14:paraId="28B1681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val="en-US" w:eastAsia="zh-CN"/>
        </w:rPr>
        <w:t>2023</w:t>
      </w:r>
      <w:r>
        <w:rPr>
          <w:rFonts w:hint="eastAsia" w:ascii="仿宋_GB2312" w:hAnsi="仿宋_GB2312" w:eastAsia="仿宋_GB2312" w:cs="仿宋_GB2312"/>
          <w:b/>
          <w:bCs/>
          <w:color w:val="auto"/>
          <w:spacing w:val="0"/>
          <w:sz w:val="32"/>
          <w:szCs w:val="32"/>
          <w:highlight w:val="none"/>
          <w:lang w:eastAsia="zh-CN"/>
        </w:rPr>
        <w:t>年</w:t>
      </w:r>
      <w:r>
        <w:rPr>
          <w:rFonts w:hint="eastAsia" w:ascii="仿宋_GB2312" w:hAnsi="仿宋_GB2312" w:eastAsia="仿宋_GB2312" w:cs="仿宋_GB2312"/>
          <w:b/>
          <w:bCs/>
          <w:color w:val="auto"/>
          <w:spacing w:val="0"/>
          <w:sz w:val="32"/>
          <w:szCs w:val="32"/>
          <w:highlight w:val="none"/>
          <w:lang w:val="en-US" w:eastAsia="zh-CN"/>
        </w:rPr>
        <w:t>度</w:t>
      </w:r>
      <w:r>
        <w:rPr>
          <w:rFonts w:hint="eastAsia" w:ascii="仿宋_GB2312" w:hAnsi="仿宋_GB2312" w:eastAsia="仿宋_GB2312" w:cs="仿宋_GB2312"/>
          <w:b/>
          <w:bCs/>
          <w:color w:val="auto"/>
          <w:spacing w:val="0"/>
          <w:sz w:val="32"/>
          <w:szCs w:val="32"/>
          <w:highlight w:val="none"/>
          <w:lang w:eastAsia="zh-CN"/>
        </w:rPr>
        <w:t>支出</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eastAsia="zh-CN"/>
        </w:rPr>
        <w:t>857.92万元，</w:t>
      </w:r>
      <w:r>
        <w:rPr>
          <w:rFonts w:hint="eastAsia" w:ascii="仿宋_GB2312" w:hAnsi="仿宋_GB2312" w:eastAsia="仿宋_GB2312" w:cs="仿宋_GB2312"/>
          <w:color w:val="auto"/>
          <w:spacing w:val="0"/>
          <w:sz w:val="32"/>
          <w:szCs w:val="32"/>
          <w:highlight w:val="none"/>
          <w:lang w:val="en-US" w:eastAsia="zh-CN"/>
        </w:rPr>
        <w:t>其中：本年支出合计</w:t>
      </w:r>
      <w:r>
        <w:rPr>
          <w:rFonts w:hint="eastAsia" w:ascii="仿宋_GB2312" w:hAnsi="仿宋_GB2312" w:eastAsia="仿宋_GB2312" w:cs="仿宋_GB2312"/>
          <w:color w:val="auto"/>
          <w:spacing w:val="0"/>
          <w:sz w:val="32"/>
          <w:szCs w:val="32"/>
          <w:highlight w:val="none"/>
          <w:lang w:eastAsia="zh-CN"/>
        </w:rPr>
        <w:t>810.19万元，</w:t>
      </w:r>
      <w:r>
        <w:rPr>
          <w:rFonts w:hint="eastAsia" w:ascii="仿宋_GB2312" w:hAnsi="仿宋_GB2312" w:eastAsia="仿宋_GB2312" w:cs="仿宋_GB2312"/>
          <w:color w:val="auto"/>
          <w:spacing w:val="0"/>
          <w:sz w:val="32"/>
          <w:szCs w:val="32"/>
          <w:highlight w:val="none"/>
          <w:lang w:val="en-US" w:eastAsia="zh-CN"/>
        </w:rPr>
        <w:t>结余分配</w:t>
      </w:r>
      <w:r>
        <w:rPr>
          <w:rFonts w:hint="eastAsia" w:ascii="仿宋_GB2312" w:hAnsi="仿宋_GB2312" w:eastAsia="仿宋_GB2312" w:cs="仿宋_GB2312"/>
          <w:color w:val="auto"/>
          <w:spacing w:val="0"/>
          <w:sz w:val="32"/>
          <w:szCs w:val="32"/>
          <w:highlight w:val="none"/>
          <w:lang w:eastAsia="zh-CN"/>
        </w:rPr>
        <w:t>0.00万元，年末结转和结余47.72万元。</w:t>
      </w:r>
    </w:p>
    <w:p w14:paraId="642873EB">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hAnsi="Times New Roman" w:eastAsia="仿宋_GB2312" w:cs="Times New Roman"/>
          <w:sz w:val="32"/>
          <w:szCs w:val="32"/>
          <w:highlight w:val="none"/>
          <w:lang w:eastAsia="zh-CN"/>
        </w:rPr>
      </w:pPr>
      <w:r>
        <w:rPr>
          <w:rFonts w:hint="eastAsia" w:ascii="仿宋_GB2312" w:hAnsi="仿宋_GB2312" w:eastAsia="仿宋_GB2312" w:cs="仿宋_GB2312"/>
          <w:b/>
          <w:bCs/>
          <w:sz w:val="32"/>
          <w:szCs w:val="32"/>
          <w:highlight w:val="none"/>
          <w:lang w:val="en-US" w:eastAsia="zh-CN"/>
        </w:rPr>
        <w:t>收入支出总体与上年相比</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sz w:val="32"/>
          <w:szCs w:val="32"/>
          <w:highlight w:val="none"/>
          <w:lang w:val="zh-CN" w:eastAsia="zh-CN"/>
        </w:rPr>
        <w:t>增加</w:t>
      </w:r>
      <w:r>
        <w:rPr>
          <w:rFonts w:hint="eastAsia" w:ascii="仿宋_GB2312" w:hAnsi="仿宋_GB2312" w:eastAsia="仿宋_GB2312" w:cs="仿宋_GB2312"/>
          <w:color w:val="auto"/>
          <w:spacing w:val="0"/>
          <w:sz w:val="32"/>
          <w:szCs w:val="32"/>
          <w:highlight w:val="none"/>
          <w:lang w:val="zh-CN" w:eastAsia="zh-CN"/>
        </w:rPr>
        <w:t>93.12</w:t>
      </w:r>
      <w:r>
        <w:rPr>
          <w:rFonts w:hint="eastAsia" w:ascii="仿宋_GB2312" w:hAnsi="仿宋_GB2312" w:eastAsia="仿宋_GB2312" w:cs="仿宋_GB2312"/>
          <w:sz w:val="32"/>
          <w:szCs w:val="32"/>
          <w:highlight w:val="none"/>
          <w:lang w:val="zh-CN"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zh-CN" w:eastAsia="zh-CN"/>
        </w:rPr>
        <w:t>增</w:t>
      </w:r>
      <w:r>
        <w:rPr>
          <w:rFonts w:hint="eastAsia" w:ascii="仿宋_GB2312" w:hAnsi="仿宋_GB2312" w:eastAsia="仿宋_GB2312" w:cs="仿宋_GB2312"/>
          <w:sz w:val="32"/>
          <w:szCs w:val="32"/>
          <w:highlight w:val="none"/>
          <w:lang w:val="en-US" w:eastAsia="zh-CN"/>
        </w:rPr>
        <w:t>长</w:t>
      </w:r>
      <w:r>
        <w:rPr>
          <w:rFonts w:hint="eastAsia" w:ascii="仿宋_GB2312" w:hAnsi="仿宋_GB2312" w:eastAsia="仿宋_GB2312" w:cs="仿宋_GB2312"/>
          <w:color w:val="auto"/>
          <w:spacing w:val="0"/>
          <w:sz w:val="32"/>
          <w:szCs w:val="32"/>
          <w:highlight w:val="none"/>
          <w:lang w:val="zh-CN" w:eastAsia="zh-CN"/>
        </w:rPr>
        <w:t>12.18%</w:t>
      </w:r>
      <w:r>
        <w:rPr>
          <w:rFonts w:hint="eastAsia" w:ascii="仿宋_GB2312" w:hAnsi="仿宋_GB2312" w:eastAsia="仿宋_GB2312" w:cs="仿宋_GB2312"/>
          <w:sz w:val="32"/>
          <w:szCs w:val="32"/>
          <w:highlight w:val="none"/>
          <w:lang w:eastAsia="zh-CN"/>
        </w:rPr>
        <w:t>，主要原因是：</w:t>
      </w:r>
      <w:r>
        <w:rPr>
          <w:rFonts w:hint="eastAsia" w:ascii="仿宋_GB2312" w:hAnsi="仿宋_GB2312" w:eastAsia="仿宋_GB2312" w:cs="仿宋_GB2312"/>
          <w:sz w:val="32"/>
          <w:szCs w:val="32"/>
          <w:highlight w:val="none"/>
          <w:lang w:val="en-US" w:eastAsia="zh-CN"/>
        </w:rPr>
        <w:t>一是追加自治区文物保护项目、自治区社科基金项目；二是追加2022-2023提高艰苦边远地区津贴预算；三是追加2023年自治区本级单位结对认亲走访活动交通费预算及在职人员经费。</w:t>
      </w:r>
    </w:p>
    <w:p w14:paraId="477244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510A4FB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本年收入</w:t>
      </w:r>
      <w:r>
        <w:rPr>
          <w:rFonts w:hint="eastAsia" w:ascii="仿宋_GB2312" w:hAnsi="仿宋_GB2312" w:eastAsia="仿宋_GB2312" w:cs="仿宋_GB2312"/>
          <w:b/>
          <w:bCs/>
          <w:color w:val="auto"/>
          <w:sz w:val="32"/>
          <w:szCs w:val="32"/>
          <w:highlight w:val="none"/>
          <w:lang w:eastAsia="zh-CN"/>
        </w:rPr>
        <w:t>857.82</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其中：财政拨款收入</w:t>
      </w:r>
      <w:r>
        <w:rPr>
          <w:rFonts w:hint="eastAsia" w:ascii="仿宋_GB2312" w:hAnsi="仿宋_GB2312" w:eastAsia="仿宋_GB2312" w:cs="仿宋_GB2312"/>
          <w:color w:val="auto"/>
          <w:spacing w:val="0"/>
          <w:sz w:val="32"/>
          <w:szCs w:val="32"/>
          <w:highlight w:val="none"/>
          <w:lang w:val="zh-CN" w:eastAsia="zh-CN"/>
        </w:rPr>
        <w:t>857.66</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99.98%</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上级补助收入</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事业收入</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经营收入</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附属单位上缴收入</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其他收入</w:t>
      </w:r>
      <w:r>
        <w:rPr>
          <w:rFonts w:hint="eastAsia" w:ascii="仿宋_GB2312" w:hAnsi="仿宋_GB2312" w:eastAsia="仿宋_GB2312" w:cs="仿宋_GB2312"/>
          <w:color w:val="auto"/>
          <w:spacing w:val="0"/>
          <w:sz w:val="32"/>
          <w:szCs w:val="32"/>
          <w:highlight w:val="none"/>
          <w:lang w:val="zh-CN" w:eastAsia="zh-CN"/>
        </w:rPr>
        <w:t>0.16</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0.02</w:t>
      </w:r>
      <w:r>
        <w:rPr>
          <w:rFonts w:hint="eastAsia" w:ascii="仿宋_GB2312" w:hAnsi="仿宋_GB2312" w:eastAsia="仿宋_GB2312" w:cs="仿宋_GB2312"/>
          <w:color w:val="auto"/>
          <w:sz w:val="32"/>
          <w:szCs w:val="32"/>
          <w:highlight w:val="none"/>
          <w:lang w:eastAsia="zh-CN"/>
        </w:rPr>
        <w:t>%。</w:t>
      </w:r>
    </w:p>
    <w:p w14:paraId="5F4050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2F912A8C">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本年支出810.19万元，</w:t>
      </w:r>
      <w:r>
        <w:rPr>
          <w:rFonts w:hint="eastAsia" w:ascii="仿宋_GB2312" w:hAnsi="仿宋_GB2312" w:eastAsia="仿宋_GB2312" w:cs="仿宋_GB2312"/>
          <w:color w:val="auto"/>
          <w:sz w:val="32"/>
          <w:szCs w:val="32"/>
          <w:highlight w:val="none"/>
          <w:lang w:val="zh-CN" w:eastAsia="zh-CN"/>
        </w:rPr>
        <w:t>其中：基本支出</w:t>
      </w:r>
      <w:r>
        <w:rPr>
          <w:rFonts w:hint="eastAsia" w:ascii="仿宋_GB2312" w:hAnsi="仿宋_GB2312" w:eastAsia="仿宋_GB2312" w:cs="仿宋_GB2312"/>
          <w:color w:val="auto"/>
          <w:spacing w:val="0"/>
          <w:sz w:val="32"/>
          <w:szCs w:val="32"/>
          <w:highlight w:val="none"/>
          <w:lang w:val="zh-CN" w:eastAsia="zh-CN"/>
        </w:rPr>
        <w:t>755.73</w:t>
      </w:r>
      <w:r>
        <w:rPr>
          <w:rFonts w:hint="eastAsia"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pacing w:val="0"/>
          <w:sz w:val="32"/>
          <w:szCs w:val="32"/>
          <w:highlight w:val="none"/>
          <w:lang w:val="zh-CN" w:eastAsia="zh-CN"/>
        </w:rPr>
        <w:t>93.28%</w:t>
      </w:r>
      <w:r>
        <w:rPr>
          <w:rFonts w:hint="eastAsia" w:ascii="仿宋_GB2312" w:hAnsi="仿宋_GB2312" w:eastAsia="仿宋_GB2312" w:cs="仿宋_GB2312"/>
          <w:color w:val="auto"/>
          <w:sz w:val="32"/>
          <w:szCs w:val="32"/>
          <w:highlight w:val="none"/>
          <w:lang w:val="zh-CN" w:eastAsia="zh-CN"/>
        </w:rPr>
        <w:t>；项目支出54.47万元，占6.72%；上缴上级支出0.00万元，占0.00%；经营支出0.00万元，占0.00%；对附属单位补助支出0.00万元，占0.00%。</w:t>
      </w:r>
    </w:p>
    <w:p w14:paraId="5A15A7E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42A5C6A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eastAsia="zh-CN"/>
        </w:rPr>
        <w:t>2023年度财政拨款收入</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val="zh-CN" w:eastAsia="zh-CN"/>
        </w:rPr>
        <w:t>857.66</w:t>
      </w:r>
      <w:r>
        <w:rPr>
          <w:rFonts w:hint="eastAsia" w:ascii="仿宋_GB2312" w:hAnsi="仿宋_GB2312" w:eastAsia="仿宋_GB2312" w:cs="仿宋_GB2312"/>
          <w:b/>
          <w:bCs/>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其中：年初财政拨款结转和结余</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本年财政拨款收入</w:t>
      </w:r>
      <w:r>
        <w:rPr>
          <w:rFonts w:hint="eastAsia" w:ascii="仿宋_GB2312" w:hAnsi="仿宋_GB2312" w:eastAsia="仿宋_GB2312" w:cs="仿宋_GB2312"/>
          <w:color w:val="auto"/>
          <w:spacing w:val="0"/>
          <w:sz w:val="32"/>
          <w:szCs w:val="32"/>
          <w:highlight w:val="none"/>
          <w:lang w:val="zh-CN" w:eastAsia="zh-CN"/>
        </w:rPr>
        <w:t>857.66</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b/>
          <w:bCs/>
          <w:color w:val="auto"/>
          <w:spacing w:val="0"/>
          <w:sz w:val="32"/>
          <w:szCs w:val="32"/>
          <w:highlight w:val="none"/>
          <w:lang w:eastAsia="zh-CN"/>
        </w:rPr>
        <w:t>财政拨款支出</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val="zh-CN" w:eastAsia="zh-CN"/>
        </w:rPr>
        <w:t>857.66</w:t>
      </w:r>
      <w:r>
        <w:rPr>
          <w:rFonts w:hint="eastAsia" w:ascii="仿宋_GB2312" w:hAnsi="仿宋_GB2312" w:eastAsia="仿宋_GB2312" w:cs="仿宋_GB2312"/>
          <w:b/>
          <w:bCs/>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其中：年末财政拨款结转和结余</w:t>
      </w:r>
      <w:r>
        <w:rPr>
          <w:rFonts w:hint="eastAsia" w:ascii="仿宋_GB2312" w:hAnsi="仿宋_GB2312" w:eastAsia="仿宋_GB2312" w:cs="仿宋_GB2312"/>
          <w:color w:val="auto"/>
          <w:spacing w:val="0"/>
          <w:sz w:val="32"/>
          <w:szCs w:val="32"/>
          <w:highlight w:val="none"/>
          <w:lang w:val="zh-CN" w:eastAsia="zh-CN"/>
        </w:rPr>
        <w:t>47.47</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本年财政拨款支出</w:t>
      </w:r>
      <w:r>
        <w:rPr>
          <w:rFonts w:hint="eastAsia" w:ascii="仿宋_GB2312" w:hAnsi="仿宋_GB2312" w:eastAsia="仿宋_GB2312" w:cs="仿宋_GB2312"/>
          <w:color w:val="auto"/>
          <w:spacing w:val="0"/>
          <w:sz w:val="32"/>
          <w:szCs w:val="32"/>
          <w:highlight w:val="none"/>
          <w:lang w:val="zh-CN" w:eastAsia="zh-CN"/>
        </w:rPr>
        <w:t>810.19</w:t>
      </w:r>
      <w:r>
        <w:rPr>
          <w:rFonts w:hint="eastAsia" w:ascii="仿宋_GB2312" w:hAnsi="仿宋_GB2312" w:eastAsia="仿宋_GB2312" w:cs="仿宋_GB2312"/>
          <w:color w:val="auto"/>
          <w:spacing w:val="0"/>
          <w:sz w:val="32"/>
          <w:szCs w:val="32"/>
          <w:highlight w:val="none"/>
          <w:lang w:eastAsia="zh-CN"/>
        </w:rPr>
        <w:t>万元。</w:t>
      </w:r>
    </w:p>
    <w:p w14:paraId="4FB2E58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b/>
          <w:bCs/>
          <w:color w:val="auto"/>
          <w:spacing w:val="0"/>
          <w:sz w:val="32"/>
          <w:szCs w:val="32"/>
          <w:highlight w:val="none"/>
          <w:lang w:eastAsia="zh-CN"/>
        </w:rPr>
        <w:t>财政拨款收入支出总体与上年相比</w:t>
      </w:r>
      <w:r>
        <w:rPr>
          <w:rFonts w:hint="eastAsia" w:ascii="仿宋_GB2312" w:hAnsi="仿宋_GB2312" w:eastAsia="仿宋_GB2312" w:cs="仿宋_GB2312"/>
          <w:b/>
          <w:bCs/>
          <w:color w:val="auto"/>
          <w:spacing w:val="0"/>
          <w:sz w:val="32"/>
          <w:szCs w:val="32"/>
          <w:highlight w:val="none"/>
          <w:lang w:val="en-US" w:eastAsia="zh-CN"/>
        </w:rPr>
        <w:t>,</w:t>
      </w:r>
      <w:r>
        <w:rPr>
          <w:rFonts w:hint="eastAsia" w:ascii="仿宋_GB2312" w:hAnsi="仿宋_GB2312" w:eastAsia="仿宋_GB2312" w:cs="仿宋_GB2312"/>
          <w:color w:val="auto"/>
          <w:spacing w:val="0"/>
          <w:sz w:val="32"/>
          <w:szCs w:val="32"/>
          <w:highlight w:val="none"/>
          <w:lang w:val="zh-CN" w:eastAsia="zh-CN"/>
        </w:rPr>
        <w:t>增加92.96万元</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增长12.16%，</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lang w:val="en-US" w:eastAsia="zh-CN"/>
        </w:rPr>
        <w:t>一是追加自治区文物保护项目、自治区社科基金项目；二是追加2022-2023提高艰苦边远地区津贴预算；三是追加2023年自治区本级单位结对认亲走访活动交通费预算及在职人员经费</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b/>
          <w:bCs/>
          <w:color w:val="auto"/>
          <w:spacing w:val="0"/>
          <w:sz w:val="32"/>
          <w:szCs w:val="32"/>
          <w:highlight w:val="none"/>
          <w:lang w:eastAsia="zh-CN"/>
        </w:rPr>
        <w:t>与年初预算相比，</w:t>
      </w:r>
      <w:r>
        <w:rPr>
          <w:rFonts w:hint="eastAsia" w:ascii="仿宋_GB2312" w:hAnsi="仿宋_GB2312" w:eastAsia="仿宋_GB2312" w:cs="仿宋_GB2312"/>
          <w:color w:val="auto"/>
          <w:spacing w:val="0"/>
          <w:sz w:val="32"/>
          <w:szCs w:val="32"/>
          <w:highlight w:val="none"/>
          <w:lang w:eastAsia="zh-CN"/>
        </w:rPr>
        <w:t>年初预算数</w:t>
      </w:r>
      <w:r>
        <w:rPr>
          <w:rFonts w:hint="eastAsia" w:ascii="仿宋_GB2312" w:hAnsi="仿宋_GB2312" w:eastAsia="仿宋_GB2312" w:cs="仿宋_GB2312"/>
          <w:color w:val="auto"/>
          <w:spacing w:val="0"/>
          <w:sz w:val="32"/>
          <w:szCs w:val="32"/>
          <w:highlight w:val="none"/>
          <w:lang w:val="zh-CN" w:eastAsia="zh-CN"/>
        </w:rPr>
        <w:t>695.34</w:t>
      </w:r>
      <w:r>
        <w:rPr>
          <w:rFonts w:hint="eastAsia" w:ascii="仿宋_GB2312" w:hAnsi="仿宋_GB2312" w:eastAsia="仿宋_GB2312" w:cs="仿宋_GB2312"/>
          <w:color w:val="auto"/>
          <w:spacing w:val="0"/>
          <w:sz w:val="32"/>
          <w:szCs w:val="32"/>
          <w:highlight w:val="none"/>
          <w:lang w:eastAsia="zh-CN"/>
        </w:rPr>
        <w:t>万元，决算数</w:t>
      </w:r>
      <w:r>
        <w:rPr>
          <w:rFonts w:hint="eastAsia" w:ascii="仿宋_GB2312" w:hAnsi="仿宋_GB2312" w:eastAsia="仿宋_GB2312" w:cs="仿宋_GB2312"/>
          <w:color w:val="auto"/>
          <w:spacing w:val="0"/>
          <w:sz w:val="32"/>
          <w:szCs w:val="32"/>
          <w:highlight w:val="none"/>
          <w:lang w:val="zh-CN" w:eastAsia="zh-CN"/>
        </w:rPr>
        <w:t>857.66</w:t>
      </w:r>
      <w:r>
        <w:rPr>
          <w:rFonts w:hint="eastAsia" w:ascii="仿宋_GB2312" w:hAnsi="仿宋_GB2312" w:eastAsia="仿宋_GB2312" w:cs="仿宋_GB2312"/>
          <w:color w:val="auto"/>
          <w:spacing w:val="0"/>
          <w:sz w:val="32"/>
          <w:szCs w:val="32"/>
          <w:highlight w:val="none"/>
          <w:lang w:eastAsia="zh-CN"/>
        </w:rPr>
        <w:t>万元，预决算差异率</w:t>
      </w:r>
      <w:r>
        <w:rPr>
          <w:rFonts w:hint="eastAsia" w:ascii="仿宋_GB2312" w:hAnsi="仿宋_GB2312" w:eastAsia="仿宋_GB2312" w:cs="仿宋_GB2312"/>
          <w:color w:val="auto"/>
          <w:spacing w:val="0"/>
          <w:sz w:val="32"/>
          <w:szCs w:val="32"/>
          <w:highlight w:val="none"/>
          <w:lang w:val="zh-CN" w:eastAsia="zh-CN"/>
        </w:rPr>
        <w:t>23.34%</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color w:val="auto"/>
          <w:spacing w:val="0"/>
          <w:sz w:val="32"/>
          <w:szCs w:val="32"/>
          <w:highlight w:val="none"/>
          <w:lang w:val="en-US" w:eastAsia="zh-CN"/>
        </w:rPr>
        <w:t>一是</w:t>
      </w:r>
      <w:r>
        <w:rPr>
          <w:rFonts w:hint="eastAsia" w:ascii="仿宋_GB2312" w:hAnsi="仿宋_GB2312" w:eastAsia="仿宋_GB2312" w:cs="仿宋_GB2312"/>
          <w:sz w:val="32"/>
          <w:szCs w:val="32"/>
          <w:highlight w:val="none"/>
          <w:lang w:val="en-US" w:eastAsia="zh-CN"/>
        </w:rPr>
        <w:t>年中追加自治区文物保护项目、自治区社科基金项目；二是追加2022-2023提高艰苦边远地区津贴预算；三是追加2023年自治区本级单位结对认亲走访活动交通费预算及在职人员经费</w:t>
      </w:r>
      <w:r>
        <w:rPr>
          <w:rFonts w:hint="eastAsia" w:ascii="仿宋_GB2312" w:hAnsi="仿宋_GB2312" w:eastAsia="仿宋_GB2312" w:cs="仿宋_GB2312"/>
          <w:color w:val="auto"/>
          <w:spacing w:val="0"/>
          <w:sz w:val="32"/>
          <w:szCs w:val="32"/>
          <w:highlight w:val="none"/>
          <w:lang w:eastAsia="zh-CN"/>
        </w:rPr>
        <w:t>。</w:t>
      </w:r>
    </w:p>
    <w:p w14:paraId="17B140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FB7D6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603059DA">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hAnsi="仿宋_GB2312" w:eastAsia="仿宋_GB2312" w:cs="仿宋_GB2312"/>
          <w:b/>
          <w:bCs/>
          <w:color w:val="auto"/>
          <w:spacing w:val="0"/>
          <w:sz w:val="32"/>
          <w:szCs w:val="32"/>
          <w:highlight w:val="none"/>
          <w:lang w:eastAsia="zh-CN"/>
        </w:rPr>
        <w:t>2023年度一般公共预算财政拨款支出810.19万元，</w:t>
      </w:r>
      <w:r>
        <w:rPr>
          <w:rFonts w:hint="eastAsia" w:ascii="仿宋_GB2312" w:hAnsi="仿宋_GB2312" w:eastAsia="仿宋_GB2312" w:cs="仿宋_GB2312"/>
          <w:color w:val="auto"/>
          <w:spacing w:val="0"/>
          <w:sz w:val="32"/>
          <w:szCs w:val="32"/>
          <w:highlight w:val="none"/>
          <w:lang w:eastAsia="zh-CN"/>
        </w:rPr>
        <w:t>占本年支出合计的</w:t>
      </w:r>
      <w:r>
        <w:rPr>
          <w:rFonts w:hint="eastAsia" w:ascii="仿宋_GB2312" w:hAnsi="仿宋_GB2312" w:eastAsia="仿宋_GB2312" w:cs="仿宋_GB2312"/>
          <w:color w:val="auto"/>
          <w:spacing w:val="0"/>
          <w:sz w:val="32"/>
          <w:szCs w:val="32"/>
          <w:highlight w:val="none"/>
          <w:lang w:val="zh-CN" w:eastAsia="zh-CN"/>
        </w:rPr>
        <w:t>100.00%</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b/>
          <w:bCs/>
          <w:color w:val="auto"/>
          <w:spacing w:val="0"/>
          <w:sz w:val="32"/>
          <w:szCs w:val="32"/>
          <w:highlight w:val="none"/>
          <w:lang w:eastAsia="zh-CN"/>
        </w:rPr>
        <w:t>与上年相比，</w:t>
      </w:r>
      <w:r>
        <w:rPr>
          <w:rFonts w:hint="eastAsia" w:ascii="仿宋_GB2312" w:hAnsi="仿宋_GB2312" w:eastAsia="仿宋_GB2312" w:cs="仿宋_GB2312"/>
          <w:color w:val="auto"/>
          <w:spacing w:val="0"/>
          <w:sz w:val="32"/>
          <w:szCs w:val="32"/>
          <w:highlight w:val="none"/>
          <w:lang w:val="zh-CN" w:eastAsia="zh-CN"/>
        </w:rPr>
        <w:t>增加45.49万元</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增长5.95%，</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color w:val="auto"/>
          <w:spacing w:val="0"/>
          <w:sz w:val="32"/>
          <w:szCs w:val="32"/>
          <w:highlight w:val="none"/>
          <w:lang w:val="en-US" w:eastAsia="zh-CN"/>
        </w:rPr>
        <w:t>一是年中追加自治区文物保护项目、自治区社科基金项目；二是追加2022-2023提高艰苦边远地区津贴预算；三是追加2023年自治区本级单位结对认亲走访活动交通费预算及在职人员经费</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b/>
          <w:bCs/>
          <w:color w:val="auto"/>
          <w:spacing w:val="0"/>
          <w:sz w:val="32"/>
          <w:szCs w:val="32"/>
          <w:highlight w:val="none"/>
          <w:lang w:eastAsia="zh-CN"/>
        </w:rPr>
        <w:t>与年初预算相比，</w:t>
      </w:r>
      <w:r>
        <w:rPr>
          <w:rFonts w:hint="eastAsia" w:ascii="仿宋_GB2312" w:hAnsi="仿宋_GB2312" w:eastAsia="仿宋_GB2312" w:cs="仿宋_GB2312"/>
          <w:color w:val="auto"/>
          <w:spacing w:val="0"/>
          <w:sz w:val="32"/>
          <w:szCs w:val="32"/>
          <w:highlight w:val="none"/>
          <w:lang w:eastAsia="zh-CN"/>
        </w:rPr>
        <w:t>年初预算数</w:t>
      </w:r>
      <w:r>
        <w:rPr>
          <w:rFonts w:hint="eastAsia" w:ascii="仿宋_GB2312" w:hAnsi="仿宋_GB2312" w:eastAsia="仿宋_GB2312" w:cs="仿宋_GB2312"/>
          <w:color w:val="auto"/>
          <w:spacing w:val="0"/>
          <w:sz w:val="32"/>
          <w:szCs w:val="32"/>
          <w:highlight w:val="none"/>
          <w:lang w:val="zh-CN" w:eastAsia="zh-CN"/>
        </w:rPr>
        <w:t>695.34</w:t>
      </w:r>
      <w:r>
        <w:rPr>
          <w:rFonts w:hint="eastAsia" w:ascii="仿宋_GB2312" w:hAnsi="仿宋_GB2312" w:eastAsia="仿宋_GB2312" w:cs="仿宋_GB2312"/>
          <w:color w:val="auto"/>
          <w:spacing w:val="0"/>
          <w:sz w:val="32"/>
          <w:szCs w:val="32"/>
          <w:highlight w:val="none"/>
          <w:lang w:eastAsia="zh-CN"/>
        </w:rPr>
        <w:t>万元，决算数</w:t>
      </w:r>
      <w:r>
        <w:rPr>
          <w:rFonts w:hint="eastAsia" w:ascii="仿宋_GB2312" w:hAnsi="仿宋_GB2312" w:eastAsia="仿宋_GB2312" w:cs="仿宋_GB2312"/>
          <w:color w:val="auto"/>
          <w:spacing w:val="0"/>
          <w:sz w:val="32"/>
          <w:szCs w:val="32"/>
          <w:highlight w:val="none"/>
          <w:lang w:val="zh-CN" w:eastAsia="zh-CN"/>
        </w:rPr>
        <w:t>810.19</w:t>
      </w:r>
      <w:r>
        <w:rPr>
          <w:rFonts w:hint="eastAsia" w:ascii="仿宋_GB2312" w:hAnsi="仿宋_GB2312" w:eastAsia="仿宋_GB2312" w:cs="仿宋_GB2312"/>
          <w:color w:val="auto"/>
          <w:spacing w:val="0"/>
          <w:sz w:val="32"/>
          <w:szCs w:val="32"/>
          <w:highlight w:val="none"/>
          <w:lang w:eastAsia="zh-CN"/>
        </w:rPr>
        <w:t>万元，预决算差异率</w:t>
      </w:r>
      <w:r>
        <w:rPr>
          <w:rFonts w:hint="eastAsia" w:ascii="仿宋_GB2312" w:hAnsi="仿宋_GB2312" w:eastAsia="仿宋_GB2312" w:cs="仿宋_GB2312"/>
          <w:color w:val="auto"/>
          <w:spacing w:val="0"/>
          <w:sz w:val="32"/>
          <w:szCs w:val="32"/>
          <w:highlight w:val="none"/>
          <w:lang w:val="zh-CN" w:eastAsia="zh-CN"/>
        </w:rPr>
        <w:t>16.52%</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color w:val="auto"/>
          <w:spacing w:val="0"/>
          <w:sz w:val="32"/>
          <w:szCs w:val="32"/>
          <w:highlight w:val="none"/>
          <w:lang w:val="en-US" w:eastAsia="zh-CN"/>
        </w:rPr>
        <w:t>预算支出数不包括年中追加项目、人员经费及年初结转支出</w:t>
      </w:r>
      <w:r>
        <w:rPr>
          <w:rFonts w:hint="eastAsia" w:ascii="仿宋_GB2312" w:hAnsi="仿宋_GB2312" w:eastAsia="仿宋_GB2312" w:cs="仿宋_GB2312"/>
          <w:color w:val="auto"/>
          <w:spacing w:val="0"/>
          <w:sz w:val="32"/>
          <w:szCs w:val="32"/>
          <w:highlight w:val="none"/>
          <w:lang w:eastAsia="zh-CN"/>
        </w:rPr>
        <w:t>。</w:t>
      </w:r>
    </w:p>
    <w:p w14:paraId="1A81AC89">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2F1F8CC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1.</w:t>
      </w:r>
      <w:r>
        <w:rPr>
          <w:rFonts w:hint="eastAsia" w:ascii="仿宋_GB2312" w:hAnsi="仿宋_GB2312" w:eastAsia="仿宋_GB2312" w:cs="仿宋_GB2312"/>
          <w:color w:val="auto"/>
          <w:spacing w:val="0"/>
          <w:kern w:val="2"/>
          <w:sz w:val="32"/>
          <w:szCs w:val="32"/>
          <w:highlight w:val="none"/>
          <w:lang w:val="zh-CN" w:eastAsia="zh-CN" w:bidi="ar-SA"/>
        </w:rPr>
        <w:t>科学技术支出（类）12.53万元，占1.55</w:t>
      </w:r>
      <w:r>
        <w:rPr>
          <w:rFonts w:hint="eastAsia" w:ascii="仿宋_GB2312" w:hAnsi="仿宋_GB2312" w:eastAsia="仿宋_GB2312" w:cs="仿宋_GB2312"/>
          <w:color w:val="auto"/>
          <w:spacing w:val="0"/>
          <w:kern w:val="2"/>
          <w:sz w:val="32"/>
          <w:szCs w:val="32"/>
          <w:highlight w:val="none"/>
          <w:lang w:val="en-US" w:eastAsia="zh-CN" w:bidi="ar-SA"/>
        </w:rPr>
        <w:t>%。</w:t>
      </w:r>
    </w:p>
    <w:p w14:paraId="4827055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仿宋_GB2312" w:eastAsia="仿宋_GB2312" w:cs="仿宋_GB2312"/>
          <w:color w:val="auto"/>
          <w:spacing w:val="0"/>
          <w:kern w:val="2"/>
          <w:sz w:val="32"/>
          <w:szCs w:val="32"/>
          <w:highlight w:val="none"/>
          <w:lang w:val="zh-CN" w:eastAsia="zh-CN" w:bidi="ar-SA"/>
        </w:rPr>
      </w:pPr>
      <w:r>
        <w:rPr>
          <w:rFonts w:hint="eastAsia" w:ascii="仿宋_GB2312" w:hAnsi="仿宋_GB2312" w:eastAsia="仿宋_GB2312" w:cs="仿宋_GB2312"/>
          <w:color w:val="auto"/>
          <w:spacing w:val="0"/>
          <w:kern w:val="2"/>
          <w:sz w:val="32"/>
          <w:szCs w:val="32"/>
          <w:highlight w:val="none"/>
          <w:lang w:val="en-US" w:eastAsia="zh-CN" w:bidi="ar-SA"/>
        </w:rPr>
        <w:t>2</w:t>
      </w:r>
      <w:r>
        <w:rPr>
          <w:rFonts w:hint="eastAsia" w:ascii="仿宋_GB2312" w:hAnsi="仿宋_GB2312" w:eastAsia="仿宋_GB2312" w:cs="仿宋_GB2312"/>
          <w:color w:val="auto"/>
          <w:spacing w:val="0"/>
          <w:kern w:val="2"/>
          <w:sz w:val="32"/>
          <w:szCs w:val="32"/>
          <w:highlight w:val="none"/>
          <w:lang w:val="zh-CN" w:eastAsia="zh-CN" w:bidi="ar-SA"/>
        </w:rPr>
        <w:t>.文化旅游体育与传媒支出（类）797.66万元，占98.45%。</w:t>
      </w:r>
    </w:p>
    <w:p w14:paraId="74C8BB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5070C4A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1.文化旅游体育与传媒支出（类）文物（款）文物保护（项）：支出决算数为797.66万元，比上年决算增加32.96万元，增长4.31%，主要原因是：一是</w:t>
      </w:r>
      <w:r>
        <w:rPr>
          <w:rFonts w:hint="eastAsia" w:ascii="仿宋_GB2312" w:hAnsi="仿宋_GB2312" w:eastAsia="仿宋_GB2312" w:cs="仿宋_GB2312"/>
          <w:color w:val="auto"/>
          <w:spacing w:val="0"/>
          <w:sz w:val="32"/>
          <w:szCs w:val="32"/>
          <w:highlight w:val="none"/>
          <w:lang w:val="en-US" w:eastAsia="zh-CN"/>
        </w:rPr>
        <w:t>年中追加自治区文物保护项目；二是追加2022-2023提高艰苦边远地区津贴预算；三是追加2023年自治区本级单位结对认亲走访活动交通费预算及在职人员经费</w:t>
      </w:r>
      <w:r>
        <w:rPr>
          <w:rFonts w:hint="eastAsia" w:ascii="仿宋_GB2312" w:hAnsi="仿宋_GB2312" w:eastAsia="仿宋_GB2312" w:cs="仿宋_GB2312"/>
          <w:color w:val="auto"/>
          <w:kern w:val="2"/>
          <w:sz w:val="32"/>
          <w:szCs w:val="32"/>
          <w:highlight w:val="none"/>
          <w:lang w:val="zh-CN" w:eastAsia="zh-CN" w:bidi="ar-SA"/>
        </w:rPr>
        <w:t>。</w:t>
      </w:r>
    </w:p>
    <w:p w14:paraId="0037E8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科学技术支出（类）社会科学（款）社会科学研究（项）：支出决算数为12.53万元，比上年决算增加12.53万元，增长100%，主要原因是：年中根据新财行[2023]91号《关于拨付&lt;中华民族交往交流交融史料汇编·新疆卷&gt;五项课题经费的通知》追加《中华民族交往交流交融史料汇编》（新疆卷·先秦秦汉、魏晋南北朝部分）项目经费</w:t>
      </w:r>
      <w:r>
        <w:rPr>
          <w:rFonts w:hint="eastAsia" w:ascii="仿宋_GB2312" w:hAnsi="仿宋_GB2312" w:eastAsia="仿宋_GB2312" w:cs="仿宋_GB2312"/>
          <w:color w:val="auto"/>
          <w:spacing w:val="0"/>
          <w:kern w:val="2"/>
          <w:sz w:val="32"/>
          <w:szCs w:val="32"/>
          <w:highlight w:val="none"/>
          <w:lang w:val="en-US" w:eastAsia="zh-CN" w:bidi="ar-SA"/>
        </w:rPr>
        <w:t>54.47</w:t>
      </w:r>
      <w:r>
        <w:rPr>
          <w:rFonts w:hint="eastAsia" w:ascii="仿宋_GB2312" w:hAnsi="仿宋_GB2312" w:eastAsia="仿宋_GB2312" w:cs="仿宋_GB2312"/>
          <w:color w:val="auto"/>
          <w:kern w:val="2"/>
          <w:sz w:val="32"/>
          <w:szCs w:val="32"/>
          <w:highlight w:val="none"/>
          <w:lang w:val="en-US" w:eastAsia="zh-CN" w:bidi="ar-SA"/>
        </w:rPr>
        <w:t>万元。其中商品和服务支出</w:t>
      </w:r>
      <w:r>
        <w:rPr>
          <w:rFonts w:hint="eastAsia" w:ascii="仿宋_GB2312" w:hAnsi="仿宋_GB2312" w:eastAsia="仿宋_GB2312" w:cs="仿宋_GB2312"/>
          <w:color w:val="auto"/>
          <w:spacing w:val="0"/>
          <w:kern w:val="2"/>
          <w:sz w:val="32"/>
          <w:szCs w:val="32"/>
          <w:highlight w:val="none"/>
          <w:lang w:val="en-US" w:eastAsia="zh-CN" w:bidi="ar-SA"/>
        </w:rPr>
        <w:t>5.53</w:t>
      </w:r>
      <w:r>
        <w:rPr>
          <w:rFonts w:hint="eastAsia" w:ascii="仿宋_GB2312" w:hAnsi="仿宋_GB2312" w:eastAsia="仿宋_GB2312" w:cs="仿宋_GB2312"/>
          <w:color w:val="auto"/>
          <w:kern w:val="2"/>
          <w:sz w:val="32"/>
          <w:szCs w:val="32"/>
          <w:highlight w:val="none"/>
          <w:lang w:val="en-US" w:eastAsia="zh-CN" w:bidi="ar-SA"/>
        </w:rPr>
        <w:t>万元，资本性支出</w:t>
      </w:r>
      <w:r>
        <w:rPr>
          <w:rFonts w:hint="eastAsia" w:ascii="仿宋_GB2312" w:hAnsi="仿宋_GB2312" w:eastAsia="仿宋_GB2312" w:cs="仿宋_GB2312"/>
          <w:color w:val="auto"/>
          <w:spacing w:val="0"/>
          <w:kern w:val="2"/>
          <w:sz w:val="32"/>
          <w:szCs w:val="32"/>
          <w:highlight w:val="none"/>
          <w:lang w:val="en-US" w:eastAsia="zh-CN" w:bidi="ar-SA"/>
        </w:rPr>
        <w:t>7</w:t>
      </w:r>
      <w:r>
        <w:rPr>
          <w:rFonts w:hint="eastAsia" w:ascii="仿宋_GB2312" w:hAnsi="仿宋_GB2312" w:eastAsia="仿宋_GB2312" w:cs="仿宋_GB2312"/>
          <w:color w:val="auto"/>
          <w:kern w:val="2"/>
          <w:sz w:val="32"/>
          <w:szCs w:val="32"/>
          <w:highlight w:val="none"/>
          <w:lang w:val="en-US" w:eastAsia="zh-CN" w:bidi="ar-SA"/>
        </w:rPr>
        <w:t>万元，共计</w:t>
      </w:r>
      <w:r>
        <w:rPr>
          <w:rFonts w:hint="eastAsia" w:ascii="仿宋_GB2312" w:hAnsi="仿宋_GB2312" w:eastAsia="仿宋_GB2312" w:cs="仿宋_GB2312"/>
          <w:color w:val="auto"/>
          <w:spacing w:val="0"/>
          <w:kern w:val="2"/>
          <w:sz w:val="32"/>
          <w:szCs w:val="32"/>
          <w:highlight w:val="none"/>
          <w:lang w:val="en-US" w:eastAsia="zh-CN" w:bidi="ar-SA"/>
        </w:rPr>
        <w:t>12.53</w:t>
      </w:r>
      <w:r>
        <w:rPr>
          <w:rFonts w:hint="eastAsia" w:ascii="仿宋_GB2312" w:hAnsi="仿宋_GB2312" w:eastAsia="仿宋_GB2312" w:cs="仿宋_GB2312"/>
          <w:color w:val="auto"/>
          <w:kern w:val="2"/>
          <w:sz w:val="32"/>
          <w:szCs w:val="32"/>
          <w:highlight w:val="none"/>
          <w:lang w:val="en-US" w:eastAsia="zh-CN" w:bidi="ar-SA"/>
        </w:rPr>
        <w:t>万元。</w:t>
      </w:r>
    </w:p>
    <w:p w14:paraId="4A907E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221393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hAnsi="仿宋_GB2312" w:eastAsia="仿宋_GB2312" w:cs="仿宋_GB2312"/>
          <w:color w:val="auto"/>
          <w:spacing w:val="0"/>
          <w:sz w:val="32"/>
          <w:szCs w:val="32"/>
          <w:highlight w:val="none"/>
          <w:lang w:eastAsia="zh-CN"/>
        </w:rPr>
        <w:t>2023年度</w:t>
      </w:r>
      <w:r>
        <w:rPr>
          <w:rFonts w:hint="eastAsia" w:ascii="仿宋_GB2312" w:hAnsi="仿宋_GB2312" w:eastAsia="仿宋_GB2312" w:cs="仿宋_GB2312"/>
          <w:color w:val="auto"/>
          <w:sz w:val="32"/>
          <w:szCs w:val="32"/>
          <w:highlight w:val="none"/>
        </w:rPr>
        <w:t>一般公共预算财政拨款基本支出</w:t>
      </w:r>
      <w:r>
        <w:rPr>
          <w:rFonts w:hint="eastAsia" w:ascii="仿宋_GB2312" w:hAnsi="仿宋_GB2312" w:eastAsia="仿宋_GB2312" w:cs="仿宋_GB2312"/>
          <w:color w:val="auto"/>
          <w:spacing w:val="0"/>
          <w:kern w:val="2"/>
          <w:sz w:val="32"/>
          <w:szCs w:val="32"/>
          <w:highlight w:val="none"/>
          <w:lang w:val="en-US" w:eastAsia="zh-CN" w:bidi="ar-SA"/>
        </w:rPr>
        <w:t>755.73</w:t>
      </w:r>
      <w:r>
        <w:rPr>
          <w:rFonts w:hint="eastAsia" w:ascii="仿宋_GB2312" w:hAnsi="仿宋_GB2312" w:eastAsia="仿宋_GB2312" w:cs="仿宋_GB2312"/>
          <w:color w:val="auto"/>
          <w:sz w:val="32"/>
          <w:szCs w:val="32"/>
          <w:highlight w:val="none"/>
        </w:rPr>
        <w:t>万元，其中：</w:t>
      </w:r>
      <w:r>
        <w:rPr>
          <w:rFonts w:hint="eastAsia" w:ascii="仿宋_GB2312" w:hAnsi="仿宋_GB2312" w:eastAsia="仿宋_GB2312" w:cs="仿宋_GB2312"/>
          <w:b/>
          <w:bCs/>
          <w:color w:val="auto"/>
          <w:sz w:val="32"/>
          <w:szCs w:val="32"/>
          <w:highlight w:val="none"/>
        </w:rPr>
        <w:t>人员经费</w:t>
      </w:r>
      <w:r>
        <w:rPr>
          <w:rFonts w:hint="eastAsia" w:ascii="仿宋_GB2312" w:hAnsi="仿宋_GB2312" w:eastAsia="仿宋_GB2312" w:cs="仿宋_GB2312"/>
          <w:b/>
          <w:bCs/>
          <w:color w:val="auto"/>
          <w:sz w:val="32"/>
          <w:szCs w:val="32"/>
          <w:highlight w:val="none"/>
          <w:lang w:eastAsia="zh-CN"/>
        </w:rPr>
        <w:t>698.81</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基本工资、津贴补贴、奖金、绩效工资、机关事业单位基本养老保险缴费、职工基本医疗保险缴费、公务员医疗补助缴费、其他社会保障缴费、住房公积金、其他工资福利支出。</w:t>
      </w:r>
    </w:p>
    <w:p w14:paraId="7C06085C">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sz w:val="32"/>
          <w:szCs w:val="32"/>
          <w:highlight w:val="none"/>
        </w:rPr>
        <w:t>公用经费</w:t>
      </w:r>
      <w:r>
        <w:rPr>
          <w:rFonts w:hint="eastAsia" w:ascii="仿宋_GB2312" w:hAnsi="仿宋_GB2312" w:eastAsia="仿宋_GB2312" w:cs="仿宋_GB2312"/>
          <w:b/>
          <w:bCs/>
          <w:color w:val="auto"/>
          <w:sz w:val="32"/>
          <w:szCs w:val="32"/>
          <w:highlight w:val="none"/>
          <w:lang w:eastAsia="zh-CN"/>
        </w:rPr>
        <w:t>56.91</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办公费、印刷费、邮电费、取暖费、差旅费、工会经费、福利费、公务用车运行维护费、其他交通费用。</w:t>
      </w:r>
    </w:p>
    <w:p w14:paraId="079B913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D23515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2023年度</w:t>
      </w:r>
      <w:r>
        <w:rPr>
          <w:rFonts w:hint="eastAsia" w:ascii="仿宋_GB2312" w:hAnsi="仿宋_GB2312" w:eastAsia="仿宋_GB2312" w:cs="仿宋_GB2312"/>
          <w:b/>
          <w:bCs/>
          <w:color w:val="auto"/>
          <w:sz w:val="32"/>
          <w:szCs w:val="32"/>
          <w:highlight w:val="none"/>
          <w:lang w:val="en-US" w:eastAsia="zh-CN"/>
        </w:rPr>
        <w:t>财政拨款</w:t>
      </w:r>
      <w:r>
        <w:rPr>
          <w:rFonts w:hint="eastAsia" w:ascii="仿宋_GB2312" w:hAnsi="仿宋_GB2312" w:eastAsia="仿宋_GB2312" w:cs="仿宋_GB2312"/>
          <w:b/>
          <w:bCs/>
          <w:color w:val="auto"/>
          <w:sz w:val="32"/>
          <w:szCs w:val="32"/>
          <w:highlight w:val="none"/>
          <w:lang w:val="zh-CN" w:eastAsia="zh-CN"/>
        </w:rPr>
        <w:t>“三公”经费支出7.15万元，</w:t>
      </w:r>
      <w:r>
        <w:rPr>
          <w:rFonts w:hint="eastAsia" w:ascii="仿宋_GB2312" w:hAnsi="仿宋_GB2312" w:eastAsia="仿宋_GB2312" w:cs="仿宋_GB2312"/>
          <w:color w:val="auto"/>
          <w:sz w:val="32"/>
          <w:szCs w:val="32"/>
          <w:highlight w:val="none"/>
          <w:lang w:val="en-US" w:eastAsia="zh-CN"/>
        </w:rPr>
        <w:t>比上年</w:t>
      </w:r>
      <w:r>
        <w:rPr>
          <w:rFonts w:hint="eastAsia" w:ascii="仿宋_GB2312" w:hAnsi="仿宋_GB2312" w:eastAsia="仿宋_GB2312" w:cs="仿宋_GB2312"/>
          <w:color w:val="auto"/>
          <w:sz w:val="32"/>
          <w:szCs w:val="32"/>
          <w:highlight w:val="none"/>
          <w:lang w:val="zh-CN" w:eastAsia="zh-CN"/>
        </w:rPr>
        <w:t>增加</w:t>
      </w:r>
      <w:r>
        <w:rPr>
          <w:rFonts w:hint="eastAsia" w:ascii="仿宋_GB2312" w:hAnsi="仿宋_GB2312" w:eastAsia="仿宋_GB2312" w:cs="仿宋_GB2312"/>
          <w:color w:val="auto"/>
          <w:spacing w:val="0"/>
          <w:kern w:val="2"/>
          <w:sz w:val="32"/>
          <w:szCs w:val="32"/>
          <w:highlight w:val="none"/>
          <w:lang w:val="zh-CN" w:eastAsia="zh-CN" w:bidi="ar-SA"/>
        </w:rPr>
        <w:t>3.29</w:t>
      </w:r>
      <w:r>
        <w:rPr>
          <w:rFonts w:hint="eastAsia" w:ascii="仿宋_GB2312" w:hAnsi="仿宋_GB2312" w:eastAsia="仿宋_GB2312" w:cs="仿宋_GB2312"/>
          <w:color w:val="auto"/>
          <w:sz w:val="32"/>
          <w:szCs w:val="32"/>
          <w:highlight w:val="none"/>
          <w:lang w:val="zh-CN" w:eastAsia="zh-CN"/>
        </w:rPr>
        <w:t>万元，增长</w:t>
      </w:r>
      <w:r>
        <w:rPr>
          <w:rFonts w:hint="eastAsia" w:ascii="仿宋_GB2312" w:hAnsi="仿宋_GB2312" w:eastAsia="仿宋_GB2312" w:cs="仿宋_GB2312"/>
          <w:color w:val="auto"/>
          <w:spacing w:val="0"/>
          <w:kern w:val="2"/>
          <w:sz w:val="32"/>
          <w:szCs w:val="32"/>
          <w:highlight w:val="none"/>
          <w:lang w:val="zh-CN" w:eastAsia="zh-CN" w:bidi="ar-SA"/>
        </w:rPr>
        <w:t>85.23%</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2023年满足财政补助条件的公车数量增加</w:t>
      </w:r>
      <w:r>
        <w:rPr>
          <w:rFonts w:hint="eastAsia" w:ascii="仿宋_GB2312" w:hAnsi="仿宋_GB2312" w:eastAsia="仿宋_GB2312" w:cs="仿宋_GB2312"/>
          <w:color w:val="auto"/>
          <w:sz w:val="32"/>
          <w:szCs w:val="32"/>
          <w:highlight w:val="none"/>
          <w:lang w:val="zh-CN" w:eastAsia="zh-CN"/>
        </w:rPr>
        <w:t>。其中：因公出国（境）费支出</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，比上年增加</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万元，增长</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，主要原因是：我单位</w:t>
      </w:r>
      <w:r>
        <w:rPr>
          <w:rFonts w:hint="eastAsia" w:ascii="仿宋_GB2312" w:hAnsi="仿宋_GB2312" w:eastAsia="仿宋_GB2312" w:cs="仿宋_GB2312"/>
          <w:sz w:val="32"/>
          <w:szCs w:val="32"/>
          <w:highlight w:val="none"/>
        </w:rPr>
        <w:t>无因公出国（境）费</w:t>
      </w:r>
      <w:r>
        <w:rPr>
          <w:rFonts w:hint="eastAsia" w:ascii="仿宋_GB2312" w:hAnsi="仿宋_GB2312" w:eastAsia="仿宋_GB2312" w:cs="仿宋_GB2312"/>
          <w:color w:val="auto"/>
          <w:sz w:val="32"/>
          <w:szCs w:val="32"/>
          <w:highlight w:val="none"/>
          <w:lang w:val="zh-CN" w:eastAsia="zh-CN"/>
        </w:rPr>
        <w:t>；公务用车购置及运行维护费支出</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pacing w:val="0"/>
          <w:kern w:val="2"/>
          <w:sz w:val="32"/>
          <w:szCs w:val="32"/>
          <w:highlight w:val="none"/>
          <w:lang w:val="zh-CN" w:eastAsia="zh-CN" w:bidi="ar-SA"/>
        </w:rPr>
        <w:t>100.00%</w:t>
      </w:r>
      <w:r>
        <w:rPr>
          <w:rFonts w:hint="eastAsia" w:ascii="仿宋_GB2312" w:hAnsi="仿宋_GB2312" w:eastAsia="仿宋_GB2312" w:cs="仿宋_GB2312"/>
          <w:color w:val="auto"/>
          <w:sz w:val="32"/>
          <w:szCs w:val="32"/>
          <w:highlight w:val="none"/>
          <w:lang w:val="zh-CN" w:eastAsia="zh-CN"/>
        </w:rPr>
        <w:t>，比上年增加</w:t>
      </w:r>
      <w:r>
        <w:rPr>
          <w:rFonts w:hint="eastAsia" w:ascii="仿宋_GB2312" w:hAnsi="仿宋_GB2312" w:eastAsia="仿宋_GB2312" w:cs="仿宋_GB2312"/>
          <w:color w:val="auto"/>
          <w:spacing w:val="0"/>
          <w:kern w:val="2"/>
          <w:sz w:val="32"/>
          <w:szCs w:val="32"/>
          <w:highlight w:val="none"/>
          <w:lang w:val="zh-CN" w:eastAsia="zh-CN" w:bidi="ar-SA"/>
        </w:rPr>
        <w:t>4.29</w:t>
      </w:r>
      <w:r>
        <w:rPr>
          <w:rFonts w:hint="eastAsia" w:ascii="仿宋_GB2312" w:hAnsi="仿宋_GB2312" w:eastAsia="仿宋_GB2312" w:cs="仿宋_GB2312"/>
          <w:color w:val="auto"/>
          <w:sz w:val="32"/>
          <w:szCs w:val="32"/>
          <w:highlight w:val="none"/>
          <w:lang w:val="zh-CN" w:eastAsia="zh-CN"/>
        </w:rPr>
        <w:t>万元，增长</w:t>
      </w:r>
      <w:r>
        <w:rPr>
          <w:rFonts w:hint="eastAsia" w:ascii="仿宋_GB2312" w:hAnsi="仿宋_GB2312" w:eastAsia="仿宋_GB2312" w:cs="仿宋_GB2312"/>
          <w:color w:val="auto"/>
          <w:spacing w:val="0"/>
          <w:kern w:val="2"/>
          <w:sz w:val="32"/>
          <w:szCs w:val="32"/>
          <w:highlight w:val="none"/>
          <w:lang w:val="zh-CN" w:eastAsia="zh-CN" w:bidi="ar-SA"/>
        </w:rPr>
        <w:t>150.00%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2023年满足财政补助条件的公车数量增加</w:t>
      </w:r>
      <w:r>
        <w:rPr>
          <w:rFonts w:hint="eastAsia" w:ascii="仿宋_GB2312" w:hAnsi="仿宋_GB2312" w:eastAsia="仿宋_GB2312" w:cs="仿宋_GB2312"/>
          <w:color w:val="auto"/>
          <w:sz w:val="32"/>
          <w:szCs w:val="32"/>
          <w:highlight w:val="none"/>
          <w:lang w:val="zh-CN" w:eastAsia="zh-CN"/>
        </w:rPr>
        <w:t>；公务接待费支出</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，比上年减少</w:t>
      </w:r>
      <w:r>
        <w:rPr>
          <w:rFonts w:hint="eastAsia" w:ascii="仿宋_GB2312" w:hAnsi="仿宋_GB2312" w:eastAsia="仿宋_GB2312" w:cs="仿宋_GB2312"/>
          <w:color w:val="auto"/>
          <w:spacing w:val="0"/>
          <w:kern w:val="2"/>
          <w:sz w:val="32"/>
          <w:szCs w:val="32"/>
          <w:highlight w:val="none"/>
          <w:lang w:val="zh-CN" w:eastAsia="zh-CN" w:bidi="ar-SA"/>
        </w:rPr>
        <w:t>1.00</w:t>
      </w:r>
      <w:r>
        <w:rPr>
          <w:rFonts w:hint="eastAsia" w:ascii="仿宋_GB2312" w:hAnsi="仿宋_GB2312" w:eastAsia="仿宋_GB2312" w:cs="仿宋_GB2312"/>
          <w:color w:val="auto"/>
          <w:sz w:val="32"/>
          <w:szCs w:val="32"/>
          <w:highlight w:val="none"/>
          <w:lang w:val="zh-CN" w:eastAsia="zh-CN"/>
        </w:rPr>
        <w:t>万元，下降</w:t>
      </w:r>
      <w:r>
        <w:rPr>
          <w:rFonts w:hint="eastAsia" w:ascii="仿宋_GB2312" w:hAnsi="仿宋_GB2312" w:eastAsia="仿宋_GB2312" w:cs="仿宋_GB2312"/>
          <w:color w:val="auto"/>
          <w:spacing w:val="0"/>
          <w:kern w:val="2"/>
          <w:sz w:val="32"/>
          <w:szCs w:val="32"/>
          <w:highlight w:val="none"/>
          <w:lang w:val="zh-CN" w:eastAsia="zh-CN" w:bidi="ar-SA"/>
        </w:rPr>
        <w:t>100.00%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无公务接待费</w:t>
      </w:r>
      <w:r>
        <w:rPr>
          <w:rFonts w:hint="eastAsia" w:ascii="仿宋_GB2312" w:hAnsi="仿宋_GB2312" w:eastAsia="仿宋_GB2312" w:cs="仿宋_GB2312"/>
          <w:color w:val="auto"/>
          <w:sz w:val="32"/>
          <w:szCs w:val="32"/>
          <w:highlight w:val="none"/>
          <w:lang w:val="zh-CN" w:eastAsia="zh-CN"/>
        </w:rPr>
        <w:t>。</w:t>
      </w:r>
    </w:p>
    <w:p w14:paraId="0D7DF16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color w:val="auto"/>
          <w:sz w:val="32"/>
          <w:szCs w:val="32"/>
          <w:highlight w:val="none"/>
          <w:lang w:val="zh-CN" w:eastAsia="zh-CN"/>
        </w:rPr>
      </w:pPr>
      <w:r>
        <w:rPr>
          <w:rFonts w:hint="eastAsia" w:ascii="黑体" w:hAnsi="黑体" w:eastAsia="黑体" w:cs="黑体"/>
          <w:color w:val="auto"/>
          <w:sz w:val="32"/>
          <w:szCs w:val="32"/>
          <w:highlight w:val="none"/>
          <w:lang w:val="zh-CN" w:eastAsia="zh-CN"/>
        </w:rPr>
        <w:t>具体情况如下：</w:t>
      </w:r>
    </w:p>
    <w:p w14:paraId="2728E1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因公出国（境）费支出</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万元，开支内容</w:t>
      </w:r>
      <w:r>
        <w:rPr>
          <w:rFonts w:hint="eastAsia" w:ascii="仿宋_GB2312" w:hAnsi="仿宋_GB2312" w:eastAsia="仿宋_GB2312" w:cs="仿宋_GB2312"/>
          <w:color w:val="auto"/>
          <w:sz w:val="32"/>
          <w:szCs w:val="32"/>
          <w:highlight w:val="none"/>
          <w:lang w:val="en-US" w:eastAsia="zh-CN"/>
        </w:rPr>
        <w:t>包括我单位</w:t>
      </w:r>
      <w:r>
        <w:rPr>
          <w:rFonts w:hint="eastAsia" w:ascii="仿宋_GB2312" w:hAnsi="仿宋_GB2312" w:eastAsia="仿宋_GB2312" w:cs="仿宋_GB2312"/>
          <w:sz w:val="32"/>
          <w:szCs w:val="32"/>
          <w:highlight w:val="none"/>
        </w:rPr>
        <w:t>无因公出国（境）费</w:t>
      </w:r>
      <w:r>
        <w:rPr>
          <w:rFonts w:hint="eastAsia" w:ascii="仿宋_GB2312" w:hAnsi="仿宋_GB2312" w:eastAsia="仿宋_GB2312" w:cs="仿宋_GB2312"/>
          <w:color w:val="auto"/>
          <w:sz w:val="32"/>
          <w:szCs w:val="32"/>
          <w:highlight w:val="none"/>
          <w:lang w:val="zh-CN" w:eastAsia="zh-CN"/>
        </w:rPr>
        <w:t>。单位全年安排的因公出国（境）团组</w:t>
      </w:r>
      <w:r>
        <w:rPr>
          <w:rFonts w:hint="eastAsia" w:ascii="仿宋_GB2312" w:hAnsi="仿宋_GB2312" w:eastAsia="仿宋_GB2312" w:cs="仿宋_GB2312"/>
          <w:color w:val="auto"/>
          <w:spacing w:val="0"/>
          <w:kern w:val="2"/>
          <w:sz w:val="32"/>
          <w:szCs w:val="32"/>
          <w:highlight w:val="none"/>
          <w:lang w:val="zh-CN" w:eastAsia="zh-CN" w:bidi="ar-SA"/>
        </w:rPr>
        <w:t>0</w:t>
      </w:r>
      <w:r>
        <w:rPr>
          <w:rFonts w:hint="eastAsia" w:ascii="仿宋_GB2312" w:hAnsi="仿宋_GB2312" w:eastAsia="仿宋_GB2312" w:cs="仿宋_GB2312"/>
          <w:color w:val="auto"/>
          <w:sz w:val="32"/>
          <w:szCs w:val="32"/>
          <w:highlight w:val="none"/>
          <w:lang w:val="zh-CN" w:eastAsia="zh-CN"/>
        </w:rPr>
        <w:t>个，因公出国（境）</w:t>
      </w:r>
      <w:r>
        <w:rPr>
          <w:rFonts w:hint="eastAsia" w:ascii="仿宋_GB2312" w:hAnsi="仿宋_GB2312" w:eastAsia="仿宋_GB2312" w:cs="仿宋_GB2312"/>
          <w:color w:val="auto"/>
          <w:spacing w:val="0"/>
          <w:kern w:val="2"/>
          <w:sz w:val="32"/>
          <w:szCs w:val="32"/>
          <w:highlight w:val="none"/>
          <w:lang w:val="zh-CN" w:eastAsia="zh-CN" w:bidi="ar-SA"/>
        </w:rPr>
        <w:t>0</w:t>
      </w:r>
      <w:r>
        <w:rPr>
          <w:rFonts w:hint="eastAsia" w:ascii="仿宋_GB2312" w:hAnsi="仿宋_GB2312" w:eastAsia="仿宋_GB2312" w:cs="仿宋_GB2312"/>
          <w:color w:val="auto"/>
          <w:sz w:val="32"/>
          <w:szCs w:val="32"/>
          <w:highlight w:val="none"/>
          <w:lang w:val="zh-CN" w:eastAsia="zh-CN"/>
        </w:rPr>
        <w:t>人次。</w:t>
      </w:r>
    </w:p>
    <w:p w14:paraId="3111BB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公务用车购置及运行维护费</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万元，其中：公务用车购置费</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万元，公务用车运行维护费</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万元。公务用车运行维护费开支内容包括车辆维修费、年审费、保险费、停车费、汽油费。公务用车购置数</w:t>
      </w:r>
      <w:r>
        <w:rPr>
          <w:rFonts w:hint="eastAsia" w:ascii="仿宋_GB2312" w:hAnsi="仿宋_GB2312" w:eastAsia="仿宋_GB2312" w:cs="仿宋_GB2312"/>
          <w:color w:val="auto"/>
          <w:spacing w:val="0"/>
          <w:kern w:val="2"/>
          <w:sz w:val="32"/>
          <w:szCs w:val="32"/>
          <w:highlight w:val="none"/>
          <w:lang w:val="zh-CN" w:eastAsia="zh-CN" w:bidi="ar-SA"/>
        </w:rPr>
        <w:t>0</w:t>
      </w:r>
      <w:r>
        <w:rPr>
          <w:rFonts w:hint="eastAsia" w:ascii="仿宋_GB2312" w:hAnsi="仿宋_GB2312" w:eastAsia="仿宋_GB2312" w:cs="仿宋_GB2312"/>
          <w:color w:val="auto"/>
          <w:sz w:val="32"/>
          <w:szCs w:val="32"/>
          <w:highlight w:val="none"/>
          <w:lang w:val="zh-CN" w:eastAsia="zh-CN"/>
        </w:rPr>
        <w:t>辆，公务用车保有量</w:t>
      </w:r>
      <w:r>
        <w:rPr>
          <w:rFonts w:hint="eastAsia" w:ascii="仿宋_GB2312" w:hAnsi="仿宋_GB2312" w:eastAsia="仿宋_GB2312" w:cs="仿宋_GB2312"/>
          <w:color w:val="auto"/>
          <w:spacing w:val="0"/>
          <w:kern w:val="2"/>
          <w:sz w:val="32"/>
          <w:szCs w:val="32"/>
          <w:highlight w:val="none"/>
          <w:lang w:val="zh-CN" w:eastAsia="zh-CN" w:bidi="ar-SA"/>
        </w:rPr>
        <w:t>5</w:t>
      </w:r>
      <w:r>
        <w:rPr>
          <w:rFonts w:hint="eastAsia" w:ascii="仿宋_GB2312" w:hAnsi="仿宋_GB2312" w:eastAsia="仿宋_GB2312" w:cs="仿宋_GB2312"/>
          <w:color w:val="auto"/>
          <w:sz w:val="32"/>
          <w:szCs w:val="32"/>
          <w:highlight w:val="none"/>
          <w:lang w:val="zh-CN" w:eastAsia="zh-CN"/>
        </w:rPr>
        <w:t>辆。国有资产占用情况</w:t>
      </w:r>
      <w:r>
        <w:rPr>
          <w:rFonts w:hint="eastAsia" w:ascii="仿宋_GB2312" w:hAnsi="仿宋_GB2312" w:eastAsia="仿宋_GB2312" w:cs="仿宋_GB2312"/>
          <w:color w:val="auto"/>
          <w:sz w:val="32"/>
          <w:szCs w:val="32"/>
          <w:highlight w:val="none"/>
          <w:lang w:val="en-US" w:eastAsia="zh-CN"/>
        </w:rPr>
        <w:t>中固定资产车辆</w:t>
      </w:r>
      <w:r>
        <w:rPr>
          <w:rFonts w:hint="eastAsia" w:ascii="仿宋_GB2312" w:hAnsi="仿宋_GB2312" w:eastAsia="仿宋_GB2312" w:cs="仿宋_GB2312"/>
          <w:color w:val="auto"/>
          <w:spacing w:val="0"/>
          <w:kern w:val="2"/>
          <w:sz w:val="32"/>
          <w:szCs w:val="32"/>
          <w:highlight w:val="none"/>
          <w:lang w:val="zh-CN" w:eastAsia="zh-CN" w:bidi="ar-SA"/>
        </w:rPr>
        <w:t>5</w:t>
      </w:r>
      <w:r>
        <w:rPr>
          <w:rFonts w:hint="eastAsia" w:ascii="仿宋_GB2312" w:hAnsi="仿宋_GB2312" w:eastAsia="仿宋_GB2312" w:cs="仿宋_GB2312"/>
          <w:color w:val="auto"/>
          <w:sz w:val="32"/>
          <w:szCs w:val="32"/>
          <w:highlight w:val="none"/>
          <w:lang w:val="zh-CN" w:eastAsia="zh-CN"/>
        </w:rPr>
        <w:t>辆，</w:t>
      </w:r>
      <w:r>
        <w:rPr>
          <w:rFonts w:hint="eastAsia" w:ascii="仿宋_GB2312" w:hAnsi="仿宋_GB2312" w:eastAsia="仿宋_GB2312" w:cs="仿宋_GB2312"/>
          <w:color w:val="auto"/>
          <w:sz w:val="32"/>
          <w:szCs w:val="32"/>
          <w:highlight w:val="none"/>
          <w:lang w:val="en-US" w:eastAsia="zh-CN"/>
        </w:rPr>
        <w:t>与</w:t>
      </w:r>
      <w:r>
        <w:rPr>
          <w:rFonts w:hint="eastAsia" w:ascii="仿宋_GB2312" w:hAnsi="仿宋_GB2312" w:eastAsia="仿宋_GB2312" w:cs="仿宋_GB2312"/>
          <w:color w:val="auto"/>
          <w:sz w:val="32"/>
          <w:szCs w:val="32"/>
          <w:highlight w:val="none"/>
          <w:lang w:val="zh-CN" w:eastAsia="zh-CN"/>
        </w:rPr>
        <w:t>公务用车</w:t>
      </w:r>
      <w:r>
        <w:rPr>
          <w:rFonts w:hint="eastAsia" w:ascii="仿宋_GB2312" w:hAnsi="仿宋_GB2312" w:eastAsia="仿宋_GB2312" w:cs="仿宋_GB2312"/>
          <w:color w:val="auto"/>
          <w:sz w:val="32"/>
          <w:szCs w:val="32"/>
          <w:highlight w:val="none"/>
          <w:lang w:val="en-US" w:eastAsia="zh-CN"/>
        </w:rPr>
        <w:t>保有量差异</w:t>
      </w:r>
      <w:r>
        <w:rPr>
          <w:rFonts w:hint="eastAsia" w:ascii="仿宋_GB2312" w:hAnsi="仿宋_GB2312" w:eastAsia="仿宋_GB2312" w:cs="仿宋_GB2312"/>
          <w:color w:val="auto"/>
          <w:sz w:val="32"/>
          <w:szCs w:val="32"/>
          <w:highlight w:val="none"/>
          <w:lang w:val="zh-CN" w:eastAsia="zh-CN"/>
        </w:rPr>
        <w:t>原因是：数量一致</w:t>
      </w:r>
      <w:r>
        <w:rPr>
          <w:rFonts w:hint="eastAsia" w:ascii="仿宋_GB2312" w:hAnsi="仿宋_GB2312" w:eastAsia="仿宋_GB2312" w:cs="仿宋_GB2312"/>
          <w:color w:val="auto"/>
          <w:sz w:val="32"/>
          <w:szCs w:val="32"/>
          <w:highlight w:val="none"/>
          <w:lang w:val="en-US" w:eastAsia="zh-CN"/>
        </w:rPr>
        <w:t>无差异</w:t>
      </w:r>
      <w:r>
        <w:rPr>
          <w:rFonts w:hint="eastAsia" w:ascii="仿宋_GB2312" w:hAnsi="仿宋_GB2312" w:eastAsia="仿宋_GB2312" w:cs="仿宋_GB2312"/>
          <w:color w:val="auto"/>
          <w:sz w:val="32"/>
          <w:szCs w:val="32"/>
          <w:highlight w:val="none"/>
          <w:lang w:val="zh-CN" w:eastAsia="zh-CN"/>
        </w:rPr>
        <w:t>。</w:t>
      </w:r>
    </w:p>
    <w:p w14:paraId="10A8080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公务接待费</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万元，开支内容</w:t>
      </w:r>
      <w:r>
        <w:rPr>
          <w:rFonts w:hint="eastAsia" w:ascii="仿宋_GB2312" w:hAnsi="仿宋_GB2312" w:eastAsia="仿宋_GB2312" w:cs="仿宋_GB2312"/>
          <w:color w:val="auto"/>
          <w:sz w:val="32"/>
          <w:szCs w:val="32"/>
          <w:highlight w:val="none"/>
          <w:lang w:val="en-US" w:eastAsia="zh-CN"/>
        </w:rPr>
        <w:t>包括我单位无公务接待费</w:t>
      </w:r>
      <w:r>
        <w:rPr>
          <w:rFonts w:hint="eastAsia" w:ascii="仿宋_GB2312" w:hAnsi="仿宋_GB2312" w:eastAsia="仿宋_GB2312" w:cs="仿宋_GB2312"/>
          <w:color w:val="auto"/>
          <w:sz w:val="32"/>
          <w:szCs w:val="32"/>
          <w:highlight w:val="none"/>
          <w:lang w:val="zh-CN" w:eastAsia="zh-CN"/>
        </w:rPr>
        <w:t>。单位全年安排的国内公务接待</w:t>
      </w:r>
      <w:r>
        <w:rPr>
          <w:rFonts w:hint="eastAsia" w:ascii="仿宋_GB2312" w:hAnsi="仿宋_GB2312" w:eastAsia="仿宋_GB2312" w:cs="仿宋_GB2312"/>
          <w:color w:val="auto"/>
          <w:spacing w:val="0"/>
          <w:kern w:val="2"/>
          <w:sz w:val="32"/>
          <w:szCs w:val="32"/>
          <w:highlight w:val="none"/>
          <w:lang w:val="zh-CN" w:eastAsia="zh-CN" w:bidi="ar-SA"/>
        </w:rPr>
        <w:t>0</w:t>
      </w:r>
      <w:r>
        <w:rPr>
          <w:rFonts w:hint="eastAsia" w:ascii="仿宋_GB2312" w:hAnsi="仿宋_GB2312" w:eastAsia="仿宋_GB2312" w:cs="仿宋_GB2312"/>
          <w:color w:val="auto"/>
          <w:sz w:val="32"/>
          <w:szCs w:val="32"/>
          <w:highlight w:val="none"/>
          <w:lang w:val="zh-CN" w:eastAsia="zh-CN"/>
        </w:rPr>
        <w:t>批次，</w:t>
      </w:r>
      <w:r>
        <w:rPr>
          <w:rFonts w:hint="eastAsia" w:ascii="仿宋_GB2312" w:hAnsi="仿宋_GB2312" w:eastAsia="仿宋_GB2312" w:cs="仿宋_GB2312"/>
          <w:color w:val="auto"/>
          <w:spacing w:val="0"/>
          <w:kern w:val="2"/>
          <w:sz w:val="32"/>
          <w:szCs w:val="32"/>
          <w:highlight w:val="none"/>
          <w:lang w:val="zh-CN" w:eastAsia="zh-CN" w:bidi="ar-SA"/>
        </w:rPr>
        <w:t>0</w:t>
      </w:r>
      <w:r>
        <w:rPr>
          <w:rFonts w:hint="eastAsia" w:ascii="仿宋_GB2312" w:hAnsi="仿宋_GB2312" w:eastAsia="仿宋_GB2312" w:cs="仿宋_GB2312"/>
          <w:color w:val="auto"/>
          <w:sz w:val="32"/>
          <w:szCs w:val="32"/>
          <w:highlight w:val="none"/>
          <w:lang w:val="zh-CN" w:eastAsia="zh-CN"/>
        </w:rPr>
        <w:t>人次。</w:t>
      </w:r>
    </w:p>
    <w:p w14:paraId="560F5B32">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与</w:t>
      </w:r>
      <w:r>
        <w:rPr>
          <w:rFonts w:hint="eastAsia" w:ascii="仿宋_GB2312" w:hAnsi="仿宋_GB2312" w:eastAsia="仿宋_GB2312" w:cs="仿宋_GB2312"/>
          <w:b/>
          <w:bCs/>
          <w:color w:val="auto"/>
          <w:sz w:val="32"/>
          <w:szCs w:val="32"/>
          <w:highlight w:val="none"/>
          <w:lang w:val="en-US" w:eastAsia="zh-CN"/>
        </w:rPr>
        <w:t>全年</w:t>
      </w:r>
      <w:r>
        <w:rPr>
          <w:rFonts w:hint="eastAsia" w:ascii="仿宋_GB2312" w:hAnsi="仿宋_GB2312" w:eastAsia="仿宋_GB2312" w:cs="仿宋_GB2312"/>
          <w:b/>
          <w:bCs/>
          <w:color w:val="auto"/>
          <w:sz w:val="32"/>
          <w:szCs w:val="32"/>
          <w:highlight w:val="none"/>
          <w:lang w:val="zh-CN" w:eastAsia="zh-CN"/>
        </w:rPr>
        <w:t>预算相比</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财政拨款“三公”经费支出</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万元，决算数</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万元，预决算差异率</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根据预算执行，</w:t>
      </w:r>
      <w:r>
        <w:rPr>
          <w:rFonts w:hint="eastAsia" w:ascii="仿宋_GB2312" w:hAnsi="仿宋_GB2312" w:eastAsia="仿宋_GB2312" w:cs="仿宋_GB2312"/>
          <w:sz w:val="32"/>
          <w:szCs w:val="32"/>
          <w:highlight w:val="none"/>
        </w:rPr>
        <w:t>预决算一致无差异</w:t>
      </w:r>
      <w:r>
        <w:rPr>
          <w:rFonts w:hint="eastAsia" w:ascii="仿宋_GB2312" w:hAnsi="仿宋_GB2312" w:eastAsia="仿宋_GB2312" w:cs="仿宋_GB2312"/>
          <w:color w:val="auto"/>
          <w:sz w:val="32"/>
          <w:szCs w:val="32"/>
          <w:highlight w:val="none"/>
          <w:lang w:val="zh-CN" w:eastAsia="zh-CN"/>
        </w:rPr>
        <w:t>。其中：因公出国（境）费</w:t>
      </w:r>
      <w:r>
        <w:rPr>
          <w:rFonts w:hint="eastAsia" w:ascii="仿宋_GB2312" w:hAnsi="仿宋_GB2312" w:eastAsia="仿宋_GB2312" w:cs="仿宋_GB2312"/>
          <w:color w:val="auto"/>
          <w:sz w:val="32"/>
          <w:szCs w:val="32"/>
          <w:highlight w:val="none"/>
          <w:lang w:val="en-US" w:eastAsia="zh-CN"/>
        </w:rPr>
        <w:t>全年预算数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万元，决算数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万元，预决算差异率</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rPr>
        <w:t>无因公出国（境）费</w:t>
      </w:r>
      <w:r>
        <w:rPr>
          <w:rFonts w:hint="eastAsia" w:ascii="仿宋_GB2312" w:hAnsi="仿宋_GB2312" w:eastAsia="仿宋_GB2312" w:cs="仿宋_GB2312"/>
          <w:color w:val="auto"/>
          <w:sz w:val="32"/>
          <w:szCs w:val="32"/>
          <w:highlight w:val="none"/>
          <w:lang w:val="zh-CN" w:eastAsia="zh-CN"/>
        </w:rPr>
        <w:t>；公务用车购置费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万元，决算数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万元，预决算差异率</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rPr>
        <w:t>无公务用车购置费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color w:val="auto"/>
          <w:sz w:val="32"/>
          <w:szCs w:val="32"/>
          <w:highlight w:val="none"/>
          <w:lang w:val="zh-CN" w:eastAsia="zh-CN"/>
        </w:rPr>
        <w:t>公务用车运行费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万元，决算数</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万元，预决算差异率</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根据预算执行，</w:t>
      </w:r>
      <w:r>
        <w:rPr>
          <w:rFonts w:hint="eastAsia" w:ascii="仿宋_GB2312" w:hAnsi="仿宋_GB2312" w:eastAsia="仿宋_GB2312" w:cs="仿宋_GB2312"/>
          <w:sz w:val="32"/>
          <w:szCs w:val="32"/>
          <w:highlight w:val="none"/>
        </w:rPr>
        <w:t>预决算一致无差异</w:t>
      </w:r>
      <w:r>
        <w:rPr>
          <w:rFonts w:hint="eastAsia" w:ascii="仿宋_GB2312" w:hAnsi="仿宋_GB2312" w:eastAsia="仿宋_GB2312" w:cs="仿宋_GB2312"/>
          <w:color w:val="auto"/>
          <w:sz w:val="32"/>
          <w:szCs w:val="32"/>
          <w:highlight w:val="none"/>
          <w:lang w:val="zh-CN" w:eastAsia="zh-CN"/>
        </w:rPr>
        <w:t>；公务接待费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万元，决算数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万元，预决算差异率</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rPr>
        <w:t>无公务</w:t>
      </w:r>
      <w:r>
        <w:rPr>
          <w:rFonts w:hint="eastAsia" w:ascii="仿宋_GB2312" w:hAnsi="仿宋_GB2312" w:eastAsia="仿宋_GB2312" w:cs="仿宋_GB2312"/>
          <w:sz w:val="32"/>
          <w:szCs w:val="32"/>
          <w:highlight w:val="none"/>
          <w:lang w:val="en-US" w:eastAsia="zh-CN"/>
        </w:rPr>
        <w:t>接待</w:t>
      </w:r>
      <w:r>
        <w:rPr>
          <w:rFonts w:hint="eastAsia" w:ascii="仿宋_GB2312" w:hAnsi="仿宋_GB2312" w:eastAsia="仿宋_GB2312" w:cs="仿宋_GB2312"/>
          <w:sz w:val="32"/>
          <w:szCs w:val="32"/>
          <w:highlight w:val="none"/>
        </w:rPr>
        <w:t>费</w:t>
      </w:r>
      <w:r>
        <w:rPr>
          <w:rFonts w:hint="eastAsia" w:ascii="仿宋_GB2312" w:hAnsi="仿宋_GB2312" w:eastAsia="仿宋_GB2312" w:cs="仿宋_GB2312"/>
          <w:color w:val="auto"/>
          <w:sz w:val="32"/>
          <w:szCs w:val="32"/>
          <w:highlight w:val="none"/>
          <w:lang w:val="zh-CN" w:eastAsia="zh-CN"/>
        </w:rPr>
        <w:t>。</w:t>
      </w:r>
    </w:p>
    <w:p w14:paraId="3C2E6F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15397E3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19C5C44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16874F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1A929C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2AC80A6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163C1F3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新疆维吾尔自治区文博院</w:t>
      </w:r>
      <w:r>
        <w:rPr>
          <w:rFonts w:hint="eastAsia" w:ascii="仿宋_GB2312" w:hAnsi="仿宋_GB2312" w:eastAsia="仿宋_GB2312" w:cs="仿宋_GB2312"/>
          <w:color w:val="auto"/>
          <w:sz w:val="32"/>
          <w:szCs w:val="32"/>
          <w:highlight w:val="none"/>
          <w:lang w:val="zh-CN" w:eastAsia="zh-CN"/>
        </w:rPr>
        <w:t>（事业单位）公用经费支出56.91万元，比上年增加13.49万元，增长31.07%，主要原因是：本年初增加在职人员，公用经费相应增加。</w:t>
      </w:r>
    </w:p>
    <w:p w14:paraId="742B8D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1D2DB83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11.07万元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其中：政府采购货物支出4.22万元、政府采购工程支出0.00万元、政府采购服务支出6.86万元。</w:t>
      </w:r>
    </w:p>
    <w:p w14:paraId="5E26CC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授予中小企业合同金额11.07万元，占政府采购支出总额的100.00%，其中：授予小微企业合同金额9.54万元，占政府采购支出总额的86.1</w:t>
      </w:r>
      <w:r>
        <w:rPr>
          <w:rFonts w:hint="eastAsia" w:ascii="仿宋_GB2312" w:hAnsi="仿宋_GB2312" w:eastAsia="仿宋_GB2312" w:cs="仿宋_GB2312"/>
          <w:color w:val="auto"/>
          <w:sz w:val="32"/>
          <w:szCs w:val="32"/>
          <w:highlight w:val="none"/>
          <w:lang w:val="en-US" w:eastAsia="zh-CN"/>
        </w:rPr>
        <w:t>8</w:t>
      </w:r>
      <w:bookmarkStart w:id="48" w:name="_GoBack"/>
      <w:bookmarkEnd w:id="48"/>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w:t>
      </w:r>
    </w:p>
    <w:p w14:paraId="6D1CB2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6C8BD0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245.47</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屋0.0平方米，价值0.00万元。车辆5辆，价值198.90万元，其中：副部（省）级及以上领导用车0辆、主要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用车0辆、其他用车5辆，其他用车主要是：为保障日常运行的</w:t>
      </w:r>
      <w:r>
        <w:rPr>
          <w:rFonts w:hint="eastAsia" w:ascii="仿宋_GB2312" w:hAnsi="仿宋_GB2312" w:eastAsia="仿宋_GB2312" w:cs="仿宋_GB2312"/>
          <w:sz w:val="32"/>
          <w:szCs w:val="32"/>
          <w:highlight w:val="none"/>
        </w:rPr>
        <w:t>一般公务用车</w:t>
      </w:r>
      <w:r>
        <w:rPr>
          <w:rFonts w:hint="eastAsia" w:ascii="仿宋_GB2312" w:hAnsi="仿宋_GB2312" w:eastAsia="仿宋_GB2312" w:cs="仿宋_GB2312"/>
          <w:color w:val="auto"/>
          <w:sz w:val="32"/>
          <w:szCs w:val="32"/>
          <w:highlight w:val="none"/>
          <w:lang w:val="zh-CN" w:eastAsia="zh-CN"/>
        </w:rPr>
        <w:t>；单价100万元（含）以上设备（不含车辆）0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29FF4BB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40716FF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Hans"/>
        </w:rPr>
      </w:pPr>
      <w:r>
        <w:rPr>
          <w:rFonts w:hint="eastAsia" w:ascii="仿宋_GB2312" w:hAnsi="仿宋_GB2312" w:eastAsia="仿宋_GB2312" w:cs="仿宋_GB2312"/>
          <w:color w:val="auto"/>
          <w:sz w:val="32"/>
          <w:szCs w:val="32"/>
          <w:highlight w:val="none"/>
          <w:lang w:eastAsia="zh-CN"/>
        </w:rPr>
        <w:t>根据预算绩效管理要求，我</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hAnsi="仿宋_GB2312" w:eastAsia="仿宋_GB2312" w:cs="仿宋_GB2312"/>
          <w:color w:val="auto"/>
          <w:sz w:val="32"/>
          <w:szCs w:val="32"/>
          <w:highlight w:val="none"/>
          <w:lang w:val="en-US" w:eastAsia="zh-CN"/>
        </w:rPr>
        <w:t>预算总额</w:t>
      </w:r>
      <w:r>
        <w:rPr>
          <w:rFonts w:hint="eastAsia" w:ascii="仿宋_GB2312" w:hAnsi="仿宋_GB2312" w:eastAsia="仿宋_GB2312" w:cs="仿宋_GB2312"/>
          <w:color w:val="auto"/>
          <w:spacing w:val="0"/>
          <w:kern w:val="2"/>
          <w:sz w:val="32"/>
          <w:szCs w:val="32"/>
          <w:highlight w:val="none"/>
          <w:lang w:val="en-US" w:eastAsia="zh-CN" w:bidi="ar-SA"/>
        </w:rPr>
        <w:t>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实际执行总额</w:t>
      </w:r>
      <w:r>
        <w:rPr>
          <w:rFonts w:hint="eastAsia" w:ascii="仿宋_GB2312" w:hAnsi="仿宋_GB2312" w:eastAsia="仿宋_GB2312" w:cs="仿宋_GB2312"/>
          <w:color w:val="auto"/>
          <w:spacing w:val="0"/>
          <w:kern w:val="2"/>
          <w:sz w:val="32"/>
          <w:szCs w:val="32"/>
          <w:highlight w:val="none"/>
          <w:lang w:val="en-US" w:eastAsia="zh-CN" w:bidi="ar-SA"/>
        </w:rPr>
        <w:t>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预算绩效评价项目</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eastAsia="zh-CN"/>
        </w:rPr>
        <w:t>个，</w:t>
      </w:r>
      <w:r>
        <w:rPr>
          <w:rFonts w:hint="eastAsia" w:ascii="仿宋_GB2312" w:hAnsi="仿宋_GB2312" w:eastAsia="仿宋_GB2312" w:cs="仿宋_GB2312"/>
          <w:color w:val="auto"/>
          <w:sz w:val="32"/>
          <w:szCs w:val="32"/>
          <w:highlight w:val="none"/>
          <w:lang w:val="en-US" w:eastAsia="zh-CN"/>
        </w:rPr>
        <w:t>全年预算数</w:t>
      </w:r>
      <w:r>
        <w:rPr>
          <w:rFonts w:hint="eastAsia" w:ascii="仿宋_GB2312" w:hAnsi="仿宋_GB2312" w:eastAsia="仿宋_GB2312" w:cs="仿宋_GB2312"/>
          <w:color w:val="auto"/>
          <w:spacing w:val="0"/>
          <w:kern w:val="2"/>
          <w:sz w:val="32"/>
          <w:szCs w:val="32"/>
          <w:highlight w:val="none"/>
          <w:lang w:val="en-US" w:eastAsia="zh-CN" w:bidi="ar-SA"/>
        </w:rPr>
        <w:t>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全年执行数</w:t>
      </w:r>
      <w:r>
        <w:rPr>
          <w:rFonts w:hint="eastAsia" w:ascii="仿宋_GB2312" w:hAnsi="仿宋_GB2312" w:eastAsia="仿宋_GB2312" w:cs="仿宋_GB2312"/>
          <w:color w:val="auto"/>
          <w:spacing w:val="0"/>
          <w:kern w:val="2"/>
          <w:sz w:val="32"/>
          <w:szCs w:val="32"/>
          <w:highlight w:val="none"/>
          <w:lang w:val="en-US" w:eastAsia="zh-CN" w:bidi="ar-SA"/>
        </w:rPr>
        <w:t>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。预算绩效管理取得的成效：一是深刻阐明了新疆文物的历史文化价值，</w:t>
      </w:r>
      <w:r>
        <w:rPr>
          <w:rFonts w:hint="eastAsia" w:ascii="仿宋_GB2312" w:hAnsi="仿宋_GB2312" w:eastAsia="仿宋_GB2312" w:cs="仿宋_GB2312"/>
          <w:color w:val="auto"/>
          <w:sz w:val="32"/>
          <w:szCs w:val="32"/>
          <w:highlight w:val="none"/>
          <w:lang w:val="en-US" w:eastAsia="zh-CN"/>
        </w:rPr>
        <w:t>开展新疆文物全媒体传播作品（新媒体）推介展示活动，活动传播力、影响力持续提升，对推动新疆文物全媒体传播具有示范引领效应</w:t>
      </w:r>
      <w:r>
        <w:rPr>
          <w:rFonts w:hint="eastAsia" w:ascii="仿宋_GB2312" w:hAnsi="仿宋_GB2312" w:eastAsia="仿宋_GB2312" w:cs="仿宋_GB2312"/>
          <w:color w:val="auto"/>
          <w:sz w:val="32"/>
          <w:szCs w:val="32"/>
          <w:highlight w:val="none"/>
          <w:lang w:eastAsia="zh-CN"/>
        </w:rPr>
        <w:t>；二是</w:t>
      </w:r>
      <w:r>
        <w:rPr>
          <w:rFonts w:hint="eastAsia" w:ascii="仿宋_GB2312" w:hAnsi="仿宋_GB2312" w:eastAsia="仿宋_GB2312" w:cs="仿宋_GB2312"/>
          <w:color w:val="auto"/>
          <w:sz w:val="32"/>
          <w:szCs w:val="32"/>
          <w:highlight w:val="none"/>
          <w:lang w:val="en-US" w:eastAsia="zh-CN"/>
        </w:rPr>
        <w:t>按全国“三交”史料编纂工作推进安排有序推进</w:t>
      </w:r>
      <w:r>
        <w:rPr>
          <w:rFonts w:hint="eastAsia" w:ascii="仿宋_GB2312" w:hAnsi="仿宋_GB2312" w:eastAsia="仿宋_GB2312" w:cs="仿宋_GB2312"/>
          <w:color w:val="auto"/>
          <w:kern w:val="2"/>
          <w:sz w:val="32"/>
          <w:szCs w:val="32"/>
          <w:highlight w:val="none"/>
          <w:lang w:val="en-US" w:eastAsia="zh-CN" w:bidi="ar-SA"/>
        </w:rPr>
        <w:t>《中华民族交往交流交融史料汇编》（新疆卷·先秦秦汉、魏晋南北朝部分）编纂工作</w:t>
      </w:r>
      <w:r>
        <w:rPr>
          <w:rFonts w:hint="eastAsia" w:ascii="仿宋_GB2312" w:hAnsi="仿宋_GB2312" w:eastAsia="仿宋_GB2312" w:cs="仿宋_GB2312"/>
          <w:color w:val="auto"/>
          <w:sz w:val="32"/>
          <w:szCs w:val="32"/>
          <w:highlight w:val="none"/>
          <w:lang w:eastAsia="zh-CN"/>
        </w:rPr>
        <w:t>。发现的问题及原因：一是</w:t>
      </w:r>
      <w:r>
        <w:rPr>
          <w:rFonts w:hint="eastAsia" w:ascii="仿宋_GB2312" w:hAnsi="仿宋_GB2312" w:eastAsia="仿宋_GB2312" w:cs="仿宋_GB2312"/>
          <w:color w:val="auto"/>
          <w:sz w:val="32"/>
          <w:szCs w:val="32"/>
          <w:highlight w:val="none"/>
          <w:lang w:val="en-US" w:eastAsia="zh-CN"/>
        </w:rPr>
        <w:t>项目推进缓慢，预算执行监督力度不够</w:t>
      </w:r>
      <w:r>
        <w:rPr>
          <w:rFonts w:hint="eastAsia" w:ascii="仿宋_GB2312" w:hAnsi="仿宋_GB2312" w:eastAsia="仿宋_GB2312" w:cs="仿宋_GB2312"/>
          <w:color w:val="auto"/>
          <w:sz w:val="32"/>
          <w:szCs w:val="32"/>
          <w:highlight w:val="none"/>
          <w:lang w:eastAsia="zh-CN"/>
        </w:rPr>
        <w:t>；二是</w:t>
      </w:r>
      <w:r>
        <w:rPr>
          <w:rFonts w:hint="eastAsia" w:ascii="仿宋_GB2312" w:hAnsi="仿宋_GB2312" w:eastAsia="仿宋_GB2312" w:cs="仿宋_GB2312"/>
          <w:sz w:val="32"/>
          <w:szCs w:val="32"/>
          <w:highlight w:val="none"/>
        </w:rPr>
        <w:t>公众服务能力有待提高</w:t>
      </w:r>
      <w:r>
        <w:rPr>
          <w:rFonts w:hint="eastAsia" w:ascii="仿宋_GB2312" w:hAnsi="仿宋_GB2312" w:eastAsia="仿宋_GB2312" w:cs="仿宋_GB2312"/>
          <w:color w:val="auto"/>
          <w:sz w:val="32"/>
          <w:szCs w:val="32"/>
          <w:highlight w:val="none"/>
          <w:lang w:eastAsia="zh-CN"/>
        </w:rPr>
        <w:t>。下一步改进措施：一是</w:t>
      </w:r>
      <w:r>
        <w:rPr>
          <w:rFonts w:hint="eastAsia" w:ascii="仿宋_GB2312" w:hAnsi="仿宋_GB2312" w:eastAsia="仿宋_GB2312" w:cs="仿宋_GB2312"/>
          <w:sz w:val="32"/>
          <w:szCs w:val="32"/>
          <w:highlight w:val="none"/>
        </w:rPr>
        <w:t>提高文物考古研究成果转化，充分发挥宣传教育作用</w:t>
      </w:r>
      <w:r>
        <w:rPr>
          <w:rFonts w:hint="eastAsia" w:ascii="仿宋_GB2312" w:hAnsi="仿宋_GB2312" w:eastAsia="仿宋_GB2312" w:cs="仿宋_GB2312"/>
          <w:color w:val="auto"/>
          <w:sz w:val="32"/>
          <w:szCs w:val="32"/>
          <w:highlight w:val="none"/>
          <w:lang w:eastAsia="zh-CN"/>
        </w:rPr>
        <w:t>；二是</w:t>
      </w:r>
      <w:r>
        <w:rPr>
          <w:rFonts w:hint="eastAsia" w:ascii="仿宋_GB2312" w:hAnsi="仿宋_GB2312" w:eastAsia="仿宋_GB2312" w:cs="仿宋_GB2312"/>
          <w:sz w:val="32"/>
          <w:szCs w:val="32"/>
          <w:highlight w:val="none"/>
        </w:rPr>
        <w:t>提高项目实施能力与服务能力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我单位2023年度有2个自治区转移支付项目，</w:t>
      </w:r>
      <w:r>
        <w:rPr>
          <w:rFonts w:hint="eastAsia" w:ascii="仿宋_GB2312" w:hAnsi="仿宋_GB2312" w:eastAsia="仿宋_GB2312" w:cs="仿宋_GB2312"/>
          <w:color w:val="auto"/>
          <w:sz w:val="32"/>
          <w:szCs w:val="32"/>
          <w:highlight w:val="none"/>
          <w:lang w:eastAsia="zh-CN"/>
        </w:rPr>
        <w:t>具体</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rPr>
        <w:t>绩效自评表</w:t>
      </w:r>
      <w:r>
        <w:rPr>
          <w:rFonts w:hint="eastAsia" w:ascii="仿宋_GB2312" w:hAnsi="仿宋_GB2312" w:eastAsia="仿宋_GB2312" w:cs="仿宋_GB2312"/>
          <w:color w:val="auto"/>
          <w:sz w:val="32"/>
          <w:szCs w:val="32"/>
          <w:highlight w:val="none"/>
          <w:lang w:val="en-US" w:eastAsia="zh-CN"/>
        </w:rPr>
        <w:t>分别在自治区文化和旅游厅、自治区民族事务委员会的2023年决算公开中统一汇总公开</w:t>
      </w:r>
      <w:r>
        <w:rPr>
          <w:rFonts w:hint="eastAsia" w:ascii="仿宋_GB2312" w:hAnsi="仿宋_GB2312" w:eastAsia="仿宋_GB2312" w:cs="仿宋_GB2312"/>
          <w:color w:val="auto"/>
          <w:sz w:val="32"/>
          <w:szCs w:val="32"/>
          <w:highlight w:val="none"/>
        </w:rPr>
        <w:t>。</w:t>
      </w:r>
    </w:p>
    <w:p w14:paraId="2BA10EE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14ECF6C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6F4F601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14:paraId="3AE4356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5EA06B2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11575F5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1394837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1593009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4292BE4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A09436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5AF2C4F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B08803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49099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75B934B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1F424DA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23D0C14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26E8B6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63E2A295">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088298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797CAE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p>
    <w:p w14:paraId="363D9C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14C9351F">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inline distT="0" distB="0" distL="114300" distR="114300">
            <wp:extent cx="5271135" cy="5598795"/>
            <wp:effectExtent l="0" t="0" r="5715" b="1905"/>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5"/>
                    <a:stretch>
                      <a:fillRect/>
                    </a:stretch>
                  </pic:blipFill>
                  <pic:spPr>
                    <a:xfrm>
                      <a:off x="0" y="0"/>
                      <a:ext cx="5271135" cy="5598795"/>
                    </a:xfrm>
                    <a:prstGeom prst="rect">
                      <a:avLst/>
                    </a:prstGeom>
                    <a:noFill/>
                    <a:ln>
                      <a:noFill/>
                    </a:ln>
                  </pic:spPr>
                </pic:pic>
              </a:graphicData>
            </a:graphic>
          </wp:inline>
        </w:drawing>
      </w:r>
    </w:p>
    <w:p w14:paraId="54F06CCF">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0248A558">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1C349670">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306CD9C7">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22D76707">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286E6D96">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24AD62C7">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76D1F517">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40B9426B">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04DC39E0">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2527F846">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640" w:firstLineChars="200"/>
        <w:jc w:val="left"/>
        <w:textAlignment w:val="auto"/>
        <w:outlineLvl w:val="1"/>
        <w:rPr>
          <w:rFonts w:hint="default" w:ascii="黑体" w:hAnsi="黑体" w:eastAsia="仿宋_GB2312" w:cs="宋体"/>
          <w:bCs/>
          <w:color w:val="auto"/>
          <w:kern w:val="0"/>
          <w:sz w:val="32"/>
          <w:szCs w:val="32"/>
          <w:highlight w:val="none"/>
          <w:lang w:val="en-US" w:eastAsia="zh-CN"/>
        </w:rPr>
      </w:pPr>
      <w:bookmarkStart w:id="34" w:name="_Toc24532"/>
      <w:bookmarkStart w:id="35" w:name="_Toc30364"/>
      <w:r>
        <w:rPr>
          <w:rFonts w:hint="eastAsia" w:ascii="黑体" w:hAnsi="黑体" w:eastAsia="仿宋_GB2312" w:cs="宋体"/>
          <w:bCs/>
          <w:color w:val="auto"/>
          <w:kern w:val="0"/>
          <w:sz w:val="32"/>
          <w:szCs w:val="32"/>
          <w:highlight w:val="none"/>
        </w:rPr>
        <w:t>《收入决算表》</w:t>
      </w:r>
      <w:bookmarkEnd w:id="34"/>
      <w:bookmarkEnd w:id="35"/>
      <w:r>
        <w:rPr>
          <w:rFonts w:hint="eastAsia" w:eastAsia="仿宋_GB2312"/>
          <w:highlight w:val="none"/>
          <w:lang w:val="en-US" w:eastAsia="zh-CN"/>
        </w:rPr>
        <w:t xml:space="preserve"> </w:t>
      </w:r>
    </w:p>
    <w:p w14:paraId="5EAB79B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1"/>
        <w:rPr>
          <w:highlight w:val="none"/>
        </w:rPr>
      </w:pPr>
      <w:r>
        <w:rPr>
          <w:rFonts w:hint="eastAsia" w:ascii="黑体" w:hAnsi="黑体" w:eastAsia="仿宋_GB2312" w:cs="宋体"/>
          <w:bCs/>
          <w:color w:val="auto"/>
          <w:kern w:val="0"/>
          <w:sz w:val="32"/>
          <w:szCs w:val="32"/>
          <w:highlight w:val="none"/>
          <w:lang w:val="en-US" w:eastAsia="zh-CN"/>
        </w:rPr>
        <w:t xml:space="preserve">   </w:t>
      </w:r>
      <w:r>
        <w:rPr>
          <w:highlight w:val="none"/>
        </w:rPr>
        <w:drawing>
          <wp:inline distT="0" distB="0" distL="114300" distR="114300">
            <wp:extent cx="5267960" cy="2957195"/>
            <wp:effectExtent l="0" t="0" r="8890" b="14605"/>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6"/>
                    <a:stretch>
                      <a:fillRect/>
                    </a:stretch>
                  </pic:blipFill>
                  <pic:spPr>
                    <a:xfrm>
                      <a:off x="0" y="0"/>
                      <a:ext cx="5267960" cy="2957195"/>
                    </a:xfrm>
                    <a:prstGeom prst="rect">
                      <a:avLst/>
                    </a:prstGeom>
                    <a:noFill/>
                    <a:ln>
                      <a:noFill/>
                    </a:ln>
                  </pic:spPr>
                </pic:pic>
              </a:graphicData>
            </a:graphic>
          </wp:inline>
        </w:drawing>
      </w:r>
    </w:p>
    <w:p w14:paraId="1C0D2E9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1"/>
        <w:rPr>
          <w:highlight w:val="none"/>
        </w:rPr>
      </w:pPr>
    </w:p>
    <w:p w14:paraId="6C3A5B7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1"/>
        <w:rPr>
          <w:rFonts w:hint="default"/>
          <w:highlight w:val="none"/>
          <w:lang w:val="en-US" w:eastAsia="zh-CN"/>
        </w:rPr>
      </w:pPr>
    </w:p>
    <w:p w14:paraId="5FF35AF2">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lang w:val="en-US" w:eastAsia="zh-CN"/>
        </w:rPr>
      </w:pPr>
      <w:bookmarkStart w:id="36" w:name="_Toc32434"/>
      <w:bookmarkStart w:id="37" w:name="_Toc21304"/>
      <w:r>
        <w:rPr>
          <w:rFonts w:hint="eastAsia" w:ascii="黑体" w:hAnsi="黑体" w:eastAsia="仿宋_GB2312" w:cs="宋体"/>
          <w:bCs/>
          <w:color w:val="auto"/>
          <w:kern w:val="0"/>
          <w:sz w:val="32"/>
          <w:szCs w:val="32"/>
          <w:highlight w:val="none"/>
        </w:rPr>
        <w:t>《支出决算表》</w:t>
      </w:r>
      <w:bookmarkEnd w:id="36"/>
      <w:bookmarkEnd w:id="37"/>
    </w:p>
    <w:p w14:paraId="291A0A5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inline distT="0" distB="0" distL="114300" distR="114300">
            <wp:extent cx="5267960" cy="2814320"/>
            <wp:effectExtent l="0" t="0" r="8890" b="5080"/>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7"/>
                    <a:stretch>
                      <a:fillRect/>
                    </a:stretch>
                  </pic:blipFill>
                  <pic:spPr>
                    <a:xfrm>
                      <a:off x="0" y="0"/>
                      <a:ext cx="5267960" cy="2814320"/>
                    </a:xfrm>
                    <a:prstGeom prst="rect">
                      <a:avLst/>
                    </a:prstGeom>
                    <a:noFill/>
                    <a:ln>
                      <a:noFill/>
                    </a:ln>
                  </pic:spPr>
                </pic:pic>
              </a:graphicData>
            </a:graphic>
          </wp:inline>
        </w:drawing>
      </w:r>
    </w:p>
    <w:p w14:paraId="531114A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F134A3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29BD676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38AAFC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DE535C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1673823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lang w:val="en-US" w:eastAsia="zh-CN"/>
        </w:rPr>
      </w:pPr>
    </w:p>
    <w:p w14:paraId="0F13744F">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《财政拨款收入支出决算总表》</w:t>
      </w:r>
      <w:bookmarkEnd w:id="38"/>
      <w:bookmarkEnd w:id="39"/>
    </w:p>
    <w:p w14:paraId="20DCEF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outlineLvl w:val="1"/>
        <w:rPr>
          <w:rFonts w:hint="eastAsia" w:ascii="黑体" w:hAnsi="黑体" w:eastAsia="仿宋_GB2312" w:cs="宋体"/>
          <w:bCs/>
          <w:color w:val="auto"/>
          <w:kern w:val="0"/>
          <w:sz w:val="32"/>
          <w:szCs w:val="32"/>
          <w:highlight w:val="none"/>
        </w:rPr>
      </w:pPr>
    </w:p>
    <w:p w14:paraId="139A4EB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inline distT="0" distB="0" distL="114300" distR="114300">
            <wp:extent cx="5267325" cy="4708525"/>
            <wp:effectExtent l="0" t="0" r="9525" b="15875"/>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8"/>
                    <a:stretch>
                      <a:fillRect/>
                    </a:stretch>
                  </pic:blipFill>
                  <pic:spPr>
                    <a:xfrm>
                      <a:off x="0" y="0"/>
                      <a:ext cx="5267325" cy="4708525"/>
                    </a:xfrm>
                    <a:prstGeom prst="rect">
                      <a:avLst/>
                    </a:prstGeom>
                    <a:noFill/>
                    <a:ln>
                      <a:noFill/>
                    </a:ln>
                  </pic:spPr>
                </pic:pic>
              </a:graphicData>
            </a:graphic>
          </wp:inline>
        </w:drawing>
      </w:r>
    </w:p>
    <w:p w14:paraId="2C4C8A4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6365711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9FA4B9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B47495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EDA236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281A24F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6D6F99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28578C2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D8870B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6604ED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E2CCA0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9B82AD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140FA1F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F5F4ED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458FE3D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78FDCA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583FCE44">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《一般公共预算财政拨款支出决算表》</w:t>
      </w:r>
      <w:bookmarkEnd w:id="40"/>
      <w:bookmarkEnd w:id="41"/>
    </w:p>
    <w:p w14:paraId="1EF433F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outlineLvl w:val="1"/>
        <w:rPr>
          <w:rFonts w:hint="eastAsia" w:ascii="黑体" w:hAnsi="黑体" w:eastAsia="仿宋_GB2312" w:cs="宋体"/>
          <w:bCs/>
          <w:color w:val="auto"/>
          <w:kern w:val="0"/>
          <w:sz w:val="32"/>
          <w:szCs w:val="32"/>
          <w:highlight w:val="none"/>
        </w:rPr>
      </w:pPr>
    </w:p>
    <w:p w14:paraId="2F66F1D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inline distT="0" distB="0" distL="114300" distR="114300">
            <wp:extent cx="5270500" cy="3465195"/>
            <wp:effectExtent l="0" t="0" r="6350" b="1905"/>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9"/>
                    <a:stretch>
                      <a:fillRect/>
                    </a:stretch>
                  </pic:blipFill>
                  <pic:spPr>
                    <a:xfrm>
                      <a:off x="0" y="0"/>
                      <a:ext cx="5270500" cy="3465195"/>
                    </a:xfrm>
                    <a:prstGeom prst="rect">
                      <a:avLst/>
                    </a:prstGeom>
                    <a:noFill/>
                    <a:ln>
                      <a:noFill/>
                    </a:ln>
                  </pic:spPr>
                </pic:pic>
              </a:graphicData>
            </a:graphic>
          </wp:inline>
        </w:drawing>
      </w:r>
    </w:p>
    <w:p w14:paraId="2DF43CB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13F819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68496B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72DB0E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62F8E6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69558B2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4A850D7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685B2C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AFCA80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12BD7D5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316C1D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16B43E1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0FD3CA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C5B277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988C1F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6A2E128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4B401E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C9F78B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B60ADC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C70A70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0D3EB4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7B0855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7458E70F">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《一般公共预算财政拨款基本支出决算表》</w:t>
      </w:r>
      <w:bookmarkEnd w:id="42"/>
      <w:bookmarkEnd w:id="43"/>
    </w:p>
    <w:p w14:paraId="36D2099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outlineLvl w:val="1"/>
        <w:rPr>
          <w:rFonts w:hint="eastAsia" w:ascii="黑体" w:hAnsi="黑体" w:eastAsia="仿宋_GB2312" w:cs="宋体"/>
          <w:bCs/>
          <w:color w:val="auto"/>
          <w:kern w:val="0"/>
          <w:sz w:val="32"/>
          <w:szCs w:val="32"/>
          <w:highlight w:val="none"/>
        </w:rPr>
      </w:pPr>
    </w:p>
    <w:p w14:paraId="664D031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inline distT="0" distB="0" distL="114300" distR="114300">
            <wp:extent cx="5271135" cy="4940935"/>
            <wp:effectExtent l="0" t="0" r="5715" b="12065"/>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pic:cNvPicPr>
                      <a:picLocks noChangeAspect="1"/>
                    </pic:cNvPicPr>
                  </pic:nvPicPr>
                  <pic:blipFill>
                    <a:blip r:embed="rId10"/>
                    <a:stretch>
                      <a:fillRect/>
                    </a:stretch>
                  </pic:blipFill>
                  <pic:spPr>
                    <a:xfrm>
                      <a:off x="0" y="0"/>
                      <a:ext cx="5271135" cy="4940935"/>
                    </a:xfrm>
                    <a:prstGeom prst="rect">
                      <a:avLst/>
                    </a:prstGeom>
                    <a:noFill/>
                    <a:ln>
                      <a:noFill/>
                    </a:ln>
                  </pic:spPr>
                </pic:pic>
              </a:graphicData>
            </a:graphic>
          </wp:inline>
        </w:drawing>
      </w:r>
    </w:p>
    <w:p w14:paraId="60B6C63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441DDE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C71AEB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4C14F2E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51D994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2DE0E2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6E80451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4217B73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55F280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15825AF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219C6A6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643E7B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4FBDC3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7A6902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47C76851">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4EBBE5A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inline distT="0" distB="0" distL="114300" distR="114300">
            <wp:extent cx="5266055" cy="2772410"/>
            <wp:effectExtent l="0" t="0" r="10795" b="8890"/>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pic:cNvPicPr>
                      <a:picLocks noChangeAspect="1"/>
                    </pic:cNvPicPr>
                  </pic:nvPicPr>
                  <pic:blipFill>
                    <a:blip r:embed="rId11"/>
                    <a:stretch>
                      <a:fillRect/>
                    </a:stretch>
                  </pic:blipFill>
                  <pic:spPr>
                    <a:xfrm>
                      <a:off x="0" y="0"/>
                      <a:ext cx="5266055" cy="2772410"/>
                    </a:xfrm>
                    <a:prstGeom prst="rect">
                      <a:avLst/>
                    </a:prstGeom>
                    <a:noFill/>
                    <a:ln>
                      <a:noFill/>
                    </a:ln>
                  </pic:spPr>
                </pic:pic>
              </a:graphicData>
            </a:graphic>
          </wp:inline>
        </w:drawing>
      </w:r>
    </w:p>
    <w:p w14:paraId="2F78CCF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5FB6E429">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《政府性基金预算财政拨款收入支出决算表》</w:t>
      </w:r>
      <w:bookmarkEnd w:id="46"/>
      <w:bookmarkEnd w:id="47"/>
    </w:p>
    <w:p w14:paraId="400DA1E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inline distT="0" distB="0" distL="114300" distR="114300">
            <wp:extent cx="5269865" cy="1551940"/>
            <wp:effectExtent l="0" t="0" r="6985" b="10160"/>
            <wp:docPr id="1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pic:cNvPicPr>
                      <a:picLocks noChangeAspect="1"/>
                    </pic:cNvPicPr>
                  </pic:nvPicPr>
                  <pic:blipFill>
                    <a:blip r:embed="rId12"/>
                    <a:stretch>
                      <a:fillRect/>
                    </a:stretch>
                  </pic:blipFill>
                  <pic:spPr>
                    <a:xfrm>
                      <a:off x="0" y="0"/>
                      <a:ext cx="5269865" cy="1551940"/>
                    </a:xfrm>
                    <a:prstGeom prst="rect">
                      <a:avLst/>
                    </a:prstGeom>
                    <a:noFill/>
                    <a:ln>
                      <a:noFill/>
                    </a:ln>
                  </pic:spPr>
                </pic:pic>
              </a:graphicData>
            </a:graphic>
          </wp:inline>
        </w:drawing>
      </w:r>
    </w:p>
    <w:p w14:paraId="4781ED1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2B0174EA">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4156900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ascii="黑体" w:hAnsi="黑体" w:eastAsia="仿宋_GB2312" w:cs="宋体"/>
          <w:bCs/>
          <w:color w:val="auto"/>
          <w:kern w:val="0"/>
          <w:sz w:val="32"/>
          <w:szCs w:val="32"/>
          <w:highlight w:val="none"/>
        </w:rPr>
      </w:pPr>
      <w:r>
        <w:rPr>
          <w:highlight w:val="none"/>
        </w:rPr>
        <w:drawing>
          <wp:inline distT="0" distB="0" distL="114300" distR="114300">
            <wp:extent cx="5271770" cy="1638935"/>
            <wp:effectExtent l="0" t="0" r="5080" b="18415"/>
            <wp:docPr id="2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pic:cNvPicPr>
                      <a:picLocks noChangeAspect="1"/>
                    </pic:cNvPicPr>
                  </pic:nvPicPr>
                  <pic:blipFill>
                    <a:blip r:embed="rId13"/>
                    <a:stretch>
                      <a:fillRect/>
                    </a:stretch>
                  </pic:blipFill>
                  <pic:spPr>
                    <a:xfrm>
                      <a:off x="0" y="0"/>
                      <a:ext cx="5271770" cy="1638935"/>
                    </a:xfrm>
                    <a:prstGeom prst="rect">
                      <a:avLst/>
                    </a:prstGeom>
                    <a:noFill/>
                    <a:ln>
                      <a:noFill/>
                    </a:ln>
                  </pic:spPr>
                </pic:pic>
              </a:graphicData>
            </a:graphic>
          </wp:inline>
        </w:drawing>
      </w:r>
    </w:p>
    <w:p w14:paraId="3B9CF029">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7FE510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AE88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D6765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0BD6765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67549A"/>
    <w:multiLevelType w:val="singleLevel"/>
    <w:tmpl w:val="A967549A"/>
    <w:lvl w:ilvl="0" w:tentative="0">
      <w:start w:val="1"/>
      <w:numFmt w:val="decimal"/>
      <w:lvlText w:val="%1."/>
      <w:lvlJc w:val="left"/>
      <w:pPr>
        <w:tabs>
          <w:tab w:val="left" w:pos="312"/>
        </w:tabs>
      </w:p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abstractNum w:abstractNumId="2">
    <w:nsid w:val="1ED0E0A4"/>
    <w:multiLevelType w:val="singleLevel"/>
    <w:tmpl w:val="1ED0E0A4"/>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4Yzk1M2E5M2IzN2U1MWQ3MjIzMjkxMGE5Y2NjZjQ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9D1589A"/>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DC6E3D"/>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163DB"/>
    <w:rsid w:val="160D1149"/>
    <w:rsid w:val="163563C0"/>
    <w:rsid w:val="164315EF"/>
    <w:rsid w:val="16557DFE"/>
    <w:rsid w:val="167268FB"/>
    <w:rsid w:val="16A13811"/>
    <w:rsid w:val="16D50C50"/>
    <w:rsid w:val="16E120E1"/>
    <w:rsid w:val="17385A05"/>
    <w:rsid w:val="173B3901"/>
    <w:rsid w:val="176747F9"/>
    <w:rsid w:val="17954A6E"/>
    <w:rsid w:val="180059E9"/>
    <w:rsid w:val="184510FD"/>
    <w:rsid w:val="18C469DF"/>
    <w:rsid w:val="190648B0"/>
    <w:rsid w:val="19071D6C"/>
    <w:rsid w:val="198C7660"/>
    <w:rsid w:val="19D26CD4"/>
    <w:rsid w:val="19E60D19"/>
    <w:rsid w:val="1A3E3450"/>
    <w:rsid w:val="1AD807E5"/>
    <w:rsid w:val="1B39345B"/>
    <w:rsid w:val="1BFB2A1F"/>
    <w:rsid w:val="1BFB5351"/>
    <w:rsid w:val="1C015D4A"/>
    <w:rsid w:val="1C290ED5"/>
    <w:rsid w:val="1C317E4F"/>
    <w:rsid w:val="1C472464"/>
    <w:rsid w:val="1D077B8E"/>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D4642D"/>
    <w:rsid w:val="27E777F5"/>
    <w:rsid w:val="27EA1D4C"/>
    <w:rsid w:val="27EA2E41"/>
    <w:rsid w:val="282459E2"/>
    <w:rsid w:val="283A7FE5"/>
    <w:rsid w:val="285F51FF"/>
    <w:rsid w:val="28DF2665"/>
    <w:rsid w:val="29072599"/>
    <w:rsid w:val="291029F3"/>
    <w:rsid w:val="29CB58F0"/>
    <w:rsid w:val="2A053397"/>
    <w:rsid w:val="2A0C1D20"/>
    <w:rsid w:val="2A145E96"/>
    <w:rsid w:val="2AD8736C"/>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09F3D33"/>
    <w:rsid w:val="314029C9"/>
    <w:rsid w:val="31A71CFB"/>
    <w:rsid w:val="31C63837"/>
    <w:rsid w:val="31C82E39"/>
    <w:rsid w:val="32601BAD"/>
    <w:rsid w:val="329F6389"/>
    <w:rsid w:val="3389023A"/>
    <w:rsid w:val="33CB74FA"/>
    <w:rsid w:val="3428414E"/>
    <w:rsid w:val="343642F2"/>
    <w:rsid w:val="343F3010"/>
    <w:rsid w:val="345D0A00"/>
    <w:rsid w:val="34713BFD"/>
    <w:rsid w:val="34C13589"/>
    <w:rsid w:val="35194603"/>
    <w:rsid w:val="353369E3"/>
    <w:rsid w:val="35E00D72"/>
    <w:rsid w:val="36965B9D"/>
    <w:rsid w:val="36C549FD"/>
    <w:rsid w:val="37A755DD"/>
    <w:rsid w:val="37F94FA0"/>
    <w:rsid w:val="380D3381"/>
    <w:rsid w:val="38115B1F"/>
    <w:rsid w:val="385E3AC3"/>
    <w:rsid w:val="387D6B9E"/>
    <w:rsid w:val="389B3114"/>
    <w:rsid w:val="38B75FF0"/>
    <w:rsid w:val="38D45016"/>
    <w:rsid w:val="38D90432"/>
    <w:rsid w:val="3914510A"/>
    <w:rsid w:val="3926770B"/>
    <w:rsid w:val="398D3668"/>
    <w:rsid w:val="39DA0497"/>
    <w:rsid w:val="3A0000A1"/>
    <w:rsid w:val="3A893816"/>
    <w:rsid w:val="3A893B6D"/>
    <w:rsid w:val="3AD1763A"/>
    <w:rsid w:val="3B6716E3"/>
    <w:rsid w:val="3B6C6B2D"/>
    <w:rsid w:val="3C242659"/>
    <w:rsid w:val="3C96719C"/>
    <w:rsid w:val="3CA72BE8"/>
    <w:rsid w:val="3CF37F8C"/>
    <w:rsid w:val="3D137554"/>
    <w:rsid w:val="3D5275AC"/>
    <w:rsid w:val="3D8C18FD"/>
    <w:rsid w:val="3DCC2473"/>
    <w:rsid w:val="3DEB0883"/>
    <w:rsid w:val="3E2527BF"/>
    <w:rsid w:val="3E731662"/>
    <w:rsid w:val="3E8168DD"/>
    <w:rsid w:val="3E987CCF"/>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520B19"/>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03033"/>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2F967A9"/>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6B415B"/>
    <w:rsid w:val="577B4878"/>
    <w:rsid w:val="57926973"/>
    <w:rsid w:val="58175352"/>
    <w:rsid w:val="581F2200"/>
    <w:rsid w:val="583059FA"/>
    <w:rsid w:val="584A0929"/>
    <w:rsid w:val="58825B29"/>
    <w:rsid w:val="58CD2491"/>
    <w:rsid w:val="591B41B2"/>
    <w:rsid w:val="59254A26"/>
    <w:rsid w:val="59326325"/>
    <w:rsid w:val="595C505B"/>
    <w:rsid w:val="595E55C3"/>
    <w:rsid w:val="596E7E20"/>
    <w:rsid w:val="5A60780B"/>
    <w:rsid w:val="5AB34579"/>
    <w:rsid w:val="5AFC6609"/>
    <w:rsid w:val="5B113480"/>
    <w:rsid w:val="5BD456CE"/>
    <w:rsid w:val="5C0D1F49"/>
    <w:rsid w:val="5C5A1297"/>
    <w:rsid w:val="5C6426A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4D0FF2"/>
    <w:rsid w:val="689C6793"/>
    <w:rsid w:val="68DB0208"/>
    <w:rsid w:val="68FB170C"/>
    <w:rsid w:val="69005866"/>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31F9A"/>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AEE2E0C"/>
    <w:rsid w:val="7BF30969"/>
    <w:rsid w:val="7C976D69"/>
    <w:rsid w:val="7CD752DA"/>
    <w:rsid w:val="7CDE40AB"/>
    <w:rsid w:val="7CE17C52"/>
    <w:rsid w:val="7CF057E2"/>
    <w:rsid w:val="7CF138AC"/>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emf"/><Relationship Id="rId12" Type="http://schemas.openxmlformats.org/officeDocument/2006/relationships/image" Target="media/image8.emf"/><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5094</Words>
  <Characters>5685</Characters>
  <Lines>0</Lines>
  <Paragraphs>0</Paragraphs>
  <TotalTime>128</TotalTime>
  <ScaleCrop>false</ScaleCrop>
  <LinksUpToDate>false</LinksUpToDate>
  <CharactersWithSpaces>8991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白旭</cp:lastModifiedBy>
  <dcterms:modified xsi:type="dcterms:W3CDTF">2024-08-27T11:11:36Z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D624B15633CD43C8BF9435464A96BF70</vt:lpwstr>
  </property>
</Properties>
</file>