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F5E" w:rsidRDefault="00EA6F5E">
      <w:pPr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pStyle w:val="a0"/>
      </w:pPr>
    </w:p>
    <w:p w:rsidR="00EA6F5E" w:rsidRDefault="00EA6F5E">
      <w:pPr>
        <w:pStyle w:val="a0"/>
      </w:pPr>
    </w:p>
    <w:p w:rsidR="00EA6F5E" w:rsidRDefault="001A09E8">
      <w:pPr>
        <w:spacing w:line="560" w:lineRule="exact"/>
        <w:jc w:val="center"/>
        <w:rPr>
          <w:rFonts w:ascii="黑体" w:eastAsia="黑体" w:hAnsi="黑体" w:cs="黑体"/>
          <w:b/>
          <w:kern w:val="0"/>
          <w:sz w:val="48"/>
          <w:szCs w:val="48"/>
        </w:rPr>
      </w:pPr>
      <w:r>
        <w:rPr>
          <w:rFonts w:ascii="黑体" w:eastAsia="黑体" w:hAnsi="黑体" w:cs="黑体" w:hint="eastAsia"/>
          <w:b/>
          <w:kern w:val="0"/>
          <w:sz w:val="48"/>
          <w:szCs w:val="48"/>
        </w:rPr>
        <w:t>自治区本级社会保险基金支出</w:t>
      </w:r>
    </w:p>
    <w:p w:rsidR="00EA6F5E" w:rsidRDefault="001A09E8">
      <w:pPr>
        <w:spacing w:line="560" w:lineRule="exact"/>
        <w:jc w:val="center"/>
        <w:rPr>
          <w:rFonts w:ascii="黑体" w:eastAsia="黑体" w:hAnsi="黑体" w:cs="黑体"/>
          <w:b/>
          <w:kern w:val="0"/>
          <w:sz w:val="48"/>
          <w:szCs w:val="48"/>
        </w:rPr>
      </w:pPr>
      <w:r>
        <w:rPr>
          <w:rFonts w:ascii="黑体" w:eastAsia="黑体" w:hAnsi="黑体" w:cs="黑体" w:hint="eastAsia"/>
          <w:b/>
          <w:kern w:val="0"/>
          <w:sz w:val="48"/>
          <w:szCs w:val="48"/>
        </w:rPr>
        <w:t>绩效评价报告</w:t>
      </w:r>
    </w:p>
    <w:p w:rsidR="00EA6F5E" w:rsidRDefault="00EA6F5E">
      <w:pPr>
        <w:spacing w:line="560" w:lineRule="exact"/>
        <w:jc w:val="center"/>
        <w:rPr>
          <w:rFonts w:ascii="黑体" w:eastAsia="黑体" w:hAnsi="黑体" w:cs="黑体"/>
          <w:b/>
          <w:kern w:val="0"/>
          <w:sz w:val="48"/>
          <w:szCs w:val="48"/>
        </w:rPr>
      </w:pPr>
    </w:p>
    <w:p w:rsidR="00EA6F5E" w:rsidRDefault="001A09E8">
      <w:pPr>
        <w:spacing w:line="560" w:lineRule="exact"/>
        <w:jc w:val="center"/>
        <w:rPr>
          <w:rFonts w:ascii="黑体" w:eastAsia="黑体" w:hAnsi="黑体" w:cs="黑体"/>
          <w:b/>
          <w:kern w:val="0"/>
          <w:sz w:val="48"/>
          <w:szCs w:val="48"/>
        </w:rPr>
      </w:pPr>
      <w:r>
        <w:rPr>
          <w:rFonts w:ascii="黑体" w:eastAsia="黑体" w:hAnsi="黑体" w:cs="黑体" w:hint="eastAsia"/>
          <w:b/>
          <w:kern w:val="0"/>
          <w:sz w:val="48"/>
          <w:szCs w:val="48"/>
        </w:rPr>
        <w:t>（</w:t>
      </w:r>
      <w:r>
        <w:rPr>
          <w:rFonts w:ascii="黑体" w:eastAsia="黑体" w:hAnsi="黑体" w:cs="黑体"/>
          <w:b/>
          <w:kern w:val="0"/>
          <w:sz w:val="48"/>
          <w:szCs w:val="48"/>
        </w:rPr>
        <w:t>20</w:t>
      </w:r>
      <w:r>
        <w:rPr>
          <w:rFonts w:ascii="黑体" w:eastAsia="黑体" w:hAnsi="黑体" w:cs="黑体" w:hint="eastAsia"/>
          <w:b/>
          <w:kern w:val="0"/>
          <w:sz w:val="48"/>
          <w:szCs w:val="48"/>
        </w:rPr>
        <w:t>19年度）</w:t>
      </w:r>
    </w:p>
    <w:p w:rsidR="00EA6F5E" w:rsidRDefault="00EA6F5E">
      <w:pPr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EA6F5E">
      <w:pPr>
        <w:spacing w:line="560" w:lineRule="exact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EA6F5E" w:rsidRDefault="001A09E8">
      <w:pPr>
        <w:spacing w:line="560" w:lineRule="exact"/>
        <w:ind w:firstLineChars="200" w:firstLine="600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/>
          <w:bCs/>
          <w:kern w:val="0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项目名称：社会保险基金支出</w:t>
      </w:r>
    </w:p>
    <w:p w:rsidR="00EA6F5E" w:rsidRDefault="00EA6F5E">
      <w:pPr>
        <w:spacing w:line="560" w:lineRule="exact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</w:p>
    <w:p w:rsidR="00EA6F5E" w:rsidRDefault="001A09E8">
      <w:pPr>
        <w:spacing w:line="560" w:lineRule="exact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/>
          <w:bCs/>
          <w:kern w:val="0"/>
          <w:sz w:val="32"/>
          <w:szCs w:val="32"/>
        </w:rPr>
        <w:t xml:space="preserve">     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实施单位（公章）：自治区社会保险管理局</w:t>
      </w:r>
    </w:p>
    <w:p w:rsidR="00EA6F5E" w:rsidRDefault="00EA6F5E">
      <w:pPr>
        <w:spacing w:line="560" w:lineRule="exact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</w:p>
    <w:p w:rsidR="00EA6F5E" w:rsidRDefault="001A09E8">
      <w:pPr>
        <w:spacing w:line="560" w:lineRule="exact"/>
        <w:ind w:firstLineChars="236" w:firstLine="755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负责人（签章）：樊爱银</w:t>
      </w:r>
    </w:p>
    <w:p w:rsidR="00EA6F5E" w:rsidRDefault="00EA6F5E">
      <w:pPr>
        <w:spacing w:line="560" w:lineRule="exact"/>
        <w:ind w:firstLineChars="236" w:firstLine="755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</w:p>
    <w:p w:rsidR="00EA6F5E" w:rsidRDefault="001A09E8">
      <w:pPr>
        <w:spacing w:line="560" w:lineRule="exact"/>
        <w:ind w:firstLineChars="236" w:firstLine="755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填报时间：</w:t>
      </w:r>
      <w:r>
        <w:rPr>
          <w:rFonts w:ascii="黑体" w:eastAsia="黑体" w:hAnsi="黑体" w:cs="黑体"/>
          <w:bCs/>
          <w:kern w:val="0"/>
          <w:sz w:val="32"/>
          <w:szCs w:val="32"/>
        </w:rPr>
        <w:t xml:space="preserve"> 20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20年</w:t>
      </w:r>
      <w:r>
        <w:rPr>
          <w:rFonts w:ascii="黑体" w:eastAsia="黑体" w:hAnsi="黑体" w:cs="黑体"/>
          <w:bCs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1月</w:t>
      </w:r>
      <w:r>
        <w:rPr>
          <w:rFonts w:ascii="黑体" w:eastAsia="黑体" w:hAnsi="黑体" w:cs="黑体"/>
          <w:bCs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21日</w:t>
      </w:r>
    </w:p>
    <w:p w:rsidR="00EA6F5E" w:rsidRDefault="00EA6F5E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</w:p>
    <w:p w:rsidR="00EA6F5E" w:rsidRDefault="00EA6F5E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</w:p>
    <w:p w:rsidR="00EA6F5E" w:rsidRDefault="00EA6F5E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</w:p>
    <w:p w:rsidR="00EA6F5E" w:rsidRDefault="001A09E8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一、社会保险基金收支</w:t>
      </w:r>
      <w:proofErr w:type="gramStart"/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余总体</w:t>
      </w:r>
      <w:proofErr w:type="gramEnd"/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情况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（一）社会保险基金总体情况</w:t>
      </w:r>
    </w:p>
    <w:p w:rsidR="00EA6F5E" w:rsidRDefault="001A09E8">
      <w:pPr>
        <w:tabs>
          <w:tab w:val="left" w:pos="0"/>
        </w:tabs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9年度，在自治区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人社厅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、财政厅的大力支持和共同努力下，自治区本级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 w:rsidR="00EA6F5E" w:rsidRDefault="001A09E8">
      <w:pPr>
        <w:tabs>
          <w:tab w:val="left" w:pos="0"/>
        </w:tabs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9年区本级各项基金总收入262.66亿元（收入小计不含上下级往来），较上年增加5.31亿元，增长2.06</w:t>
      </w:r>
      <w:r>
        <w:rPr>
          <w:rFonts w:ascii="仿宋_GB2312" w:eastAsia="仿宋_GB2312" w:hAnsi="仿宋_GB2312" w:cs="仿宋_GB2312"/>
          <w:bCs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，完成年度预算100.9</w:t>
      </w:r>
      <w:r>
        <w:rPr>
          <w:rFonts w:ascii="仿宋_GB2312" w:eastAsia="仿宋_GB2312" w:hAnsi="仿宋_GB2312" w:cs="仿宋_GB2312"/>
          <w:bCs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。各项基金总支出177.64亿元（支出小计不含上下级往来），较上年增加30.31亿元，增长20.57</w:t>
      </w:r>
      <w:r>
        <w:rPr>
          <w:rFonts w:ascii="仿宋_GB2312" w:eastAsia="仿宋_GB2312" w:hAnsi="仿宋_GB2312" w:cs="仿宋_GB2312"/>
          <w:bCs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，完成年度预算101.4</w:t>
      </w:r>
      <w:r>
        <w:rPr>
          <w:rFonts w:ascii="仿宋_GB2312" w:eastAsia="仿宋_GB2312" w:hAnsi="仿宋_GB2312" w:cs="仿宋_GB2312"/>
          <w:bCs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。基金当期结余60.35亿元，滚存结余868.33亿元。</w:t>
      </w:r>
    </w:p>
    <w:tbl>
      <w:tblPr>
        <w:tblW w:w="84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"/>
        <w:gridCol w:w="1500"/>
        <w:gridCol w:w="988"/>
        <w:gridCol w:w="1162"/>
        <w:gridCol w:w="1100"/>
        <w:gridCol w:w="1113"/>
        <w:gridCol w:w="1612"/>
      </w:tblGrid>
      <w:tr w:rsidR="00EA6F5E">
        <w:trPr>
          <w:trHeight w:val="780"/>
        </w:trPr>
        <w:tc>
          <w:tcPr>
            <w:tcW w:w="8493" w:type="dxa"/>
            <w:gridSpan w:val="7"/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2019年区本级社保基金收支分析表</w:t>
            </w:r>
          </w:p>
        </w:tc>
      </w:tr>
      <w:tr w:rsidR="00EA6F5E">
        <w:trPr>
          <w:trHeight w:val="924"/>
        </w:trPr>
        <w:tc>
          <w:tcPr>
            <w:tcW w:w="25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险种</w:t>
            </w:r>
          </w:p>
        </w:tc>
        <w:tc>
          <w:tcPr>
            <w:tcW w:w="98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企业养老保险</w:t>
            </w:r>
          </w:p>
        </w:tc>
        <w:tc>
          <w:tcPr>
            <w:tcW w:w="116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机关事业养老（改革）</w:t>
            </w:r>
          </w:p>
        </w:tc>
        <w:tc>
          <w:tcPr>
            <w:tcW w:w="110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工伤保险</w:t>
            </w:r>
          </w:p>
        </w:tc>
        <w:tc>
          <w:tcPr>
            <w:tcW w:w="111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失业保险</w:t>
            </w:r>
          </w:p>
        </w:tc>
        <w:tc>
          <w:tcPr>
            <w:tcW w:w="161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合计：</w:t>
            </w:r>
          </w:p>
        </w:tc>
      </w:tr>
      <w:tr w:rsidR="00EA6F5E">
        <w:trPr>
          <w:trHeight w:val="285"/>
        </w:trPr>
        <w:tc>
          <w:tcPr>
            <w:tcW w:w="101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预算</w:t>
            </w: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221.39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36.61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0.51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1.81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260.32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132.16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40.52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0.72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1.78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175.18</w:t>
            </w:r>
          </w:p>
        </w:tc>
      </w:tr>
      <w:tr w:rsidR="00EA6F5E">
        <w:trPr>
          <w:trHeight w:val="285"/>
        </w:trPr>
        <w:tc>
          <w:tcPr>
            <w:tcW w:w="101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2019年</w:t>
            </w: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222.49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37.71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0.53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1.93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262.66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135.18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40.14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0.62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1.7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177.64</w:t>
            </w:r>
          </w:p>
        </w:tc>
      </w:tr>
      <w:tr w:rsidR="00EA6F5E">
        <w:trPr>
          <w:trHeight w:val="285"/>
        </w:trPr>
        <w:tc>
          <w:tcPr>
            <w:tcW w:w="101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2018年</w:t>
            </w: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206.49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48.39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0.69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1.78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257.35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108.4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35.35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0.67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2.91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147.33</w:t>
            </w:r>
          </w:p>
        </w:tc>
      </w:tr>
      <w:tr w:rsidR="00EA6F5E">
        <w:trPr>
          <w:trHeight w:val="285"/>
        </w:trPr>
        <w:tc>
          <w:tcPr>
            <w:tcW w:w="101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收入对比分析</w:t>
            </w: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增长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-10.68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-0.16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0.15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5.31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增幅%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7.75%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-22.07%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-23.19%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8.43%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2.06%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执行预算%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100.50%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103.00%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103.92%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106.63%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100.90%</w:t>
            </w:r>
          </w:p>
        </w:tc>
      </w:tr>
      <w:tr w:rsidR="00EA6F5E">
        <w:trPr>
          <w:trHeight w:val="285"/>
        </w:trPr>
        <w:tc>
          <w:tcPr>
            <w:tcW w:w="101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支出对比分析</w:t>
            </w: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增长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26.78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4.79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-0.05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-1.21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30.31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增幅%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24.70%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13.55%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-7.46%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-41.58%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20.57%</w:t>
            </w:r>
          </w:p>
        </w:tc>
      </w:tr>
      <w:tr w:rsidR="00EA6F5E">
        <w:trPr>
          <w:trHeight w:val="285"/>
        </w:trPr>
        <w:tc>
          <w:tcPr>
            <w:tcW w:w="101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EA6F5E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执行预算%</w:t>
            </w:r>
          </w:p>
        </w:tc>
        <w:tc>
          <w:tcPr>
            <w:tcW w:w="988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102.29%</w:t>
            </w:r>
          </w:p>
        </w:tc>
        <w:tc>
          <w:tcPr>
            <w:tcW w:w="116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99.06%</w:t>
            </w:r>
          </w:p>
        </w:tc>
        <w:tc>
          <w:tcPr>
            <w:tcW w:w="110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86.11%</w:t>
            </w:r>
          </w:p>
        </w:tc>
        <w:tc>
          <w:tcPr>
            <w:tcW w:w="1113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95.51%</w:t>
            </w:r>
          </w:p>
        </w:tc>
        <w:tc>
          <w:tcPr>
            <w:tcW w:w="161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6F5E" w:rsidRDefault="001A09E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101.40%</w:t>
            </w:r>
          </w:p>
        </w:tc>
      </w:tr>
    </w:tbl>
    <w:p w:rsidR="00EA6F5E" w:rsidRDefault="00EA6F5E">
      <w:pPr>
        <w:pStyle w:val="a0"/>
      </w:pP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（二）社会保险基金支出预算绩效目标设定情况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（包括基金支出预算目标及阶段性目标；项目用途和主要内容、涉及对象及人数范围等）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9年预算区本级企业养老保险基金总支出120.86亿元</w:t>
      </w:r>
      <w:r>
        <w:rPr>
          <w:rFonts w:ascii="仿宋_GB2312" w:eastAsia="仿宋_GB2312" w:hAnsi="仿宋_GB2312" w:cs="仿宋_GB2312"/>
          <w:bCs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其中：基本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养老金支出114.69亿元，抚恤金待遇5.07亿元。全年保障自治区本级21.65万名离退休人员的基本养老金待遇发放，保障0.47万名死亡人员的丧葬抚恤金待遇发放。全年预算支出执行目标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以上，自治区本级承诺在每月１８日前按时足额发放养老金，首次待遇发放准确率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9年预算区本级机关事业养老保险（改革）基金总支出40.52亿元</w:t>
      </w:r>
      <w:r>
        <w:rPr>
          <w:rFonts w:ascii="仿宋_GB2312" w:eastAsia="仿宋_GB2312" w:hAnsi="仿宋_GB2312" w:cs="仿宋_GB2312"/>
          <w:bCs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其中：基本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养老金待遇支出40.52亿元</w:t>
      </w:r>
      <w:r>
        <w:rPr>
          <w:rFonts w:ascii="仿宋_GB2312" w:eastAsia="仿宋_GB2312" w:hAnsi="仿宋_GB2312" w:cs="仿宋_GB2312"/>
          <w:bCs/>
          <w:sz w:val="30"/>
          <w:szCs w:val="30"/>
        </w:rPr>
        <w:t>.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全年保障离退休人员5.68万人的基本养老金待遇发放。全年预算支出执行目标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以上，自治区本级承诺在每月１８日前按时足额发放养老金，首次待遇发放准确率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2018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年预算区本级工伤保险基金总支出0.72亿元</w:t>
      </w:r>
      <w:r>
        <w:rPr>
          <w:rFonts w:ascii="仿宋_GB2312" w:eastAsia="仿宋_GB2312" w:hAnsi="仿宋_GB2312" w:cs="仿宋_GB2312"/>
          <w:bCs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其中工伤保险待遇支出0.70亿元。保障12.51万名参保职工的工伤医疗报销、工伤致残及工亡待遇问题，全年工伤保险定期待遇享受人数</w:t>
      </w:r>
      <w:r>
        <w:rPr>
          <w:rFonts w:ascii="仿宋_GB2312" w:eastAsia="仿宋_GB2312" w:hAnsi="仿宋_GB2312" w:cs="仿宋_GB2312"/>
          <w:bCs/>
          <w:sz w:val="30"/>
          <w:szCs w:val="30"/>
        </w:rPr>
        <w:t>2997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人。全年预算支出执行目标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以上，自治区本级承诺在业务申报</w:t>
      </w:r>
      <w:r>
        <w:rPr>
          <w:rFonts w:ascii="仿宋_GB2312" w:eastAsia="仿宋_GB2312" w:hAnsi="仿宋_GB2312" w:cs="仿宋_GB2312"/>
          <w:bCs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个工作日内（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含业务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审核、财务拨付）将申报资金拨付至各定点医疗机构及参保单位，首次拨款准确率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9年预算区本级失业保险基金总支出1.78亿元（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含稳岗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补贴支出1.42亿元</w:t>
      </w:r>
      <w:r>
        <w:rPr>
          <w:rFonts w:ascii="仿宋_GB2312" w:eastAsia="仿宋_GB2312" w:hAnsi="仿宋_GB2312" w:cs="仿宋_GB2312"/>
          <w:bCs/>
          <w:kern w:val="0"/>
          <w:sz w:val="30"/>
          <w:szCs w:val="30"/>
        </w:rPr>
        <w:t>,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失业保险待遇支出0.03亿元），预算保障13.67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lastRenderedPageBreak/>
        <w:t>万名参保职工的失业保险待遇问题。全年领取失业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金人数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139人。全年代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失业人员医疗保险费1592人次。全年享受技能补贴1.9万人。全年预算支出执行目标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以上，自治区本级承诺在每月１８日前按时足额发放各项待遇，首次发放准确率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二、各项社会保险基金预算完成及运行情况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（一）企业职工基本养老保险基金预算完成及运行情况分析</w:t>
      </w:r>
    </w:p>
    <w:p w:rsidR="00EA6F5E" w:rsidRDefault="001A09E8">
      <w:pPr>
        <w:ind w:firstLineChars="200" w:firstLine="600"/>
        <w:rPr>
          <w:rFonts w:ascii="仿宋_GB2312" w:eastAsia="仿宋_GB2312" w:hAnsi="仿宋_GB2312"/>
          <w:bCs/>
          <w:sz w:val="30"/>
          <w:szCs w:val="30"/>
        </w:rPr>
      </w:pPr>
      <w:r>
        <w:rPr>
          <w:rFonts w:ascii="仿宋_GB2312" w:eastAsia="仿宋_GB2312" w:hAnsi="仿宋_GB2312" w:hint="eastAsia"/>
          <w:bCs/>
          <w:sz w:val="30"/>
          <w:szCs w:val="30"/>
        </w:rPr>
        <w:t>2019年度，自治区本级企业养老保险基金总收入298.79亿元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，其中：保费收入105.42亿元，利息收入10.99亿元，委托投资收益6.55亿元，财政补贴收入90.9亿元，其他收入0.03亿元，转移收入8.61亿元，下级上解收入11亿元，中央调剂金补助收入65.3亿元。基金</w:t>
      </w:r>
      <w:r>
        <w:rPr>
          <w:rFonts w:ascii="仿宋_GB2312" w:eastAsia="仿宋_GB2312" w:hAnsi="仿宋_GB2312" w:hint="eastAsia"/>
          <w:bCs/>
          <w:sz w:val="30"/>
          <w:szCs w:val="30"/>
        </w:rPr>
        <w:t>总支出238.69亿元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,其中：基本养老金支出11.88亿元，丧葬抚恤金支出5.7亿元，转移支出10.72亿元，补助下级支出39.51亿元，上解中央调剂金支出64亿元。基金</w:t>
      </w:r>
      <w:r>
        <w:rPr>
          <w:rFonts w:ascii="仿宋_GB2312" w:eastAsia="仿宋_GB2312" w:hAnsi="仿宋_GB2312" w:hint="eastAsia"/>
          <w:bCs/>
          <w:sz w:val="30"/>
          <w:szCs w:val="30"/>
        </w:rPr>
        <w:t>当期结余60.09亿元，累计结余842.52亿元。</w:t>
      </w:r>
    </w:p>
    <w:p w:rsidR="00EA6F5E" w:rsidRDefault="001A09E8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2019年度养老保险费收入105.41亿元，与去年同期相比增加4.21亿元，增加4.2%,完成全年预算的102.4%；养老金待遇支出118.75亿元，与去年同期相比增加11.57亿元，增长10.8%，完成全年预算的103.5%。</w:t>
      </w:r>
    </w:p>
    <w:p w:rsidR="00EA6F5E" w:rsidRDefault="001A09E8">
      <w:pPr>
        <w:spacing w:line="560" w:lineRule="exact"/>
        <w:ind w:firstLine="567"/>
        <w:jc w:val="left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（二）机关事业单位养老保险基金预算完成及运行情况分析</w:t>
      </w:r>
    </w:p>
    <w:p w:rsidR="00EA6F5E" w:rsidRDefault="001A09E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2019年度</w:t>
      </w:r>
      <w:r>
        <w:rPr>
          <w:rFonts w:ascii="仿宋_GB2312" w:eastAsia="仿宋_GB2312" w:hAnsi="宋体" w:hint="eastAsia"/>
          <w:sz w:val="30"/>
          <w:szCs w:val="30"/>
        </w:rPr>
        <w:t>机关事业单位</w:t>
      </w:r>
      <w:r>
        <w:rPr>
          <w:rFonts w:ascii="仿宋_GB2312" w:eastAsia="仿宋_GB2312" w:hint="eastAsia"/>
          <w:sz w:val="30"/>
          <w:szCs w:val="30"/>
        </w:rPr>
        <w:t>养老保险基金收入37.71亿元，其中：保费收入17.14亿元、利息收入0.1亿元、财政补助收入19.77亿元，其他收入0.01亿元，转移收入0.69亿元。基金总支出40.14</w:t>
      </w:r>
      <w:r>
        <w:rPr>
          <w:rFonts w:ascii="仿宋_GB2312" w:eastAsia="仿宋_GB2312" w:hint="eastAsia"/>
          <w:sz w:val="30"/>
          <w:szCs w:val="30"/>
        </w:rPr>
        <w:lastRenderedPageBreak/>
        <w:t>亿元，其中：基本养老金支出39.97亿元，转移支出10.17亿元。基金当期结余-2.43亿元，滚存结余5.45亿元。</w:t>
      </w:r>
    </w:p>
    <w:p w:rsidR="00EA6F5E" w:rsidRDefault="001A09E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2019年机关事业单位养老保险（改革）基金保费收入17.14亿元，较上年增加0.05亿元，增长0.3%，完成年度预算的101.9%。其中：当期征缴收入16.75亿元，较上年减少0.35亿元，减少2%，完成年度预算的99.5%，清算补缴收入0.39亿元。</w:t>
      </w:r>
    </w:p>
    <w:p w:rsidR="00EA6F5E" w:rsidRDefault="001A09E8">
      <w:pPr>
        <w:spacing w:line="56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2019年机关事业单位养老保险（改革）基金待遇支出39.97亿元，较上年增加4.63亿元，增长13.1%，完成年度预算的98.6%。   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（三）工伤保险基金预算完成及运行情况分析</w:t>
      </w:r>
    </w:p>
    <w:p w:rsidR="00EA6F5E" w:rsidRDefault="001A09E8">
      <w:pPr>
        <w:spacing w:line="360" w:lineRule="auto"/>
        <w:ind w:firstLineChars="168" w:firstLine="504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2019年度，</w:t>
      </w:r>
      <w:r>
        <w:rPr>
          <w:rFonts w:ascii="仿宋_GB2312" w:eastAsia="仿宋_GB2312" w:hAnsi="宋体" w:hint="eastAsia"/>
          <w:sz w:val="30"/>
          <w:szCs w:val="30"/>
        </w:rPr>
        <w:t>区本级</w:t>
      </w:r>
      <w:r>
        <w:rPr>
          <w:rFonts w:ascii="仿宋_GB2312" w:eastAsia="仿宋_GB2312" w:hAnsi="宋体" w:hint="eastAsia"/>
          <w:bCs/>
          <w:sz w:val="30"/>
          <w:szCs w:val="30"/>
        </w:rPr>
        <w:t>工伤保险基金总收入0.87亿元，较上年增加0.18亿元，增长26.094%，完成年度预算的170.59%。</w:t>
      </w:r>
      <w:r>
        <w:rPr>
          <w:rFonts w:ascii="仿宋_GB2312" w:eastAsia="仿宋_GB2312" w:hAnsi="宋体" w:hint="eastAsia"/>
          <w:sz w:val="30"/>
          <w:szCs w:val="30"/>
        </w:rPr>
        <w:t>其中：保费收入0.51亿元，较上年减少0.16亿元，减少23.9%，完成年度预算的102%；利息收入0.02亿元，下级上解调剂金0.34亿元（2019年工伤保险基金实行省级调剂金制度）。</w:t>
      </w:r>
    </w:p>
    <w:p w:rsidR="00EA6F5E" w:rsidRDefault="001A09E8">
      <w:pPr>
        <w:spacing w:line="360" w:lineRule="auto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基金</w:t>
      </w:r>
      <w:r>
        <w:rPr>
          <w:rFonts w:ascii="仿宋_GB2312" w:eastAsia="仿宋_GB2312" w:hAnsi="宋体" w:hint="eastAsia"/>
          <w:spacing w:val="-20"/>
          <w:sz w:val="30"/>
          <w:szCs w:val="30"/>
        </w:rPr>
        <w:t>总支出0.62亿元 ，</w:t>
      </w:r>
      <w:r>
        <w:rPr>
          <w:rFonts w:ascii="仿宋_GB2312" w:eastAsia="仿宋_GB2312" w:hAnsi="宋体" w:hint="eastAsia"/>
          <w:sz w:val="30"/>
          <w:szCs w:val="30"/>
        </w:rPr>
        <w:t>较上年减少0.05亿元，减少7.5%，完成年度预算的86.1%。</w:t>
      </w:r>
    </w:p>
    <w:p w:rsidR="00EA6F5E" w:rsidRDefault="001A09E8">
      <w:pPr>
        <w:pStyle w:val="a0"/>
        <w:jc w:val="left"/>
        <w:rPr>
          <w:b w:val="0"/>
          <w:bCs w:val="0"/>
        </w:rPr>
      </w:pPr>
      <w:r>
        <w:rPr>
          <w:rFonts w:ascii="仿宋_GB2312" w:eastAsia="仿宋_GB2312" w:hAnsi="宋体" w:hint="eastAsia"/>
          <w:b w:val="0"/>
          <w:bCs w:val="0"/>
          <w:sz w:val="30"/>
          <w:szCs w:val="30"/>
        </w:rPr>
        <w:t xml:space="preserve">    基金当期结余0.25亿元，累计结余2.32亿元（剔除省级调剂金0.34亿元，基金当期-0.09亿元，累计结余1.98亿元）。</w:t>
      </w:r>
    </w:p>
    <w:p w:rsidR="00EA6F5E" w:rsidRDefault="001A09E8">
      <w:pPr>
        <w:spacing w:line="560" w:lineRule="exact"/>
        <w:ind w:firstLine="567"/>
        <w:jc w:val="left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（四）失业保险基金预算完成及运行情况分析</w:t>
      </w:r>
    </w:p>
    <w:p w:rsidR="00EA6F5E" w:rsidRDefault="001A09E8">
      <w:pPr>
        <w:spacing w:line="360" w:lineRule="auto"/>
        <w:ind w:firstLineChars="168" w:firstLine="504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2019年度，</w:t>
      </w:r>
      <w:r>
        <w:rPr>
          <w:rFonts w:ascii="仿宋_GB2312" w:eastAsia="仿宋_GB2312" w:hAnsi="宋体" w:hint="eastAsia"/>
          <w:sz w:val="30"/>
          <w:szCs w:val="30"/>
        </w:rPr>
        <w:t>区本级</w:t>
      </w:r>
      <w:r>
        <w:rPr>
          <w:rFonts w:ascii="仿宋_GB2312" w:eastAsia="仿宋_GB2312" w:hAnsi="宋体" w:hint="eastAsia"/>
          <w:bCs/>
          <w:sz w:val="30"/>
          <w:szCs w:val="30"/>
        </w:rPr>
        <w:t>失业保险基金总收入4.27亿元，其中：</w:t>
      </w:r>
      <w:r>
        <w:rPr>
          <w:rFonts w:ascii="仿宋_GB2312" w:eastAsia="仿宋_GB2312" w:hAnsi="宋体" w:hint="eastAsia"/>
          <w:sz w:val="30"/>
          <w:szCs w:val="30"/>
        </w:rPr>
        <w:t>保费收入1.88亿元，较上年增加0.16亿元，增长9.3%，完成年度预算1.75亿元的107.4%；利息收入0.05亿元，下级上解失业调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剂金2.32亿元。基金</w:t>
      </w:r>
      <w:r>
        <w:rPr>
          <w:rFonts w:ascii="仿宋_GB2312" w:eastAsia="仿宋_GB2312" w:hAnsi="宋体" w:hint="eastAsia"/>
          <w:spacing w:val="-20"/>
          <w:sz w:val="30"/>
          <w:szCs w:val="30"/>
        </w:rPr>
        <w:t>总支出1.83亿元，</w:t>
      </w:r>
      <w:r>
        <w:rPr>
          <w:rFonts w:ascii="仿宋_GB2312" w:eastAsia="仿宋_GB2312" w:hAnsi="宋体" w:hint="eastAsia"/>
          <w:sz w:val="30"/>
          <w:szCs w:val="30"/>
        </w:rPr>
        <w:t>较上年减少1.33亿元，减少42.09%，完成年度预算的86.73%，其中：失业保险待遇支出0.02亿元、技能提升补贴支出0.005亿元、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稳岗补贴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支出1.65亿元。基金当期结余2.44亿元，累计结余17.83亿元。</w:t>
      </w:r>
    </w:p>
    <w:p w:rsidR="00EA6F5E" w:rsidRDefault="001A09E8">
      <w:pPr>
        <w:numPr>
          <w:ilvl w:val="0"/>
          <w:numId w:val="1"/>
        </w:num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各项社会保险基金支出组织实施情况和绩效管理情况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（一）社会保险管理情况分析</w:t>
      </w:r>
    </w:p>
    <w:p w:rsidR="00EA6F5E" w:rsidRDefault="001A09E8">
      <w:pPr>
        <w:spacing w:line="560" w:lineRule="exact"/>
        <w:ind w:firstLineChars="200" w:firstLine="600"/>
        <w:jc w:val="left"/>
        <w:rPr>
          <w:rFonts w:ascii="仿宋_GB2312" w:eastAsia="仿宋_GB2312" w:hAnsi="仿宋_GB2312" w:cs="仿宋_GB2312"/>
          <w:bCs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企业养老保险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  <w:shd w:val="clear" w:color="auto" w:fill="FFFFFF"/>
        </w:rPr>
        <w:t>进一步完善基本养老保险省级统筹制度，规范企业职工基本养老保险缴费政策，通过规范一次性补费、灵活就业人员缴费比例、农牧企业职工缴费基数等政策。</w:t>
      </w:r>
      <w:r>
        <w:rPr>
          <w:rFonts w:ascii="仿宋_GB2312" w:eastAsia="仿宋_GB2312" w:hAnsi="仿宋_GB2312" w:cs="仿宋_GB2312"/>
          <w:bCs/>
          <w:color w:val="000000"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9年是自</w:t>
      </w:r>
      <w:r>
        <w:rPr>
          <w:rFonts w:ascii="仿宋_GB2312" w:eastAsia="仿宋_GB2312" w:hAnsi="仿宋_GB2312" w:cs="仿宋_GB2312"/>
          <w:bCs/>
          <w:color w:val="000000"/>
          <w:sz w:val="30"/>
          <w:szCs w:val="30"/>
        </w:rPr>
        <w:t>2005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年以来，连续第</w:t>
      </w:r>
      <w:r>
        <w:rPr>
          <w:rFonts w:ascii="仿宋_GB2312" w:eastAsia="仿宋_GB2312" w:hAnsi="仿宋_GB2312" w:cs="仿宋_GB2312"/>
          <w:bCs/>
          <w:color w:val="00000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5年调整企业退休人员养老金，也是机关事业养老保险制度改革后，连续4年同步调整机关事业单位退休人员养老金待遇。</w:t>
      </w:r>
    </w:p>
    <w:p w:rsidR="00EA6F5E" w:rsidRDefault="001A09E8">
      <w:pPr>
        <w:spacing w:line="560" w:lineRule="exact"/>
        <w:ind w:firstLineChars="200" w:firstLine="600"/>
        <w:jc w:val="left"/>
        <w:rPr>
          <w:rFonts w:ascii="仿宋_GB2312" w:eastAsia="仿宋_GB2312" w:hAnsi="仿宋_GB2312" w:cs="仿宋_GB2312"/>
          <w:bCs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失业保险基金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实施“展翅行动”，助力企业参保职工提升技能，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确保符合条件的参保职工享受技能提升补贴，放宽参保职工技能提升补贴申领条件，将技能提升补贴政策落实到位。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继续实施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援企稳岗政策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，对符合条件的所有企业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发放稳岗补贴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，支持实体经济平稳健康发展。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pacing w:val="-4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工伤保险适时调整了工伤保险待遇。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按照人社部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要求，我区初步建立了与经济发展水平、职工平均工资与生活费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用变化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及社保待遇相适应的工伤保险待遇形成和调整机制，与自治区财政拟定了《关于</w:t>
      </w: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9年调整工伤（亡）职工工伤保险待遇的方案》。同时对工伤事故发生率高的单位进行约谈警示，定期召开情况通报会，充分运用浮动费率的有效平衡，努力实现工伤保险基金收支平衡。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lastRenderedPageBreak/>
        <w:t>（二）绩效目标完成情况分析</w:t>
      </w:r>
    </w:p>
    <w:p w:rsidR="00EA6F5E" w:rsidRDefault="001A09E8">
      <w:pPr>
        <w:spacing w:line="560" w:lineRule="exact"/>
        <w:ind w:firstLineChars="200" w:firstLine="584"/>
        <w:rPr>
          <w:rFonts w:ascii="仿宋_GB2312" w:eastAsia="仿宋_GB2312" w:hAnsi="仿宋_GB2312" w:cs="仿宋_GB2312"/>
          <w:bCs/>
          <w:spacing w:val="-4"/>
          <w:sz w:val="30"/>
          <w:szCs w:val="30"/>
        </w:rPr>
      </w:pP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9年区本级各项社会保险基金支出281.28亿元，其中：待遇支出160.22亿元，较上年增加16.47亿元，增长11.5</w:t>
      </w: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，完成年度支出预算279.02亿元的100.81</w:t>
      </w: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。</w:t>
      </w: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9年全年自治区本级没有因为参保职工待遇问题引起上访等社会问题，群众上访率为</w:t>
      </w: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0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。各项社会保险待遇也在规定时限内报销或足额领取待遇，社会满意度</w:t>
      </w:r>
      <w:r>
        <w:rPr>
          <w:rFonts w:ascii="仿宋_GB2312" w:eastAsia="仿宋_GB2312" w:hAnsi="仿宋_GB2312" w:cs="仿宋_GB2312"/>
          <w:bCs/>
          <w:spacing w:val="-4"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以上，圆满保障了退休人员的晚年生活和在职参保人员的就医、生育、工伤、失业等切身利益问题。坚定维护了新疆社会稳定和长治久安。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  <w:t>1</w:t>
      </w: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、企业职工基本养老保险基金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基金</w:t>
      </w:r>
      <w:r>
        <w:rPr>
          <w:rFonts w:ascii="仿宋_GB2312" w:eastAsia="仿宋_GB2312" w:hAnsi="仿宋_GB2312" w:hint="eastAsia"/>
          <w:bCs/>
          <w:sz w:val="30"/>
          <w:szCs w:val="30"/>
        </w:rPr>
        <w:t>总支出238.69亿元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,其中：基本养老金支出118.75亿元，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与去年同期相比增加11.57亿元，增长10</w:t>
      </w:r>
      <w:r>
        <w:rPr>
          <w:rFonts w:ascii="仿宋_GB2312" w:eastAsia="仿宋_GB2312" w:hAnsi="仿宋_GB2312" w:cs="仿宋_GB2312"/>
          <w:bCs/>
          <w:sz w:val="30"/>
          <w:szCs w:val="30"/>
        </w:rPr>
        <w:t>.8%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，完成全年预算114.7亿元的102.4</w:t>
      </w:r>
      <w:r>
        <w:rPr>
          <w:rFonts w:ascii="仿宋_GB2312" w:eastAsia="仿宋_GB2312" w:hAnsi="仿宋_GB2312" w:cs="仿宋_GB2312"/>
          <w:bCs/>
          <w:sz w:val="30"/>
          <w:szCs w:val="30"/>
        </w:rPr>
        <w:t>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。每月１８日前按时足额发放养老金，首次待遇发放准确率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全年保障离退休人员21.2万人的基本养老金发放118.75亿元，保障7266名死亡人员丧葬抚恤金5.7亿元。转移基本养老金支出10.72亿元（含跨省转移3769人3.42亿元，跨险种转入机关事业单位养老保险7.3亿元）。</w:t>
      </w:r>
      <w:r>
        <w:rPr>
          <w:rFonts w:ascii="仿宋_GB2312" w:eastAsia="仿宋_GB2312" w:hint="eastAsia"/>
          <w:sz w:val="30"/>
          <w:szCs w:val="30"/>
        </w:rPr>
        <w:t>2019年全年区本级</w:t>
      </w:r>
      <w:r>
        <w:rPr>
          <w:rFonts w:ascii="仿宋_GB2312" w:eastAsia="仿宋_GB2312" w:hAnsi="仿宋_GB2312" w:hint="eastAsia"/>
          <w:bCs/>
          <w:sz w:val="30"/>
          <w:szCs w:val="30"/>
        </w:rPr>
        <w:t>离退休人员21.27万人，较上年20.79万人增加0.48万人，增长2.3%。由此一项</w:t>
      </w:r>
      <w:r>
        <w:rPr>
          <w:rFonts w:ascii="仿宋_GB2312" w:eastAsia="仿宋_GB2312" w:hint="eastAsia"/>
          <w:sz w:val="30"/>
          <w:szCs w:val="30"/>
        </w:rPr>
        <w:t>全年增加基本养老金支出3.35亿元。继续调整提高退休人员养老金水平，区本级人均月增加养老金236元，调整幅度5.5%，全年</w:t>
      </w:r>
      <w:r>
        <w:rPr>
          <w:rFonts w:ascii="仿宋_GB2312" w:eastAsia="仿宋_GB2312" w:hAnsi="宋体" w:hint="eastAsia"/>
          <w:sz w:val="30"/>
          <w:szCs w:val="30"/>
        </w:rPr>
        <w:t>增加基金支出5.89亿元</w:t>
      </w:r>
      <w:r>
        <w:rPr>
          <w:rFonts w:ascii="仿宋_GB2312" w:eastAsia="仿宋_GB2312" w:hint="eastAsia"/>
          <w:sz w:val="30"/>
          <w:szCs w:val="30"/>
        </w:rPr>
        <w:t xml:space="preserve">。 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  <w:t>2</w:t>
      </w: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、机关事业单位养老保险基金</w:t>
      </w:r>
    </w:p>
    <w:p w:rsidR="00EA6F5E" w:rsidRDefault="001A09E8">
      <w:pPr>
        <w:spacing w:line="36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2019年机关事业单位养老保险（改革）基金待遇支出39.97亿</w:t>
      </w:r>
      <w:r>
        <w:rPr>
          <w:rFonts w:ascii="仿宋_GB2312" w:eastAsia="仿宋_GB2312" w:hint="eastAsia"/>
          <w:sz w:val="30"/>
          <w:szCs w:val="30"/>
        </w:rPr>
        <w:lastRenderedPageBreak/>
        <w:t>元，较上年增加4.63亿元，增长13.1%，完成年度预算的98.6%。</w:t>
      </w:r>
    </w:p>
    <w:p w:rsidR="00EA6F5E" w:rsidRDefault="001A09E8">
      <w:pPr>
        <w:spacing w:line="560" w:lineRule="exact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每月１８日前按时足额发放养老金，首次待遇发放准确率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2019年机关事业单位养老保险</w:t>
      </w:r>
      <w:r>
        <w:rPr>
          <w:rFonts w:ascii="仿宋_GB2312" w:eastAsia="仿宋_GB2312" w:hAnsi="仿宋_GB2312" w:hint="eastAsia"/>
          <w:bCs/>
          <w:sz w:val="30"/>
          <w:szCs w:val="30"/>
        </w:rPr>
        <w:t>离退休人员5.56万人较上年</w:t>
      </w:r>
      <w:r>
        <w:rPr>
          <w:rFonts w:ascii="仿宋_GB2312" w:eastAsia="仿宋_GB2312" w:hAnsi="仿宋_GB2312"/>
          <w:bCs/>
          <w:sz w:val="30"/>
          <w:szCs w:val="30"/>
        </w:rPr>
        <w:t>5</w:t>
      </w:r>
      <w:r>
        <w:rPr>
          <w:rFonts w:ascii="仿宋_GB2312" w:eastAsia="仿宋_GB2312" w:hAnsi="仿宋_GB2312" w:hint="eastAsia"/>
          <w:bCs/>
          <w:sz w:val="30"/>
          <w:szCs w:val="30"/>
        </w:rPr>
        <w:t>.20万人增加0.36人，增长6.92%，</w:t>
      </w:r>
      <w:r>
        <w:rPr>
          <w:rFonts w:ascii="仿宋_GB2312" w:eastAsia="仿宋_GB2312" w:hint="eastAsia"/>
          <w:sz w:val="30"/>
          <w:szCs w:val="30"/>
        </w:rPr>
        <w:t>全年增加基本养老金支出2.81亿元。继续调整提高退休人员养老金水平，区本级人均月增加养老金193元，调整幅度4%，全年</w:t>
      </w:r>
      <w:r>
        <w:rPr>
          <w:rFonts w:ascii="仿宋_GB2312" w:eastAsia="仿宋_GB2312" w:hAnsi="宋体" w:hint="eastAsia"/>
          <w:sz w:val="30"/>
          <w:szCs w:val="30"/>
        </w:rPr>
        <w:t>增加基金支出1.56亿元</w:t>
      </w:r>
      <w:r>
        <w:rPr>
          <w:rFonts w:ascii="仿宋_GB2312" w:eastAsia="仿宋_GB2312" w:hint="eastAsia"/>
          <w:sz w:val="30"/>
          <w:szCs w:val="30"/>
        </w:rPr>
        <w:t xml:space="preserve">。 </w:t>
      </w:r>
    </w:p>
    <w:p w:rsidR="00EA6F5E" w:rsidRDefault="001A09E8">
      <w:pPr>
        <w:spacing w:line="560" w:lineRule="exact"/>
        <w:ind w:firstLineChars="200" w:firstLine="584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3、工伤保险基金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基金</w:t>
      </w:r>
      <w:r>
        <w:rPr>
          <w:rFonts w:ascii="仿宋_GB2312" w:eastAsia="仿宋_GB2312" w:hAnsi="宋体" w:hint="eastAsia"/>
          <w:spacing w:val="-20"/>
          <w:sz w:val="30"/>
          <w:szCs w:val="30"/>
        </w:rPr>
        <w:t>总支出0.62亿元 ，</w:t>
      </w:r>
      <w:r>
        <w:rPr>
          <w:rFonts w:ascii="仿宋_GB2312" w:eastAsia="仿宋_GB2312" w:hAnsi="宋体" w:hint="eastAsia"/>
          <w:sz w:val="30"/>
          <w:szCs w:val="30"/>
        </w:rPr>
        <w:t>较上年减少0.05亿元，减少7.5%，完成年度预算的86.1%。（未完成年度预算的主要因素为：2019年度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预算工亡人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数37人，实际2019年工亡人数23人，未达到预算数14人，属于不可控因素。只此一项工亡待遇减少基金支出0.11亿元。）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有效保障了12.62万名参保职工的工伤医疗报销、工伤致残及工亡待遇问题，全年工伤保险待遇享受人数2204人。所有费用结算业务申报</w:t>
      </w:r>
      <w:r>
        <w:rPr>
          <w:rFonts w:ascii="仿宋_GB2312" w:eastAsia="仿宋_GB2312" w:hAnsi="仿宋_GB2312" w:cs="仿宋_GB2312"/>
          <w:bCs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个工作日内（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含业务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审核、财务拨付）将申报资金拨付至各定点医疗机构及参保单位，首次拨款准确率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4、失业保险基金</w:t>
      </w:r>
    </w:p>
    <w:p w:rsidR="00EA6F5E" w:rsidRDefault="001A09E8">
      <w:pPr>
        <w:spacing w:line="360" w:lineRule="auto"/>
        <w:ind w:firstLineChars="168" w:firstLine="504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/>
          <w:bCs/>
          <w:sz w:val="30"/>
          <w:szCs w:val="30"/>
        </w:rPr>
        <w:t>201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9年区本级失业保险</w:t>
      </w:r>
      <w:r>
        <w:rPr>
          <w:rFonts w:ascii="仿宋_GB2312" w:eastAsia="仿宋_GB2312" w:hAnsi="宋体" w:hint="eastAsia"/>
          <w:sz w:val="30"/>
          <w:szCs w:val="30"/>
        </w:rPr>
        <w:t>基金</w:t>
      </w:r>
      <w:r>
        <w:rPr>
          <w:rFonts w:ascii="仿宋_GB2312" w:eastAsia="仿宋_GB2312" w:hAnsi="宋体" w:hint="eastAsia"/>
          <w:spacing w:val="-20"/>
          <w:sz w:val="30"/>
          <w:szCs w:val="30"/>
        </w:rPr>
        <w:t>总支出1.83亿元，</w:t>
      </w:r>
      <w:r>
        <w:rPr>
          <w:rFonts w:ascii="仿宋_GB2312" w:eastAsia="仿宋_GB2312" w:hAnsi="宋体" w:hint="eastAsia"/>
          <w:sz w:val="30"/>
          <w:szCs w:val="30"/>
        </w:rPr>
        <w:t>较上年减少1.33亿元，减少42.09%，完成年度预算的86.73%，其中：失业保险待遇支出0.02亿元、技能提升补贴支出0.005亿元、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稳岗补贴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支出1.65亿元。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有效保障了13.62万名参保职工的失业保险待遇问题。全年领取失业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金人数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169人</w:t>
      </w:r>
      <w:r>
        <w:rPr>
          <w:rFonts w:ascii="仿宋_GB2312" w:eastAsia="仿宋_GB2312" w:hAnsi="仿宋_GB2312" w:cs="仿宋_GB2312"/>
          <w:bCs/>
          <w:sz w:val="30"/>
          <w:szCs w:val="30"/>
        </w:rPr>
        <w:t>.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人均月领取失业金1094元。全年代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lastRenderedPageBreak/>
        <w:t>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失业人员医疗保险费1047人次。全年享受技能补贴378人，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享受稳岗补贴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28.26万人次。每月25日前按时足额发放各项待遇，首次发放准确率</w:t>
      </w:r>
      <w:r>
        <w:rPr>
          <w:rFonts w:ascii="仿宋_GB2312" w:eastAsia="仿宋_GB2312" w:hAnsi="仿宋_GB2312" w:cs="仿宋_GB2312"/>
          <w:bCs/>
          <w:sz w:val="30"/>
          <w:szCs w:val="30"/>
        </w:rPr>
        <w:t>99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％以上，参保群众满意率</w:t>
      </w:r>
      <w:r>
        <w:rPr>
          <w:rFonts w:ascii="仿宋_GB2312" w:eastAsia="仿宋_GB2312" w:hAnsi="仿宋_GB2312" w:cs="仿宋_GB2312"/>
          <w:bCs/>
          <w:sz w:val="30"/>
          <w:szCs w:val="30"/>
        </w:rPr>
        <w:t>95%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以上。</w:t>
      </w:r>
    </w:p>
    <w:p w:rsidR="00EA6F5E" w:rsidRDefault="001A09E8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Cs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Cs w:val="0"/>
          <w:spacing w:val="-4"/>
          <w:sz w:val="30"/>
          <w:szCs w:val="30"/>
        </w:rPr>
        <w:t>四、其他需要说明的问题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（一）后续工作计划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30"/>
        </w:rPr>
        <w:t>工伤保险基金建立完善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科学、稳定可持续的待遇调整机制，切实改善民生，不断增强工伤人员群体的获得感与幸福感。积极推进工伤认定和劳动能力鉴定便民化服务工作。继续做好区本级工伤预防工作，并指导各地开展工伤预防工作。在全区范围内开展工伤保险宣传活动，将工伤保险法律法规和政策宣传到建筑业从业人员特别是农民工，有效减少工伤事故和职业伤害，依法维护职工工伤保险权益。</w:t>
      </w:r>
    </w:p>
    <w:p w:rsidR="00EA6F5E" w:rsidRDefault="001A09E8">
      <w:pPr>
        <w:spacing w:line="560" w:lineRule="exact"/>
        <w:ind w:firstLineChars="200" w:firstLine="600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失业保险继续实施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援企稳岗政策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，对符合条件的所有企业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发放稳岗补贴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，支持实体经济平稳健康发展。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确保符合条件的参保职工享受技能提升补贴，放宽参保职工技能提升补贴申领条件，将技能提升补贴政策落实到位。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  <w:lang w:val="zh-CN"/>
        </w:rPr>
        <w:t>落实提高失业人员生活保障水平政策实施，特别是提高失业保险金标准待遇政策的实施</w:t>
      </w:r>
      <w:r>
        <w:rPr>
          <w:rFonts w:ascii="仿宋_GB2312" w:eastAsia="仿宋_GB2312" w:hAnsi="仿宋_GB2312" w:cs="仿宋_GB2312" w:hint="eastAsia"/>
          <w:bCs/>
          <w:color w:val="000000"/>
          <w:sz w:val="30"/>
          <w:szCs w:val="30"/>
        </w:rPr>
        <w:t>。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继续实施阶段性降低社会保险费率，做好基金风险防控。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加大扩面征缴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力度，防范支付风险。健全失业动态监测分析制度，为就业形势</w:t>
      </w:r>
      <w:proofErr w:type="gramStart"/>
      <w:r>
        <w:rPr>
          <w:rFonts w:ascii="仿宋_GB2312" w:eastAsia="仿宋_GB2312" w:hAnsi="仿宋_GB2312" w:cs="仿宋_GB2312" w:hint="eastAsia"/>
          <w:bCs/>
          <w:sz w:val="30"/>
          <w:szCs w:val="30"/>
        </w:rPr>
        <w:t>研判提供</w:t>
      </w:r>
      <w:proofErr w:type="gramEnd"/>
      <w:r>
        <w:rPr>
          <w:rFonts w:ascii="仿宋_GB2312" w:eastAsia="仿宋_GB2312" w:hAnsi="仿宋_GB2312" w:cs="仿宋_GB2312" w:hint="eastAsia"/>
          <w:bCs/>
          <w:sz w:val="30"/>
          <w:szCs w:val="30"/>
        </w:rPr>
        <w:t>有力支撑。</w:t>
      </w:r>
    </w:p>
    <w:p w:rsidR="00EA6F5E" w:rsidRDefault="001A09E8">
      <w:pPr>
        <w:spacing w:line="560" w:lineRule="exact"/>
        <w:ind w:firstLine="567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（二）主要经验及做法、存在问题和建议</w:t>
      </w:r>
    </w:p>
    <w:p w:rsidR="00EA6F5E" w:rsidRDefault="001A09E8">
      <w:pPr>
        <w:spacing w:line="58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cs="仿宋_GB2312"/>
          <w:sz w:val="30"/>
          <w:szCs w:val="30"/>
        </w:rPr>
        <w:lastRenderedPageBreak/>
        <w:t>201</w:t>
      </w:r>
      <w:r>
        <w:rPr>
          <w:rFonts w:ascii="仿宋_GB2312" w:eastAsia="仿宋_GB2312" w:hAnsi="宋体" w:cs="仿宋_GB2312" w:hint="eastAsia"/>
          <w:sz w:val="30"/>
          <w:szCs w:val="30"/>
        </w:rPr>
        <w:t>9年是实施“十三五”规划的重要一年，也是社会保障事业发展进入新阶段、实现新发展的关键之年。自治区本级以基金安全运行为根本，以提高管理服务水平为重点，严格执行社会保险各项政策，建立健全内部控制制度，确保待遇发放，基金运行总体平稳。通过连续几年为企业减负，降低参保企业单位缴费费率，同时逐步提高各项保险待遇支付标准，使参保人员的获得感、幸福感不断增强。</w:t>
      </w:r>
    </w:p>
    <w:p w:rsidR="00EA6F5E" w:rsidRDefault="001A09E8">
      <w:pPr>
        <w:pStyle w:val="a8"/>
        <w:widowControl/>
        <w:spacing w:beforeAutospacing="0" w:after="300" w:afterAutospacing="0" w:line="560" w:lineRule="exact"/>
        <w:ind w:firstLineChars="200" w:firstLine="600"/>
        <w:rPr>
          <w:rFonts w:ascii="仿宋_GB2312" w:eastAsia="仿宋_GB2312" w:hAnsi="仿宋_GB2312" w:cs="仿宋_GB2312"/>
          <w:kern w:val="2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区本级各级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eastAsia="仿宋_GB2312" w:hAnsi="仿宋_GB2312" w:cs="仿宋_GB2312"/>
          <w:kern w:val="2"/>
          <w:sz w:val="30"/>
          <w:szCs w:val="30"/>
        </w:rPr>
        <w:t>;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ascii="仿宋_GB2312" w:eastAsia="仿宋_GB2312" w:hAnsi="仿宋_GB2312" w:cs="仿宋_GB2312"/>
          <w:kern w:val="2"/>
          <w:sz w:val="30"/>
          <w:szCs w:val="30"/>
        </w:rPr>
        <w:t>;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财务与业务按月对账，按规定与基金开户银行、财政部门和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lastRenderedPageBreak/>
        <w:t>上下级经办机构等核对基金的收付情况</w:t>
      </w:r>
      <w:r>
        <w:rPr>
          <w:rFonts w:ascii="仿宋_GB2312" w:eastAsia="仿宋_GB2312" w:hAnsi="仿宋_GB2312" w:cs="仿宋_GB2312"/>
          <w:kern w:val="2"/>
          <w:sz w:val="30"/>
          <w:szCs w:val="30"/>
        </w:rPr>
        <w:t>;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</w:rPr>
        <w:t>严格执行基金支付政策，按月编制基金支付计划，按月足额发放待遇，做到不拖欠、不挪用、不挤占社保基金。</w:t>
      </w:r>
    </w:p>
    <w:p w:rsidR="00EA6F5E" w:rsidRDefault="001A09E8">
      <w:pPr>
        <w:spacing w:line="560" w:lineRule="exact"/>
        <w:ind w:firstLineChars="200" w:firstLine="600"/>
        <w:jc w:val="left"/>
        <w:rPr>
          <w:rFonts w:ascii="仿宋_GB2312" w:eastAsia="仿宋_GB2312" w:hAnsi="仿宋_GB2312" w:cs="仿宋_GB2312"/>
          <w:bCs/>
          <w:color w:val="000000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但还存在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30"/>
        </w:rPr>
        <w:t>以下两个方面的问题：一是基金收支平衡压力大，支付风险逐步显现。通过连续几年为企业减负，降低参保企业单位缴费费率，同时逐步提高各项保险待遇支付标准，区本级基本养老保险、工伤保险基金已出现当期收不抵制现象，制度可持续发展面临新挑战。二是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工作人员岗位变动频繁，业务经办水平有待提高，对业务经办人员的培训工作有待加强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30"/>
        </w:rPr>
        <w:t>。</w:t>
      </w:r>
    </w:p>
    <w:p w:rsidR="00EA6F5E" w:rsidRDefault="001A09E8">
      <w:pPr>
        <w:spacing w:line="560" w:lineRule="exact"/>
        <w:ind w:firstLine="645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z w:val="30"/>
          <w:szCs w:val="30"/>
        </w:rPr>
        <w:t>下一步区本级要进一步抓好</w:t>
      </w:r>
      <w:r>
        <w:rPr>
          <w:rFonts w:ascii="仿宋_GB2312" w:eastAsia="仿宋_GB2312" w:hAnsi="仿宋_GB2312" w:cs="仿宋_GB2312" w:hint="eastAsia"/>
          <w:bCs/>
          <w:kern w:val="0"/>
          <w:sz w:val="30"/>
          <w:szCs w:val="30"/>
        </w:rPr>
        <w:t>全力推进“全民参保计划”，积极采取措施、创新机制，扩大社会保险覆盖面，强化基金征缴，做到应收尽收，不漏死角。同时做好</w:t>
      </w:r>
      <w:r>
        <w:rPr>
          <w:rFonts w:ascii="仿宋_GB2312" w:eastAsia="仿宋_GB2312" w:hAnsi="仿宋_GB2312" w:cs="仿宋_GB2312" w:hint="eastAsia"/>
          <w:bCs/>
          <w:sz w:val="30"/>
          <w:szCs w:val="30"/>
        </w:rPr>
        <w:t>内部控制风险防控工作，加大对经办工作的监督检查，纠正和堵塞经办环节的漏洞和薄弱点，规范经办机构合理运行，确保基金安全。</w:t>
      </w:r>
    </w:p>
    <w:p w:rsidR="00EA6F5E" w:rsidRDefault="001A09E8">
      <w:pPr>
        <w:spacing w:line="560" w:lineRule="exact"/>
        <w:ind w:firstLine="640"/>
        <w:rPr>
          <w:rStyle w:val="aa"/>
          <w:rFonts w:ascii="仿宋_GB2312" w:eastAsia="仿宋_GB2312" w:hAnsi="仿宋_GB2312" w:cs="仿宋_GB2312"/>
          <w:b w:val="0"/>
          <w:spacing w:val="-4"/>
          <w:sz w:val="30"/>
          <w:szCs w:val="30"/>
        </w:rPr>
      </w:pPr>
      <w:r>
        <w:rPr>
          <w:rStyle w:val="aa"/>
          <w:rFonts w:ascii="仿宋_GB2312" w:eastAsia="仿宋_GB2312" w:hAnsi="仿宋_GB2312" w:cs="仿宋_GB2312" w:hint="eastAsia"/>
          <w:b w:val="0"/>
          <w:spacing w:val="-4"/>
          <w:sz w:val="30"/>
          <w:szCs w:val="30"/>
        </w:rPr>
        <w:t>五、附表</w:t>
      </w:r>
    </w:p>
    <w:p w:rsidR="00EA6F5E" w:rsidRDefault="001A09E8">
      <w:pPr>
        <w:spacing w:line="560" w:lineRule="exact"/>
        <w:ind w:firstLine="567"/>
        <w:rPr>
          <w:rFonts w:ascii="仿宋_GB2312" w:eastAsia="仿宋_GB2312" w:hAnsi="仿宋_GB2312" w:cs="仿宋_GB2312"/>
          <w:bCs/>
          <w:spacing w:val="-4"/>
          <w:sz w:val="30"/>
          <w:szCs w:val="30"/>
        </w:rPr>
      </w:pP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自治区</w:t>
      </w:r>
      <w:r w:rsidR="00C11E21"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本级</w:t>
      </w:r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社会保险支出绩效</w:t>
      </w:r>
      <w:r w:rsidR="00C11E21"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评价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pacing w:val="-4"/>
          <w:sz w:val="30"/>
          <w:szCs w:val="30"/>
        </w:rPr>
        <w:t>表</w:t>
      </w:r>
    </w:p>
    <w:sectPr w:rsidR="00EA6F5E">
      <w:footerReference w:type="default" r:id="rId9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8C6" w:rsidRDefault="004C58C6">
      <w:r>
        <w:separator/>
      </w:r>
    </w:p>
  </w:endnote>
  <w:endnote w:type="continuationSeparator" w:id="0">
    <w:p w:rsidR="004C58C6" w:rsidRDefault="004C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F5E" w:rsidRDefault="001A09E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11E21" w:rsidRPr="00C11E21">
      <w:rPr>
        <w:noProof/>
        <w:lang w:val="zh-CN"/>
      </w:rPr>
      <w:t>1</w:t>
    </w:r>
    <w:r>
      <w:rPr>
        <w:lang w:val="zh-CN"/>
      </w:rPr>
      <w:fldChar w:fldCharType="end"/>
    </w:r>
  </w:p>
  <w:p w:rsidR="00EA6F5E" w:rsidRDefault="00EA6F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8C6" w:rsidRDefault="004C58C6">
      <w:r>
        <w:separator/>
      </w:r>
    </w:p>
  </w:footnote>
  <w:footnote w:type="continuationSeparator" w:id="0">
    <w:p w:rsidR="004C58C6" w:rsidRDefault="004C5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6F9A22"/>
    <w:multiLevelType w:val="singleLevel"/>
    <w:tmpl w:val="A16F9A22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A09E8"/>
    <w:rsid w:val="001B3A40"/>
    <w:rsid w:val="001B6CEB"/>
    <w:rsid w:val="002C4738"/>
    <w:rsid w:val="00325819"/>
    <w:rsid w:val="00392327"/>
    <w:rsid w:val="004366A8"/>
    <w:rsid w:val="004973F4"/>
    <w:rsid w:val="004C58C6"/>
    <w:rsid w:val="00502BA7"/>
    <w:rsid w:val="0051288D"/>
    <w:rsid w:val="005162F1"/>
    <w:rsid w:val="00535153"/>
    <w:rsid w:val="00536224"/>
    <w:rsid w:val="00554F82"/>
    <w:rsid w:val="0056390D"/>
    <w:rsid w:val="005719B0"/>
    <w:rsid w:val="005D10D6"/>
    <w:rsid w:val="006F1484"/>
    <w:rsid w:val="00741077"/>
    <w:rsid w:val="00774FC7"/>
    <w:rsid w:val="00847D1B"/>
    <w:rsid w:val="00855E3A"/>
    <w:rsid w:val="00892FAA"/>
    <w:rsid w:val="008E231B"/>
    <w:rsid w:val="00922CB9"/>
    <w:rsid w:val="00962F90"/>
    <w:rsid w:val="009B5D7E"/>
    <w:rsid w:val="009C31E6"/>
    <w:rsid w:val="009E5CD9"/>
    <w:rsid w:val="009F4E7D"/>
    <w:rsid w:val="00A26421"/>
    <w:rsid w:val="00A4293B"/>
    <w:rsid w:val="00A64271"/>
    <w:rsid w:val="00A67D50"/>
    <w:rsid w:val="00A8691A"/>
    <w:rsid w:val="00AC1946"/>
    <w:rsid w:val="00B40063"/>
    <w:rsid w:val="00B41F61"/>
    <w:rsid w:val="00BA46E6"/>
    <w:rsid w:val="00BB200C"/>
    <w:rsid w:val="00BC5DAB"/>
    <w:rsid w:val="00C0269D"/>
    <w:rsid w:val="00C11E21"/>
    <w:rsid w:val="00C56C72"/>
    <w:rsid w:val="00C70524"/>
    <w:rsid w:val="00CA6457"/>
    <w:rsid w:val="00D17F2E"/>
    <w:rsid w:val="00D25887"/>
    <w:rsid w:val="00D30354"/>
    <w:rsid w:val="00DF42A0"/>
    <w:rsid w:val="00E122B7"/>
    <w:rsid w:val="00E25910"/>
    <w:rsid w:val="00E769FE"/>
    <w:rsid w:val="00EA2CBE"/>
    <w:rsid w:val="00EA6F5E"/>
    <w:rsid w:val="00F32FEE"/>
    <w:rsid w:val="00F7692E"/>
    <w:rsid w:val="00FB10BB"/>
    <w:rsid w:val="01116FEC"/>
    <w:rsid w:val="04EB4934"/>
    <w:rsid w:val="09A50626"/>
    <w:rsid w:val="0BBC293C"/>
    <w:rsid w:val="10763D0C"/>
    <w:rsid w:val="13854CB8"/>
    <w:rsid w:val="166879CC"/>
    <w:rsid w:val="16B15AA0"/>
    <w:rsid w:val="1BA40D39"/>
    <w:rsid w:val="20317511"/>
    <w:rsid w:val="2AE45F76"/>
    <w:rsid w:val="2B9D2A91"/>
    <w:rsid w:val="2BB8257B"/>
    <w:rsid w:val="2DCC62C6"/>
    <w:rsid w:val="2DDF6276"/>
    <w:rsid w:val="30BE0F9C"/>
    <w:rsid w:val="30EE20E9"/>
    <w:rsid w:val="31F23AFE"/>
    <w:rsid w:val="32B252D2"/>
    <w:rsid w:val="356A7949"/>
    <w:rsid w:val="367A4211"/>
    <w:rsid w:val="37413820"/>
    <w:rsid w:val="37C45358"/>
    <w:rsid w:val="3BB70555"/>
    <w:rsid w:val="3BC7304C"/>
    <w:rsid w:val="41F46496"/>
    <w:rsid w:val="449C451D"/>
    <w:rsid w:val="466F183E"/>
    <w:rsid w:val="47FB44A6"/>
    <w:rsid w:val="4AE1187D"/>
    <w:rsid w:val="4BDB7DA7"/>
    <w:rsid w:val="4C5F7F78"/>
    <w:rsid w:val="53005138"/>
    <w:rsid w:val="5447318A"/>
    <w:rsid w:val="58D75736"/>
    <w:rsid w:val="5BD37F56"/>
    <w:rsid w:val="5C4806EE"/>
    <w:rsid w:val="5D57207E"/>
    <w:rsid w:val="608C353B"/>
    <w:rsid w:val="65C07533"/>
    <w:rsid w:val="66437D33"/>
    <w:rsid w:val="684B0830"/>
    <w:rsid w:val="69B91819"/>
    <w:rsid w:val="6C0A0ACE"/>
    <w:rsid w:val="6C74389A"/>
    <w:rsid w:val="6D747692"/>
    <w:rsid w:val="70B07B00"/>
    <w:rsid w:val="7546593F"/>
    <w:rsid w:val="75AE4E59"/>
    <w:rsid w:val="76243622"/>
    <w:rsid w:val="77692F40"/>
    <w:rsid w:val="77716415"/>
    <w:rsid w:val="7B270171"/>
    <w:rsid w:val="7BDE0F75"/>
    <w:rsid w:val="7D980D38"/>
    <w:rsid w:val="7E6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semiHidden="0" w:uiPriority="1" w:qFormat="1"/>
    <w:lsdException w:name="Body Text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pPr>
      <w:jc w:val="center"/>
    </w:pPr>
    <w:rPr>
      <w:rFonts w:eastAsia="方正小标宋简体"/>
      <w:b/>
      <w:bCs/>
      <w:sz w:val="44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semiHidden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1"/>
    <w:uiPriority w:val="99"/>
    <w:qFormat/>
    <w:rPr>
      <w:rFonts w:cs="Times New Roman"/>
      <w:b/>
      <w:bCs/>
    </w:rPr>
  </w:style>
  <w:style w:type="character" w:styleId="ab">
    <w:name w:val="Emphasis"/>
    <w:basedOn w:val="a1"/>
    <w:uiPriority w:val="99"/>
    <w:qFormat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1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"/>
    <w:uiPriority w:val="99"/>
    <w:semiHidden/>
    <w:qFormat/>
    <w:locked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1"/>
    <w:link w:val="4"/>
    <w:uiPriority w:val="99"/>
    <w:semiHidden/>
    <w:qFormat/>
    <w:locked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9"/>
    <w:semiHidden/>
    <w:qFormat/>
    <w:locked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9"/>
    <w:semiHidden/>
    <w:qFormat/>
    <w:locked/>
    <w:rPr>
      <w:rFonts w:cs="Times New Roman"/>
      <w:b/>
      <w:bCs/>
    </w:rPr>
  </w:style>
  <w:style w:type="character" w:customStyle="1" w:styleId="7Char">
    <w:name w:val="标题 7 Char"/>
    <w:basedOn w:val="a1"/>
    <w:link w:val="7"/>
    <w:uiPriority w:val="99"/>
    <w:semiHidden/>
    <w:qFormat/>
    <w:locked/>
    <w:rPr>
      <w:rFonts w:cs="Times New Roman"/>
      <w:sz w:val="24"/>
      <w:szCs w:val="24"/>
    </w:rPr>
  </w:style>
  <w:style w:type="character" w:customStyle="1" w:styleId="8Char">
    <w:name w:val="标题 8 Char"/>
    <w:basedOn w:val="a1"/>
    <w:link w:val="8"/>
    <w:uiPriority w:val="99"/>
    <w:semiHidden/>
    <w:qFormat/>
    <w:locked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9"/>
    <w:semiHidden/>
    <w:qFormat/>
    <w:locked/>
    <w:rPr>
      <w:rFonts w:ascii="Cambria" w:eastAsia="宋体" w:hAnsi="Cambria" w:cs="Times New Roman"/>
    </w:rPr>
  </w:style>
  <w:style w:type="character" w:customStyle="1" w:styleId="Char">
    <w:name w:val="正文文本 Char"/>
    <w:basedOn w:val="a1"/>
    <w:link w:val="a0"/>
    <w:uiPriority w:val="99"/>
    <w:semiHidden/>
    <w:qFormat/>
    <w:rPr>
      <w:szCs w:val="24"/>
    </w:rPr>
  </w:style>
  <w:style w:type="character" w:customStyle="1" w:styleId="Char0">
    <w:name w:val="批注框文本 Char"/>
    <w:basedOn w:val="a1"/>
    <w:link w:val="a4"/>
    <w:uiPriority w:val="99"/>
    <w:semiHidden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1"/>
    <w:link w:val="a6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1"/>
    <w:link w:val="a7"/>
    <w:uiPriority w:val="99"/>
    <w:qFormat/>
    <w:locked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1"/>
    <w:link w:val="a9"/>
    <w:uiPriority w:val="99"/>
    <w:qFormat/>
    <w:locked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basedOn w:val="a"/>
    <w:uiPriority w:val="99"/>
    <w:qFormat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11">
    <w:name w:val="列出段落1"/>
    <w:basedOn w:val="a"/>
    <w:uiPriority w:val="99"/>
    <w:qFormat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12">
    <w:name w:val="引用1"/>
    <w:basedOn w:val="a"/>
    <w:next w:val="a"/>
    <w:link w:val="Char5"/>
    <w:uiPriority w:val="99"/>
    <w:qFormat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1"/>
    <w:link w:val="12"/>
    <w:uiPriority w:val="99"/>
    <w:qFormat/>
    <w:locked/>
    <w:rPr>
      <w:rFonts w:cs="Times New Roman"/>
      <w:i/>
      <w:sz w:val="24"/>
      <w:szCs w:val="24"/>
    </w:rPr>
  </w:style>
  <w:style w:type="paragraph" w:customStyle="1" w:styleId="13">
    <w:name w:val="明显引用1"/>
    <w:basedOn w:val="a"/>
    <w:next w:val="a"/>
    <w:link w:val="Char6"/>
    <w:uiPriority w:val="99"/>
    <w:qFormat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1"/>
    <w:link w:val="13"/>
    <w:uiPriority w:val="99"/>
    <w:qFormat/>
    <w:locked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Pr>
      <w:i/>
      <w:color w:val="595959"/>
    </w:rPr>
  </w:style>
  <w:style w:type="character" w:customStyle="1" w:styleId="IntenseEmphasis1">
    <w:name w:val="Intense Emphasis1"/>
    <w:basedOn w:val="a1"/>
    <w:uiPriority w:val="99"/>
    <w:qFormat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1"/>
    <w:uiPriority w:val="99"/>
    <w:qFormat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1"/>
    <w:uiPriority w:val="99"/>
    <w:qFormat/>
    <w:rPr>
      <w:rFonts w:cs="Times New Roman"/>
      <w:b/>
      <w:sz w:val="24"/>
      <w:u w:val="single"/>
    </w:rPr>
  </w:style>
  <w:style w:type="character" w:customStyle="1" w:styleId="BookTitle1">
    <w:name w:val="Book Title1"/>
    <w:basedOn w:val="a1"/>
    <w:uiPriority w:val="99"/>
    <w:qFormat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pPr>
      <w:outlineLvl w:val="9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semiHidden="0" w:uiPriority="1" w:qFormat="1"/>
    <w:lsdException w:name="Body Text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pPr>
      <w:jc w:val="center"/>
    </w:pPr>
    <w:rPr>
      <w:rFonts w:eastAsia="方正小标宋简体"/>
      <w:b/>
      <w:bCs/>
      <w:sz w:val="44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semiHidden/>
    <w:qFormat/>
    <w:pPr>
      <w:spacing w:beforeAutospacing="1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1"/>
    <w:uiPriority w:val="99"/>
    <w:qFormat/>
    <w:rPr>
      <w:rFonts w:cs="Times New Roman"/>
      <w:b/>
      <w:bCs/>
    </w:rPr>
  </w:style>
  <w:style w:type="character" w:styleId="ab">
    <w:name w:val="Emphasis"/>
    <w:basedOn w:val="a1"/>
    <w:uiPriority w:val="99"/>
    <w:qFormat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1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"/>
    <w:uiPriority w:val="99"/>
    <w:semiHidden/>
    <w:qFormat/>
    <w:locked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1"/>
    <w:link w:val="4"/>
    <w:uiPriority w:val="99"/>
    <w:semiHidden/>
    <w:qFormat/>
    <w:locked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9"/>
    <w:semiHidden/>
    <w:qFormat/>
    <w:locked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9"/>
    <w:semiHidden/>
    <w:qFormat/>
    <w:locked/>
    <w:rPr>
      <w:rFonts w:cs="Times New Roman"/>
      <w:b/>
      <w:bCs/>
    </w:rPr>
  </w:style>
  <w:style w:type="character" w:customStyle="1" w:styleId="7Char">
    <w:name w:val="标题 7 Char"/>
    <w:basedOn w:val="a1"/>
    <w:link w:val="7"/>
    <w:uiPriority w:val="99"/>
    <w:semiHidden/>
    <w:qFormat/>
    <w:locked/>
    <w:rPr>
      <w:rFonts w:cs="Times New Roman"/>
      <w:sz w:val="24"/>
      <w:szCs w:val="24"/>
    </w:rPr>
  </w:style>
  <w:style w:type="character" w:customStyle="1" w:styleId="8Char">
    <w:name w:val="标题 8 Char"/>
    <w:basedOn w:val="a1"/>
    <w:link w:val="8"/>
    <w:uiPriority w:val="99"/>
    <w:semiHidden/>
    <w:qFormat/>
    <w:locked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9"/>
    <w:semiHidden/>
    <w:qFormat/>
    <w:locked/>
    <w:rPr>
      <w:rFonts w:ascii="Cambria" w:eastAsia="宋体" w:hAnsi="Cambria" w:cs="Times New Roman"/>
    </w:rPr>
  </w:style>
  <w:style w:type="character" w:customStyle="1" w:styleId="Char">
    <w:name w:val="正文文本 Char"/>
    <w:basedOn w:val="a1"/>
    <w:link w:val="a0"/>
    <w:uiPriority w:val="99"/>
    <w:semiHidden/>
    <w:qFormat/>
    <w:rPr>
      <w:szCs w:val="24"/>
    </w:rPr>
  </w:style>
  <w:style w:type="character" w:customStyle="1" w:styleId="Char0">
    <w:name w:val="批注框文本 Char"/>
    <w:basedOn w:val="a1"/>
    <w:link w:val="a4"/>
    <w:uiPriority w:val="99"/>
    <w:semiHidden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1"/>
    <w:link w:val="a6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1"/>
    <w:link w:val="a7"/>
    <w:uiPriority w:val="99"/>
    <w:qFormat/>
    <w:locked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1"/>
    <w:link w:val="a9"/>
    <w:uiPriority w:val="99"/>
    <w:qFormat/>
    <w:locked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basedOn w:val="a"/>
    <w:uiPriority w:val="99"/>
    <w:qFormat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11">
    <w:name w:val="列出段落1"/>
    <w:basedOn w:val="a"/>
    <w:uiPriority w:val="99"/>
    <w:qFormat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12">
    <w:name w:val="引用1"/>
    <w:basedOn w:val="a"/>
    <w:next w:val="a"/>
    <w:link w:val="Char5"/>
    <w:uiPriority w:val="99"/>
    <w:qFormat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1"/>
    <w:link w:val="12"/>
    <w:uiPriority w:val="99"/>
    <w:qFormat/>
    <w:locked/>
    <w:rPr>
      <w:rFonts w:cs="Times New Roman"/>
      <w:i/>
      <w:sz w:val="24"/>
      <w:szCs w:val="24"/>
    </w:rPr>
  </w:style>
  <w:style w:type="paragraph" w:customStyle="1" w:styleId="13">
    <w:name w:val="明显引用1"/>
    <w:basedOn w:val="a"/>
    <w:next w:val="a"/>
    <w:link w:val="Char6"/>
    <w:uiPriority w:val="99"/>
    <w:qFormat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1"/>
    <w:link w:val="13"/>
    <w:uiPriority w:val="99"/>
    <w:qFormat/>
    <w:locked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Pr>
      <w:i/>
      <w:color w:val="595959"/>
    </w:rPr>
  </w:style>
  <w:style w:type="character" w:customStyle="1" w:styleId="IntenseEmphasis1">
    <w:name w:val="Intense Emphasis1"/>
    <w:basedOn w:val="a1"/>
    <w:uiPriority w:val="99"/>
    <w:qFormat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1"/>
    <w:uiPriority w:val="99"/>
    <w:qFormat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1"/>
    <w:uiPriority w:val="99"/>
    <w:qFormat/>
    <w:rPr>
      <w:rFonts w:cs="Times New Roman"/>
      <w:b/>
      <w:sz w:val="24"/>
      <w:u w:val="single"/>
    </w:rPr>
  </w:style>
  <w:style w:type="character" w:customStyle="1" w:styleId="BookTitle1">
    <w:name w:val="Book Title1"/>
    <w:basedOn w:val="a1"/>
    <w:uiPriority w:val="99"/>
    <w:qFormat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pPr>
      <w:outlineLvl w:val="9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索佼龙</cp:lastModifiedBy>
  <cp:revision>27</cp:revision>
  <cp:lastPrinted>2020-09-30T07:21:00Z</cp:lastPrinted>
  <dcterms:created xsi:type="dcterms:W3CDTF">2018-08-15T02:06:00Z</dcterms:created>
  <dcterms:modified xsi:type="dcterms:W3CDTF">2020-09-30T07:21:00Z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