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2060"/>
  <w:body>
    <w:p>
      <w:pPr>
        <w:keepNext w:val="0"/>
        <w:keepLines w:val="0"/>
        <w:pageBreakBefore w:val="0"/>
        <w:widowControl w:val="0"/>
        <w:tabs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_GBK" w:hAnsi="华文中宋" w:eastAsia="方正小标宋_GBK"/>
          <w:sz w:val="44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sz w:val="44"/>
          <w:szCs w:val="36"/>
          <w:lang w:eastAsia="zh-CN"/>
        </w:rPr>
        <w:t>2022</w:t>
      </w:r>
      <w:r>
        <w:rPr>
          <w:rFonts w:hint="eastAsia" w:ascii="方正小标宋_GBK" w:hAnsi="华文中宋" w:eastAsia="方正小标宋_GBK"/>
          <w:sz w:val="44"/>
          <w:szCs w:val="36"/>
        </w:rPr>
        <w:t>年自治区国有资本经营预算执行情况说明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年自治区国有资本经营预算执行情况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7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pacing w:val="-4"/>
          <w:sz w:val="32"/>
          <w:szCs w:val="32"/>
        </w:rPr>
        <w:t>（一）收入情况。</w:t>
      </w:r>
      <w:r>
        <w:rPr>
          <w:rFonts w:hint="eastAsia" w:eastAsia="仿宋_GB2312"/>
          <w:sz w:val="32"/>
          <w:szCs w:val="32"/>
          <w:lang w:eastAsia="zh-CN"/>
        </w:rPr>
        <w:t>自治区</w:t>
      </w:r>
      <w:r>
        <w:rPr>
          <w:rFonts w:eastAsia="仿宋_GB2312"/>
          <w:sz w:val="32"/>
          <w:szCs w:val="32"/>
        </w:rPr>
        <w:t>国有资本经营预算收入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亿元，为预算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207.3</w:t>
      </w:r>
      <w:r>
        <w:rPr>
          <w:rFonts w:eastAsia="仿宋_GB2312"/>
          <w:sz w:val="32"/>
          <w:szCs w:val="32"/>
        </w:rPr>
        <w:t>%，</w:t>
      </w:r>
      <w:r>
        <w:rPr>
          <w:rFonts w:hint="eastAsia" w:eastAsia="仿宋_GB2312"/>
          <w:sz w:val="32"/>
          <w:szCs w:val="32"/>
          <w:lang w:eastAsia="zh-CN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86.4%，主要是2021年</w:t>
      </w:r>
      <w:r>
        <w:rPr>
          <w:rFonts w:eastAsia="仿宋_GB2312"/>
          <w:sz w:val="32"/>
          <w:szCs w:val="32"/>
          <w:highlight w:val="none"/>
        </w:rPr>
        <w:t>国有企业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利润高于预期。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黑体" w:eastAsia="楷体_GB2312"/>
          <w:b/>
          <w:spacing w:val="-4"/>
          <w:sz w:val="32"/>
          <w:szCs w:val="32"/>
        </w:rPr>
        <w:t>（二）支出情况。</w:t>
      </w:r>
      <w:r>
        <w:rPr>
          <w:rFonts w:hint="eastAsia" w:eastAsia="仿宋_GB2312"/>
          <w:sz w:val="32"/>
          <w:szCs w:val="32"/>
          <w:lang w:eastAsia="zh-CN"/>
        </w:rPr>
        <w:t>自治区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国有资本经营预算支出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8.6亿元，完成预算的66.29%，下降12.2%。主要是部分项目受新冠肺炎疫情影响，未能实施或未能达到政策性补贴规定标准，没有形成支出。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pacing w:val="-4"/>
          <w:sz w:val="32"/>
          <w:szCs w:val="32"/>
          <w:lang w:eastAsia="zh-CN"/>
        </w:rPr>
        <w:t>（三）</w:t>
      </w:r>
      <w:r>
        <w:rPr>
          <w:rFonts w:hint="eastAsia" w:ascii="楷体_GB2312" w:hAnsi="黑体" w:eastAsia="楷体_GB2312"/>
          <w:b/>
          <w:spacing w:val="-4"/>
          <w:sz w:val="32"/>
          <w:szCs w:val="32"/>
        </w:rPr>
        <w:t>收支平衡情况。</w:t>
      </w:r>
      <w:r>
        <w:rPr>
          <w:rFonts w:hint="eastAsia" w:eastAsia="仿宋_GB2312"/>
          <w:sz w:val="32"/>
          <w:szCs w:val="32"/>
          <w:lang w:eastAsia="zh-CN"/>
        </w:rPr>
        <w:t>自治区国有资本经营预算收入总计</w:t>
      </w:r>
      <w:r>
        <w:rPr>
          <w:rFonts w:hint="eastAsia" w:eastAsia="仿宋_GB2312"/>
          <w:sz w:val="32"/>
          <w:szCs w:val="32"/>
          <w:lang w:val="en-US" w:eastAsia="zh-CN"/>
        </w:rPr>
        <w:t>29.4亿元，其中：</w:t>
      </w:r>
      <w:r>
        <w:rPr>
          <w:rFonts w:eastAsia="仿宋_GB2312"/>
          <w:sz w:val="32"/>
          <w:szCs w:val="32"/>
        </w:rPr>
        <w:t>国有资本经营预算收入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  <w:lang w:eastAsia="zh-CN"/>
        </w:rPr>
        <w:t>，上级补助收入</w:t>
      </w:r>
      <w:r>
        <w:rPr>
          <w:rFonts w:hint="eastAsia" w:eastAsia="仿宋_GB2312"/>
          <w:sz w:val="32"/>
          <w:szCs w:val="32"/>
          <w:lang w:val="en-US" w:eastAsia="zh-CN"/>
        </w:rPr>
        <w:t>0.7亿元，上年结转收入3.7亿元。支出总计25.3亿元，其中：国有资本经营预算支出8.6亿元，调出资金16.7亿元。收支相抵，年终结余4.1亿元。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年自治区本级国有资本经营预算执行情况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27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黑体" w:eastAsia="楷体_GB2312"/>
          <w:b/>
          <w:spacing w:val="-4"/>
          <w:sz w:val="32"/>
          <w:szCs w:val="32"/>
        </w:rPr>
        <w:t>（一）收入情况。</w:t>
      </w:r>
      <w:r>
        <w:rPr>
          <w:rFonts w:eastAsia="仿宋_GB2312"/>
          <w:sz w:val="32"/>
          <w:szCs w:val="32"/>
        </w:rPr>
        <w:t>自治区本级国有资本经营预算收入</w:t>
      </w:r>
      <w:r>
        <w:rPr>
          <w:rFonts w:hint="eastAsia" w:eastAsia="仿宋_GB2312"/>
          <w:sz w:val="32"/>
          <w:szCs w:val="32"/>
          <w:lang w:val="en-US" w:eastAsia="zh-CN"/>
        </w:rPr>
        <w:t>6.8亿元</w:t>
      </w:r>
      <w:r>
        <w:rPr>
          <w:rFonts w:eastAsia="仿宋_GB2312"/>
          <w:sz w:val="32"/>
          <w:szCs w:val="32"/>
        </w:rPr>
        <w:t>，为预算的</w:t>
      </w:r>
      <w:r>
        <w:rPr>
          <w:rFonts w:hint="eastAsia" w:eastAsia="仿宋_GB2312"/>
          <w:sz w:val="32"/>
          <w:szCs w:val="32"/>
          <w:lang w:val="en-US" w:eastAsia="zh-CN"/>
        </w:rPr>
        <w:t>117.2</w:t>
      </w:r>
      <w:r>
        <w:rPr>
          <w:rFonts w:eastAsia="仿宋_GB2312"/>
          <w:sz w:val="32"/>
          <w:szCs w:val="32"/>
        </w:rPr>
        <w:t>%，增长</w:t>
      </w:r>
      <w:r>
        <w:rPr>
          <w:rFonts w:hint="eastAsia" w:eastAsia="仿宋_GB2312"/>
          <w:sz w:val="32"/>
          <w:szCs w:val="32"/>
          <w:lang w:val="en-US" w:eastAsia="zh-CN"/>
        </w:rPr>
        <w:t>55.8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  <w:highlight w:val="none"/>
        </w:rPr>
        <w:t>主要是国有企业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利润收入增加。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27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pacing w:val="-4"/>
          <w:sz w:val="32"/>
          <w:szCs w:val="32"/>
        </w:rPr>
        <w:t>（二）支出情况。</w:t>
      </w:r>
      <w:r>
        <w:rPr>
          <w:rFonts w:eastAsia="仿宋_GB2312"/>
          <w:sz w:val="32"/>
          <w:szCs w:val="32"/>
        </w:rPr>
        <w:t>自治区本级国有资本经营预算支出</w:t>
      </w:r>
      <w:r>
        <w:rPr>
          <w:rFonts w:hint="eastAsia" w:eastAsia="仿宋_GB2312"/>
          <w:sz w:val="32"/>
          <w:szCs w:val="32"/>
          <w:lang w:val="en-US" w:eastAsia="zh-CN"/>
        </w:rPr>
        <w:t>4.8亿元</w:t>
      </w:r>
      <w:r>
        <w:rPr>
          <w:rFonts w:eastAsia="仿宋_GB2312"/>
          <w:sz w:val="32"/>
          <w:szCs w:val="32"/>
        </w:rPr>
        <w:t>，为预算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83.5</w:t>
      </w:r>
      <w:r>
        <w:rPr>
          <w:rFonts w:eastAsia="仿宋_GB2312"/>
          <w:sz w:val="32"/>
          <w:szCs w:val="32"/>
        </w:rPr>
        <w:t>%，</w:t>
      </w:r>
      <w:r>
        <w:rPr>
          <w:rFonts w:hint="eastAsia" w:eastAsia="仿宋_GB2312"/>
          <w:sz w:val="32"/>
          <w:szCs w:val="32"/>
          <w:lang w:eastAsia="zh-CN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241.4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。主要是对国有企业资本金注入增加。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pacing w:val="-4"/>
          <w:sz w:val="32"/>
          <w:szCs w:val="32"/>
        </w:rPr>
        <w:t>（三）收支平衡情况。</w:t>
      </w:r>
      <w:r>
        <w:rPr>
          <w:rFonts w:eastAsia="仿宋_GB2312"/>
          <w:sz w:val="32"/>
          <w:szCs w:val="32"/>
        </w:rPr>
        <w:t>自治区</w:t>
      </w:r>
      <w:r>
        <w:rPr>
          <w:rFonts w:hint="eastAsia" w:eastAsia="仿宋_GB2312"/>
          <w:sz w:val="32"/>
          <w:szCs w:val="32"/>
          <w:lang w:eastAsia="zh-CN"/>
        </w:rPr>
        <w:t>本级</w:t>
      </w:r>
      <w:r>
        <w:rPr>
          <w:rFonts w:eastAsia="仿宋_GB2312"/>
          <w:sz w:val="32"/>
          <w:szCs w:val="32"/>
        </w:rPr>
        <w:t>国有资本经营预算收入</w:t>
      </w:r>
      <w:r>
        <w:rPr>
          <w:rFonts w:hint="eastAsia" w:eastAsia="仿宋_GB2312"/>
          <w:sz w:val="32"/>
          <w:szCs w:val="32"/>
          <w:lang w:eastAsia="zh-CN"/>
        </w:rPr>
        <w:t>总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9.1亿</w:t>
      </w:r>
      <w:r>
        <w:rPr>
          <w:rFonts w:hint="eastAsia" w:eastAsia="仿宋_GB2312"/>
          <w:sz w:val="32"/>
          <w:szCs w:val="32"/>
          <w:lang w:val="en-US" w:eastAsia="zh-CN"/>
        </w:rPr>
        <w:t>元，其中：国有资本经营预算收入6.8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，上级补助收入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0.7亿元，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上年结余收入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1.6亿元。支出总计7.5亿元，其</w:t>
      </w:r>
      <w:r>
        <w:rPr>
          <w:rFonts w:hint="eastAsia" w:eastAsia="仿宋_GB2312"/>
          <w:sz w:val="32"/>
          <w:szCs w:val="32"/>
          <w:lang w:val="en-US" w:eastAsia="zh-CN"/>
        </w:rPr>
        <w:t>中：国有资本经营预算支出4.8亿元，补助下级支出0.7亿元，调出资金2亿元。收支相抵，年终结余1.6亿元。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1"/>
      </w:rPr>
    </w:pPr>
    <w:r>
      <w:rPr>
        <w:rFonts w:ascii="宋体" w:hAnsi="宋体"/>
        <w:sz w:val="21"/>
      </w:rPr>
      <w:fldChar w:fldCharType="begin"/>
    </w:r>
    <w:r>
      <w:rPr>
        <w:rFonts w:ascii="宋体" w:hAnsi="宋体"/>
        <w:sz w:val="21"/>
      </w:rPr>
      <w:instrText xml:space="preserve">PAGE   \* MERGEFORMAT</w:instrText>
    </w:r>
    <w:r>
      <w:rPr>
        <w:rFonts w:ascii="宋体" w:hAnsi="宋体"/>
        <w:sz w:val="21"/>
      </w:rPr>
      <w:fldChar w:fldCharType="separate"/>
    </w:r>
    <w:r>
      <w:rPr>
        <w:rFonts w:ascii="宋体" w:hAnsi="宋体"/>
        <w:sz w:val="21"/>
        <w:lang w:val="zh-CN"/>
      </w:rPr>
      <w:t>-</w:t>
    </w:r>
    <w:r>
      <w:rPr>
        <w:rFonts w:ascii="宋体" w:hAnsi="宋体"/>
        <w:sz w:val="21"/>
      </w:rPr>
      <w:t xml:space="preserve"> 6 -</w:t>
    </w:r>
    <w:r>
      <w:rPr>
        <w:rFonts w:ascii="宋体" w:hAnsi="宋体"/>
        <w:sz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- 6 -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4F6"/>
    <w:rsid w:val="01983920"/>
    <w:rsid w:val="01DA4F0D"/>
    <w:rsid w:val="01E56C82"/>
    <w:rsid w:val="02A1339E"/>
    <w:rsid w:val="03F168FD"/>
    <w:rsid w:val="0492646B"/>
    <w:rsid w:val="04C252C4"/>
    <w:rsid w:val="04CE48B9"/>
    <w:rsid w:val="05136F53"/>
    <w:rsid w:val="053A1EBA"/>
    <w:rsid w:val="05905759"/>
    <w:rsid w:val="05924DF5"/>
    <w:rsid w:val="085903A2"/>
    <w:rsid w:val="086C493E"/>
    <w:rsid w:val="08BC3D82"/>
    <w:rsid w:val="090B1C1D"/>
    <w:rsid w:val="095D24D7"/>
    <w:rsid w:val="09C9387B"/>
    <w:rsid w:val="0A2271DE"/>
    <w:rsid w:val="0A973138"/>
    <w:rsid w:val="0A9C5E26"/>
    <w:rsid w:val="0CB67114"/>
    <w:rsid w:val="0CF56DBA"/>
    <w:rsid w:val="0D3C60F6"/>
    <w:rsid w:val="0D642A3A"/>
    <w:rsid w:val="0E071BA4"/>
    <w:rsid w:val="0F000694"/>
    <w:rsid w:val="0F8F10CC"/>
    <w:rsid w:val="0FB2447A"/>
    <w:rsid w:val="0FF55F30"/>
    <w:rsid w:val="10067B46"/>
    <w:rsid w:val="1086462A"/>
    <w:rsid w:val="11120C03"/>
    <w:rsid w:val="11470BDE"/>
    <w:rsid w:val="13C969BD"/>
    <w:rsid w:val="13F57E33"/>
    <w:rsid w:val="14F87626"/>
    <w:rsid w:val="15642BF1"/>
    <w:rsid w:val="15C239E3"/>
    <w:rsid w:val="15CE4434"/>
    <w:rsid w:val="16060C01"/>
    <w:rsid w:val="16187B2B"/>
    <w:rsid w:val="16E02F88"/>
    <w:rsid w:val="16E931A3"/>
    <w:rsid w:val="1748060C"/>
    <w:rsid w:val="18FF7428"/>
    <w:rsid w:val="19713256"/>
    <w:rsid w:val="19C56116"/>
    <w:rsid w:val="19D46F97"/>
    <w:rsid w:val="1AC5557F"/>
    <w:rsid w:val="1AC97109"/>
    <w:rsid w:val="1ACF721B"/>
    <w:rsid w:val="1AD150F8"/>
    <w:rsid w:val="1C03488A"/>
    <w:rsid w:val="1C3E2585"/>
    <w:rsid w:val="1C3E28B0"/>
    <w:rsid w:val="1CBF065F"/>
    <w:rsid w:val="1CCD032B"/>
    <w:rsid w:val="1D102D80"/>
    <w:rsid w:val="1D9F6650"/>
    <w:rsid w:val="1F2A51BC"/>
    <w:rsid w:val="20DC3DA8"/>
    <w:rsid w:val="20EC6F16"/>
    <w:rsid w:val="21227600"/>
    <w:rsid w:val="21DC530D"/>
    <w:rsid w:val="21F6407F"/>
    <w:rsid w:val="22AF27C7"/>
    <w:rsid w:val="23035369"/>
    <w:rsid w:val="230B33D0"/>
    <w:rsid w:val="23493DFC"/>
    <w:rsid w:val="23645BD7"/>
    <w:rsid w:val="23B35136"/>
    <w:rsid w:val="24015C20"/>
    <w:rsid w:val="247C5E11"/>
    <w:rsid w:val="250433AF"/>
    <w:rsid w:val="255277E6"/>
    <w:rsid w:val="255C749C"/>
    <w:rsid w:val="26293690"/>
    <w:rsid w:val="26B806FE"/>
    <w:rsid w:val="26BA4F6B"/>
    <w:rsid w:val="270004F3"/>
    <w:rsid w:val="270E6187"/>
    <w:rsid w:val="289F08F0"/>
    <w:rsid w:val="2932339F"/>
    <w:rsid w:val="29EE24DE"/>
    <w:rsid w:val="2A4A4D66"/>
    <w:rsid w:val="2CF16ACA"/>
    <w:rsid w:val="2D7635CE"/>
    <w:rsid w:val="2DC459C4"/>
    <w:rsid w:val="2E627098"/>
    <w:rsid w:val="2EB904C8"/>
    <w:rsid w:val="2F7A35C1"/>
    <w:rsid w:val="30114D4A"/>
    <w:rsid w:val="3080489F"/>
    <w:rsid w:val="31304903"/>
    <w:rsid w:val="31916FD2"/>
    <w:rsid w:val="323D333F"/>
    <w:rsid w:val="32717641"/>
    <w:rsid w:val="3304578A"/>
    <w:rsid w:val="33D52053"/>
    <w:rsid w:val="341F2EDB"/>
    <w:rsid w:val="34B641C5"/>
    <w:rsid w:val="35375F4B"/>
    <w:rsid w:val="354446B5"/>
    <w:rsid w:val="36375CEC"/>
    <w:rsid w:val="37AA65BD"/>
    <w:rsid w:val="37F52A52"/>
    <w:rsid w:val="3844568A"/>
    <w:rsid w:val="388C3A7A"/>
    <w:rsid w:val="389034D4"/>
    <w:rsid w:val="38C940FE"/>
    <w:rsid w:val="3A4C058B"/>
    <w:rsid w:val="3A6E549A"/>
    <w:rsid w:val="3AAC43A2"/>
    <w:rsid w:val="3B1A5872"/>
    <w:rsid w:val="3C0738EE"/>
    <w:rsid w:val="3C7452CD"/>
    <w:rsid w:val="3D8F2176"/>
    <w:rsid w:val="3DC67ACD"/>
    <w:rsid w:val="3DE1510D"/>
    <w:rsid w:val="3E4A09EE"/>
    <w:rsid w:val="3E7246AD"/>
    <w:rsid w:val="402B10B7"/>
    <w:rsid w:val="406B5FEA"/>
    <w:rsid w:val="40EA28CC"/>
    <w:rsid w:val="41074DDF"/>
    <w:rsid w:val="4121212D"/>
    <w:rsid w:val="413F74D4"/>
    <w:rsid w:val="42560402"/>
    <w:rsid w:val="42CE1D8E"/>
    <w:rsid w:val="43752043"/>
    <w:rsid w:val="437B6879"/>
    <w:rsid w:val="4404061E"/>
    <w:rsid w:val="44C066D2"/>
    <w:rsid w:val="456778F2"/>
    <w:rsid w:val="45931D2F"/>
    <w:rsid w:val="45E479C8"/>
    <w:rsid w:val="4714479B"/>
    <w:rsid w:val="47771ED1"/>
    <w:rsid w:val="48677B29"/>
    <w:rsid w:val="48E05AF7"/>
    <w:rsid w:val="494452A8"/>
    <w:rsid w:val="49AD7D2D"/>
    <w:rsid w:val="49F2070A"/>
    <w:rsid w:val="4A091A19"/>
    <w:rsid w:val="4B657135"/>
    <w:rsid w:val="4B8F463C"/>
    <w:rsid w:val="4BB0026F"/>
    <w:rsid w:val="4C253134"/>
    <w:rsid w:val="4CE41B4D"/>
    <w:rsid w:val="4F187F56"/>
    <w:rsid w:val="4F1918E4"/>
    <w:rsid w:val="4F552635"/>
    <w:rsid w:val="4FCB6A17"/>
    <w:rsid w:val="50474198"/>
    <w:rsid w:val="518B1F36"/>
    <w:rsid w:val="524F09FF"/>
    <w:rsid w:val="52687BF5"/>
    <w:rsid w:val="52F939C8"/>
    <w:rsid w:val="5371708D"/>
    <w:rsid w:val="53F17D1C"/>
    <w:rsid w:val="542E33E4"/>
    <w:rsid w:val="54B44240"/>
    <w:rsid w:val="54CB68CC"/>
    <w:rsid w:val="562B19BB"/>
    <w:rsid w:val="563A36BF"/>
    <w:rsid w:val="5787124E"/>
    <w:rsid w:val="57F72542"/>
    <w:rsid w:val="58140DC4"/>
    <w:rsid w:val="592615C5"/>
    <w:rsid w:val="59263890"/>
    <w:rsid w:val="5AD9798D"/>
    <w:rsid w:val="5B1D5577"/>
    <w:rsid w:val="5B5C3DFD"/>
    <w:rsid w:val="5CBA5401"/>
    <w:rsid w:val="5CE65545"/>
    <w:rsid w:val="5EC51179"/>
    <w:rsid w:val="5FD56323"/>
    <w:rsid w:val="5FDA4AD7"/>
    <w:rsid w:val="60BB7C42"/>
    <w:rsid w:val="61283FE8"/>
    <w:rsid w:val="61CF3BB8"/>
    <w:rsid w:val="620718C1"/>
    <w:rsid w:val="62672A8C"/>
    <w:rsid w:val="629D7104"/>
    <w:rsid w:val="62D12FBB"/>
    <w:rsid w:val="62F432A1"/>
    <w:rsid w:val="633C39C4"/>
    <w:rsid w:val="63552369"/>
    <w:rsid w:val="64233AC2"/>
    <w:rsid w:val="64B45886"/>
    <w:rsid w:val="656770AE"/>
    <w:rsid w:val="65694BE4"/>
    <w:rsid w:val="67130DC2"/>
    <w:rsid w:val="674F037B"/>
    <w:rsid w:val="680A7E6E"/>
    <w:rsid w:val="685A7431"/>
    <w:rsid w:val="687407FC"/>
    <w:rsid w:val="68912F34"/>
    <w:rsid w:val="689B7715"/>
    <w:rsid w:val="69544D74"/>
    <w:rsid w:val="6B2135DB"/>
    <w:rsid w:val="6B5479C3"/>
    <w:rsid w:val="6BEF18B9"/>
    <w:rsid w:val="6D5131E7"/>
    <w:rsid w:val="6D661C87"/>
    <w:rsid w:val="6EE167F4"/>
    <w:rsid w:val="6F472EA5"/>
    <w:rsid w:val="6F810575"/>
    <w:rsid w:val="7016381D"/>
    <w:rsid w:val="70683C45"/>
    <w:rsid w:val="70BB02A9"/>
    <w:rsid w:val="71DE4F9F"/>
    <w:rsid w:val="72274354"/>
    <w:rsid w:val="723A0ADD"/>
    <w:rsid w:val="730157AB"/>
    <w:rsid w:val="73330F1D"/>
    <w:rsid w:val="737E72C9"/>
    <w:rsid w:val="73D12296"/>
    <w:rsid w:val="73FE73EB"/>
    <w:rsid w:val="744B33D4"/>
    <w:rsid w:val="75537644"/>
    <w:rsid w:val="756C49D4"/>
    <w:rsid w:val="75E77C1D"/>
    <w:rsid w:val="765D58DE"/>
    <w:rsid w:val="76753FF5"/>
    <w:rsid w:val="76DA4242"/>
    <w:rsid w:val="77702F00"/>
    <w:rsid w:val="77A4040C"/>
    <w:rsid w:val="77F547E3"/>
    <w:rsid w:val="781431D8"/>
    <w:rsid w:val="78BF7C94"/>
    <w:rsid w:val="78C50FED"/>
    <w:rsid w:val="78D704FE"/>
    <w:rsid w:val="793F7BE2"/>
    <w:rsid w:val="799828B0"/>
    <w:rsid w:val="79E34167"/>
    <w:rsid w:val="79E948AF"/>
    <w:rsid w:val="7A0958B7"/>
    <w:rsid w:val="7A0E7B77"/>
    <w:rsid w:val="7A346392"/>
    <w:rsid w:val="7A4F58AC"/>
    <w:rsid w:val="7A792ED3"/>
    <w:rsid w:val="7ACF7200"/>
    <w:rsid w:val="7DF7593D"/>
    <w:rsid w:val="7E1F35F5"/>
    <w:rsid w:val="7ED2552B"/>
    <w:rsid w:val="7EE53919"/>
    <w:rsid w:val="7F7B4715"/>
    <w:rsid w:val="7FC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2022-12-31T09:34:00Z</dcterms:created>
  <dc:creator>Administrator</dc:creator>
  <cp:lastModifiedBy>齐淑琴</cp:lastModifiedBy>
  <cp:lastPrinted>2023-08-09T05:36:00Z</cp:lastPrinted>
  <dcterms:modified xsi:type="dcterms:W3CDTF">2024-08-19T11:37:47Z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