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600" w:lineRule="exact"/>
        <w:jc w:val="center"/>
        <w:textAlignment w:val="auto"/>
        <w:rPr>
          <w:rFonts w:hint="eastAsia" w:ascii="华文中宋" w:hAnsi="华文中宋" w:eastAsia="华文中宋"/>
          <w:b/>
          <w:sz w:val="36"/>
          <w:szCs w:val="36"/>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b/>
          <w:sz w:val="36"/>
          <w:szCs w:val="36"/>
        </w:rPr>
      </w:pPr>
      <w:r>
        <w:rPr>
          <w:rFonts w:hint="eastAsia" w:ascii="华文中宋" w:hAnsi="华文中宋" w:eastAsia="华文中宋"/>
          <w:b/>
          <w:sz w:val="36"/>
          <w:szCs w:val="36"/>
        </w:rPr>
        <w:t>自治区党委宣传部</w:t>
      </w:r>
      <w:r>
        <w:rPr>
          <w:rFonts w:hint="eastAsia" w:ascii="华文中宋" w:hAnsi="华文中宋" w:eastAsia="华文中宋"/>
          <w:b/>
          <w:sz w:val="36"/>
          <w:szCs w:val="36"/>
          <w:lang w:val="en-US" w:eastAsia="zh-CN"/>
        </w:rPr>
        <w:t>2016-</w:t>
      </w:r>
      <w:r>
        <w:rPr>
          <w:rFonts w:hint="eastAsia" w:ascii="华文中宋" w:hAnsi="华文中宋" w:eastAsia="华文中宋"/>
          <w:b/>
          <w:sz w:val="36"/>
          <w:szCs w:val="36"/>
        </w:rPr>
        <w:t>201</w:t>
      </w:r>
      <w:r>
        <w:rPr>
          <w:rFonts w:hint="eastAsia" w:ascii="华文中宋" w:hAnsi="华文中宋" w:eastAsia="华文中宋"/>
          <w:b/>
          <w:sz w:val="36"/>
          <w:szCs w:val="36"/>
          <w:lang w:val="en-US" w:eastAsia="zh-CN"/>
        </w:rPr>
        <w:t>7</w:t>
      </w:r>
      <w:r>
        <w:rPr>
          <w:rFonts w:hint="eastAsia" w:ascii="华文中宋" w:hAnsi="华文中宋" w:eastAsia="华文中宋"/>
          <w:b/>
          <w:sz w:val="36"/>
          <w:szCs w:val="36"/>
        </w:rPr>
        <w:t>年部门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sz w:val="30"/>
          <w:szCs w:val="30"/>
          <w:lang w:eastAsia="zh-CN"/>
        </w:rPr>
      </w:pPr>
      <w:r>
        <w:rPr>
          <w:rFonts w:hint="eastAsia" w:ascii="华文中宋" w:hAnsi="华文中宋" w:eastAsia="华文中宋"/>
          <w:b/>
          <w:sz w:val="36"/>
          <w:szCs w:val="36"/>
          <w:lang w:eastAsia="zh-CN"/>
        </w:rPr>
        <w:t>预决</w:t>
      </w:r>
      <w:r>
        <w:rPr>
          <w:rFonts w:hint="eastAsia" w:ascii="华文中宋" w:hAnsi="华文中宋" w:eastAsia="华文中宋"/>
          <w:b/>
          <w:sz w:val="36"/>
          <w:szCs w:val="36"/>
        </w:rPr>
        <w:t>算</w:t>
      </w:r>
      <w:r>
        <w:rPr>
          <w:rFonts w:hint="eastAsia" w:ascii="华文中宋" w:hAnsi="华文中宋" w:eastAsia="华文中宋"/>
          <w:b/>
          <w:sz w:val="36"/>
          <w:szCs w:val="36"/>
          <w:lang w:eastAsia="zh-CN"/>
        </w:rPr>
        <w:t>信息补充公开报告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_GB2312" w:eastAsia="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_GB2312" w:hAnsi="仿宋_GB2312" w:eastAsia="仿宋_GB2312" w:cs="仿宋_GB2312"/>
          <w:b/>
          <w:sz w:val="32"/>
          <w:szCs w:val="32"/>
          <w:lang w:eastAsia="zh-CN"/>
        </w:rPr>
      </w:pPr>
      <w:r>
        <w:rPr>
          <w:rFonts w:hint="eastAsia" w:ascii="仿宋_GB2312" w:hAnsi="仿宋_GB2312" w:eastAsia="仿宋_GB2312" w:cs="仿宋_GB2312"/>
          <w:color w:val="000000"/>
          <w:sz w:val="32"/>
          <w:szCs w:val="32"/>
        </w:rPr>
        <w:t> </w:t>
      </w:r>
      <w:r>
        <w:rPr>
          <w:rFonts w:hint="eastAsia" w:ascii="仿宋_GB2312" w:hAnsi="仿宋_GB2312" w:eastAsia="仿宋_GB2312" w:cs="仿宋_GB2312"/>
          <w:sz w:val="32"/>
          <w:szCs w:val="32"/>
          <w:lang w:eastAsia="zh-CN"/>
        </w:rPr>
        <w:t>根据《关于新疆自治区</w:t>
      </w:r>
      <w:r>
        <w:rPr>
          <w:rFonts w:hint="eastAsia" w:ascii="仿宋_GB2312" w:hAnsi="仿宋_GB2312" w:eastAsia="仿宋_GB2312" w:cs="仿宋_GB2312"/>
          <w:sz w:val="32"/>
          <w:szCs w:val="32"/>
          <w:lang w:val="en-US" w:eastAsia="zh-CN"/>
        </w:rPr>
        <w:t>2017年预决算公开情况专项检查的处理决定</w:t>
      </w:r>
      <w:r>
        <w:rPr>
          <w:rFonts w:hint="eastAsia" w:ascii="仿宋_GB2312" w:hAnsi="仿宋_GB2312" w:eastAsia="仿宋_GB2312" w:cs="仿宋_GB2312"/>
          <w:sz w:val="32"/>
          <w:szCs w:val="32"/>
          <w:lang w:eastAsia="zh-CN"/>
        </w:rPr>
        <w:t>》（财驻新监〔</w:t>
      </w:r>
      <w:r>
        <w:rPr>
          <w:rFonts w:hint="eastAsia" w:ascii="仿宋_GB2312" w:hAnsi="仿宋_GB2312" w:eastAsia="仿宋_GB2312" w:cs="仿宋_GB2312"/>
          <w:sz w:val="32"/>
          <w:szCs w:val="32"/>
          <w:lang w:val="en-US" w:eastAsia="zh-CN"/>
        </w:rPr>
        <w:t>2018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94号</w:t>
      </w:r>
      <w:r>
        <w:rPr>
          <w:rFonts w:hint="eastAsia" w:ascii="仿宋_GB2312" w:hAnsi="仿宋_GB2312" w:eastAsia="仿宋_GB2312" w:cs="仿宋_GB2312"/>
          <w:sz w:val="32"/>
          <w:szCs w:val="32"/>
          <w:lang w:eastAsia="zh-CN"/>
        </w:rPr>
        <w:t>）要求，</w:t>
      </w:r>
      <w:r>
        <w:rPr>
          <w:rFonts w:hint="eastAsia" w:ascii="仿宋_GB2312" w:hAnsi="仿宋_GB2312" w:eastAsia="仿宋_GB2312" w:cs="仿宋_GB2312"/>
          <w:color w:val="000000"/>
          <w:sz w:val="32"/>
          <w:szCs w:val="32"/>
        </w:rPr>
        <w:t>现将</w:t>
      </w:r>
      <w:r>
        <w:rPr>
          <w:rFonts w:hint="eastAsia" w:ascii="仿宋_GB2312" w:hAnsi="仿宋_GB2312" w:eastAsia="仿宋_GB2312" w:cs="仿宋_GB2312"/>
          <w:color w:val="000000"/>
          <w:sz w:val="32"/>
          <w:szCs w:val="32"/>
          <w:lang w:eastAsia="zh-CN"/>
        </w:rPr>
        <w:t>我部</w:t>
      </w:r>
      <w:r>
        <w:rPr>
          <w:rFonts w:hint="eastAsia" w:ascii="仿宋_GB2312" w:hAnsi="仿宋_GB2312" w:eastAsia="仿宋_GB2312" w:cs="仿宋_GB2312"/>
          <w:color w:val="000000"/>
          <w:sz w:val="32"/>
          <w:szCs w:val="32"/>
          <w:lang w:val="en-US" w:eastAsia="zh-CN"/>
        </w:rPr>
        <w:t>2016-</w:t>
      </w:r>
      <w:r>
        <w:rPr>
          <w:rFonts w:hint="eastAsia" w:ascii="仿宋_GB2312" w:hAnsi="仿宋_GB2312" w:eastAsia="仿宋_GB2312" w:cs="仿宋_GB2312"/>
          <w:color w:val="000000"/>
          <w:sz w:val="32"/>
          <w:szCs w:val="32"/>
        </w:rPr>
        <w:t>201</w:t>
      </w:r>
      <w:r>
        <w:rPr>
          <w:rFonts w:hint="eastAsia" w:ascii="仿宋_GB2312" w:hAnsi="仿宋_GB2312" w:eastAsia="仿宋_GB2312" w:cs="仿宋_GB2312"/>
          <w:color w:val="000000"/>
          <w:sz w:val="32"/>
          <w:szCs w:val="32"/>
          <w:lang w:val="en-US" w:eastAsia="zh-CN"/>
        </w:rPr>
        <w:t>7</w:t>
      </w:r>
      <w:r>
        <w:rPr>
          <w:rFonts w:hint="eastAsia" w:ascii="仿宋_GB2312" w:hAnsi="仿宋_GB2312" w:eastAsia="仿宋_GB2312" w:cs="仿宋_GB2312"/>
          <w:color w:val="000000"/>
          <w:sz w:val="32"/>
          <w:szCs w:val="32"/>
        </w:rPr>
        <w:t>年部门</w:t>
      </w:r>
      <w:r>
        <w:rPr>
          <w:rFonts w:hint="eastAsia" w:ascii="仿宋_GB2312" w:hAnsi="仿宋_GB2312" w:eastAsia="仿宋_GB2312" w:cs="仿宋_GB2312"/>
          <w:color w:val="000000"/>
          <w:sz w:val="32"/>
          <w:szCs w:val="32"/>
          <w:lang w:eastAsia="zh-CN"/>
        </w:rPr>
        <w:t>预决算相关</w:t>
      </w:r>
      <w:r>
        <w:rPr>
          <w:rFonts w:hint="eastAsia" w:ascii="仿宋_GB2312" w:hAnsi="仿宋_GB2312" w:eastAsia="仿宋_GB2312" w:cs="仿宋_GB2312"/>
          <w:color w:val="000000"/>
          <w:sz w:val="32"/>
          <w:szCs w:val="32"/>
        </w:rPr>
        <w:t>信息</w:t>
      </w:r>
      <w:r>
        <w:rPr>
          <w:rFonts w:hint="eastAsia" w:ascii="仿宋_GB2312" w:hAnsi="仿宋_GB2312" w:eastAsia="仿宋_GB2312" w:cs="仿宋_GB2312"/>
          <w:color w:val="000000"/>
          <w:sz w:val="32"/>
          <w:szCs w:val="32"/>
          <w:lang w:eastAsia="zh-CN"/>
        </w:rPr>
        <w:t>补充</w:t>
      </w:r>
      <w:r>
        <w:rPr>
          <w:rFonts w:hint="eastAsia" w:ascii="仿宋_GB2312" w:hAnsi="仿宋_GB2312" w:eastAsia="仿宋_GB2312" w:cs="仿宋_GB2312"/>
          <w:color w:val="000000"/>
          <w:sz w:val="32"/>
          <w:szCs w:val="32"/>
        </w:rPr>
        <w:t>公开如下：</w:t>
      </w:r>
    </w:p>
    <w:p>
      <w:pPr>
        <w:keepNext w:val="0"/>
        <w:keepLines w:val="0"/>
        <w:pageBreakBefore w:val="0"/>
        <w:widowControl w:val="0"/>
        <w:kinsoku/>
        <w:wordWrap/>
        <w:overflowPunct/>
        <w:topLinePunct w:val="0"/>
        <w:autoSpaceDE/>
        <w:autoSpaceDN/>
        <w:bidi w:val="0"/>
        <w:adjustRightInd/>
        <w:snapToGrid/>
        <w:spacing w:line="560" w:lineRule="exact"/>
        <w:ind w:left="585"/>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2016年部门决算补充公开信息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t>（一）政府采购执行情况说明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2016年政府采购预算数204万元，其中办公设备购置190万元、公务用车保险费14万元。2016年部门决算执行数184万元，其中办公设备购置170万元、公务用车保险费14万元。2016年决算数较预算数减少20万元（办公设备购置减少20万元），减幅10%。减少原因主要分析为我部在办公设备的采购上严格限额标准，对所需更换采购设备实行“先修 再调剂 后购买”原则，在选择上对采购单位商品进行经济效益的评估，并与市场采购价进行比较，一定程度上节省了采购成本。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lang w:val="en-US" w:eastAsia="zh-CN"/>
        </w:rPr>
        <w:t>（二）一般公共预算“三公”经费情况说明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2016年度“三公”经费预算数</w:t>
      </w:r>
      <w:r>
        <w:rPr>
          <w:rFonts w:hint="eastAsia" w:ascii="仿宋_GB2312" w:hAnsi="仿宋_GB2312" w:eastAsia="仿宋_GB2312" w:cs="仿宋_GB2312"/>
          <w:sz w:val="32"/>
          <w:szCs w:val="32"/>
        </w:rPr>
        <w:t>233万元。其中：公务</w:t>
      </w:r>
      <w:r>
        <w:rPr>
          <w:rFonts w:hint="eastAsia" w:ascii="仿宋_GB2312" w:hAnsi="仿宋_GB2312" w:eastAsia="仿宋_GB2312" w:cs="仿宋_GB2312"/>
          <w:sz w:val="32"/>
          <w:szCs w:val="32"/>
          <w:lang w:eastAsia="zh-CN"/>
        </w:rPr>
        <w:t>接待费</w:t>
      </w:r>
      <w:r>
        <w:rPr>
          <w:rFonts w:hint="eastAsia" w:ascii="仿宋_GB2312" w:hAnsi="仿宋_GB2312" w:eastAsia="仿宋_GB2312" w:cs="仿宋_GB2312"/>
          <w:sz w:val="32"/>
          <w:szCs w:val="32"/>
        </w:rPr>
        <w:t>72万元，公务用车</w:t>
      </w:r>
      <w:r>
        <w:rPr>
          <w:rFonts w:hint="eastAsia" w:ascii="仿宋_GB2312" w:hAnsi="仿宋_GB2312" w:eastAsia="仿宋_GB2312" w:cs="仿宋_GB2312"/>
          <w:sz w:val="32"/>
          <w:szCs w:val="32"/>
          <w:lang w:eastAsia="zh-CN"/>
        </w:rPr>
        <w:t>购置</w:t>
      </w:r>
      <w:r>
        <w:rPr>
          <w:rFonts w:hint="eastAsia" w:ascii="仿宋_GB2312" w:hAnsi="仿宋_GB2312" w:eastAsia="仿宋_GB2312" w:cs="仿宋_GB2312"/>
          <w:sz w:val="32"/>
          <w:szCs w:val="32"/>
          <w:lang w:val="en-US" w:eastAsia="zh-CN"/>
        </w:rPr>
        <w:t>0元、公务用车运行维护</w:t>
      </w:r>
      <w:r>
        <w:rPr>
          <w:rFonts w:hint="eastAsia" w:ascii="仿宋_GB2312" w:hAnsi="仿宋_GB2312" w:eastAsia="仿宋_GB2312" w:cs="仿宋_GB2312"/>
          <w:sz w:val="32"/>
          <w:szCs w:val="32"/>
        </w:rPr>
        <w:t>161万元</w:t>
      </w:r>
      <w:r>
        <w:rPr>
          <w:rFonts w:hint="eastAsia" w:ascii="仿宋_GB2312" w:hAnsi="仿宋_GB2312" w:eastAsia="仿宋_GB2312" w:cs="仿宋_GB2312"/>
          <w:sz w:val="32"/>
          <w:szCs w:val="32"/>
          <w:lang w:eastAsia="zh-CN"/>
        </w:rPr>
        <w:t>、因公出国（境）费用</w:t>
      </w:r>
      <w:r>
        <w:rPr>
          <w:rFonts w:hint="eastAsia" w:ascii="仿宋_GB2312" w:hAnsi="仿宋_GB2312" w:eastAsia="仿宋_GB2312" w:cs="仿宋_GB2312"/>
          <w:sz w:val="32"/>
          <w:szCs w:val="32"/>
          <w:lang w:val="en-US" w:eastAsia="zh-CN"/>
        </w:rPr>
        <w:t>0元</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val="en-US" w:eastAsia="zh-CN"/>
        </w:rPr>
        <w:t>2016年度“三公”经费决算数152万元。</w:t>
      </w:r>
      <w:r>
        <w:rPr>
          <w:rFonts w:hint="eastAsia" w:ascii="仿宋_GB2312" w:hAnsi="仿宋_GB2312" w:eastAsia="仿宋_GB2312" w:cs="仿宋_GB2312"/>
          <w:sz w:val="32"/>
          <w:szCs w:val="32"/>
        </w:rPr>
        <w:t>其中：公务</w:t>
      </w:r>
      <w:r>
        <w:rPr>
          <w:rFonts w:hint="eastAsia" w:ascii="仿宋_GB2312" w:hAnsi="仿宋_GB2312" w:eastAsia="仿宋_GB2312" w:cs="仿宋_GB2312"/>
          <w:sz w:val="32"/>
          <w:szCs w:val="32"/>
          <w:lang w:eastAsia="zh-CN"/>
        </w:rPr>
        <w:t>接待费</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万元，公务用车</w:t>
      </w:r>
      <w:r>
        <w:rPr>
          <w:rFonts w:hint="eastAsia" w:ascii="仿宋_GB2312" w:hAnsi="仿宋_GB2312" w:eastAsia="仿宋_GB2312" w:cs="仿宋_GB2312"/>
          <w:sz w:val="32"/>
          <w:szCs w:val="32"/>
          <w:lang w:eastAsia="zh-CN"/>
        </w:rPr>
        <w:t>购置</w:t>
      </w:r>
      <w:r>
        <w:rPr>
          <w:rFonts w:hint="eastAsia" w:ascii="仿宋_GB2312" w:hAnsi="仿宋_GB2312" w:eastAsia="仿宋_GB2312" w:cs="仿宋_GB2312"/>
          <w:sz w:val="32"/>
          <w:szCs w:val="32"/>
          <w:lang w:val="en-US" w:eastAsia="zh-CN"/>
        </w:rPr>
        <w:t>0元、公务用车运行维护112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、因公出国（境）费用</w:t>
      </w:r>
      <w:r>
        <w:rPr>
          <w:rFonts w:hint="eastAsia" w:ascii="仿宋_GB2312" w:hAnsi="仿宋_GB2312" w:eastAsia="仿宋_GB2312" w:cs="仿宋_GB2312"/>
          <w:sz w:val="32"/>
          <w:szCs w:val="32"/>
          <w:lang w:val="en-US" w:eastAsia="zh-CN"/>
        </w:rPr>
        <w:t>0元</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right="-105" w:rightChars="-50"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2016年度“三公”经费决算执行数较预算数减少80万元，减幅34%。分析情况为：公务接待费减少32万元，减幅44%，按照中央八项规定要求，我部积极完善配套制度及审批程序、规范接待管理、严格监督问责，从实际行动上减少了铺张浪费，减少了公务接待费的开支，全年无国外接待，国内公务接待80批886人次；公务用车运行维护费减少49万元减幅30%，主要原因是我部在公务用车管理上不断完善，在用车、用料、维修上执行“先审批”办理程序，对车辆的各项开支费用实现统筹规划，预算总额控制，执行实物定额管理，有效控制和降低了公务用车运行维护费用的发生，全年公务用车保有量30辆；公务用车购置费0元，未发生增减变动；因公出国（境）费用0元，未发生增加变动情况。</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公开及时性及公开方式</w:t>
      </w:r>
    </w:p>
    <w:tbl>
      <w:tblPr>
        <w:tblStyle w:val="4"/>
        <w:tblpPr w:leftFromText="180" w:rightFromText="180" w:vertAnchor="text" w:horzAnchor="page" w:tblpX="1935" w:tblpY="582"/>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0"/>
        <w:gridCol w:w="1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exact"/>
        </w:trPr>
        <w:tc>
          <w:tcPr>
            <w:tcW w:w="709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eastAsia="zh-CN"/>
              </w:rPr>
              <w:t>及</w:t>
            </w:r>
            <w:r>
              <w:rPr>
                <w:rFonts w:hint="eastAsia" w:ascii="仿宋_GB2312" w:hAnsi="仿宋_GB2312" w:eastAsia="仿宋_GB2312" w:cs="仿宋_GB2312"/>
                <w:sz w:val="32"/>
                <w:szCs w:val="32"/>
                <w:vertAlign w:val="baseline"/>
                <w:lang w:val="en-US" w:eastAsia="zh-CN"/>
              </w:rPr>
              <w:t xml:space="preserve"> </w:t>
            </w:r>
            <w:r>
              <w:rPr>
                <w:rFonts w:hint="eastAsia" w:ascii="仿宋_GB2312" w:hAnsi="仿宋_GB2312" w:eastAsia="仿宋_GB2312" w:cs="仿宋_GB2312"/>
                <w:sz w:val="32"/>
                <w:szCs w:val="32"/>
                <w:vertAlign w:val="baseline"/>
                <w:lang w:eastAsia="zh-CN"/>
              </w:rPr>
              <w:t>时</w:t>
            </w:r>
            <w:r>
              <w:rPr>
                <w:rFonts w:hint="eastAsia" w:ascii="仿宋_GB2312" w:hAnsi="仿宋_GB2312" w:eastAsia="仿宋_GB2312" w:cs="仿宋_GB2312"/>
                <w:sz w:val="32"/>
                <w:szCs w:val="32"/>
                <w:vertAlign w:val="baseline"/>
                <w:lang w:val="en-US" w:eastAsia="zh-CN"/>
              </w:rPr>
              <w:t xml:space="preserve"> </w:t>
            </w:r>
            <w:r>
              <w:rPr>
                <w:rFonts w:hint="eastAsia" w:ascii="仿宋_GB2312" w:hAnsi="仿宋_GB2312" w:eastAsia="仿宋_GB2312" w:cs="仿宋_GB2312"/>
                <w:sz w:val="32"/>
                <w:szCs w:val="32"/>
                <w:vertAlign w:val="baseline"/>
                <w:lang w:eastAsia="zh-CN"/>
              </w:rPr>
              <w:t>性</w:t>
            </w:r>
            <w:r>
              <w:rPr>
                <w:rFonts w:hint="eastAsia" w:ascii="仿宋_GB2312" w:hAnsi="仿宋_GB2312" w:eastAsia="仿宋_GB2312" w:cs="仿宋_GB2312"/>
                <w:sz w:val="32"/>
                <w:szCs w:val="32"/>
                <w:vertAlign w:val="baseline"/>
                <w:lang w:val="en-US" w:eastAsia="zh-CN"/>
              </w:rPr>
              <w:t>/公 开 方 式</w:t>
            </w:r>
          </w:p>
        </w:tc>
        <w:tc>
          <w:tcPr>
            <w:tcW w:w="1432"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eastAsia="zh-CN"/>
              </w:rPr>
              <w:t>是</w:t>
            </w:r>
            <w:r>
              <w:rPr>
                <w:rFonts w:hint="eastAsia" w:ascii="仿宋_GB2312" w:hAnsi="仿宋_GB2312" w:eastAsia="仿宋_GB2312" w:cs="仿宋_GB2312"/>
                <w:sz w:val="32"/>
                <w:szCs w:val="32"/>
                <w:vertAlign w:val="baseli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exact"/>
        </w:trPr>
        <w:tc>
          <w:tcPr>
            <w:tcW w:w="709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eastAsia="zh-CN"/>
              </w:rPr>
              <w:t>财政部门尚未批复</w:t>
            </w:r>
          </w:p>
        </w:tc>
        <w:tc>
          <w:tcPr>
            <w:tcW w:w="1432"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exact"/>
        </w:trPr>
        <w:tc>
          <w:tcPr>
            <w:tcW w:w="709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28"/>
                <w:szCs w:val="28"/>
                <w:vertAlign w:val="baseline"/>
                <w:lang w:eastAsia="zh-CN"/>
              </w:rPr>
            </w:pPr>
            <w:r>
              <w:rPr>
                <w:rFonts w:hint="eastAsia" w:ascii="仿宋_GB2312" w:hAnsi="仿宋_GB2312" w:eastAsia="仿宋_GB2312" w:cs="仿宋_GB2312"/>
                <w:sz w:val="28"/>
                <w:szCs w:val="28"/>
                <w:vertAlign w:val="baseline"/>
                <w:lang w:eastAsia="zh-CN"/>
              </w:rPr>
              <w:t>财政部门已批复未公开</w:t>
            </w:r>
          </w:p>
        </w:tc>
        <w:tc>
          <w:tcPr>
            <w:tcW w:w="1432"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0" w:hRule="exact"/>
        </w:trPr>
        <w:tc>
          <w:tcPr>
            <w:tcW w:w="709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28"/>
                <w:szCs w:val="28"/>
                <w:vertAlign w:val="baseline"/>
                <w:lang w:eastAsia="zh-CN"/>
              </w:rPr>
            </w:pPr>
            <w:r>
              <w:rPr>
                <w:rFonts w:hint="eastAsia" w:ascii="仿宋_GB2312" w:hAnsi="仿宋_GB2312" w:eastAsia="仿宋_GB2312" w:cs="仿宋_GB2312"/>
                <w:sz w:val="28"/>
                <w:szCs w:val="28"/>
                <w:vertAlign w:val="baseline"/>
              </w:rPr>
              <w:t>有门户网站的，在本级政府或财政部门门户网站公开，并永久保留；没有门户网站的，在公开媒体公开</w:t>
            </w:r>
            <w:r>
              <w:rPr>
                <w:rFonts w:hint="eastAsia" w:ascii="仿宋_GB2312" w:hAnsi="仿宋_GB2312" w:eastAsia="仿宋_GB2312" w:cs="仿宋_GB2312"/>
                <w:sz w:val="28"/>
                <w:szCs w:val="28"/>
                <w:vertAlign w:val="baseline"/>
                <w:lang w:eastAsia="zh-CN"/>
              </w:rPr>
              <w:t>。</w:t>
            </w:r>
          </w:p>
        </w:tc>
        <w:tc>
          <w:tcPr>
            <w:tcW w:w="14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eastAsia="zh-CN"/>
              </w:rPr>
              <w:t>是</w:t>
            </w:r>
          </w:p>
        </w:tc>
      </w:tr>
    </w:tbl>
    <w:p>
      <w:pPr>
        <w:keepNext w:val="0"/>
        <w:keepLines w:val="0"/>
        <w:pageBreakBefore w:val="0"/>
        <w:widowControl w:val="0"/>
        <w:kinsoku/>
        <w:wordWrap/>
        <w:overflowPunct/>
        <w:topLinePunct w:val="0"/>
        <w:autoSpaceDE/>
        <w:autoSpaceDN/>
        <w:bidi w:val="0"/>
        <w:adjustRightInd/>
        <w:snapToGrid/>
        <w:spacing w:line="560" w:lineRule="exact"/>
        <w:ind w:left="585"/>
        <w:textAlignment w:val="auto"/>
        <w:rPr>
          <w:rFonts w:hint="eastAsia" w:ascii="黑体" w:hAnsi="黑体" w:eastAsia="黑体" w:cs="黑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585"/>
        <w:textAlignment w:val="auto"/>
        <w:rPr>
          <w:rFonts w:hint="eastAsia" w:ascii="黑体" w:hAnsi="黑体" w:eastAsia="黑体" w:cs="黑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585"/>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eastAsia="zh-CN"/>
        </w:rPr>
        <w:t>二、</w:t>
      </w:r>
      <w:r>
        <w:rPr>
          <w:rFonts w:hint="eastAsia" w:ascii="黑体" w:hAnsi="黑体" w:eastAsia="黑体" w:cs="黑体"/>
          <w:sz w:val="32"/>
          <w:szCs w:val="32"/>
          <w:lang w:val="en-US" w:eastAsia="zh-CN"/>
        </w:rPr>
        <w:t>2017年部门预算补充公开信息</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both"/>
        <w:textAlignment w:val="auto"/>
        <w:rPr>
          <w:rFonts w:hint="eastAsia" w:asciiTheme="majorEastAsia" w:hAnsiTheme="majorEastAsia" w:eastAsiaTheme="majorEastAsia" w:cstheme="majorEastAsia"/>
          <w:sz w:val="32"/>
          <w:szCs w:val="32"/>
          <w:lang w:eastAsia="zh-CN"/>
        </w:rPr>
      </w:pPr>
      <w:r>
        <w:rPr>
          <w:rFonts w:hint="eastAsia" w:asciiTheme="majorEastAsia" w:hAnsiTheme="majorEastAsia" w:eastAsiaTheme="majorEastAsia" w:cstheme="majorEastAsia"/>
          <w:sz w:val="32"/>
          <w:szCs w:val="32"/>
          <w:lang w:eastAsia="zh-CN"/>
        </w:rPr>
        <w:t>机关运行经费安排情况说明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年度机关运行经费</w:t>
      </w:r>
      <w:r>
        <w:rPr>
          <w:rFonts w:hint="eastAsia" w:ascii="仿宋_GB2312" w:eastAsia="仿宋_GB2312"/>
          <w:sz w:val="32"/>
          <w:szCs w:val="32"/>
          <w:lang w:eastAsia="zh-CN"/>
        </w:rPr>
        <w:t>预算安排</w:t>
      </w:r>
      <w:r>
        <w:rPr>
          <w:rFonts w:hint="eastAsia" w:ascii="仿宋_GB2312" w:eastAsia="仿宋_GB2312"/>
          <w:sz w:val="32"/>
          <w:szCs w:val="32"/>
          <w:lang w:val="en-US" w:eastAsia="zh-CN"/>
        </w:rPr>
        <w:t>551</w:t>
      </w:r>
      <w:r>
        <w:rPr>
          <w:rFonts w:hint="eastAsia" w:ascii="仿宋_GB2312" w:eastAsia="仿宋_GB2312"/>
          <w:sz w:val="32"/>
          <w:szCs w:val="32"/>
        </w:rPr>
        <w:t>万元，比上年</w:t>
      </w:r>
      <w:r>
        <w:rPr>
          <w:rFonts w:hint="eastAsia" w:ascii="仿宋_GB2312" w:eastAsia="仿宋_GB2312"/>
          <w:sz w:val="32"/>
          <w:szCs w:val="32"/>
          <w:lang w:eastAsia="zh-CN"/>
        </w:rPr>
        <w:t>预算增加</w:t>
      </w:r>
      <w:r>
        <w:rPr>
          <w:rFonts w:hint="eastAsia" w:ascii="仿宋_GB2312" w:eastAsia="仿宋_GB2312"/>
          <w:sz w:val="32"/>
          <w:szCs w:val="32"/>
          <w:lang w:val="en-US" w:eastAsia="zh-CN"/>
        </w:rPr>
        <w:t>16</w:t>
      </w:r>
      <w:r>
        <w:rPr>
          <w:rFonts w:hint="eastAsia" w:ascii="仿宋_GB2312" w:eastAsia="仿宋_GB2312"/>
          <w:sz w:val="32"/>
          <w:szCs w:val="32"/>
        </w:rPr>
        <w:t>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3</w:t>
      </w:r>
      <w:r>
        <w:rPr>
          <w:rFonts w:hint="eastAsia" w:ascii="仿宋_GB2312" w:eastAsia="仿宋_GB2312"/>
          <w:sz w:val="32"/>
          <w:szCs w:val="32"/>
        </w:rPr>
        <w:t>%，主要</w:t>
      </w:r>
      <w:r>
        <w:rPr>
          <w:rFonts w:hint="eastAsia" w:ascii="仿宋_GB2312" w:hAnsi="仿宋_GB2312" w:eastAsia="仿宋_GB2312" w:cs="仿宋_GB2312"/>
          <w:sz w:val="32"/>
          <w:szCs w:val="32"/>
        </w:rPr>
        <w:t>原因</w:t>
      </w:r>
      <w:r>
        <w:rPr>
          <w:rFonts w:hint="eastAsia" w:ascii="仿宋_GB2312" w:hAnsi="仿宋_GB2312" w:eastAsia="仿宋_GB2312" w:cs="仿宋_GB2312"/>
          <w:sz w:val="32"/>
          <w:szCs w:val="32"/>
          <w:lang w:eastAsia="zh-CN"/>
        </w:rPr>
        <w:t>为人员增加导致人头经费增加所致。</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both"/>
        <w:textAlignment w:val="auto"/>
        <w:rPr>
          <w:rFonts w:hint="eastAsia" w:asciiTheme="majorEastAsia" w:hAnsiTheme="majorEastAsia" w:eastAsiaTheme="majorEastAsia" w:cstheme="majorEastAsia"/>
          <w:sz w:val="32"/>
          <w:szCs w:val="32"/>
          <w:lang w:eastAsia="zh-CN"/>
        </w:rPr>
      </w:pPr>
      <w:r>
        <w:rPr>
          <w:rFonts w:hint="eastAsia" w:asciiTheme="majorEastAsia" w:hAnsiTheme="majorEastAsia" w:eastAsiaTheme="majorEastAsia" w:cstheme="majorEastAsia"/>
          <w:sz w:val="32"/>
          <w:szCs w:val="32"/>
          <w:lang w:eastAsia="zh-CN"/>
        </w:rPr>
        <w:t>政府采购安排情况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 xml:space="preserve">    2017年部门预算政府采购安排204万元，其中办公设备购置150万元、公务用车保险费14万元、印刷费40万元。</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both"/>
        <w:textAlignment w:val="auto"/>
        <w:rPr>
          <w:rFonts w:hint="eastAsia" w:asciiTheme="majorEastAsia" w:hAnsiTheme="majorEastAsia" w:eastAsiaTheme="majorEastAsia" w:cstheme="majorEastAsia"/>
          <w:sz w:val="32"/>
          <w:szCs w:val="32"/>
          <w:lang w:eastAsia="zh-CN"/>
        </w:rPr>
      </w:pPr>
      <w:r>
        <w:rPr>
          <w:rFonts w:hint="eastAsia" w:asciiTheme="majorEastAsia" w:hAnsiTheme="majorEastAsia" w:eastAsiaTheme="majorEastAsia" w:cstheme="majorEastAsia"/>
          <w:sz w:val="32"/>
          <w:szCs w:val="32"/>
          <w:lang w:eastAsia="zh-CN"/>
        </w:rPr>
        <w:t>专业较强的名词进行解释</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附属单位缴款：指事业单位附属的独立核算单位按有关规定上缴的收入。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其他收入：指除上述“财政拨款收入”、“事业收入”、“经营收入”、“附属单位缴款”等之外取得的收入。</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56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both"/>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t>公开及时性</w:t>
      </w:r>
    </w:p>
    <w:tbl>
      <w:tblPr>
        <w:tblStyle w:val="4"/>
        <w:tblpPr w:leftFromText="180" w:rightFromText="180" w:vertAnchor="text" w:horzAnchor="page" w:tblpX="2171" w:tblpY="582"/>
        <w:tblOverlap w:val="never"/>
        <w:tblW w:w="8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4"/>
        <w:gridCol w:w="1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eastAsia="zh-CN"/>
              </w:rPr>
              <w:t>及</w:t>
            </w:r>
            <w:r>
              <w:rPr>
                <w:rFonts w:hint="eastAsia" w:ascii="仿宋_GB2312" w:hAnsi="仿宋_GB2312" w:eastAsia="仿宋_GB2312" w:cs="仿宋_GB2312"/>
                <w:sz w:val="32"/>
                <w:szCs w:val="32"/>
                <w:vertAlign w:val="baseline"/>
                <w:lang w:val="en-US" w:eastAsia="zh-CN"/>
              </w:rPr>
              <w:t xml:space="preserve">   </w:t>
            </w:r>
            <w:r>
              <w:rPr>
                <w:rFonts w:hint="eastAsia" w:ascii="仿宋_GB2312" w:hAnsi="仿宋_GB2312" w:eastAsia="仿宋_GB2312" w:cs="仿宋_GB2312"/>
                <w:sz w:val="32"/>
                <w:szCs w:val="32"/>
                <w:vertAlign w:val="baseline"/>
                <w:lang w:eastAsia="zh-CN"/>
              </w:rPr>
              <w:t>时</w:t>
            </w:r>
            <w:r>
              <w:rPr>
                <w:rFonts w:hint="eastAsia" w:ascii="仿宋_GB2312" w:hAnsi="仿宋_GB2312" w:eastAsia="仿宋_GB2312" w:cs="仿宋_GB2312"/>
                <w:sz w:val="32"/>
                <w:szCs w:val="32"/>
                <w:vertAlign w:val="baseline"/>
                <w:lang w:val="en-US" w:eastAsia="zh-CN"/>
              </w:rPr>
              <w:t xml:space="preserve">   </w:t>
            </w:r>
            <w:r>
              <w:rPr>
                <w:rFonts w:hint="eastAsia" w:ascii="仿宋_GB2312" w:hAnsi="仿宋_GB2312" w:eastAsia="仿宋_GB2312" w:cs="仿宋_GB2312"/>
                <w:sz w:val="32"/>
                <w:szCs w:val="32"/>
                <w:vertAlign w:val="baseline"/>
                <w:lang w:eastAsia="zh-CN"/>
              </w:rPr>
              <w:t>性</w:t>
            </w:r>
          </w:p>
        </w:tc>
        <w:tc>
          <w:tcPr>
            <w:tcW w:w="117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eastAsia="zh-CN"/>
              </w:rPr>
              <w:t>是</w:t>
            </w:r>
            <w:r>
              <w:rPr>
                <w:rFonts w:hint="eastAsia" w:ascii="仿宋_GB2312" w:hAnsi="仿宋_GB2312" w:eastAsia="仿宋_GB2312" w:cs="仿宋_GB2312"/>
                <w:sz w:val="32"/>
                <w:szCs w:val="32"/>
                <w:vertAlign w:val="baseli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85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left"/>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eastAsia="zh-CN"/>
              </w:rPr>
              <w:t>财政部门尚未批复</w:t>
            </w:r>
          </w:p>
        </w:tc>
        <w:tc>
          <w:tcPr>
            <w:tcW w:w="117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left"/>
              <w:textAlignment w:val="auto"/>
              <w:rPr>
                <w:rFonts w:hint="eastAsia" w:ascii="仿宋_GB2312" w:hAnsi="仿宋_GB2312" w:eastAsia="仿宋_GB2312" w:cs="仿宋_GB2312"/>
                <w:sz w:val="28"/>
                <w:szCs w:val="28"/>
                <w:vertAlign w:val="baseline"/>
                <w:lang w:eastAsia="zh-CN"/>
              </w:rPr>
            </w:pPr>
            <w:r>
              <w:rPr>
                <w:rFonts w:hint="eastAsia" w:ascii="仿宋_GB2312" w:hAnsi="仿宋_GB2312" w:eastAsia="仿宋_GB2312" w:cs="仿宋_GB2312"/>
                <w:sz w:val="28"/>
                <w:szCs w:val="28"/>
                <w:vertAlign w:val="baseline"/>
                <w:lang w:eastAsia="zh-CN"/>
              </w:rPr>
              <w:t>财政部门已批复未公开</w:t>
            </w:r>
          </w:p>
        </w:tc>
        <w:tc>
          <w:tcPr>
            <w:tcW w:w="117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eastAsia="zh-CN"/>
              </w:rPr>
              <w:t>否</w:t>
            </w:r>
            <w:bookmarkStart w:id="0" w:name="_GoBack"/>
            <w:bookmarkEnd w:id="0"/>
          </w:p>
        </w:tc>
      </w:tr>
    </w:tbl>
    <w:p>
      <w:pPr>
        <w:keepNext w:val="0"/>
        <w:keepLines w:val="0"/>
        <w:pageBreakBefore w:val="0"/>
        <w:widowControl w:val="0"/>
        <w:kinsoku/>
        <w:wordWrap/>
        <w:overflowPunct/>
        <w:topLinePunct w:val="0"/>
        <w:bidi w:val="0"/>
        <w:snapToGrid/>
        <w:spacing w:line="560" w:lineRule="exact"/>
        <w:ind w:firstLine="4800" w:firstLineChars="15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bidi w:val="0"/>
        <w:snapToGrid/>
        <w:spacing w:line="560" w:lineRule="exact"/>
        <w:ind w:firstLine="4800" w:firstLineChars="15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bidi w:val="0"/>
        <w:snapToGrid/>
        <w:spacing w:line="560" w:lineRule="exact"/>
        <w:ind w:firstLine="4800" w:firstLineChars="15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bidi w:val="0"/>
        <w:snapToGrid/>
        <w:spacing w:line="560" w:lineRule="exact"/>
        <w:ind w:firstLine="4800" w:firstLineChars="15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bidi w:val="0"/>
        <w:snapToGrid/>
        <w:spacing w:line="560" w:lineRule="exact"/>
        <w:ind w:firstLine="4800" w:firstLineChars="15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自治区党委宣传部</w:t>
      </w:r>
    </w:p>
    <w:p>
      <w:pPr>
        <w:keepNext w:val="0"/>
        <w:keepLines w:val="0"/>
        <w:pageBreakBefore w:val="0"/>
        <w:widowControl w:val="0"/>
        <w:numPr>
          <w:ilvl w:val="0"/>
          <w:numId w:val="0"/>
        </w:numPr>
        <w:kinsoku/>
        <w:wordWrap/>
        <w:overflowPunct/>
        <w:topLinePunct w:val="0"/>
        <w:bidi w:val="0"/>
        <w:snapToGrid/>
        <w:spacing w:line="560" w:lineRule="exact"/>
        <w:ind w:firstLine="5440" w:firstLineChars="17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sz w:val="32"/>
          <w:szCs w:val="32"/>
          <w:lang w:val="en-US" w:eastAsia="zh-CN"/>
        </w:rPr>
        <w:t xml:space="preserve">2018年11月15日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ABB9B4"/>
    <w:multiLevelType w:val="singleLevel"/>
    <w:tmpl w:val="2AABB9B4"/>
    <w:lvl w:ilvl="0" w:tentative="0">
      <w:start w:val="3"/>
      <w:numFmt w:val="chineseCounting"/>
      <w:suff w:val="nothing"/>
      <w:lvlText w:val="（%1）"/>
      <w:lvlJc w:val="left"/>
      <w:rPr>
        <w:rFonts w:hint="eastAsia"/>
      </w:rPr>
    </w:lvl>
  </w:abstractNum>
  <w:abstractNum w:abstractNumId="1">
    <w:nsid w:val="57E0C233"/>
    <w:multiLevelType w:val="singleLevel"/>
    <w:tmpl w:val="57E0C233"/>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251D6C"/>
    <w:rsid w:val="0DC812D2"/>
    <w:rsid w:val="27303408"/>
    <w:rsid w:val="2DF35180"/>
    <w:rsid w:val="355739BA"/>
    <w:rsid w:val="3881516B"/>
    <w:rsid w:val="44C50054"/>
    <w:rsid w:val="46A4314C"/>
    <w:rsid w:val="46D34AB7"/>
    <w:rsid w:val="4D00793C"/>
    <w:rsid w:val="518B6E13"/>
    <w:rsid w:val="572C6D61"/>
    <w:rsid w:val="626B4A4E"/>
    <w:rsid w:val="629006BF"/>
    <w:rsid w:val="6D820AC2"/>
    <w:rsid w:val="6F526D7A"/>
    <w:rsid w:val="77E67E6D"/>
    <w:rsid w:val="7F1A24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Office_10.1.0.7669_F1E327BC-269C-435d-A152-05C5408002CA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2018-11-14T10:19:00Z</cp:lastPrinted>
  <dcterms:modified xsi:type="dcterms:W3CDTF">2018-12-12T09:36:19Z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2052-10.1.0.7669</vt:lpwstr>
  </property>
</Properties>
</file>