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2018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ascii="仿宋" w:hAnsi="仿宋" w:eastAsia="仿宋" w:cs="仿宋"/>
          <w:kern w:val="0"/>
          <w:sz w:val="36"/>
          <w:szCs w:val="36"/>
        </w:rPr>
      </w:pPr>
      <w:r>
        <w:rPr>
          <w:rFonts w:hint="eastAsia" w:hAnsi="宋体" w:eastAsia="仿宋_GB2312" w:cs="宋体"/>
          <w:kern w:val="0"/>
          <w:sz w:val="36"/>
          <w:szCs w:val="36"/>
        </w:rPr>
        <w:t xml:space="preserve">     </w:t>
      </w:r>
      <w:r>
        <w:rPr>
          <w:rFonts w:hint="eastAsia" w:ascii="仿宋" w:hAnsi="仿宋" w:eastAsia="仿宋" w:cs="仿宋"/>
          <w:kern w:val="0"/>
          <w:sz w:val="36"/>
          <w:szCs w:val="36"/>
        </w:rPr>
        <w:t>项目名称：</w:t>
      </w:r>
      <w:r>
        <w:rPr>
          <w:rFonts w:hint="eastAsia" w:ascii="仿宋" w:hAnsi="仿宋" w:eastAsia="仿宋" w:cs="仿宋"/>
          <w:kern w:val="0"/>
          <w:sz w:val="36"/>
          <w:szCs w:val="36"/>
          <w:lang w:val="en-US" w:eastAsia="zh-CN"/>
        </w:rPr>
        <w:t>第二次全国地名普查</w:t>
      </w:r>
    </w:p>
    <w:p>
      <w:pPr>
        <w:keepNext w:val="0"/>
        <w:keepLines w:val="0"/>
        <w:pageBreakBefore w:val="0"/>
        <w:kinsoku/>
        <w:wordWrap/>
        <w:overflowPunct/>
        <w:topLinePunct w:val="0"/>
        <w:autoSpaceDE/>
        <w:autoSpaceDN/>
        <w:bidi w:val="0"/>
        <w:adjustRightInd/>
        <w:snapToGrid/>
        <w:spacing w:line="640" w:lineRule="exact"/>
        <w:ind w:left="0" w:leftChars="0" w:right="0" w:rightChars="0"/>
        <w:jc w:val="left"/>
        <w:textAlignment w:val="auto"/>
        <w:rPr>
          <w:rFonts w:hint="eastAsia" w:ascii="仿宋" w:hAnsi="仿宋" w:eastAsia="仿宋" w:cs="仿宋"/>
          <w:kern w:val="0"/>
          <w:sz w:val="36"/>
          <w:szCs w:val="36"/>
          <w:lang w:eastAsia="zh-CN"/>
        </w:rPr>
      </w:pPr>
      <w:r>
        <w:rPr>
          <w:rFonts w:hint="eastAsia" w:ascii="仿宋" w:hAnsi="仿宋" w:eastAsia="仿宋" w:cs="仿宋"/>
          <w:kern w:val="0"/>
          <w:sz w:val="36"/>
          <w:szCs w:val="36"/>
        </w:rPr>
        <w:t xml:space="preserve">     实施单位（公章）：</w:t>
      </w:r>
      <w:r>
        <w:rPr>
          <w:rFonts w:hint="eastAsia" w:ascii="仿宋" w:hAnsi="仿宋" w:eastAsia="仿宋" w:cs="仿宋"/>
          <w:kern w:val="0"/>
          <w:sz w:val="36"/>
          <w:szCs w:val="36"/>
          <w:lang w:eastAsia="zh-CN"/>
        </w:rPr>
        <w:t>各地、县民政部门</w:t>
      </w:r>
    </w:p>
    <w:p>
      <w:pPr>
        <w:spacing w:line="700" w:lineRule="exact"/>
        <w:jc w:val="left"/>
        <w:rPr>
          <w:rFonts w:hAnsi="宋体" w:eastAsia="仿宋_GB2312" w:cs="宋体"/>
          <w:kern w:val="0"/>
          <w:sz w:val="36"/>
          <w:szCs w:val="36"/>
        </w:rPr>
      </w:pPr>
      <w:r>
        <w:rPr>
          <w:rFonts w:hint="eastAsia" w:ascii="仿宋" w:hAnsi="仿宋" w:eastAsia="仿宋" w:cs="仿宋"/>
          <w:kern w:val="0"/>
          <w:sz w:val="36"/>
          <w:szCs w:val="36"/>
          <w:lang w:val="en-US" w:eastAsia="zh-CN"/>
        </w:rPr>
        <w:t xml:space="preserve">     </w:t>
      </w:r>
      <w:r>
        <w:rPr>
          <w:rFonts w:hint="eastAsia" w:ascii="仿宋" w:hAnsi="仿宋" w:eastAsia="仿宋" w:cs="仿宋"/>
          <w:kern w:val="0"/>
          <w:sz w:val="36"/>
          <w:szCs w:val="36"/>
        </w:rPr>
        <w:t>主管部门（公章）：自治区民政厅</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董俊凯</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 xml:space="preserve">填报时间：2019 年 1 月 </w:t>
      </w:r>
      <w:r>
        <w:rPr>
          <w:rFonts w:hint="eastAsia" w:hAnsi="宋体" w:eastAsia="仿宋_GB2312" w:cs="宋体"/>
          <w:kern w:val="0"/>
          <w:sz w:val="36"/>
          <w:szCs w:val="36"/>
          <w:lang w:val="en-US" w:eastAsia="zh-CN"/>
        </w:rPr>
        <w:t>20</w:t>
      </w:r>
      <w:r>
        <w:rPr>
          <w:rFonts w:hint="eastAsia" w:hAnsi="宋体" w:eastAsia="仿宋_GB2312" w:cs="宋体"/>
          <w:kern w:val="0"/>
          <w:sz w:val="36"/>
          <w:szCs w:val="36"/>
        </w:rPr>
        <w:t xml:space="preserve"> 日</w:t>
      </w:r>
    </w:p>
    <w:p>
      <w:pPr>
        <w:pStyle w:val="2"/>
      </w:pPr>
    </w:p>
    <w:p>
      <w:pPr>
        <w:spacing w:line="540" w:lineRule="exact"/>
        <w:jc w:val="center"/>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640" w:lineRule="exact"/>
        <w:ind w:left="0" w:leftChars="0" w:right="0" w:rightChars="0"/>
        <w:jc w:val="center"/>
        <w:textAlignment w:val="auto"/>
        <w:rPr>
          <w:rFonts w:hint="eastAsia" w:ascii="宋体" w:hAnsi="宋体" w:eastAsia="宋体" w:cs="宋体"/>
          <w:b/>
          <w:sz w:val="44"/>
          <w:szCs w:val="44"/>
          <w:lang w:eastAsia="zh-CN"/>
        </w:rPr>
      </w:pPr>
      <w:r>
        <w:rPr>
          <w:rFonts w:hint="eastAsia" w:ascii="宋体" w:hAnsi="宋体" w:eastAsia="宋体" w:cs="宋体"/>
          <w:b/>
          <w:sz w:val="44"/>
          <w:szCs w:val="44"/>
        </w:rPr>
        <w:t>新疆</w:t>
      </w:r>
      <w:r>
        <w:rPr>
          <w:rFonts w:hint="eastAsia" w:ascii="宋体" w:hAnsi="宋体" w:eastAsia="宋体" w:cs="宋体"/>
          <w:b/>
          <w:sz w:val="44"/>
          <w:szCs w:val="44"/>
          <w:lang w:eastAsia="zh-CN"/>
        </w:rPr>
        <w:t>维吾尔自治区</w:t>
      </w:r>
      <w:r>
        <w:rPr>
          <w:rFonts w:hint="eastAsia" w:ascii="宋体" w:hAnsi="宋体" w:cs="宋体"/>
          <w:b/>
          <w:sz w:val="44"/>
          <w:szCs w:val="44"/>
          <w:lang w:eastAsia="zh-CN"/>
        </w:rPr>
        <w:t>第二次全国地名普查</w:t>
      </w:r>
      <w:r>
        <w:rPr>
          <w:rFonts w:hint="eastAsia" w:ascii="宋体" w:hAnsi="宋体" w:eastAsia="宋体" w:cs="宋体"/>
          <w:b/>
          <w:sz w:val="44"/>
          <w:szCs w:val="44"/>
          <w:lang w:eastAsia="zh-CN"/>
        </w:rPr>
        <w:t>项目</w:t>
      </w:r>
    </w:p>
    <w:p>
      <w:pPr>
        <w:keepNext w:val="0"/>
        <w:keepLines w:val="0"/>
        <w:pageBreakBefore w:val="0"/>
        <w:kinsoku/>
        <w:wordWrap/>
        <w:overflowPunct/>
        <w:topLinePunct w:val="0"/>
        <w:autoSpaceDE/>
        <w:autoSpaceDN/>
        <w:bidi w:val="0"/>
        <w:adjustRightInd/>
        <w:snapToGrid/>
        <w:spacing w:line="640" w:lineRule="exact"/>
        <w:ind w:left="0" w:leftChars="0" w:right="0" w:rightChars="0"/>
        <w:jc w:val="center"/>
        <w:textAlignment w:val="auto"/>
        <w:rPr>
          <w:rFonts w:hint="eastAsia" w:ascii="仿宋" w:hAnsi="仿宋" w:eastAsia="仿宋" w:cs="仿宋"/>
          <w:sz w:val="32"/>
          <w:szCs w:val="32"/>
          <w:lang w:eastAsia="zh-CN"/>
        </w:rPr>
      </w:pPr>
      <w:r>
        <w:rPr>
          <w:rFonts w:hint="eastAsia" w:ascii="宋体" w:hAnsi="宋体" w:eastAsia="宋体" w:cs="宋体"/>
          <w:b/>
          <w:sz w:val="44"/>
          <w:szCs w:val="44"/>
        </w:rPr>
        <w:t>专项转移支付</w:t>
      </w:r>
      <w:r>
        <w:rPr>
          <w:rFonts w:hint="eastAsia" w:ascii="宋体" w:hAnsi="宋体" w:eastAsia="宋体" w:cs="宋体"/>
          <w:b/>
          <w:sz w:val="44"/>
          <w:szCs w:val="44"/>
          <w:lang w:val="en-US" w:eastAsia="zh-CN"/>
        </w:rPr>
        <w:t>2018年度</w:t>
      </w:r>
      <w:r>
        <w:rPr>
          <w:rFonts w:hint="eastAsia" w:ascii="宋体" w:hAnsi="宋体" w:eastAsia="宋体" w:cs="宋体"/>
          <w:b/>
          <w:sz w:val="44"/>
          <w:szCs w:val="44"/>
        </w:rPr>
        <w:t>绩效自评报告</w:t>
      </w:r>
    </w:p>
    <w:p>
      <w:pPr>
        <w:spacing w:line="540" w:lineRule="exact"/>
        <w:rPr>
          <w:rStyle w:val="21"/>
          <w:rFonts w:ascii="黑体" w:hAnsi="黑体" w:eastAsia="黑体"/>
          <w:b w:val="0"/>
          <w:spacing w:val="-4"/>
          <w:sz w:val="32"/>
          <w:szCs w:val="32"/>
        </w:rPr>
      </w:pPr>
    </w:p>
    <w:p>
      <w:pPr>
        <w:pStyle w:val="2"/>
        <w:keepNext w:val="0"/>
        <w:keepLines w:val="0"/>
        <w:pageBreakBefore w:val="0"/>
        <w:numPr>
          <w:ilvl w:val="0"/>
          <w:numId w:val="0"/>
        </w:numPr>
        <w:kinsoku/>
        <w:wordWrap/>
        <w:overflowPunct/>
        <w:topLinePunct w:val="0"/>
        <w:autoSpaceDE/>
        <w:autoSpaceDN/>
        <w:bidi w:val="0"/>
        <w:adjustRightInd/>
        <w:snapToGrid/>
        <w:spacing w:line="64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一、绩效目标分解下达情况</w:t>
      </w:r>
    </w:p>
    <w:p>
      <w:pPr>
        <w:keepNext w:val="0"/>
        <w:keepLines w:val="0"/>
        <w:pageBreakBefore w:val="0"/>
        <w:kinsoku/>
        <w:wordWrap/>
        <w:overflowPunct/>
        <w:topLinePunct w:val="0"/>
        <w:autoSpaceDE/>
        <w:autoSpaceDN/>
        <w:bidi w:val="0"/>
        <w:adjustRightInd/>
        <w:snapToGrid/>
        <w:spacing w:line="640" w:lineRule="exact"/>
        <w:ind w:left="0" w:leftChars="0" w:right="0" w:rightChars="0"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（一）中央下达第二次全国地名普查项目专项转移支付预算和绩效目标情况。</w:t>
      </w:r>
    </w:p>
    <w:p>
      <w:pPr>
        <w:ind w:firstLine="643" w:firstLineChars="200"/>
        <w:rPr>
          <w:rStyle w:val="21"/>
          <w:rFonts w:ascii="楷体" w:hAnsi="楷体" w:eastAsia="楷体"/>
          <w:spacing w:val="-4"/>
          <w:sz w:val="32"/>
          <w:szCs w:val="32"/>
        </w:rPr>
      </w:pPr>
      <w:r>
        <w:rPr>
          <w:rFonts w:hint="eastAsia" w:ascii="仿宋" w:hAnsi="仿宋" w:eastAsia="仿宋" w:cs="仿宋"/>
          <w:b/>
          <w:bCs/>
          <w:sz w:val="32"/>
          <w:szCs w:val="32"/>
          <w:lang w:val="en-US" w:eastAsia="zh-CN"/>
        </w:rPr>
        <w:t>1、</w:t>
      </w:r>
      <w:r>
        <w:rPr>
          <w:rFonts w:hint="eastAsia" w:ascii="仿宋" w:hAnsi="仿宋" w:eastAsia="仿宋" w:cs="仿宋"/>
          <w:b/>
          <w:bCs/>
          <w:sz w:val="32"/>
          <w:szCs w:val="32"/>
          <w:lang w:eastAsia="zh-CN"/>
        </w:rPr>
        <w:t>专项转移支付预算情况：</w:t>
      </w:r>
      <w:r>
        <w:rPr>
          <w:rFonts w:hint="eastAsia" w:ascii="仿宋" w:hAnsi="仿宋" w:eastAsia="仿宋"/>
          <w:sz w:val="32"/>
          <w:szCs w:val="32"/>
        </w:rPr>
        <w:t>国家财政部</w:t>
      </w:r>
      <w:r>
        <w:rPr>
          <w:rFonts w:hint="eastAsia" w:ascii="仿宋" w:hAnsi="仿宋" w:eastAsia="仿宋"/>
          <w:sz w:val="32"/>
          <w:szCs w:val="32"/>
          <w:lang w:eastAsia="zh-CN"/>
        </w:rPr>
        <w:t>下发了《下达第二次全国地名普查补助资金的通知》（财社</w:t>
      </w:r>
      <w:r>
        <w:rPr>
          <w:rFonts w:hint="eastAsia" w:ascii="宋体" w:hAnsi="宋体" w:eastAsia="宋体" w:cs="宋体"/>
          <w:sz w:val="32"/>
          <w:szCs w:val="32"/>
          <w:lang w:eastAsia="zh-CN"/>
        </w:rPr>
        <w:t>〔</w:t>
      </w:r>
      <w:r>
        <w:rPr>
          <w:rFonts w:hint="eastAsia" w:ascii="宋体" w:hAnsi="宋体" w:eastAsia="宋体" w:cs="宋体"/>
          <w:sz w:val="32"/>
          <w:szCs w:val="32"/>
          <w:lang w:val="en-US" w:eastAsia="zh-CN"/>
        </w:rPr>
        <w:t>2018</w:t>
      </w:r>
      <w:r>
        <w:rPr>
          <w:rFonts w:hint="eastAsia" w:ascii="宋体" w:hAnsi="宋体" w:eastAsia="宋体" w:cs="宋体"/>
          <w:sz w:val="32"/>
          <w:szCs w:val="32"/>
          <w:lang w:eastAsia="zh-CN"/>
        </w:rPr>
        <w:t>〕</w:t>
      </w:r>
      <w:r>
        <w:rPr>
          <w:rFonts w:hint="eastAsia" w:ascii="宋体" w:hAnsi="宋体" w:eastAsia="宋体" w:cs="宋体"/>
          <w:sz w:val="32"/>
          <w:szCs w:val="32"/>
          <w:lang w:val="en-US" w:eastAsia="zh-CN"/>
        </w:rPr>
        <w:t>28号）</w:t>
      </w:r>
      <w:r>
        <w:rPr>
          <w:rFonts w:hint="eastAsia" w:ascii="仿宋" w:hAnsi="仿宋" w:eastAsia="仿宋"/>
          <w:sz w:val="32"/>
          <w:szCs w:val="32"/>
          <w:lang w:val="en-US" w:eastAsia="zh-CN"/>
        </w:rPr>
        <w:t>，其中下拨我区第二次全国地名普查补助资金共计1743万，用于全区第二次全国地名普查、验收和推进普查成果</w:t>
      </w:r>
      <w:r>
        <w:rPr>
          <w:rFonts w:hint="eastAsia" w:ascii="仿宋" w:hAnsi="仿宋" w:eastAsia="仿宋"/>
          <w:sz w:val="32"/>
          <w:szCs w:val="32"/>
        </w:rPr>
        <w:t>地</w:t>
      </w:r>
      <w:r>
        <w:rPr>
          <w:rFonts w:hint="eastAsia" w:ascii="仿宋_GB2312" w:hAnsi="宋体" w:eastAsia="仿宋_GB2312" w:cs="宋体"/>
          <w:sz w:val="30"/>
          <w:szCs w:val="30"/>
        </w:rPr>
        <w:t>。</w:t>
      </w:r>
    </w:p>
    <w:p>
      <w:pPr>
        <w:ind w:firstLine="643" w:firstLineChars="200"/>
        <w:rPr>
          <w:rFonts w:hint="eastAsia" w:ascii="仿宋" w:hAnsi="仿宋" w:eastAsia="仿宋" w:cs="仿宋"/>
          <w:sz w:val="32"/>
          <w:szCs w:val="32"/>
          <w:highlight w:val="none"/>
        </w:rPr>
      </w:pPr>
      <w:r>
        <w:rPr>
          <w:rFonts w:hint="eastAsia" w:ascii="仿宋" w:hAnsi="仿宋" w:eastAsia="仿宋" w:cs="仿宋"/>
          <w:b/>
          <w:bCs/>
          <w:sz w:val="32"/>
          <w:szCs w:val="32"/>
          <w:lang w:val="en-US" w:eastAsia="zh-CN"/>
        </w:rPr>
        <w:t>2、</w:t>
      </w:r>
      <w:r>
        <w:rPr>
          <w:rFonts w:hint="eastAsia" w:ascii="仿宋" w:hAnsi="仿宋" w:eastAsia="仿宋" w:cs="仿宋"/>
          <w:b/>
          <w:bCs/>
          <w:sz w:val="32"/>
          <w:szCs w:val="32"/>
          <w:lang w:eastAsia="zh-CN"/>
        </w:rPr>
        <w:t>绩效目标：</w:t>
      </w:r>
      <w:r>
        <w:rPr>
          <w:rFonts w:hint="eastAsia" w:ascii="仿宋" w:hAnsi="仿宋" w:eastAsia="仿宋" w:cs="仿宋"/>
          <w:i w:val="0"/>
          <w:caps w:val="0"/>
          <w:color w:val="333333"/>
          <w:spacing w:val="0"/>
          <w:sz w:val="32"/>
          <w:szCs w:val="32"/>
          <w:shd w:val="clear" w:fill="FFFFFF"/>
        </w:rPr>
        <w:t>查清地名基本情况，对有地无名的有地名作用的地理实体进行命名，对不规范地名进行标准化处理，</w:t>
      </w:r>
      <w:r>
        <w:rPr>
          <w:rFonts w:hint="eastAsia" w:ascii="仿宋" w:hAnsi="仿宋" w:eastAsia="仿宋" w:cs="仿宋"/>
          <w:i w:val="0"/>
          <w:caps w:val="0"/>
          <w:color w:val="333333"/>
          <w:spacing w:val="0"/>
          <w:sz w:val="32"/>
          <w:szCs w:val="32"/>
          <w:shd w:val="clear" w:fill="FFFFFF"/>
          <w:lang w:eastAsia="zh-CN"/>
        </w:rPr>
        <w:t>完成</w:t>
      </w:r>
      <w:r>
        <w:rPr>
          <w:rFonts w:hint="eastAsia" w:ascii="仿宋" w:hAnsi="仿宋" w:eastAsia="仿宋" w:cs="仿宋"/>
          <w:i w:val="0"/>
          <w:caps w:val="0"/>
          <w:color w:val="333333"/>
          <w:spacing w:val="0"/>
          <w:sz w:val="32"/>
          <w:szCs w:val="32"/>
          <w:shd w:val="clear" w:fill="FFFFFF"/>
          <w:lang w:val="en-US" w:eastAsia="zh-CN"/>
        </w:rPr>
        <w:t>96个县（市、区）地名普查、验收和上报国务院地名普查办工作任务，各地</w:t>
      </w:r>
      <w:r>
        <w:rPr>
          <w:rFonts w:hint="eastAsia" w:ascii="仿宋" w:hAnsi="仿宋" w:eastAsia="仿宋" w:cs="仿宋"/>
          <w:i w:val="0"/>
          <w:caps w:val="0"/>
          <w:color w:val="333333"/>
          <w:spacing w:val="0"/>
          <w:sz w:val="32"/>
          <w:szCs w:val="32"/>
          <w:shd w:val="clear" w:fill="FFFFFF"/>
        </w:rPr>
        <w:t>设置标准规范的地名标志，建立、完善各级国家地名和区划数据库(即国家地名数据库)，加强地名信息化服务建设，发挥地名在促进经济社会协调发展、方便人民群众生产生活、</w:t>
      </w:r>
      <w:r>
        <w:rPr>
          <w:rFonts w:hint="eastAsia" w:ascii="仿宋" w:hAnsi="仿宋" w:eastAsia="仿宋" w:cs="仿宋"/>
          <w:sz w:val="32"/>
          <w:szCs w:val="32"/>
          <w:highlight w:val="none"/>
        </w:rPr>
        <w:t>促进新疆社会稳定和长治久安</w:t>
      </w:r>
      <w:r>
        <w:rPr>
          <w:rFonts w:hint="eastAsia" w:ascii="仿宋" w:hAnsi="仿宋" w:eastAsia="仿宋" w:cs="仿宋"/>
          <w:sz w:val="32"/>
          <w:szCs w:val="32"/>
          <w:highlight w:val="none"/>
          <w:lang w:eastAsia="zh-CN"/>
        </w:rPr>
        <w:t>、</w:t>
      </w:r>
      <w:r>
        <w:rPr>
          <w:rFonts w:hint="eastAsia" w:ascii="仿宋" w:hAnsi="仿宋" w:eastAsia="仿宋" w:cs="仿宋"/>
          <w:i w:val="0"/>
          <w:caps w:val="0"/>
          <w:color w:val="333333"/>
          <w:spacing w:val="0"/>
          <w:sz w:val="32"/>
          <w:szCs w:val="32"/>
          <w:shd w:val="clear" w:fill="FFFFFF"/>
        </w:rPr>
        <w:t>加强国防建设和维护国家主权与领土完整等方面的基础作用。</w:t>
      </w:r>
    </w:p>
    <w:p>
      <w:pPr>
        <w:pStyle w:val="2"/>
        <w:keepNext w:val="0"/>
        <w:keepLines w:val="0"/>
        <w:pageBreakBefore w:val="0"/>
        <w:numPr>
          <w:ilvl w:val="0"/>
          <w:numId w:val="0"/>
        </w:numPr>
        <w:kinsoku/>
        <w:wordWrap/>
        <w:overflowPunct/>
        <w:topLinePunct w:val="0"/>
        <w:autoSpaceDE/>
        <w:autoSpaceDN/>
        <w:bidi w:val="0"/>
        <w:adjustRightInd/>
        <w:snapToGrid/>
        <w:spacing w:line="64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（二）自治区分解下达预算和绩效目标情况</w:t>
      </w:r>
    </w:p>
    <w:p>
      <w:pPr>
        <w:spacing w:line="640" w:lineRule="exact"/>
        <w:ind w:firstLine="645"/>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1、自治区分解下达预算情况：</w:t>
      </w:r>
    </w:p>
    <w:p>
      <w:pPr>
        <w:spacing w:line="640" w:lineRule="exact"/>
        <w:ind w:firstLine="645"/>
        <w:rPr>
          <w:rFonts w:hint="eastAsia" w:ascii="楷体" w:hAnsi="楷体" w:eastAsia="楷体" w:cs="楷体"/>
          <w:sz w:val="32"/>
          <w:szCs w:val="32"/>
          <w:lang w:val="en-US" w:eastAsia="zh-CN"/>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1</w:t>
      </w:r>
      <w:r>
        <w:rPr>
          <w:rFonts w:hint="eastAsia" w:ascii="楷体" w:hAnsi="楷体" w:eastAsia="楷体" w:cs="楷体"/>
          <w:sz w:val="32"/>
          <w:szCs w:val="32"/>
          <w:lang w:eastAsia="zh-CN"/>
        </w:rPr>
        <w:t>）自治区民政厅，共计</w:t>
      </w:r>
      <w:r>
        <w:rPr>
          <w:rFonts w:hint="eastAsia" w:ascii="楷体" w:hAnsi="楷体" w:eastAsia="楷体" w:cs="楷体"/>
          <w:sz w:val="32"/>
          <w:szCs w:val="32"/>
          <w:lang w:val="en-US" w:eastAsia="zh-CN"/>
        </w:rPr>
        <w:t>150万元</w:t>
      </w:r>
    </w:p>
    <w:p>
      <w:pPr>
        <w:spacing w:line="640" w:lineRule="exact"/>
        <w:ind w:firstLine="645"/>
        <w:rPr>
          <w:rFonts w:hint="eastAsia" w:ascii="仿宋" w:hAnsi="仿宋" w:eastAsia="仿宋"/>
          <w:sz w:val="32"/>
          <w:szCs w:val="32"/>
        </w:rPr>
      </w:pPr>
      <w:r>
        <w:rPr>
          <w:rFonts w:hint="eastAsia" w:ascii="仿宋" w:hAnsi="仿宋" w:eastAsia="仿宋"/>
          <w:sz w:val="32"/>
          <w:szCs w:val="32"/>
          <w:lang w:val="en-US" w:eastAsia="zh-CN"/>
        </w:rPr>
        <w:t>一是</w:t>
      </w:r>
      <w:r>
        <w:rPr>
          <w:rFonts w:hint="eastAsia" w:ascii="仿宋" w:hAnsi="仿宋" w:eastAsia="仿宋"/>
          <w:sz w:val="32"/>
          <w:szCs w:val="32"/>
          <w:lang w:eastAsia="zh-CN"/>
        </w:rPr>
        <w:t>对</w:t>
      </w:r>
      <w:r>
        <w:rPr>
          <w:rFonts w:hint="eastAsia" w:ascii="仿宋" w:hAnsi="仿宋" w:eastAsia="仿宋"/>
          <w:sz w:val="32"/>
          <w:szCs w:val="32"/>
        </w:rPr>
        <w:t>全区地名普查</w:t>
      </w:r>
      <w:r>
        <w:rPr>
          <w:rFonts w:hint="eastAsia" w:ascii="仿宋" w:hAnsi="仿宋" w:eastAsia="仿宋"/>
          <w:sz w:val="32"/>
          <w:szCs w:val="32"/>
          <w:lang w:eastAsia="zh-CN"/>
        </w:rPr>
        <w:t>工作</w:t>
      </w:r>
      <w:r>
        <w:rPr>
          <w:rFonts w:hint="eastAsia" w:ascii="仿宋" w:hAnsi="仿宋" w:eastAsia="仿宋"/>
          <w:sz w:val="32"/>
          <w:szCs w:val="32"/>
        </w:rPr>
        <w:t>的督促、检查</w:t>
      </w:r>
      <w:r>
        <w:rPr>
          <w:rFonts w:hint="eastAsia" w:ascii="仿宋" w:hAnsi="仿宋" w:eastAsia="仿宋"/>
          <w:sz w:val="32"/>
          <w:szCs w:val="32"/>
          <w:lang w:eastAsia="zh-CN"/>
        </w:rPr>
        <w:t>、</w:t>
      </w:r>
      <w:r>
        <w:rPr>
          <w:rFonts w:hint="eastAsia" w:ascii="仿宋" w:hAnsi="仿宋" w:eastAsia="仿宋"/>
          <w:sz w:val="32"/>
          <w:szCs w:val="32"/>
        </w:rPr>
        <w:t>指</w:t>
      </w:r>
      <w:r>
        <w:rPr>
          <w:rFonts w:hint="eastAsia" w:ascii="仿宋" w:hAnsi="仿宋" w:eastAsia="仿宋"/>
          <w:sz w:val="32"/>
          <w:szCs w:val="32"/>
          <w:lang w:eastAsia="zh-CN"/>
        </w:rPr>
        <w:t>导、论证及</w:t>
      </w:r>
      <w:r>
        <w:rPr>
          <w:rFonts w:hint="eastAsia" w:ascii="仿宋" w:hAnsi="仿宋" w:eastAsia="仿宋"/>
          <w:sz w:val="32"/>
          <w:szCs w:val="32"/>
        </w:rPr>
        <w:t>业务培训工作</w:t>
      </w:r>
      <w:r>
        <w:rPr>
          <w:rFonts w:hint="eastAsia" w:ascii="仿宋" w:hAnsi="仿宋" w:eastAsia="仿宋"/>
          <w:sz w:val="32"/>
          <w:szCs w:val="32"/>
          <w:lang w:eastAsia="zh-CN"/>
        </w:rPr>
        <w:t>，共需经费</w:t>
      </w:r>
      <w:r>
        <w:rPr>
          <w:rFonts w:hint="eastAsia" w:ascii="仿宋" w:hAnsi="仿宋" w:eastAsia="仿宋"/>
          <w:sz w:val="32"/>
          <w:szCs w:val="32"/>
          <w:lang w:val="en-US" w:eastAsia="zh-CN"/>
        </w:rPr>
        <w:t>90</w:t>
      </w:r>
      <w:r>
        <w:rPr>
          <w:rFonts w:hint="eastAsia" w:ascii="仿宋" w:hAnsi="仿宋" w:eastAsia="仿宋"/>
          <w:sz w:val="32"/>
          <w:szCs w:val="32"/>
        </w:rPr>
        <w:t>万元。</w:t>
      </w:r>
    </w:p>
    <w:p>
      <w:pPr>
        <w:spacing w:line="640" w:lineRule="exact"/>
        <w:ind w:firstLine="645"/>
        <w:rPr>
          <w:rFonts w:hint="eastAsia" w:ascii="仿宋" w:hAnsi="仿宋" w:eastAsia="仿宋"/>
          <w:sz w:val="32"/>
          <w:szCs w:val="32"/>
          <w:lang w:val="en-US" w:eastAsia="zh-CN"/>
        </w:rPr>
      </w:pPr>
      <w:r>
        <w:rPr>
          <w:rFonts w:hint="eastAsia" w:ascii="仿宋" w:hAnsi="仿宋" w:eastAsia="仿宋"/>
          <w:sz w:val="32"/>
          <w:szCs w:val="32"/>
          <w:lang w:val="en-US" w:eastAsia="zh-CN"/>
        </w:rPr>
        <w:t>二是</w:t>
      </w:r>
      <w:r>
        <w:rPr>
          <w:rFonts w:hint="eastAsia" w:ascii="仿宋" w:hAnsi="仿宋" w:eastAsia="仿宋"/>
          <w:sz w:val="32"/>
          <w:szCs w:val="32"/>
          <w:lang w:eastAsia="zh-CN"/>
        </w:rPr>
        <w:t>完成自治区与兵团地名普查成果数据合库。自治区负责地方区域的地名普查工作，兵团负责兵团管理区域的地名普查工作。根据国家要求，应将地方与兵团普查成果合二为一，形成一个完整的普查成果数据库。经测算合库工作共需经费</w:t>
      </w:r>
      <w:r>
        <w:rPr>
          <w:rFonts w:hint="eastAsia" w:ascii="仿宋" w:hAnsi="仿宋" w:eastAsia="仿宋"/>
          <w:sz w:val="32"/>
          <w:szCs w:val="32"/>
          <w:lang w:val="en-US" w:eastAsia="zh-CN"/>
        </w:rPr>
        <w:t>60万元。</w:t>
      </w:r>
    </w:p>
    <w:p>
      <w:pPr>
        <w:spacing w:line="640" w:lineRule="exact"/>
        <w:ind w:firstLine="645"/>
        <w:rPr>
          <w:rFonts w:ascii="黑体" w:hAnsi="黑体" w:eastAsia="黑体"/>
          <w:sz w:val="32"/>
          <w:szCs w:val="32"/>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2</w:t>
      </w:r>
      <w:r>
        <w:rPr>
          <w:rFonts w:hint="eastAsia" w:ascii="楷体" w:hAnsi="楷体" w:eastAsia="楷体" w:cs="楷体"/>
          <w:sz w:val="32"/>
          <w:szCs w:val="32"/>
          <w:lang w:eastAsia="zh-CN"/>
        </w:rPr>
        <w:t>）地名标准化中心，共计</w:t>
      </w:r>
      <w:r>
        <w:rPr>
          <w:rFonts w:hint="eastAsia" w:ascii="楷体" w:hAnsi="楷体" w:eastAsia="楷体" w:cs="楷体"/>
          <w:sz w:val="32"/>
          <w:szCs w:val="32"/>
          <w:lang w:val="en-US" w:eastAsia="zh-CN"/>
        </w:rPr>
        <w:t>153万元</w:t>
      </w:r>
    </w:p>
    <w:p>
      <w:pPr>
        <w:spacing w:line="640" w:lineRule="exact"/>
        <w:ind w:firstLine="645"/>
        <w:rPr>
          <w:rFonts w:hint="eastAsia" w:ascii="仿宋" w:hAnsi="仿宋" w:eastAsia="仿宋"/>
          <w:sz w:val="32"/>
          <w:szCs w:val="32"/>
          <w:lang w:val="en-US" w:eastAsia="zh-CN"/>
        </w:rPr>
      </w:pPr>
      <w:r>
        <w:rPr>
          <w:rFonts w:hint="eastAsia" w:ascii="仿宋" w:hAnsi="仿宋" w:eastAsia="仿宋"/>
          <w:sz w:val="32"/>
          <w:szCs w:val="32"/>
          <w:lang w:val="en-US" w:eastAsia="zh-CN"/>
        </w:rPr>
        <w:t>一是</w:t>
      </w:r>
      <w:r>
        <w:rPr>
          <w:rFonts w:hint="eastAsia" w:ascii="仿宋" w:hAnsi="仿宋" w:eastAsia="仿宋"/>
          <w:sz w:val="32"/>
          <w:szCs w:val="32"/>
          <w:lang w:eastAsia="zh-CN"/>
        </w:rPr>
        <w:t>开展地名图录典志的编纂工作，共需经费</w:t>
      </w:r>
      <w:r>
        <w:rPr>
          <w:rFonts w:hint="eastAsia" w:ascii="仿宋" w:hAnsi="仿宋" w:eastAsia="仿宋"/>
          <w:sz w:val="32"/>
          <w:szCs w:val="32"/>
          <w:lang w:val="en-US" w:eastAsia="zh-CN"/>
        </w:rPr>
        <w:t>60万元</w:t>
      </w:r>
      <w:r>
        <w:rPr>
          <w:rFonts w:hint="eastAsia" w:ascii="仿宋" w:hAnsi="仿宋" w:eastAsia="仿宋"/>
          <w:sz w:val="32"/>
          <w:szCs w:val="32"/>
          <w:lang w:eastAsia="zh-CN"/>
        </w:rPr>
        <w:t>。其中标准地名图集</w:t>
      </w:r>
      <w:r>
        <w:rPr>
          <w:rFonts w:hint="eastAsia" w:ascii="仿宋" w:hAnsi="仿宋" w:eastAsia="仿宋"/>
          <w:sz w:val="32"/>
          <w:szCs w:val="32"/>
          <w:lang w:val="en-US" w:eastAsia="zh-CN"/>
        </w:rPr>
        <w:t>40万元、</w:t>
      </w:r>
      <w:r>
        <w:rPr>
          <w:rFonts w:hint="eastAsia" w:ascii="仿宋" w:hAnsi="仿宋" w:eastAsia="仿宋"/>
          <w:sz w:val="32"/>
          <w:szCs w:val="32"/>
          <w:lang w:eastAsia="zh-CN"/>
        </w:rPr>
        <w:t>地名录</w:t>
      </w:r>
      <w:r>
        <w:rPr>
          <w:rFonts w:hint="eastAsia" w:ascii="仿宋" w:hAnsi="仿宋" w:eastAsia="仿宋"/>
          <w:sz w:val="32"/>
          <w:szCs w:val="32"/>
          <w:lang w:val="en-US" w:eastAsia="zh-CN"/>
        </w:rPr>
        <w:t>20万元</w:t>
      </w:r>
      <w:r>
        <w:rPr>
          <w:rFonts w:hint="eastAsia" w:ascii="仿宋" w:hAnsi="仿宋" w:eastAsia="仿宋"/>
          <w:sz w:val="32"/>
          <w:szCs w:val="32"/>
          <w:lang w:eastAsia="zh-CN"/>
        </w:rPr>
        <w:t>、地名志</w:t>
      </w:r>
      <w:r>
        <w:rPr>
          <w:rFonts w:hint="eastAsia" w:ascii="仿宋" w:hAnsi="仿宋" w:eastAsia="仿宋"/>
          <w:sz w:val="32"/>
          <w:szCs w:val="32"/>
          <w:lang w:val="en-US" w:eastAsia="zh-CN"/>
        </w:rPr>
        <w:t>20万元</w:t>
      </w:r>
      <w:r>
        <w:rPr>
          <w:rFonts w:hint="eastAsia" w:ascii="仿宋" w:hAnsi="仿宋" w:eastAsia="仿宋"/>
          <w:sz w:val="32"/>
          <w:szCs w:val="32"/>
          <w:lang w:eastAsia="zh-CN"/>
        </w:rPr>
        <w:t>、地名词典</w:t>
      </w:r>
      <w:r>
        <w:rPr>
          <w:rFonts w:hint="eastAsia" w:ascii="仿宋" w:hAnsi="仿宋" w:eastAsia="仿宋"/>
          <w:sz w:val="32"/>
          <w:szCs w:val="32"/>
          <w:lang w:val="en-US" w:eastAsia="zh-CN"/>
        </w:rPr>
        <w:t>20万元。</w:t>
      </w:r>
    </w:p>
    <w:p>
      <w:pPr>
        <w:spacing w:line="640" w:lineRule="exact"/>
        <w:ind w:firstLine="645"/>
        <w:rPr>
          <w:rFonts w:hint="eastAsia" w:ascii="仿宋" w:hAnsi="仿宋" w:eastAsia="仿宋"/>
          <w:sz w:val="32"/>
          <w:szCs w:val="32"/>
        </w:rPr>
      </w:pPr>
      <w:r>
        <w:rPr>
          <w:rFonts w:hint="eastAsia" w:ascii="仿宋" w:hAnsi="仿宋" w:eastAsia="仿宋"/>
          <w:sz w:val="32"/>
          <w:szCs w:val="32"/>
          <w:lang w:val="en-US" w:eastAsia="zh-CN"/>
        </w:rPr>
        <w:t>二是普查档案的收集整理以及信息化管理工作，共需经费53万元。</w:t>
      </w:r>
    </w:p>
    <w:p>
      <w:pPr>
        <w:spacing w:line="640" w:lineRule="exact"/>
        <w:ind w:firstLine="645"/>
        <w:rPr>
          <w:rFonts w:ascii="黑体" w:hAnsi="黑体" w:eastAsia="黑体"/>
          <w:sz w:val="32"/>
          <w:szCs w:val="32"/>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3</w:t>
      </w:r>
      <w:r>
        <w:rPr>
          <w:rFonts w:hint="eastAsia" w:ascii="楷体" w:hAnsi="楷体" w:eastAsia="楷体" w:cs="楷体"/>
          <w:sz w:val="32"/>
          <w:szCs w:val="32"/>
          <w:lang w:eastAsia="zh-CN"/>
        </w:rPr>
        <w:t>）地州市民政局，共计</w:t>
      </w:r>
      <w:r>
        <w:rPr>
          <w:rFonts w:hint="eastAsia" w:ascii="楷体" w:hAnsi="楷体" w:eastAsia="楷体" w:cs="楷体"/>
          <w:sz w:val="32"/>
          <w:szCs w:val="32"/>
          <w:lang w:val="en-US" w:eastAsia="zh-CN"/>
        </w:rPr>
        <w:t>350万元</w:t>
      </w:r>
    </w:p>
    <w:p>
      <w:pPr>
        <w:spacing w:line="640" w:lineRule="exact"/>
        <w:ind w:firstLine="645"/>
        <w:rPr>
          <w:rFonts w:hint="eastAsia" w:ascii="仿宋" w:hAnsi="仿宋" w:eastAsia="仿宋"/>
          <w:sz w:val="32"/>
          <w:szCs w:val="32"/>
          <w:lang w:eastAsia="zh-CN"/>
        </w:rPr>
      </w:pPr>
      <w:r>
        <w:rPr>
          <w:rFonts w:hint="eastAsia" w:ascii="仿宋" w:hAnsi="仿宋" w:eastAsia="仿宋"/>
          <w:sz w:val="32"/>
          <w:szCs w:val="32"/>
          <w:lang w:val="en-US" w:eastAsia="zh-CN"/>
        </w:rPr>
        <w:t>一是</w:t>
      </w:r>
      <w:r>
        <w:rPr>
          <w:rFonts w:hint="eastAsia" w:ascii="仿宋" w:hAnsi="仿宋" w:eastAsia="仿宋"/>
          <w:sz w:val="32"/>
          <w:szCs w:val="32"/>
          <w:lang w:eastAsia="zh-CN"/>
        </w:rPr>
        <w:t>每</w:t>
      </w:r>
      <w:r>
        <w:rPr>
          <w:rFonts w:hint="eastAsia" w:ascii="仿宋" w:hAnsi="仿宋" w:eastAsia="仿宋"/>
          <w:sz w:val="32"/>
          <w:szCs w:val="32"/>
        </w:rPr>
        <w:t>个地州市补助</w:t>
      </w:r>
      <w:r>
        <w:rPr>
          <w:rFonts w:hint="eastAsia" w:ascii="仿宋" w:hAnsi="仿宋" w:eastAsia="仿宋"/>
          <w:sz w:val="32"/>
          <w:szCs w:val="32"/>
          <w:lang w:eastAsia="zh-CN"/>
        </w:rPr>
        <w:t>经费</w:t>
      </w:r>
      <w:r>
        <w:rPr>
          <w:rFonts w:hint="eastAsia" w:ascii="仿宋" w:hAnsi="仿宋" w:eastAsia="仿宋"/>
          <w:sz w:val="32"/>
          <w:szCs w:val="32"/>
          <w:lang w:val="en-US" w:eastAsia="zh-CN"/>
        </w:rPr>
        <w:t>20</w:t>
      </w:r>
      <w:r>
        <w:rPr>
          <w:rFonts w:hint="eastAsia" w:ascii="仿宋" w:hAnsi="仿宋" w:eastAsia="仿宋"/>
          <w:sz w:val="32"/>
          <w:szCs w:val="32"/>
        </w:rPr>
        <w:t>万元</w:t>
      </w:r>
      <w:r>
        <w:rPr>
          <w:rFonts w:hint="eastAsia" w:ascii="仿宋" w:hAnsi="仿宋" w:eastAsia="仿宋"/>
          <w:sz w:val="32"/>
          <w:szCs w:val="32"/>
          <w:lang w:eastAsia="zh-CN"/>
        </w:rPr>
        <w:t>，共计</w:t>
      </w:r>
      <w:r>
        <w:rPr>
          <w:rFonts w:hint="eastAsia" w:ascii="仿宋" w:hAnsi="仿宋" w:eastAsia="仿宋"/>
          <w:sz w:val="32"/>
          <w:szCs w:val="32"/>
          <w:lang w:val="en-US" w:eastAsia="zh-CN"/>
        </w:rPr>
        <w:t>280元。</w:t>
      </w:r>
    </w:p>
    <w:p>
      <w:pPr>
        <w:spacing w:line="640" w:lineRule="exact"/>
        <w:ind w:firstLine="645"/>
        <w:rPr>
          <w:rFonts w:hint="eastAsia" w:ascii="仿宋" w:hAnsi="仿宋" w:eastAsia="仿宋"/>
          <w:sz w:val="32"/>
          <w:szCs w:val="32"/>
          <w:lang w:val="en-US" w:eastAsia="zh-CN"/>
        </w:rPr>
      </w:pPr>
      <w:r>
        <w:rPr>
          <w:rFonts w:hint="eastAsia" w:ascii="仿宋" w:hAnsi="仿宋" w:eastAsia="仿宋"/>
          <w:sz w:val="32"/>
          <w:szCs w:val="32"/>
          <w:lang w:val="en-US" w:eastAsia="zh-CN"/>
        </w:rPr>
        <w:t>二是</w:t>
      </w:r>
      <w:r>
        <w:rPr>
          <w:rFonts w:hint="eastAsia" w:ascii="仿宋" w:hAnsi="仿宋" w:eastAsia="仿宋"/>
          <w:sz w:val="32"/>
          <w:szCs w:val="32"/>
          <w:lang w:eastAsia="zh-CN"/>
        </w:rPr>
        <w:t>南疆四地州（阿克苏、喀什、克州、和田）各增加</w:t>
      </w:r>
      <w:r>
        <w:rPr>
          <w:rFonts w:hint="eastAsia" w:ascii="仿宋" w:hAnsi="仿宋" w:eastAsia="仿宋"/>
          <w:sz w:val="32"/>
          <w:szCs w:val="32"/>
          <w:lang w:val="en-US" w:eastAsia="zh-CN"/>
        </w:rPr>
        <w:t>10万元，共计40万元。</w:t>
      </w:r>
    </w:p>
    <w:p>
      <w:pPr>
        <w:spacing w:line="640" w:lineRule="exact"/>
        <w:ind w:firstLine="645"/>
        <w:rPr>
          <w:rFonts w:hint="eastAsia" w:ascii="仿宋" w:hAnsi="仿宋" w:eastAsia="仿宋"/>
          <w:sz w:val="32"/>
          <w:szCs w:val="32"/>
          <w:lang w:val="en-US" w:eastAsia="zh-CN"/>
        </w:rPr>
      </w:pPr>
      <w:r>
        <w:rPr>
          <w:rFonts w:hint="eastAsia" w:ascii="仿宋" w:hAnsi="仿宋" w:eastAsia="仿宋"/>
          <w:sz w:val="32"/>
          <w:szCs w:val="32"/>
          <w:lang w:val="en-US" w:eastAsia="zh-CN"/>
        </w:rPr>
        <w:t>三是对地名普查工作中成绩突出并承担额外任务的乌鲁木齐市（地名普查现场会）、克拉玛依市（全国地名地址库试点单位）、伊犁州（管辖区域较大，指导检查任务较重）各增加10万元，共计30万元。</w:t>
      </w:r>
    </w:p>
    <w:p>
      <w:pPr>
        <w:spacing w:line="640" w:lineRule="exact"/>
        <w:ind w:firstLine="645"/>
        <w:rPr>
          <w:rFonts w:ascii="仿宋" w:hAnsi="仿宋" w:eastAsia="仿宋"/>
          <w:b/>
          <w:sz w:val="32"/>
          <w:szCs w:val="32"/>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4</w:t>
      </w:r>
      <w:r>
        <w:rPr>
          <w:rFonts w:hint="eastAsia" w:ascii="楷体" w:hAnsi="楷体" w:eastAsia="楷体" w:cs="楷体"/>
          <w:sz w:val="32"/>
          <w:szCs w:val="32"/>
          <w:lang w:eastAsia="zh-CN"/>
        </w:rPr>
        <w:t>）县市区民政局，共计</w:t>
      </w:r>
      <w:r>
        <w:rPr>
          <w:rFonts w:hint="eastAsia" w:ascii="楷体" w:hAnsi="楷体" w:eastAsia="楷体" w:cs="楷体"/>
          <w:sz w:val="32"/>
          <w:szCs w:val="32"/>
          <w:lang w:val="en-US" w:eastAsia="zh-CN"/>
        </w:rPr>
        <w:t>1090万元</w:t>
      </w:r>
    </w:p>
    <w:p>
      <w:pPr>
        <w:spacing w:line="64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一是</w:t>
      </w:r>
      <w:r>
        <w:rPr>
          <w:rFonts w:hint="eastAsia" w:ascii="仿宋" w:hAnsi="仿宋" w:eastAsia="仿宋"/>
          <w:sz w:val="32"/>
          <w:szCs w:val="32"/>
        </w:rPr>
        <w:t>全疆共</w:t>
      </w:r>
      <w:r>
        <w:rPr>
          <w:rFonts w:hint="eastAsia" w:ascii="仿宋" w:hAnsi="仿宋" w:eastAsia="仿宋"/>
          <w:sz w:val="32"/>
          <w:szCs w:val="32"/>
          <w:lang w:val="en-US" w:eastAsia="zh-CN"/>
        </w:rPr>
        <w:t>96</w:t>
      </w:r>
      <w:r>
        <w:rPr>
          <w:rFonts w:hint="eastAsia" w:ascii="仿宋" w:hAnsi="仿宋" w:eastAsia="仿宋"/>
          <w:sz w:val="32"/>
          <w:szCs w:val="32"/>
        </w:rPr>
        <w:t>个县市区</w:t>
      </w:r>
      <w:r>
        <w:rPr>
          <w:rFonts w:hint="eastAsia" w:ascii="仿宋" w:hAnsi="仿宋" w:eastAsia="仿宋"/>
          <w:sz w:val="32"/>
          <w:szCs w:val="32"/>
          <w:lang w:eastAsia="zh-CN"/>
        </w:rPr>
        <w:t>（不含</w:t>
      </w:r>
      <w:r>
        <w:rPr>
          <w:rFonts w:hint="eastAsia" w:ascii="仿宋" w:hAnsi="仿宋" w:eastAsia="仿宋"/>
          <w:sz w:val="32"/>
          <w:szCs w:val="32"/>
        </w:rPr>
        <w:t>兵团</w:t>
      </w:r>
      <w:r>
        <w:rPr>
          <w:rFonts w:hint="eastAsia" w:ascii="仿宋" w:hAnsi="仿宋" w:eastAsia="仿宋"/>
          <w:sz w:val="32"/>
          <w:szCs w:val="32"/>
          <w:lang w:eastAsia="zh-CN"/>
        </w:rPr>
        <w:t>管理的市），每个</w:t>
      </w:r>
      <w:r>
        <w:rPr>
          <w:rFonts w:hint="eastAsia" w:ascii="仿宋" w:hAnsi="仿宋" w:eastAsia="仿宋"/>
          <w:sz w:val="32"/>
          <w:szCs w:val="32"/>
        </w:rPr>
        <w:t>县市区</w:t>
      </w:r>
      <w:r>
        <w:rPr>
          <w:rFonts w:hint="eastAsia" w:ascii="仿宋" w:hAnsi="仿宋" w:eastAsia="仿宋"/>
          <w:sz w:val="32"/>
          <w:szCs w:val="32"/>
          <w:lang w:eastAsia="zh-CN"/>
        </w:rPr>
        <w:t>补助经费</w:t>
      </w:r>
      <w:r>
        <w:rPr>
          <w:rFonts w:hint="eastAsia" w:ascii="仿宋" w:hAnsi="仿宋" w:eastAsia="仿宋"/>
          <w:sz w:val="32"/>
          <w:szCs w:val="32"/>
          <w:lang w:val="en-US" w:eastAsia="zh-CN"/>
        </w:rPr>
        <w:t>10</w:t>
      </w:r>
      <w:r>
        <w:rPr>
          <w:rFonts w:hint="eastAsia" w:ascii="仿宋" w:hAnsi="仿宋" w:eastAsia="仿宋"/>
          <w:sz w:val="32"/>
          <w:szCs w:val="32"/>
        </w:rPr>
        <w:t>万</w:t>
      </w:r>
      <w:r>
        <w:rPr>
          <w:rFonts w:hint="eastAsia" w:ascii="仿宋" w:hAnsi="仿宋" w:eastAsia="仿宋"/>
          <w:sz w:val="32"/>
          <w:szCs w:val="32"/>
          <w:lang w:eastAsia="zh-CN"/>
        </w:rPr>
        <w:t>，共计</w:t>
      </w:r>
      <w:r>
        <w:rPr>
          <w:rFonts w:hint="eastAsia" w:ascii="仿宋" w:hAnsi="仿宋" w:eastAsia="仿宋"/>
          <w:sz w:val="32"/>
          <w:szCs w:val="32"/>
          <w:lang w:val="en-US" w:eastAsia="zh-CN"/>
        </w:rPr>
        <w:t>960万元。</w:t>
      </w:r>
    </w:p>
    <w:p>
      <w:pPr>
        <w:spacing w:line="64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二是</w:t>
      </w:r>
      <w:r>
        <w:rPr>
          <w:rFonts w:hint="eastAsia" w:ascii="仿宋" w:hAnsi="仿宋" w:eastAsia="仿宋"/>
          <w:sz w:val="32"/>
          <w:szCs w:val="32"/>
          <w:lang w:eastAsia="zh-CN"/>
        </w:rPr>
        <w:t>地名普查数量在</w:t>
      </w:r>
      <w:r>
        <w:rPr>
          <w:rFonts w:hint="eastAsia" w:ascii="仿宋" w:hAnsi="仿宋" w:eastAsia="仿宋"/>
          <w:sz w:val="32"/>
          <w:szCs w:val="32"/>
          <w:lang w:val="en-US" w:eastAsia="zh-CN"/>
        </w:rPr>
        <w:t>3000条以上18个县市区各增加5万元，共计90万元。</w:t>
      </w:r>
    </w:p>
    <w:p>
      <w:pPr>
        <w:spacing w:line="640" w:lineRule="exact"/>
        <w:ind w:firstLine="640" w:firstLineChars="200"/>
        <w:rPr>
          <w:rFonts w:ascii="仿宋" w:hAnsi="仿宋" w:eastAsia="仿宋"/>
          <w:sz w:val="32"/>
          <w:szCs w:val="32"/>
        </w:rPr>
      </w:pPr>
      <w:r>
        <w:rPr>
          <w:rFonts w:hint="eastAsia" w:ascii="仿宋" w:hAnsi="仿宋" w:eastAsia="仿宋"/>
          <w:sz w:val="32"/>
          <w:szCs w:val="32"/>
          <w:lang w:val="en-US" w:eastAsia="zh-CN"/>
        </w:rPr>
        <w:t>三是</w:t>
      </w:r>
      <w:r>
        <w:rPr>
          <w:rFonts w:hint="eastAsia" w:ascii="仿宋" w:hAnsi="仿宋" w:eastAsia="仿宋"/>
          <w:sz w:val="32"/>
          <w:szCs w:val="32"/>
          <w:lang w:eastAsia="zh-CN"/>
        </w:rPr>
        <w:t>阿瓦提县、墨玉县各增加</w:t>
      </w:r>
      <w:r>
        <w:rPr>
          <w:rFonts w:hint="eastAsia" w:ascii="仿宋" w:hAnsi="仿宋" w:eastAsia="仿宋"/>
          <w:sz w:val="32"/>
          <w:szCs w:val="32"/>
          <w:lang w:val="en-US" w:eastAsia="zh-CN"/>
        </w:rPr>
        <w:t>20万元，共计40万元。</w:t>
      </w:r>
    </w:p>
    <w:p>
      <w:pPr>
        <w:spacing w:line="640" w:lineRule="exact"/>
        <w:ind w:firstLine="645"/>
        <w:rPr>
          <w:rFonts w:hint="eastAsia" w:ascii="仿宋" w:hAnsi="仿宋" w:eastAsia="仿宋"/>
          <w:sz w:val="32"/>
          <w:szCs w:val="32"/>
          <w:lang w:eastAsia="zh-CN"/>
        </w:rPr>
      </w:pPr>
      <w:r>
        <w:rPr>
          <w:rFonts w:hint="eastAsia" w:ascii="仿宋" w:hAnsi="仿宋" w:eastAsia="仿宋"/>
          <w:sz w:val="32"/>
          <w:szCs w:val="32"/>
          <w:lang w:eastAsia="zh-CN"/>
        </w:rPr>
        <w:t>以上共计</w:t>
      </w:r>
      <w:r>
        <w:rPr>
          <w:rFonts w:hint="eastAsia" w:ascii="仿宋" w:hAnsi="仿宋" w:eastAsia="仿宋"/>
          <w:sz w:val="32"/>
          <w:szCs w:val="32"/>
          <w:lang w:val="en-US" w:eastAsia="zh-CN"/>
        </w:rPr>
        <w:t>1743万元。</w:t>
      </w:r>
    </w:p>
    <w:p>
      <w:pPr>
        <w:snapToGrid w:val="0"/>
        <w:spacing w:line="580" w:lineRule="exact"/>
        <w:ind w:firstLine="640"/>
        <w:rPr>
          <w:rFonts w:hint="eastAsia" w:ascii="仿宋" w:hAnsi="仿宋" w:eastAsia="仿宋"/>
          <w:sz w:val="32"/>
          <w:szCs w:val="32"/>
        </w:rPr>
      </w:pPr>
      <w:r>
        <w:rPr>
          <w:rFonts w:hint="eastAsia" w:ascii="仿宋" w:hAnsi="仿宋" w:eastAsia="仿宋" w:cs="仿宋"/>
          <w:b/>
          <w:bCs/>
          <w:sz w:val="32"/>
          <w:szCs w:val="32"/>
          <w:lang w:val="en-US" w:eastAsia="zh-CN"/>
        </w:rPr>
        <w:t xml:space="preserve"> 2、绩效目标：</w:t>
      </w:r>
      <w:r>
        <w:rPr>
          <w:rFonts w:hint="eastAsia" w:ascii="仿宋" w:hAnsi="仿宋" w:eastAsia="仿宋" w:cs="仿宋_GB2312"/>
          <w:sz w:val="32"/>
          <w:szCs w:val="32"/>
        </w:rPr>
        <w:t>新疆自治区第二次全国地名普查工作以习近平新时代中国特色社会主义思想为指导，认真贯彻落实国务院第二次全国地名普查工作部署要求，紧紧围绕新疆社会稳定和长治久安总目标，</w:t>
      </w:r>
      <w:r>
        <w:rPr>
          <w:rFonts w:hint="eastAsia" w:ascii="仿宋" w:hAnsi="仿宋" w:eastAsia="仿宋"/>
          <w:sz w:val="32"/>
          <w:szCs w:val="32"/>
        </w:rPr>
        <w:t>提高政治站位，理清工作思路，强化工作措施，规范普查规程，严把质量标准，</w:t>
      </w:r>
      <w:r>
        <w:rPr>
          <w:rFonts w:hint="eastAsia" w:ascii="仿宋" w:hAnsi="仿宋" w:eastAsia="仿宋" w:cs="仿宋"/>
          <w:b w:val="0"/>
          <w:bCs w:val="0"/>
          <w:sz w:val="32"/>
          <w:szCs w:val="32"/>
          <w:lang w:val="en-US" w:eastAsia="zh-CN"/>
        </w:rPr>
        <w:t>96个县（市、区）全面完成地名普查工作任务</w:t>
      </w:r>
      <w:r>
        <w:rPr>
          <w:rFonts w:hint="eastAsia" w:ascii="仿宋" w:hAnsi="仿宋" w:eastAsia="仿宋"/>
          <w:sz w:val="32"/>
          <w:szCs w:val="32"/>
        </w:rPr>
        <w:t>。</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1</w:t>
      </w:r>
      <w:r>
        <w:rPr>
          <w:rFonts w:hint="eastAsia" w:ascii="仿宋" w:hAnsi="仿宋" w:eastAsia="仿宋" w:cs="仿宋"/>
          <w:sz w:val="32"/>
          <w:szCs w:val="32"/>
        </w:rPr>
        <w:t>)调查地名基本情况。</w:t>
      </w:r>
      <w:r>
        <w:rPr>
          <w:rFonts w:hint="eastAsia" w:ascii="仿宋" w:hAnsi="仿宋" w:eastAsia="仿宋" w:cs="仿宋"/>
          <w:sz w:val="32"/>
          <w:szCs w:val="32"/>
          <w:lang w:eastAsia="zh-CN"/>
        </w:rPr>
        <w:t>查清了</w:t>
      </w:r>
      <w:r>
        <w:rPr>
          <w:rFonts w:hint="eastAsia" w:ascii="仿宋" w:hAnsi="仿宋" w:eastAsia="仿宋" w:cs="仿宋"/>
          <w:sz w:val="32"/>
          <w:szCs w:val="32"/>
        </w:rPr>
        <w:t>行政区域，非行政区域，群众自治组织，居民点</w:t>
      </w:r>
      <w:r>
        <w:rPr>
          <w:rFonts w:hint="eastAsia" w:ascii="仿宋" w:hAnsi="仿宋" w:eastAsia="仿宋" w:cs="仿宋"/>
          <w:sz w:val="32"/>
          <w:szCs w:val="32"/>
          <w:lang w:eastAsia="zh-CN"/>
        </w:rPr>
        <w:t>、</w:t>
      </w:r>
      <w:r>
        <w:rPr>
          <w:rFonts w:hint="eastAsia" w:ascii="仿宋" w:hAnsi="仿宋" w:eastAsia="仿宋" w:cs="仿宋"/>
          <w:sz w:val="32"/>
          <w:szCs w:val="32"/>
        </w:rPr>
        <w:t>交通运输设施</w:t>
      </w:r>
      <w:r>
        <w:rPr>
          <w:rFonts w:hint="eastAsia" w:ascii="仿宋" w:hAnsi="仿宋" w:eastAsia="仿宋" w:cs="仿宋"/>
          <w:sz w:val="32"/>
          <w:szCs w:val="32"/>
          <w:lang w:eastAsia="zh-CN"/>
        </w:rPr>
        <w:t>、</w:t>
      </w:r>
      <w:r>
        <w:rPr>
          <w:rFonts w:hint="eastAsia" w:ascii="仿宋" w:hAnsi="仿宋" w:eastAsia="仿宋" w:cs="仿宋"/>
          <w:sz w:val="32"/>
          <w:szCs w:val="32"/>
        </w:rPr>
        <w:t>水利、电力、通信设施</w:t>
      </w:r>
      <w:r>
        <w:rPr>
          <w:rFonts w:hint="eastAsia" w:ascii="仿宋" w:hAnsi="仿宋" w:eastAsia="仿宋" w:cs="仿宋"/>
          <w:sz w:val="32"/>
          <w:szCs w:val="32"/>
          <w:lang w:eastAsia="zh-CN"/>
        </w:rPr>
        <w:t>、</w:t>
      </w:r>
      <w:r>
        <w:rPr>
          <w:rFonts w:hint="eastAsia" w:ascii="仿宋" w:hAnsi="仿宋" w:eastAsia="仿宋" w:cs="仿宋"/>
          <w:sz w:val="32"/>
          <w:szCs w:val="32"/>
        </w:rPr>
        <w:t>纪念地、旅游景点</w:t>
      </w:r>
      <w:r>
        <w:rPr>
          <w:rFonts w:hint="eastAsia" w:ascii="仿宋" w:hAnsi="仿宋" w:eastAsia="仿宋" w:cs="仿宋"/>
          <w:sz w:val="32"/>
          <w:szCs w:val="32"/>
          <w:lang w:eastAsia="zh-CN"/>
        </w:rPr>
        <w:t>、</w:t>
      </w:r>
      <w:r>
        <w:rPr>
          <w:rFonts w:hint="eastAsia" w:ascii="仿宋" w:hAnsi="仿宋" w:eastAsia="仿宋" w:cs="仿宋"/>
          <w:sz w:val="32"/>
          <w:szCs w:val="32"/>
        </w:rPr>
        <w:t>建筑物</w:t>
      </w:r>
      <w:r>
        <w:rPr>
          <w:rFonts w:hint="eastAsia" w:ascii="仿宋" w:hAnsi="仿宋" w:eastAsia="仿宋" w:cs="仿宋"/>
          <w:sz w:val="32"/>
          <w:szCs w:val="32"/>
          <w:lang w:eastAsia="zh-CN"/>
        </w:rPr>
        <w:t>、</w:t>
      </w:r>
      <w:r>
        <w:rPr>
          <w:rFonts w:hint="eastAsia" w:ascii="仿宋" w:hAnsi="仿宋" w:eastAsia="仿宋" w:cs="仿宋"/>
          <w:sz w:val="32"/>
          <w:szCs w:val="32"/>
        </w:rPr>
        <w:t>单位</w:t>
      </w:r>
      <w:r>
        <w:rPr>
          <w:rFonts w:hint="eastAsia" w:ascii="仿宋" w:hAnsi="仿宋" w:eastAsia="仿宋" w:cs="仿宋"/>
          <w:sz w:val="32"/>
          <w:szCs w:val="32"/>
          <w:lang w:eastAsia="zh-CN"/>
        </w:rPr>
        <w:t>、</w:t>
      </w:r>
      <w:r>
        <w:rPr>
          <w:rFonts w:hint="eastAsia" w:ascii="仿宋" w:hAnsi="仿宋" w:eastAsia="仿宋" w:cs="仿宋"/>
          <w:sz w:val="32"/>
          <w:szCs w:val="32"/>
        </w:rPr>
        <w:t>陆地水系</w:t>
      </w:r>
      <w:r>
        <w:rPr>
          <w:rFonts w:hint="eastAsia" w:ascii="仿宋" w:hAnsi="仿宋" w:eastAsia="仿宋" w:cs="仿宋"/>
          <w:sz w:val="32"/>
          <w:szCs w:val="32"/>
          <w:lang w:eastAsia="zh-CN"/>
        </w:rPr>
        <w:t>、</w:t>
      </w:r>
      <w:r>
        <w:rPr>
          <w:rFonts w:hint="eastAsia" w:ascii="仿宋" w:hAnsi="仿宋" w:eastAsia="仿宋" w:cs="仿宋"/>
          <w:sz w:val="32"/>
          <w:szCs w:val="32"/>
        </w:rPr>
        <w:t>陆地地形等11大类地名的名称、位置及相关属性信息。</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2</w:t>
      </w:r>
      <w:r>
        <w:rPr>
          <w:rFonts w:hint="eastAsia" w:ascii="仿宋" w:hAnsi="仿宋" w:eastAsia="仿宋" w:cs="仿宋"/>
          <w:sz w:val="32"/>
          <w:szCs w:val="32"/>
        </w:rPr>
        <w:t>)规范地理实体名称。根据国家地名管理的有关法规，对不规范地名进行标准化处理，切实解决地名上存在的一地多名、地名重名，地名命名罔顾传统、刻意崇洋、虚张声势、名不符实，地名译写不准确、用字不规范、含义不健康等问题</w:t>
      </w:r>
      <w:r>
        <w:rPr>
          <w:rFonts w:hint="eastAsia" w:ascii="仿宋" w:hAnsi="仿宋" w:eastAsia="仿宋" w:cs="仿宋"/>
          <w:sz w:val="32"/>
          <w:szCs w:val="32"/>
          <w:lang w:eastAsia="zh-CN"/>
        </w:rPr>
        <w:t>进行了规范</w:t>
      </w:r>
      <w:r>
        <w:rPr>
          <w:rFonts w:hint="eastAsia" w:ascii="仿宋" w:hAnsi="仿宋" w:eastAsia="仿宋" w:cs="仿宋"/>
          <w:sz w:val="32"/>
          <w:szCs w:val="32"/>
        </w:rPr>
        <w:t>。</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)设置地名标志。根据实际需要，依据国家有关标准设置</w:t>
      </w:r>
      <w:r>
        <w:rPr>
          <w:rFonts w:hint="eastAsia" w:ascii="仿宋" w:hAnsi="仿宋" w:eastAsia="仿宋" w:cs="仿宋"/>
          <w:sz w:val="32"/>
          <w:szCs w:val="32"/>
          <w:lang w:eastAsia="zh-CN"/>
        </w:rPr>
        <w:t>了</w:t>
      </w:r>
      <w:r>
        <w:rPr>
          <w:rFonts w:hint="eastAsia" w:ascii="仿宋" w:hAnsi="仿宋" w:eastAsia="仿宋" w:cs="仿宋"/>
          <w:sz w:val="32"/>
          <w:szCs w:val="32"/>
        </w:rPr>
        <w:t>地名标志。</w:t>
      </w:r>
    </w:p>
    <w:p>
      <w:pPr>
        <w:pStyle w:val="2"/>
        <w:keepNext w:val="0"/>
        <w:keepLines w:val="0"/>
        <w:pageBreakBefore w:val="0"/>
        <w:numPr>
          <w:ilvl w:val="0"/>
          <w:numId w:val="0"/>
        </w:numPr>
        <w:kinsoku/>
        <w:wordWrap/>
        <w:overflowPunct/>
        <w:topLinePunct w:val="0"/>
        <w:autoSpaceDE/>
        <w:autoSpaceDN/>
        <w:bidi w:val="0"/>
        <w:adjustRightInd/>
        <w:snapToGrid/>
        <w:spacing w:line="640" w:lineRule="exact"/>
        <w:ind w:firstLine="640"/>
        <w:textAlignment w:val="auto"/>
        <w:rPr>
          <w:rFonts w:hint="eastAsia" w:ascii="仿宋" w:hAnsi="仿宋" w:eastAsia="仿宋" w:cs="仿宋"/>
          <w:sz w:val="32"/>
          <w:szCs w:val="32"/>
          <w:lang w:val="en-US" w:eastAsia="zh-CN"/>
        </w:rPr>
      </w:pPr>
      <w:r>
        <w:rPr>
          <w:rFonts w:hint="eastAsia" w:ascii="黑体" w:hAnsi="黑体" w:eastAsia="黑体" w:cs="黑体"/>
          <w:sz w:val="32"/>
          <w:szCs w:val="32"/>
          <w:lang w:val="en-US" w:eastAsia="zh-CN"/>
        </w:rPr>
        <w:t>二、绩效目标完成情况分析</w:t>
      </w:r>
    </w:p>
    <w:p>
      <w:pPr>
        <w:pStyle w:val="2"/>
        <w:keepNext w:val="0"/>
        <w:keepLines w:val="0"/>
        <w:pageBreakBefore w:val="0"/>
        <w:numPr>
          <w:ilvl w:val="0"/>
          <w:numId w:val="0"/>
        </w:numPr>
        <w:kinsoku/>
        <w:wordWrap/>
        <w:overflowPunct/>
        <w:topLinePunct w:val="0"/>
        <w:autoSpaceDE/>
        <w:autoSpaceDN/>
        <w:bidi w:val="0"/>
        <w:adjustRightInd/>
        <w:snapToGrid/>
        <w:spacing w:line="640" w:lineRule="exact"/>
        <w:ind w:firstLine="640"/>
        <w:textAlignment w:val="auto"/>
        <w:rPr>
          <w:rFonts w:hint="eastAsia" w:ascii="仿宋" w:hAnsi="仿宋" w:eastAsia="仿宋" w:cs="仿宋"/>
          <w:sz w:val="32"/>
          <w:szCs w:val="32"/>
          <w:lang w:val="en-US" w:eastAsia="zh-CN"/>
        </w:rPr>
      </w:pPr>
      <w:r>
        <w:rPr>
          <w:rFonts w:hint="eastAsia" w:ascii="楷体" w:hAnsi="楷体" w:eastAsia="楷体" w:cs="楷体"/>
          <w:b/>
          <w:bCs/>
          <w:sz w:val="32"/>
          <w:szCs w:val="32"/>
          <w:lang w:val="en-US" w:eastAsia="zh-CN"/>
        </w:rPr>
        <w:t>（一）资金投入情况分析</w:t>
      </w:r>
    </w:p>
    <w:p>
      <w:pPr>
        <w:ind w:firstLine="643" w:firstLineChars="200"/>
        <w:rPr>
          <w:rFonts w:hint="eastAsia" w:ascii="仿宋" w:hAnsi="仿宋" w:eastAsia="仿宋" w:cs="仿宋"/>
          <w:b w:val="0"/>
          <w:bCs w:val="0"/>
          <w:sz w:val="32"/>
          <w:szCs w:val="32"/>
          <w:lang w:eastAsia="zh-CN"/>
        </w:rPr>
      </w:pPr>
      <w:r>
        <w:rPr>
          <w:rFonts w:hint="eastAsia" w:ascii="仿宋" w:hAnsi="仿宋" w:eastAsia="仿宋" w:cs="仿宋"/>
          <w:b/>
          <w:bCs/>
          <w:sz w:val="32"/>
          <w:szCs w:val="32"/>
          <w:lang w:val="en-US" w:eastAsia="zh-CN"/>
        </w:rPr>
        <w:t>1、项目资金到位情况分析。</w:t>
      </w:r>
      <w:r>
        <w:rPr>
          <w:rFonts w:hint="eastAsia" w:ascii="仿宋" w:hAnsi="仿宋" w:eastAsia="仿宋" w:cs="仿宋"/>
          <w:b w:val="0"/>
          <w:bCs w:val="0"/>
          <w:sz w:val="32"/>
          <w:szCs w:val="32"/>
          <w:lang w:val="en-US" w:eastAsia="zh-CN"/>
        </w:rPr>
        <w:t>中央下达</w:t>
      </w:r>
      <w:r>
        <w:rPr>
          <w:rFonts w:hint="eastAsia" w:ascii="仿宋" w:hAnsi="仿宋" w:eastAsia="仿宋" w:cs="仿宋"/>
          <w:sz w:val="32"/>
          <w:szCs w:val="32"/>
          <w:lang w:eastAsia="zh-CN"/>
        </w:rPr>
        <w:t>补助资金</w:t>
      </w:r>
      <w:r>
        <w:rPr>
          <w:rFonts w:hint="eastAsia" w:ascii="仿宋" w:hAnsi="仿宋" w:eastAsia="仿宋" w:cs="仿宋"/>
          <w:sz w:val="32"/>
          <w:szCs w:val="32"/>
          <w:lang w:val="en-US" w:eastAsia="zh-CN"/>
        </w:rPr>
        <w:t>1743</w:t>
      </w:r>
      <w:r>
        <w:rPr>
          <w:rFonts w:hint="eastAsia" w:ascii="仿宋" w:hAnsi="仿宋" w:eastAsia="仿宋" w:cs="仿宋"/>
          <w:sz w:val="32"/>
          <w:szCs w:val="32"/>
        </w:rPr>
        <w:t>万元用于</w:t>
      </w:r>
      <w:r>
        <w:rPr>
          <w:rFonts w:hint="eastAsia" w:ascii="仿宋" w:hAnsi="仿宋" w:eastAsia="仿宋" w:cs="仿宋"/>
          <w:sz w:val="32"/>
          <w:szCs w:val="32"/>
          <w:lang w:eastAsia="zh-CN"/>
        </w:rPr>
        <w:t>地名</w:t>
      </w:r>
      <w:r>
        <w:rPr>
          <w:rFonts w:hint="eastAsia" w:ascii="仿宋" w:hAnsi="仿宋" w:eastAsia="仿宋" w:cs="仿宋"/>
          <w:sz w:val="32"/>
          <w:szCs w:val="32"/>
          <w:lang w:val="en-US" w:eastAsia="zh-CN"/>
        </w:rPr>
        <w:t>普查</w:t>
      </w:r>
      <w:r>
        <w:rPr>
          <w:rFonts w:hint="eastAsia" w:ascii="仿宋" w:hAnsi="仿宋" w:eastAsia="仿宋" w:cs="仿宋"/>
          <w:sz w:val="32"/>
          <w:szCs w:val="32"/>
        </w:rPr>
        <w:t>工作项目，</w:t>
      </w:r>
      <w:r>
        <w:rPr>
          <w:rFonts w:hint="eastAsia" w:ascii="仿宋" w:hAnsi="仿宋" w:eastAsia="仿宋" w:cs="仿宋"/>
          <w:b w:val="0"/>
          <w:bCs w:val="0"/>
          <w:sz w:val="32"/>
          <w:szCs w:val="32"/>
          <w:lang w:val="en-US" w:eastAsia="zh-CN"/>
        </w:rPr>
        <w:t>目前已全部</w:t>
      </w:r>
      <w:r>
        <w:rPr>
          <w:rFonts w:hint="eastAsia" w:ascii="仿宋" w:hAnsi="仿宋" w:eastAsia="仿宋" w:cs="仿宋"/>
          <w:b w:val="0"/>
          <w:bCs w:val="0"/>
          <w:sz w:val="32"/>
          <w:szCs w:val="32"/>
          <w:lang w:eastAsia="zh-CN"/>
        </w:rPr>
        <w:t>下达到地（州、市）和县（市、区）具体项目执行单位。</w:t>
      </w:r>
    </w:p>
    <w:p>
      <w:pPr>
        <w:ind w:firstLine="643" w:firstLineChars="200"/>
        <w:rPr>
          <w:rFonts w:hint="eastAsia" w:ascii="仿宋" w:hAnsi="仿宋" w:eastAsia="仿宋" w:cs="仿宋"/>
          <w:spacing w:val="-4"/>
          <w:sz w:val="32"/>
          <w:szCs w:val="32"/>
          <w:lang w:val="en-US" w:eastAsia="zh-CN"/>
        </w:rPr>
      </w:pPr>
      <w:r>
        <w:rPr>
          <w:rFonts w:hint="eastAsia" w:ascii="仿宋" w:hAnsi="仿宋" w:eastAsia="仿宋" w:cs="仿宋"/>
          <w:b/>
          <w:bCs/>
          <w:sz w:val="32"/>
          <w:szCs w:val="32"/>
          <w:lang w:val="en-US" w:eastAsia="zh-CN"/>
        </w:rPr>
        <w:t>2、项目资金执行情况分析。</w:t>
      </w:r>
      <w:r>
        <w:rPr>
          <w:rFonts w:hint="eastAsia" w:ascii="仿宋" w:hAnsi="仿宋" w:eastAsia="仿宋" w:cs="仿宋"/>
          <w:b w:val="0"/>
          <w:bCs w:val="0"/>
          <w:sz w:val="32"/>
          <w:szCs w:val="32"/>
          <w:lang w:val="en-US" w:eastAsia="zh-CN"/>
        </w:rPr>
        <w:t>中央下达</w:t>
      </w:r>
      <w:r>
        <w:rPr>
          <w:rFonts w:hint="eastAsia" w:ascii="仿宋" w:hAnsi="仿宋" w:eastAsia="仿宋" w:cs="仿宋"/>
          <w:sz w:val="32"/>
          <w:szCs w:val="32"/>
          <w:lang w:eastAsia="zh-CN"/>
        </w:rPr>
        <w:t>补助资金</w:t>
      </w:r>
      <w:r>
        <w:rPr>
          <w:rFonts w:hint="eastAsia" w:ascii="仿宋" w:hAnsi="仿宋" w:eastAsia="仿宋" w:cs="仿宋"/>
          <w:sz w:val="32"/>
          <w:szCs w:val="32"/>
          <w:lang w:val="en-US" w:eastAsia="zh-CN"/>
        </w:rPr>
        <w:t>1743</w:t>
      </w:r>
      <w:r>
        <w:rPr>
          <w:rFonts w:hint="eastAsia" w:ascii="仿宋" w:hAnsi="仿宋" w:eastAsia="仿宋" w:cs="仿宋"/>
          <w:sz w:val="32"/>
          <w:szCs w:val="32"/>
        </w:rPr>
        <w:t>万元</w:t>
      </w:r>
      <w:r>
        <w:rPr>
          <w:rFonts w:hint="eastAsia" w:ascii="仿宋" w:hAnsi="仿宋" w:eastAsia="仿宋" w:cs="仿宋"/>
          <w:sz w:val="32"/>
          <w:szCs w:val="32"/>
          <w:lang w:eastAsia="zh-CN"/>
        </w:rPr>
        <w:t>，其中</w:t>
      </w:r>
      <w:r>
        <w:rPr>
          <w:rFonts w:hint="eastAsia" w:ascii="仿宋" w:hAnsi="仿宋" w:eastAsia="仿宋" w:cs="仿宋"/>
          <w:spacing w:val="-4"/>
          <w:sz w:val="32"/>
          <w:szCs w:val="32"/>
          <w:lang w:val="en-US" w:eastAsia="zh-CN"/>
        </w:rPr>
        <w:t>下拨自治区标准化中心各地（州、市）资金73万元，下拨各地（州、市）、县（市、区）1381万元，自治区本级资金289万元。</w:t>
      </w:r>
    </w:p>
    <w:p>
      <w:pPr>
        <w:spacing w:line="640" w:lineRule="exact"/>
        <w:ind w:firstLine="645"/>
        <w:rPr>
          <w:rFonts w:ascii="黑体" w:hAnsi="黑体" w:eastAsia="黑体"/>
          <w:sz w:val="32"/>
          <w:szCs w:val="32"/>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1</w:t>
      </w:r>
      <w:r>
        <w:rPr>
          <w:rFonts w:hint="eastAsia" w:ascii="楷体" w:hAnsi="楷体" w:eastAsia="楷体" w:cs="楷体"/>
          <w:sz w:val="32"/>
          <w:szCs w:val="32"/>
          <w:lang w:eastAsia="zh-CN"/>
        </w:rPr>
        <w:t>）区划地名处、地名标准化中心，共计</w:t>
      </w:r>
      <w:r>
        <w:rPr>
          <w:rFonts w:hint="eastAsia" w:ascii="楷体" w:hAnsi="楷体" w:eastAsia="楷体" w:cs="楷体"/>
          <w:sz w:val="32"/>
          <w:szCs w:val="32"/>
          <w:lang w:val="en-US" w:eastAsia="zh-CN"/>
        </w:rPr>
        <w:t>362万元</w:t>
      </w:r>
    </w:p>
    <w:p>
      <w:pPr>
        <w:spacing w:line="640" w:lineRule="exact"/>
        <w:ind w:firstLine="645"/>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w:t>
      </w:r>
      <w:r>
        <w:rPr>
          <w:rFonts w:hint="eastAsia" w:ascii="仿宋" w:hAnsi="仿宋" w:eastAsia="仿宋"/>
          <w:sz w:val="32"/>
          <w:szCs w:val="32"/>
          <w:lang w:eastAsia="zh-CN"/>
        </w:rPr>
        <w:t>开展地名图录典志的编纂工作、对</w:t>
      </w:r>
      <w:r>
        <w:rPr>
          <w:rFonts w:hint="eastAsia" w:ascii="仿宋" w:hAnsi="仿宋" w:eastAsia="仿宋"/>
          <w:sz w:val="32"/>
          <w:szCs w:val="32"/>
        </w:rPr>
        <w:t>全区地名普查</w:t>
      </w:r>
      <w:r>
        <w:rPr>
          <w:rFonts w:hint="eastAsia" w:ascii="仿宋" w:hAnsi="仿宋" w:eastAsia="仿宋"/>
          <w:sz w:val="32"/>
          <w:szCs w:val="32"/>
          <w:lang w:eastAsia="zh-CN"/>
        </w:rPr>
        <w:t>工作</w:t>
      </w:r>
      <w:r>
        <w:rPr>
          <w:rFonts w:hint="eastAsia" w:ascii="仿宋" w:hAnsi="仿宋" w:eastAsia="仿宋"/>
          <w:sz w:val="32"/>
          <w:szCs w:val="32"/>
        </w:rPr>
        <w:t>的督促、检查</w:t>
      </w:r>
      <w:r>
        <w:rPr>
          <w:rFonts w:hint="eastAsia" w:ascii="仿宋" w:hAnsi="仿宋" w:eastAsia="仿宋"/>
          <w:sz w:val="32"/>
          <w:szCs w:val="32"/>
          <w:lang w:eastAsia="zh-CN"/>
        </w:rPr>
        <w:t>、</w:t>
      </w:r>
      <w:r>
        <w:rPr>
          <w:rFonts w:hint="eastAsia" w:ascii="仿宋" w:hAnsi="仿宋" w:eastAsia="仿宋"/>
          <w:sz w:val="32"/>
          <w:szCs w:val="32"/>
        </w:rPr>
        <w:t>指</w:t>
      </w:r>
      <w:r>
        <w:rPr>
          <w:rFonts w:hint="eastAsia" w:ascii="仿宋" w:hAnsi="仿宋" w:eastAsia="仿宋"/>
          <w:sz w:val="32"/>
          <w:szCs w:val="32"/>
          <w:lang w:eastAsia="zh-CN"/>
        </w:rPr>
        <w:t>导、论证及</w:t>
      </w:r>
      <w:r>
        <w:rPr>
          <w:rFonts w:hint="eastAsia" w:ascii="仿宋" w:hAnsi="仿宋" w:eastAsia="仿宋"/>
          <w:sz w:val="32"/>
          <w:szCs w:val="32"/>
        </w:rPr>
        <w:t>业务培训工作</w:t>
      </w:r>
      <w:r>
        <w:rPr>
          <w:rFonts w:hint="eastAsia" w:ascii="仿宋" w:hAnsi="仿宋" w:eastAsia="仿宋"/>
          <w:sz w:val="32"/>
          <w:szCs w:val="32"/>
          <w:lang w:eastAsia="zh-CN"/>
        </w:rPr>
        <w:t>，共需经费</w:t>
      </w:r>
      <w:r>
        <w:rPr>
          <w:rFonts w:hint="eastAsia" w:ascii="仿宋" w:hAnsi="仿宋" w:eastAsia="仿宋"/>
          <w:sz w:val="32"/>
          <w:szCs w:val="32"/>
          <w:lang w:val="en-US" w:eastAsia="zh-CN"/>
        </w:rPr>
        <w:t>73</w:t>
      </w:r>
      <w:r>
        <w:rPr>
          <w:rFonts w:hint="eastAsia" w:ascii="仿宋" w:hAnsi="仿宋" w:eastAsia="仿宋"/>
          <w:sz w:val="32"/>
          <w:szCs w:val="32"/>
        </w:rPr>
        <w:t>万元。</w:t>
      </w:r>
      <w:r>
        <w:rPr>
          <w:rFonts w:hint="eastAsia" w:ascii="仿宋" w:hAnsi="仿宋" w:eastAsia="仿宋"/>
          <w:sz w:val="32"/>
          <w:szCs w:val="32"/>
          <w:lang w:eastAsia="zh-CN"/>
        </w:rPr>
        <w:t>根据国家要求，应将地方与兵团普查成果合二为一，形成一个完整的普查成果数据库</w:t>
      </w:r>
      <w:r>
        <w:rPr>
          <w:rFonts w:hint="eastAsia" w:ascii="仿宋" w:hAnsi="仿宋" w:eastAsia="仿宋"/>
          <w:sz w:val="32"/>
          <w:szCs w:val="32"/>
          <w:lang w:val="en-US" w:eastAsia="zh-CN"/>
        </w:rPr>
        <w:t>289万元。</w:t>
      </w:r>
    </w:p>
    <w:p>
      <w:pPr>
        <w:spacing w:line="640" w:lineRule="exact"/>
        <w:ind w:firstLine="645"/>
        <w:rPr>
          <w:rFonts w:ascii="黑体" w:hAnsi="黑体" w:eastAsia="黑体"/>
          <w:sz w:val="32"/>
          <w:szCs w:val="32"/>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2</w:t>
      </w:r>
      <w:r>
        <w:rPr>
          <w:rFonts w:hint="eastAsia" w:ascii="楷体" w:hAnsi="楷体" w:eastAsia="楷体" w:cs="楷体"/>
          <w:sz w:val="32"/>
          <w:szCs w:val="32"/>
          <w:lang w:eastAsia="zh-CN"/>
        </w:rPr>
        <w:t>）地州市民政局，共计</w:t>
      </w:r>
      <w:r>
        <w:rPr>
          <w:rFonts w:hint="eastAsia" w:ascii="楷体" w:hAnsi="楷体" w:eastAsia="楷体" w:cs="楷体"/>
          <w:sz w:val="32"/>
          <w:szCs w:val="32"/>
          <w:lang w:val="en-US" w:eastAsia="zh-CN"/>
        </w:rPr>
        <w:t>315万元</w:t>
      </w:r>
    </w:p>
    <w:p>
      <w:pPr>
        <w:spacing w:line="640" w:lineRule="exact"/>
        <w:ind w:firstLine="645"/>
        <w:rPr>
          <w:rFonts w:hint="eastAsia" w:ascii="仿宋" w:hAnsi="仿宋" w:eastAsia="仿宋"/>
          <w:sz w:val="32"/>
          <w:szCs w:val="32"/>
          <w:lang w:val="en-US" w:eastAsia="zh-CN"/>
        </w:rPr>
      </w:pPr>
      <w:r>
        <w:rPr>
          <w:rFonts w:hint="eastAsia" w:ascii="仿宋" w:hAnsi="仿宋" w:eastAsia="仿宋"/>
          <w:sz w:val="32"/>
          <w:szCs w:val="32"/>
          <w:lang w:eastAsia="zh-CN"/>
        </w:rPr>
        <w:t>每</w:t>
      </w:r>
      <w:r>
        <w:rPr>
          <w:rFonts w:hint="eastAsia" w:ascii="仿宋" w:hAnsi="仿宋" w:eastAsia="仿宋"/>
          <w:sz w:val="32"/>
          <w:szCs w:val="32"/>
        </w:rPr>
        <w:t>个地州市补助</w:t>
      </w:r>
      <w:r>
        <w:rPr>
          <w:rFonts w:hint="eastAsia" w:ascii="仿宋" w:hAnsi="仿宋" w:eastAsia="仿宋"/>
          <w:sz w:val="32"/>
          <w:szCs w:val="32"/>
          <w:lang w:eastAsia="zh-CN"/>
        </w:rPr>
        <w:t>经费</w:t>
      </w:r>
      <w:r>
        <w:rPr>
          <w:rFonts w:hint="eastAsia" w:ascii="仿宋" w:hAnsi="仿宋" w:eastAsia="仿宋"/>
          <w:sz w:val="32"/>
          <w:szCs w:val="32"/>
          <w:lang w:val="en-US" w:eastAsia="zh-CN"/>
        </w:rPr>
        <w:t>20</w:t>
      </w:r>
      <w:r>
        <w:rPr>
          <w:rFonts w:hint="eastAsia" w:ascii="仿宋" w:hAnsi="仿宋" w:eastAsia="仿宋"/>
          <w:sz w:val="32"/>
          <w:szCs w:val="32"/>
        </w:rPr>
        <w:t>万元</w:t>
      </w:r>
      <w:r>
        <w:rPr>
          <w:rFonts w:hint="eastAsia" w:ascii="仿宋" w:hAnsi="仿宋" w:eastAsia="仿宋"/>
          <w:sz w:val="32"/>
          <w:szCs w:val="32"/>
          <w:lang w:eastAsia="zh-CN"/>
        </w:rPr>
        <w:t>，共计</w:t>
      </w:r>
      <w:r>
        <w:rPr>
          <w:rFonts w:hint="eastAsia" w:ascii="仿宋" w:hAnsi="仿宋" w:eastAsia="仿宋"/>
          <w:sz w:val="32"/>
          <w:szCs w:val="32"/>
          <w:lang w:val="en-US" w:eastAsia="zh-CN"/>
        </w:rPr>
        <w:t>280万元。</w:t>
      </w:r>
      <w:r>
        <w:rPr>
          <w:rFonts w:hint="eastAsia" w:ascii="仿宋" w:hAnsi="仿宋" w:eastAsia="仿宋"/>
          <w:sz w:val="32"/>
          <w:szCs w:val="32"/>
          <w:lang w:eastAsia="zh-CN"/>
        </w:rPr>
        <w:t>南疆四地州（阿克苏、喀什、克州、和田）各增加</w:t>
      </w:r>
      <w:r>
        <w:rPr>
          <w:rFonts w:hint="eastAsia" w:ascii="仿宋" w:hAnsi="仿宋" w:eastAsia="仿宋"/>
          <w:sz w:val="32"/>
          <w:szCs w:val="32"/>
          <w:lang w:val="en-US" w:eastAsia="zh-CN"/>
        </w:rPr>
        <w:t>5万元，共计20万元。对地名普查工作中成绩突出并承担额外任务的乌鲁木齐市（地名普查现场会）、克拉玛依市（全国地名地址库试点单位）、伊犁州（管辖区域较大，指导检查任务较重）各增加5万元，共计15万元。</w:t>
      </w:r>
    </w:p>
    <w:p>
      <w:pPr>
        <w:spacing w:line="640" w:lineRule="exact"/>
        <w:ind w:firstLine="645"/>
        <w:rPr>
          <w:rFonts w:ascii="仿宋" w:hAnsi="仿宋" w:eastAsia="仿宋"/>
          <w:b/>
          <w:sz w:val="32"/>
          <w:szCs w:val="32"/>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3</w:t>
      </w:r>
      <w:r>
        <w:rPr>
          <w:rFonts w:hint="eastAsia" w:ascii="楷体" w:hAnsi="楷体" w:eastAsia="楷体" w:cs="楷体"/>
          <w:sz w:val="32"/>
          <w:szCs w:val="32"/>
          <w:lang w:eastAsia="zh-CN"/>
        </w:rPr>
        <w:t>）县市区民政局，共计</w:t>
      </w:r>
      <w:r>
        <w:rPr>
          <w:rFonts w:hint="eastAsia" w:ascii="楷体" w:hAnsi="楷体" w:eastAsia="楷体" w:cs="楷体"/>
          <w:sz w:val="32"/>
          <w:szCs w:val="32"/>
          <w:lang w:val="en-US" w:eastAsia="zh-CN"/>
        </w:rPr>
        <w:t>1066万元</w:t>
      </w:r>
    </w:p>
    <w:p>
      <w:pPr>
        <w:spacing w:line="640" w:lineRule="exact"/>
        <w:ind w:firstLine="640" w:firstLineChars="200"/>
        <w:rPr>
          <w:rFonts w:ascii="仿宋" w:hAnsi="仿宋" w:eastAsia="仿宋"/>
          <w:sz w:val="32"/>
          <w:szCs w:val="32"/>
        </w:rPr>
      </w:pPr>
      <w:r>
        <w:rPr>
          <w:rFonts w:hint="eastAsia" w:ascii="仿宋" w:hAnsi="仿宋" w:eastAsia="仿宋"/>
          <w:sz w:val="32"/>
          <w:szCs w:val="32"/>
        </w:rPr>
        <w:t>全疆共</w:t>
      </w:r>
      <w:r>
        <w:rPr>
          <w:rFonts w:hint="eastAsia" w:ascii="仿宋" w:hAnsi="仿宋" w:eastAsia="仿宋"/>
          <w:sz w:val="32"/>
          <w:szCs w:val="32"/>
          <w:lang w:val="en-US" w:eastAsia="zh-CN"/>
        </w:rPr>
        <w:t>96</w:t>
      </w:r>
      <w:r>
        <w:rPr>
          <w:rFonts w:hint="eastAsia" w:ascii="仿宋" w:hAnsi="仿宋" w:eastAsia="仿宋"/>
          <w:sz w:val="32"/>
          <w:szCs w:val="32"/>
        </w:rPr>
        <w:t>个县市区</w:t>
      </w:r>
      <w:r>
        <w:rPr>
          <w:rFonts w:hint="eastAsia" w:ascii="仿宋" w:hAnsi="仿宋" w:eastAsia="仿宋"/>
          <w:sz w:val="32"/>
          <w:szCs w:val="32"/>
          <w:lang w:eastAsia="zh-CN"/>
        </w:rPr>
        <w:t>（不含</w:t>
      </w:r>
      <w:r>
        <w:rPr>
          <w:rFonts w:hint="eastAsia" w:ascii="仿宋" w:hAnsi="仿宋" w:eastAsia="仿宋"/>
          <w:sz w:val="32"/>
          <w:szCs w:val="32"/>
        </w:rPr>
        <w:t>兵团</w:t>
      </w:r>
      <w:r>
        <w:rPr>
          <w:rFonts w:hint="eastAsia" w:ascii="仿宋" w:hAnsi="仿宋" w:eastAsia="仿宋"/>
          <w:sz w:val="32"/>
          <w:szCs w:val="32"/>
          <w:lang w:eastAsia="zh-CN"/>
        </w:rPr>
        <w:t>管理的市），每个</w:t>
      </w:r>
      <w:r>
        <w:rPr>
          <w:rFonts w:hint="eastAsia" w:ascii="仿宋" w:hAnsi="仿宋" w:eastAsia="仿宋"/>
          <w:sz w:val="32"/>
          <w:szCs w:val="32"/>
        </w:rPr>
        <w:t>县市区</w:t>
      </w:r>
      <w:r>
        <w:rPr>
          <w:rFonts w:hint="eastAsia" w:ascii="仿宋" w:hAnsi="仿宋" w:eastAsia="仿宋"/>
          <w:sz w:val="32"/>
          <w:szCs w:val="32"/>
          <w:lang w:eastAsia="zh-CN"/>
        </w:rPr>
        <w:t>补助经费</w:t>
      </w:r>
      <w:r>
        <w:rPr>
          <w:rFonts w:hint="eastAsia" w:ascii="仿宋" w:hAnsi="仿宋" w:eastAsia="仿宋"/>
          <w:sz w:val="32"/>
          <w:szCs w:val="32"/>
          <w:lang w:val="en-US" w:eastAsia="zh-CN"/>
        </w:rPr>
        <w:t>7-10</w:t>
      </w:r>
      <w:r>
        <w:rPr>
          <w:rFonts w:hint="eastAsia" w:ascii="仿宋" w:hAnsi="仿宋" w:eastAsia="仿宋"/>
          <w:sz w:val="32"/>
          <w:szCs w:val="32"/>
        </w:rPr>
        <w:t>万</w:t>
      </w:r>
      <w:r>
        <w:rPr>
          <w:rFonts w:hint="eastAsia" w:ascii="仿宋" w:hAnsi="仿宋" w:eastAsia="仿宋"/>
          <w:sz w:val="32"/>
          <w:szCs w:val="32"/>
          <w:lang w:eastAsia="zh-CN"/>
        </w:rPr>
        <w:t>，共计</w:t>
      </w:r>
      <w:r>
        <w:rPr>
          <w:rFonts w:hint="eastAsia" w:ascii="仿宋" w:hAnsi="仿宋" w:eastAsia="仿宋"/>
          <w:sz w:val="32"/>
          <w:szCs w:val="32"/>
          <w:lang w:val="en-US" w:eastAsia="zh-CN"/>
        </w:rPr>
        <w:t>935万元。</w:t>
      </w:r>
      <w:r>
        <w:rPr>
          <w:rFonts w:hint="eastAsia" w:ascii="仿宋" w:hAnsi="仿宋" w:eastAsia="仿宋"/>
          <w:sz w:val="32"/>
          <w:szCs w:val="32"/>
          <w:lang w:eastAsia="zh-CN"/>
        </w:rPr>
        <w:t>地名普查数量在</w:t>
      </w:r>
      <w:r>
        <w:rPr>
          <w:rFonts w:hint="eastAsia" w:ascii="仿宋" w:hAnsi="仿宋" w:eastAsia="仿宋"/>
          <w:sz w:val="32"/>
          <w:szCs w:val="32"/>
          <w:lang w:val="en-US" w:eastAsia="zh-CN"/>
        </w:rPr>
        <w:t>3000条以上18个县市区各增加5万元，共计90万元。</w:t>
      </w:r>
      <w:r>
        <w:rPr>
          <w:rFonts w:hint="eastAsia" w:ascii="仿宋" w:hAnsi="仿宋" w:eastAsia="仿宋"/>
          <w:sz w:val="32"/>
          <w:szCs w:val="32"/>
          <w:lang w:eastAsia="zh-CN"/>
        </w:rPr>
        <w:t>阿瓦提县增加</w:t>
      </w:r>
      <w:r>
        <w:rPr>
          <w:rFonts w:hint="eastAsia" w:ascii="仿宋" w:hAnsi="仿宋" w:eastAsia="仿宋"/>
          <w:sz w:val="32"/>
          <w:szCs w:val="32"/>
          <w:lang w:val="en-US" w:eastAsia="zh-CN"/>
        </w:rPr>
        <w:t>10万元</w:t>
      </w:r>
      <w:r>
        <w:rPr>
          <w:rFonts w:hint="eastAsia" w:ascii="仿宋" w:hAnsi="仿宋" w:eastAsia="仿宋"/>
          <w:sz w:val="32"/>
          <w:szCs w:val="32"/>
          <w:lang w:eastAsia="zh-CN"/>
        </w:rPr>
        <w:t>、墨玉县增加</w:t>
      </w:r>
      <w:r>
        <w:rPr>
          <w:rFonts w:hint="eastAsia" w:ascii="仿宋" w:hAnsi="仿宋" w:eastAsia="仿宋"/>
          <w:sz w:val="32"/>
          <w:szCs w:val="32"/>
          <w:lang w:val="en-US" w:eastAsia="zh-CN"/>
        </w:rPr>
        <w:t>20万元，共计30万元。</w:t>
      </w:r>
    </w:p>
    <w:p>
      <w:pPr>
        <w:numPr>
          <w:ilvl w:val="0"/>
          <w:numId w:val="0"/>
        </w:numPr>
        <w:spacing w:line="540" w:lineRule="exact"/>
        <w:rPr>
          <w:rStyle w:val="21"/>
          <w:rFonts w:hint="eastAsia" w:ascii="楷体" w:hAnsi="楷体" w:eastAsia="楷体"/>
          <w:spacing w:val="-4"/>
          <w:sz w:val="32"/>
          <w:szCs w:val="32"/>
        </w:rPr>
      </w:pPr>
    </w:p>
    <w:p>
      <w:pPr>
        <w:spacing w:line="540" w:lineRule="exact"/>
        <w:ind w:firstLine="581" w:firstLineChars="181"/>
        <w:rPr>
          <w:rStyle w:val="21"/>
          <w:rFonts w:ascii="楷体" w:hAnsi="楷体" w:eastAsia="楷体"/>
          <w:spacing w:val="-4"/>
          <w:sz w:val="32"/>
          <w:szCs w:val="32"/>
        </w:rPr>
      </w:pPr>
      <w:r>
        <w:rPr>
          <w:rFonts w:hint="eastAsia" w:ascii="仿宋" w:hAnsi="仿宋" w:eastAsia="仿宋" w:cs="仿宋"/>
          <w:b/>
          <w:bCs/>
          <w:sz w:val="32"/>
          <w:szCs w:val="32"/>
          <w:lang w:val="en-US" w:eastAsia="zh-CN"/>
        </w:rPr>
        <w:t>3、</w:t>
      </w:r>
      <w:r>
        <w:rPr>
          <w:rStyle w:val="21"/>
          <w:rFonts w:hint="eastAsia" w:ascii="楷体" w:hAnsi="楷体" w:eastAsia="楷体"/>
          <w:spacing w:val="-4"/>
          <w:sz w:val="32"/>
          <w:szCs w:val="32"/>
        </w:rPr>
        <w:t>项目资金管理情况分析</w:t>
      </w:r>
    </w:p>
    <w:p>
      <w:pPr>
        <w:keepNext w:val="0"/>
        <w:keepLines w:val="0"/>
        <w:pageBreakBefore w:val="0"/>
        <w:kinsoku/>
        <w:wordWrap/>
        <w:overflowPunct/>
        <w:topLinePunct w:val="0"/>
        <w:autoSpaceDE/>
        <w:autoSpaceDN/>
        <w:bidi w:val="0"/>
        <w:adjustRightInd/>
        <w:snapToGrid/>
        <w:spacing w:line="640" w:lineRule="exact"/>
        <w:ind w:firstLine="645"/>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eastAsia="zh-CN"/>
        </w:rPr>
        <w:t>中央专项转移支付资金</w:t>
      </w:r>
      <w:r>
        <w:rPr>
          <w:rFonts w:hint="eastAsia" w:ascii="仿宋" w:hAnsi="仿宋" w:eastAsia="仿宋" w:cs="仿宋"/>
          <w:color w:val="000000"/>
          <w:kern w:val="0"/>
          <w:sz w:val="32"/>
          <w:szCs w:val="32"/>
        </w:rPr>
        <w:t>专款专用，严禁挤占挪用。</w:t>
      </w:r>
      <w:r>
        <w:rPr>
          <w:rFonts w:hint="eastAsia" w:ascii="仿宋" w:hAnsi="仿宋" w:eastAsia="仿宋" w:cs="仿宋"/>
          <w:sz w:val="32"/>
          <w:szCs w:val="32"/>
        </w:rPr>
        <w:t>各地民政部门协调纪检、审计等部门定期检查、审计</w:t>
      </w:r>
      <w:r>
        <w:rPr>
          <w:rFonts w:hint="eastAsia" w:ascii="仿宋" w:hAnsi="仿宋" w:eastAsia="仿宋" w:cs="仿宋"/>
          <w:sz w:val="32"/>
          <w:szCs w:val="32"/>
          <w:lang w:eastAsia="zh-CN"/>
        </w:rPr>
        <w:t>经费的使用</w:t>
      </w:r>
      <w:r>
        <w:rPr>
          <w:rFonts w:hint="eastAsia" w:ascii="仿宋" w:hAnsi="仿宋" w:eastAsia="仿宋" w:cs="仿宋"/>
          <w:sz w:val="32"/>
          <w:szCs w:val="32"/>
        </w:rPr>
        <w:t>和管理情况，确保资金高效、安全使用。对套取、截留、挤占、挪用的，按有关规定严肃查处。</w:t>
      </w:r>
    </w:p>
    <w:p>
      <w:pPr>
        <w:keepNext w:val="0"/>
        <w:keepLines w:val="0"/>
        <w:pageBreakBefore w:val="0"/>
        <w:kinsoku/>
        <w:wordWrap/>
        <w:overflowPunct/>
        <w:topLinePunct w:val="0"/>
        <w:autoSpaceDE/>
        <w:autoSpaceDN/>
        <w:bidi w:val="0"/>
        <w:adjustRightInd/>
        <w:snapToGrid/>
        <w:spacing w:line="640" w:lineRule="exact"/>
        <w:ind w:firstLine="645"/>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b/>
          <w:bCs/>
          <w:color w:val="000000"/>
          <w:kern w:val="0"/>
          <w:sz w:val="32"/>
          <w:szCs w:val="32"/>
          <w:lang w:val="en-US" w:eastAsia="zh-CN"/>
        </w:rPr>
        <w:t>（1）通过制度抓管理。</w:t>
      </w:r>
      <w:r>
        <w:rPr>
          <w:rFonts w:hint="eastAsia" w:ascii="仿宋_GB2312" w:eastAsia="仿宋_GB2312"/>
          <w:sz w:val="30"/>
          <w:szCs w:val="30"/>
        </w:rPr>
        <w:t>按照国家和自治区财政有关规定要求，坚持专款专用，没有出现套取、截留、挤占、挪用和不按规定使用情况。同时充分发挥新闻媒体的监督、宣传作用，加大相关政策的宣传力度，增加工作的透明度。</w:t>
      </w:r>
    </w:p>
    <w:p>
      <w:pPr>
        <w:keepNext w:val="0"/>
        <w:keepLines w:val="0"/>
        <w:pageBreakBefore w:val="0"/>
        <w:kinsoku/>
        <w:wordWrap/>
        <w:overflowPunct/>
        <w:topLinePunct w:val="0"/>
        <w:autoSpaceDE/>
        <w:autoSpaceDN/>
        <w:bidi w:val="0"/>
        <w:adjustRightInd/>
        <w:snapToGrid/>
        <w:spacing w:line="640" w:lineRule="exact"/>
        <w:ind w:firstLine="645"/>
        <w:textAlignment w:val="auto"/>
        <w:rPr>
          <w:rFonts w:hint="eastAsia" w:ascii="仿宋" w:hAnsi="仿宋" w:eastAsia="仿宋" w:cs="仿宋"/>
          <w:bCs/>
          <w:sz w:val="32"/>
          <w:szCs w:val="32"/>
          <w:lang w:val="en-US" w:eastAsia="zh-CN"/>
        </w:rPr>
      </w:pPr>
      <w:r>
        <w:rPr>
          <w:rFonts w:hint="eastAsia" w:ascii="仿宋" w:hAnsi="仿宋" w:eastAsia="仿宋" w:cs="仿宋"/>
          <w:b/>
          <w:bCs/>
          <w:color w:val="000000"/>
          <w:kern w:val="0"/>
          <w:sz w:val="32"/>
          <w:szCs w:val="32"/>
          <w:lang w:val="en-US" w:eastAsia="zh-CN"/>
        </w:rPr>
        <w:t>（2）通过检查抓管理。</w:t>
      </w:r>
      <w:r>
        <w:rPr>
          <w:rFonts w:hint="eastAsia" w:ascii="仿宋" w:hAnsi="仿宋" w:eastAsia="仿宋" w:cs="仿宋"/>
          <w:bCs/>
          <w:sz w:val="32"/>
          <w:szCs w:val="32"/>
        </w:rPr>
        <w:t>自治区民政厅</w:t>
      </w:r>
      <w:r>
        <w:rPr>
          <w:rFonts w:hint="eastAsia" w:ascii="仿宋" w:hAnsi="仿宋" w:eastAsia="仿宋" w:cs="仿宋"/>
          <w:bCs/>
          <w:sz w:val="32"/>
          <w:szCs w:val="32"/>
          <w:lang w:val="en-US" w:eastAsia="zh-CN"/>
        </w:rPr>
        <w:t>2018年</w:t>
      </w:r>
      <w:r>
        <w:rPr>
          <w:rFonts w:hint="eastAsia" w:ascii="仿宋" w:hAnsi="仿宋" w:eastAsia="仿宋" w:cs="仿宋"/>
          <w:bCs/>
          <w:sz w:val="32"/>
          <w:szCs w:val="32"/>
        </w:rPr>
        <w:t>组织对全疆14个地州市</w:t>
      </w:r>
      <w:r>
        <w:rPr>
          <w:rFonts w:hint="eastAsia" w:ascii="仿宋" w:hAnsi="仿宋" w:eastAsia="仿宋" w:cs="仿宋"/>
          <w:bCs/>
          <w:sz w:val="32"/>
          <w:szCs w:val="32"/>
          <w:lang w:val="en-US" w:eastAsia="zh-CN"/>
        </w:rPr>
        <w:t>2018年资助资金使用情况进行了检查，确保资金使用使用科学合规。</w:t>
      </w:r>
    </w:p>
    <w:p>
      <w:pPr>
        <w:keepNext w:val="0"/>
        <w:keepLines w:val="0"/>
        <w:pageBreakBefore w:val="0"/>
        <w:kinsoku/>
        <w:wordWrap/>
        <w:overflowPunct/>
        <w:topLinePunct w:val="0"/>
        <w:autoSpaceDE/>
        <w:autoSpaceDN/>
        <w:bidi w:val="0"/>
        <w:adjustRightInd/>
        <w:snapToGrid/>
        <w:spacing w:line="640" w:lineRule="exact"/>
        <w:ind w:firstLine="645"/>
        <w:textAlignment w:val="auto"/>
        <w:rPr>
          <w:rFonts w:hint="eastAsia" w:ascii="仿宋" w:hAnsi="仿宋" w:eastAsia="仿宋" w:cs="仿宋"/>
          <w:sz w:val="32"/>
          <w:szCs w:val="32"/>
        </w:rPr>
      </w:pPr>
      <w:r>
        <w:rPr>
          <w:rFonts w:hint="eastAsia" w:ascii="仿宋" w:hAnsi="仿宋" w:eastAsia="仿宋" w:cs="仿宋"/>
          <w:b/>
          <w:bCs/>
          <w:color w:val="000000"/>
          <w:kern w:val="0"/>
          <w:sz w:val="32"/>
          <w:szCs w:val="32"/>
          <w:lang w:eastAsia="zh-CN"/>
        </w:rPr>
        <w:t>（</w:t>
      </w:r>
      <w:r>
        <w:rPr>
          <w:rFonts w:hint="eastAsia" w:ascii="仿宋" w:hAnsi="仿宋" w:eastAsia="仿宋" w:cs="仿宋"/>
          <w:b/>
          <w:bCs/>
          <w:color w:val="000000"/>
          <w:kern w:val="0"/>
          <w:sz w:val="32"/>
          <w:szCs w:val="32"/>
          <w:lang w:val="en-US" w:eastAsia="zh-CN"/>
        </w:rPr>
        <w:t>3）通过舆论监督抓管理。</w:t>
      </w:r>
      <w:r>
        <w:rPr>
          <w:rFonts w:hint="eastAsia" w:ascii="仿宋" w:hAnsi="仿宋" w:eastAsia="仿宋" w:cs="仿宋"/>
          <w:color w:val="000000"/>
          <w:kern w:val="0"/>
          <w:sz w:val="32"/>
          <w:szCs w:val="32"/>
          <w:lang w:eastAsia="zh-CN"/>
        </w:rPr>
        <w:t>充分发挥新闻媒体的监督、宣传作用，加大地名管理规范化建设宣传</w:t>
      </w:r>
      <w:r>
        <w:rPr>
          <w:rFonts w:hint="eastAsia" w:ascii="仿宋" w:hAnsi="仿宋" w:eastAsia="仿宋" w:cs="仿宋"/>
          <w:sz w:val="32"/>
          <w:szCs w:val="32"/>
        </w:rPr>
        <w:t>力度，向社会公布</w:t>
      </w:r>
      <w:r>
        <w:rPr>
          <w:rFonts w:hint="eastAsia" w:ascii="仿宋" w:hAnsi="仿宋" w:eastAsia="仿宋" w:cs="仿宋"/>
          <w:sz w:val="32"/>
          <w:szCs w:val="32"/>
          <w:lang w:eastAsia="zh-CN"/>
        </w:rPr>
        <w:t>中央专项转移支付资金资助</w:t>
      </w:r>
      <w:r>
        <w:rPr>
          <w:rFonts w:hint="eastAsia" w:ascii="仿宋" w:hAnsi="仿宋" w:eastAsia="仿宋" w:cs="仿宋"/>
          <w:sz w:val="32"/>
          <w:szCs w:val="32"/>
        </w:rPr>
        <w:t>的</w:t>
      </w:r>
      <w:r>
        <w:rPr>
          <w:rFonts w:hint="eastAsia" w:ascii="仿宋" w:hAnsi="仿宋" w:eastAsia="仿宋" w:cs="仿宋"/>
          <w:sz w:val="32"/>
          <w:szCs w:val="32"/>
          <w:lang w:eastAsia="zh-CN"/>
        </w:rPr>
        <w:t>使用</w:t>
      </w:r>
      <w:r>
        <w:rPr>
          <w:rFonts w:hint="eastAsia" w:ascii="仿宋" w:hAnsi="仿宋" w:eastAsia="仿宋" w:cs="仿宋"/>
          <w:sz w:val="32"/>
          <w:szCs w:val="32"/>
        </w:rPr>
        <w:t>范围、</w:t>
      </w:r>
      <w:r>
        <w:rPr>
          <w:rFonts w:hint="eastAsia" w:ascii="仿宋" w:hAnsi="仿宋" w:eastAsia="仿宋" w:cs="仿宋"/>
          <w:sz w:val="32"/>
          <w:szCs w:val="32"/>
          <w:lang w:eastAsia="zh-CN"/>
        </w:rPr>
        <w:t>项目建设情况和资金管理情况，</w:t>
      </w:r>
      <w:r>
        <w:rPr>
          <w:rFonts w:hint="eastAsia" w:ascii="仿宋" w:hAnsi="仿宋" w:eastAsia="仿宋" w:cs="仿宋"/>
          <w:sz w:val="32"/>
          <w:szCs w:val="32"/>
        </w:rPr>
        <w:t>增加工作透明度。</w:t>
      </w:r>
    </w:p>
    <w:p>
      <w:pPr>
        <w:pStyle w:val="2"/>
        <w:keepNext w:val="0"/>
        <w:keepLines w:val="0"/>
        <w:pageBreakBefore w:val="0"/>
        <w:numPr>
          <w:ilvl w:val="0"/>
          <w:numId w:val="0"/>
        </w:numPr>
        <w:kinsoku/>
        <w:wordWrap/>
        <w:overflowPunct/>
        <w:topLinePunct w:val="0"/>
        <w:autoSpaceDE/>
        <w:autoSpaceDN/>
        <w:bidi w:val="0"/>
        <w:adjustRightInd/>
        <w:snapToGrid/>
        <w:spacing w:line="640" w:lineRule="exact"/>
        <w:ind w:firstLine="64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（二）绩效目标完成情况分析</w:t>
      </w:r>
    </w:p>
    <w:p>
      <w:pPr>
        <w:pStyle w:val="2"/>
        <w:keepNext w:val="0"/>
        <w:keepLines w:val="0"/>
        <w:pageBreakBefore w:val="0"/>
        <w:numPr>
          <w:ilvl w:val="0"/>
          <w:numId w:val="0"/>
        </w:numPr>
        <w:kinsoku/>
        <w:wordWrap/>
        <w:overflowPunct/>
        <w:topLinePunct w:val="0"/>
        <w:autoSpaceDE/>
        <w:autoSpaceDN/>
        <w:bidi w:val="0"/>
        <w:adjustRightInd/>
        <w:snapToGrid/>
        <w:spacing w:line="640" w:lineRule="exact"/>
        <w:ind w:firstLine="64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1、产出指标完成情况分析</w:t>
      </w:r>
    </w:p>
    <w:p>
      <w:pPr>
        <w:snapToGrid w:val="0"/>
        <w:spacing w:line="580" w:lineRule="exact"/>
        <w:ind w:firstLine="640"/>
        <w:rPr>
          <w:rFonts w:ascii="仿宋" w:hAnsi="仿宋" w:eastAsia="仿宋" w:cs="仿宋"/>
          <w:sz w:val="32"/>
          <w:szCs w:val="32"/>
        </w:rPr>
      </w:pPr>
      <w:r>
        <w:rPr>
          <w:rFonts w:hint="eastAsia" w:ascii="仿宋" w:hAnsi="仿宋" w:eastAsia="仿宋" w:cs="仿宋"/>
          <w:b/>
          <w:bCs/>
          <w:sz w:val="32"/>
          <w:szCs w:val="32"/>
          <w:lang w:val="en-US" w:eastAsia="zh-CN"/>
        </w:rPr>
        <w:t>（1）数量指标。</w:t>
      </w:r>
      <w:r>
        <w:rPr>
          <w:rFonts w:hint="eastAsia" w:ascii="仿宋" w:hAnsi="仿宋" w:eastAsia="仿宋"/>
          <w:sz w:val="32"/>
          <w:szCs w:val="32"/>
        </w:rPr>
        <w:t>自</w:t>
      </w:r>
      <w:r>
        <w:rPr>
          <w:rFonts w:ascii="仿宋" w:hAnsi="仿宋" w:eastAsia="仿宋"/>
          <w:sz w:val="32"/>
          <w:szCs w:val="32"/>
        </w:rPr>
        <w:t>2014</w:t>
      </w:r>
      <w:r>
        <w:rPr>
          <w:rFonts w:hint="eastAsia" w:ascii="仿宋" w:hAnsi="仿宋" w:eastAsia="仿宋"/>
          <w:sz w:val="32"/>
          <w:szCs w:val="32"/>
        </w:rPr>
        <w:t>年启动以来，全区</w:t>
      </w:r>
      <w:r>
        <w:rPr>
          <w:rFonts w:ascii="仿宋" w:hAnsi="仿宋" w:eastAsia="仿宋"/>
          <w:sz w:val="32"/>
          <w:szCs w:val="32"/>
        </w:rPr>
        <w:t>96</w:t>
      </w:r>
      <w:r>
        <w:rPr>
          <w:rFonts w:hint="eastAsia" w:ascii="仿宋" w:hAnsi="仿宋" w:eastAsia="仿宋"/>
          <w:sz w:val="32"/>
          <w:szCs w:val="32"/>
        </w:rPr>
        <w:t>个县市区地名普查工作已全面完成，其中普查县市区</w:t>
      </w:r>
      <w:r>
        <w:rPr>
          <w:rFonts w:ascii="仿宋" w:hAnsi="仿宋" w:eastAsia="仿宋"/>
          <w:sz w:val="32"/>
          <w:szCs w:val="32"/>
        </w:rPr>
        <w:t>64</w:t>
      </w:r>
      <w:r>
        <w:rPr>
          <w:rFonts w:hint="eastAsia" w:ascii="仿宋" w:hAnsi="仿宋" w:eastAsia="仿宋"/>
          <w:sz w:val="32"/>
          <w:szCs w:val="32"/>
        </w:rPr>
        <w:t>个，补查试点县市</w:t>
      </w:r>
      <w:r>
        <w:rPr>
          <w:rFonts w:ascii="仿宋" w:hAnsi="仿宋" w:eastAsia="仿宋"/>
          <w:sz w:val="32"/>
          <w:szCs w:val="32"/>
        </w:rPr>
        <w:t>32</w:t>
      </w:r>
      <w:r>
        <w:rPr>
          <w:rFonts w:hint="eastAsia" w:ascii="仿宋" w:hAnsi="仿宋" w:eastAsia="仿宋"/>
          <w:sz w:val="32"/>
          <w:szCs w:val="32"/>
        </w:rPr>
        <w:t>个。收录地名</w:t>
      </w:r>
      <w:r>
        <w:rPr>
          <w:rFonts w:ascii="仿宋" w:hAnsi="仿宋" w:eastAsia="仿宋"/>
          <w:sz w:val="32"/>
          <w:szCs w:val="32"/>
        </w:rPr>
        <w:t>21</w:t>
      </w:r>
      <w:r>
        <w:rPr>
          <w:rFonts w:hint="eastAsia" w:ascii="仿宋" w:hAnsi="仿宋" w:eastAsia="仿宋"/>
          <w:sz w:val="32"/>
          <w:szCs w:val="32"/>
        </w:rPr>
        <w:t>余万条，比一普时增加</w:t>
      </w:r>
      <w:r>
        <w:rPr>
          <w:rFonts w:ascii="仿宋" w:hAnsi="仿宋" w:eastAsia="仿宋"/>
          <w:sz w:val="32"/>
          <w:szCs w:val="32"/>
        </w:rPr>
        <w:t>13</w:t>
      </w:r>
      <w:r>
        <w:rPr>
          <w:rFonts w:hint="eastAsia" w:ascii="仿宋" w:hAnsi="仿宋" w:eastAsia="仿宋"/>
          <w:sz w:val="32"/>
          <w:szCs w:val="32"/>
        </w:rPr>
        <w:t>余万条，增加率达</w:t>
      </w:r>
      <w:r>
        <w:rPr>
          <w:rFonts w:ascii="仿宋" w:hAnsi="仿宋" w:eastAsia="仿宋"/>
          <w:sz w:val="32"/>
          <w:szCs w:val="32"/>
        </w:rPr>
        <w:t>186%</w:t>
      </w:r>
      <w:r>
        <w:rPr>
          <w:rFonts w:hint="eastAsia" w:ascii="仿宋" w:hAnsi="仿宋" w:eastAsia="仿宋"/>
          <w:sz w:val="32"/>
          <w:szCs w:val="32"/>
        </w:rPr>
        <w:t>。</w:t>
      </w:r>
      <w:r>
        <w:rPr>
          <w:rFonts w:hint="eastAsia" w:ascii="仿宋" w:hAnsi="仿宋" w:eastAsia="仿宋" w:cs="仿宋"/>
          <w:b w:val="0"/>
          <w:bCs w:val="0"/>
          <w:sz w:val="32"/>
          <w:szCs w:val="32"/>
          <w:lang w:val="en-US" w:eastAsia="zh-CN"/>
        </w:rPr>
        <w:t>国务院地名普查办11月8日下发《新疆维吾尔自治区第二次全国地名普查成果验收意见》（国地名普查办发</w:t>
      </w:r>
      <w:r>
        <w:rPr>
          <w:rFonts w:hint="eastAsia" w:ascii="仿宋" w:hAnsi="仿宋" w:eastAsia="仿宋" w:cs="仿宋"/>
          <w:b w:val="0"/>
          <w:bCs w:val="0"/>
          <w:i w:val="0"/>
          <w:color w:val="000000"/>
          <w:kern w:val="0"/>
          <w:sz w:val="32"/>
          <w:szCs w:val="32"/>
          <w:u w:val="none"/>
          <w:lang w:val="en-US" w:eastAsia="zh-CN" w:bidi="ar"/>
        </w:rPr>
        <w:t>〔2018〕63号</w:t>
      </w:r>
      <w:r>
        <w:rPr>
          <w:rFonts w:hint="eastAsia" w:ascii="仿宋" w:hAnsi="仿宋" w:eastAsia="仿宋" w:cs="仿宋"/>
          <w:b w:val="0"/>
          <w:bCs w:val="0"/>
          <w:sz w:val="32"/>
          <w:szCs w:val="32"/>
          <w:lang w:val="en-US" w:eastAsia="zh-CN"/>
        </w:rPr>
        <w:t>），我区已通过全面审核和入库验收</w:t>
      </w:r>
      <w:r>
        <w:rPr>
          <w:rFonts w:hint="eastAsia" w:ascii="仿宋" w:hAnsi="仿宋" w:eastAsia="仿宋" w:cs="仿宋"/>
          <w:b w:val="0"/>
          <w:bCs w:val="0"/>
          <w:sz w:val="32"/>
          <w:szCs w:val="32"/>
        </w:rPr>
        <w:t>。</w:t>
      </w:r>
    </w:p>
    <w:p>
      <w:pPr>
        <w:snapToGrid w:val="0"/>
        <w:spacing w:line="580" w:lineRule="exact"/>
        <w:ind w:firstLine="600"/>
        <w:rPr>
          <w:rFonts w:ascii="仿宋" w:hAnsi="仿宋" w:eastAsia="仿宋"/>
          <w:sz w:val="32"/>
          <w:szCs w:val="32"/>
        </w:rPr>
      </w:pPr>
      <w:r>
        <w:rPr>
          <w:rFonts w:hint="eastAsia" w:ascii="仿宋" w:hAnsi="仿宋" w:eastAsia="仿宋" w:cs="仿宋"/>
          <w:b/>
          <w:bCs/>
          <w:sz w:val="32"/>
          <w:szCs w:val="32"/>
          <w:lang w:val="en-US" w:eastAsia="zh-CN"/>
        </w:rPr>
        <w:t>（2）质量指标。</w:t>
      </w:r>
      <w:r>
        <w:rPr>
          <w:rFonts w:hint="eastAsia" w:ascii="仿宋" w:hAnsi="仿宋" w:eastAsia="仿宋"/>
          <w:b/>
          <w:bCs/>
          <w:sz w:val="32"/>
          <w:szCs w:val="32"/>
        </w:rPr>
        <w:t>一是</w:t>
      </w:r>
      <w:r>
        <w:rPr>
          <w:rFonts w:hint="eastAsia" w:ascii="仿宋" w:hAnsi="仿宋" w:eastAsia="仿宋"/>
          <w:sz w:val="32"/>
          <w:szCs w:val="32"/>
        </w:rPr>
        <w:t>加强工作力量。采取“硬抽人，抽硬人”的方式，确保普查人员落实。自治区普查办组成</w:t>
      </w:r>
      <w:r>
        <w:rPr>
          <w:rFonts w:ascii="仿宋" w:hAnsi="仿宋" w:eastAsia="仿宋"/>
          <w:sz w:val="32"/>
          <w:szCs w:val="32"/>
        </w:rPr>
        <w:t>5</w:t>
      </w:r>
      <w:r>
        <w:rPr>
          <w:rFonts w:hint="eastAsia" w:ascii="仿宋" w:hAnsi="仿宋" w:eastAsia="仿宋"/>
          <w:sz w:val="32"/>
          <w:szCs w:val="32"/>
        </w:rPr>
        <w:t>个技术服务组，经常巡回指导各地，解决业务技术问题，统一了普查技术标准。自治区配备地名普查办工作人员</w:t>
      </w:r>
      <w:r>
        <w:rPr>
          <w:rFonts w:ascii="仿宋" w:hAnsi="仿宋" w:eastAsia="仿宋"/>
          <w:sz w:val="32"/>
          <w:szCs w:val="32"/>
        </w:rPr>
        <w:t>8</w:t>
      </w:r>
      <w:r>
        <w:rPr>
          <w:rFonts w:hint="eastAsia" w:ascii="仿宋" w:hAnsi="仿宋" w:eastAsia="仿宋"/>
          <w:sz w:val="32"/>
          <w:szCs w:val="32"/>
        </w:rPr>
        <w:t>名，各地（州、市）地名普查办</w:t>
      </w:r>
      <w:r>
        <w:rPr>
          <w:rFonts w:ascii="仿宋" w:hAnsi="仿宋" w:eastAsia="仿宋"/>
          <w:sz w:val="32"/>
          <w:szCs w:val="32"/>
        </w:rPr>
        <w:t>3-5</w:t>
      </w:r>
      <w:r>
        <w:rPr>
          <w:rFonts w:hint="eastAsia" w:ascii="仿宋" w:hAnsi="仿宋" w:eastAsia="仿宋"/>
          <w:sz w:val="32"/>
          <w:szCs w:val="32"/>
        </w:rPr>
        <w:t>名，县（市、区）</w:t>
      </w:r>
      <w:r>
        <w:rPr>
          <w:rFonts w:ascii="仿宋" w:hAnsi="仿宋" w:eastAsia="仿宋"/>
          <w:sz w:val="32"/>
          <w:szCs w:val="32"/>
        </w:rPr>
        <w:t>7-11</w:t>
      </w:r>
      <w:r>
        <w:rPr>
          <w:rFonts w:hint="eastAsia" w:ascii="仿宋" w:hAnsi="仿宋" w:eastAsia="仿宋"/>
          <w:sz w:val="32"/>
          <w:szCs w:val="32"/>
        </w:rPr>
        <w:t>名，三级地名普查办人员达到约</w:t>
      </w:r>
      <w:r>
        <w:rPr>
          <w:rFonts w:ascii="仿宋" w:hAnsi="仿宋" w:eastAsia="仿宋"/>
          <w:sz w:val="32"/>
          <w:szCs w:val="32"/>
        </w:rPr>
        <w:t>1100</w:t>
      </w:r>
      <w:r>
        <w:rPr>
          <w:rFonts w:hint="eastAsia" w:ascii="仿宋" w:hAnsi="仿宋" w:eastAsia="仿宋"/>
          <w:sz w:val="32"/>
          <w:szCs w:val="32"/>
        </w:rPr>
        <w:t>人。</w:t>
      </w:r>
      <w:r>
        <w:rPr>
          <w:rFonts w:hint="eastAsia" w:ascii="仿宋" w:hAnsi="仿宋" w:eastAsia="仿宋"/>
          <w:b/>
          <w:bCs/>
          <w:sz w:val="32"/>
          <w:szCs w:val="32"/>
        </w:rPr>
        <w:t>二是</w:t>
      </w:r>
      <w:r>
        <w:rPr>
          <w:rFonts w:hint="eastAsia" w:ascii="仿宋" w:hAnsi="仿宋" w:eastAsia="仿宋"/>
          <w:sz w:val="32"/>
          <w:szCs w:val="32"/>
        </w:rPr>
        <w:t>充实专家力量。为保证普查质量，成立了由自治区科学院、社会科学院、新疆师范大学等高等院校及科研院所多名专家、教授组成的自治区第二次全国地名普查专家咨询委员会，各地均聘请了熟悉当地历史、地名文化的专家。</w:t>
      </w:r>
      <w:r>
        <w:rPr>
          <w:rFonts w:hint="eastAsia" w:ascii="仿宋" w:hAnsi="仿宋" w:eastAsia="仿宋"/>
          <w:b/>
          <w:bCs/>
          <w:sz w:val="32"/>
          <w:szCs w:val="32"/>
        </w:rPr>
        <w:t>三是</w:t>
      </w:r>
      <w:r>
        <w:rPr>
          <w:rFonts w:hint="eastAsia" w:ascii="仿宋" w:hAnsi="仿宋" w:eastAsia="仿宋"/>
          <w:sz w:val="32"/>
          <w:szCs w:val="32"/>
        </w:rPr>
        <w:t>加大培训力度。为尽快提高全区地名普查一线人员业务素质，举办自治区、地（州、市）、县（市、区）三级地名普查专题培训、研讨班</w:t>
      </w:r>
      <w:r>
        <w:rPr>
          <w:rFonts w:ascii="仿宋" w:hAnsi="仿宋" w:eastAsia="仿宋"/>
          <w:sz w:val="32"/>
          <w:szCs w:val="32"/>
        </w:rPr>
        <w:t>36</w:t>
      </w:r>
      <w:r>
        <w:rPr>
          <w:rFonts w:hint="eastAsia" w:ascii="仿宋" w:hAnsi="仿宋" w:eastAsia="仿宋"/>
          <w:sz w:val="32"/>
          <w:szCs w:val="32"/>
        </w:rPr>
        <w:t>期次，培训人数</w:t>
      </w:r>
      <w:r>
        <w:rPr>
          <w:rFonts w:ascii="仿宋" w:hAnsi="仿宋" w:eastAsia="仿宋"/>
          <w:sz w:val="32"/>
          <w:szCs w:val="32"/>
        </w:rPr>
        <w:t>3</w:t>
      </w:r>
      <w:r>
        <w:rPr>
          <w:rFonts w:hint="eastAsia" w:ascii="仿宋" w:hAnsi="仿宋" w:eastAsia="仿宋"/>
          <w:sz w:val="32"/>
          <w:szCs w:val="32"/>
        </w:rPr>
        <w:t>万余人次，培训内容包含地名普查示范、地名调查、目录编制、地名普查成果表填写、地名普查成果图标绘、地名普查质量提升、地名普查资料归档立卷、标准地名词典释文编写、地名标准化处理等范畴，培养了一支专业普查队伍。</w:t>
      </w:r>
      <w:r>
        <w:rPr>
          <w:rFonts w:hint="eastAsia" w:ascii="仿宋" w:hAnsi="仿宋" w:eastAsia="仿宋"/>
          <w:b/>
          <w:bCs/>
          <w:sz w:val="32"/>
          <w:szCs w:val="32"/>
        </w:rPr>
        <w:t>四是</w:t>
      </w:r>
      <w:r>
        <w:rPr>
          <w:rFonts w:hint="eastAsia" w:ascii="仿宋" w:hAnsi="仿宋" w:eastAsia="仿宋"/>
          <w:sz w:val="32"/>
          <w:szCs w:val="32"/>
        </w:rPr>
        <w:t>强化督导落实。自治区建立“每月一通报、每季度一督导”机制，每月按照总体计划的时间节点，通报一次各地工作进展速度、质量及进展情况；每季度对地州市总体进度进行一次实地督导，实行全疆排名，对完成任务好的县市区进行资金奖励，对未按时完成普查任务的县市区政府分管领导进行约谈，增强了各地荣誉感，促进了全区普查均衡推进。</w:t>
      </w:r>
      <w:r>
        <w:rPr>
          <w:rFonts w:ascii="仿宋" w:hAnsi="仿宋" w:eastAsia="仿宋"/>
          <w:sz w:val="32"/>
          <w:szCs w:val="32"/>
        </w:rPr>
        <w:t>4</w:t>
      </w:r>
      <w:r>
        <w:rPr>
          <w:rFonts w:hint="eastAsia" w:ascii="仿宋" w:hAnsi="仿宋" w:eastAsia="仿宋"/>
          <w:sz w:val="32"/>
          <w:szCs w:val="32"/>
        </w:rPr>
        <w:t>年来，自治区普查办先后督查</w:t>
      </w:r>
      <w:r>
        <w:rPr>
          <w:rFonts w:ascii="仿宋" w:hAnsi="仿宋" w:eastAsia="仿宋"/>
          <w:sz w:val="32"/>
          <w:szCs w:val="32"/>
        </w:rPr>
        <w:t>56</w:t>
      </w:r>
      <w:r>
        <w:rPr>
          <w:rFonts w:hint="eastAsia" w:ascii="仿宋" w:hAnsi="仿宋" w:eastAsia="仿宋"/>
          <w:sz w:val="32"/>
          <w:szCs w:val="32"/>
        </w:rPr>
        <w:t>次，通报</w:t>
      </w:r>
      <w:r>
        <w:rPr>
          <w:rFonts w:ascii="仿宋" w:hAnsi="仿宋" w:eastAsia="仿宋"/>
          <w:sz w:val="32"/>
          <w:szCs w:val="32"/>
        </w:rPr>
        <w:t>30</w:t>
      </w:r>
      <w:r>
        <w:rPr>
          <w:rFonts w:hint="eastAsia" w:ascii="仿宋" w:hAnsi="仿宋" w:eastAsia="仿宋"/>
          <w:sz w:val="32"/>
          <w:szCs w:val="32"/>
        </w:rPr>
        <w:t>次，约谈</w:t>
      </w:r>
      <w:r>
        <w:rPr>
          <w:rFonts w:ascii="仿宋" w:hAnsi="仿宋" w:eastAsia="仿宋"/>
          <w:sz w:val="32"/>
          <w:szCs w:val="32"/>
        </w:rPr>
        <w:t>12</w:t>
      </w:r>
      <w:r>
        <w:rPr>
          <w:rFonts w:hint="eastAsia" w:ascii="仿宋" w:hAnsi="仿宋" w:eastAsia="仿宋"/>
          <w:sz w:val="32"/>
          <w:szCs w:val="32"/>
        </w:rPr>
        <w:t>个县市，</w:t>
      </w:r>
      <w:r>
        <w:rPr>
          <w:rFonts w:ascii="仿宋" w:hAnsi="仿宋" w:eastAsia="仿宋"/>
          <w:sz w:val="32"/>
          <w:szCs w:val="32"/>
        </w:rPr>
        <w:t>5</w:t>
      </w:r>
      <w:r>
        <w:rPr>
          <w:rFonts w:hint="eastAsia" w:ascii="仿宋" w:hAnsi="仿宋" w:eastAsia="仿宋"/>
          <w:sz w:val="32"/>
          <w:szCs w:val="32"/>
        </w:rPr>
        <w:t>次自治区地名普查复验。</w:t>
      </w:r>
    </w:p>
    <w:p>
      <w:pPr>
        <w:snapToGrid w:val="0"/>
        <w:spacing w:line="580" w:lineRule="exact"/>
        <w:ind w:firstLine="600"/>
        <w:rPr>
          <w:rFonts w:ascii="仿宋" w:hAnsi="仿宋" w:eastAsia="仿宋"/>
          <w:sz w:val="32"/>
          <w:szCs w:val="32"/>
        </w:rPr>
      </w:pPr>
      <w:r>
        <w:rPr>
          <w:rFonts w:hint="eastAsia" w:ascii="仿宋" w:hAnsi="仿宋" w:eastAsia="仿宋" w:cs="仿宋"/>
          <w:b/>
          <w:bCs/>
          <w:sz w:val="32"/>
          <w:szCs w:val="32"/>
          <w:lang w:val="en-US" w:eastAsia="zh-CN"/>
        </w:rPr>
        <w:t>（3）时效指标。</w:t>
      </w:r>
      <w:r>
        <w:rPr>
          <w:rFonts w:hint="eastAsia" w:ascii="仿宋" w:hAnsi="仿宋" w:eastAsia="仿宋"/>
          <w:sz w:val="32"/>
          <w:szCs w:val="32"/>
          <w:lang w:eastAsia="zh-CN"/>
        </w:rPr>
        <w:t>按照国务院普查办</w:t>
      </w:r>
      <w:r>
        <w:rPr>
          <w:rFonts w:ascii="仿宋" w:hAnsi="仿宋" w:eastAsia="仿宋"/>
          <w:sz w:val="32"/>
          <w:szCs w:val="32"/>
        </w:rPr>
        <w:t>40%</w:t>
      </w:r>
      <w:r>
        <w:rPr>
          <w:rFonts w:hint="eastAsia" w:ascii="仿宋" w:hAnsi="仿宋" w:eastAsia="仿宋"/>
          <w:sz w:val="32"/>
          <w:szCs w:val="32"/>
        </w:rPr>
        <w:t>、</w:t>
      </w:r>
      <w:r>
        <w:rPr>
          <w:rFonts w:ascii="仿宋" w:hAnsi="仿宋" w:eastAsia="仿宋"/>
          <w:sz w:val="32"/>
          <w:szCs w:val="32"/>
        </w:rPr>
        <w:t>40%</w:t>
      </w:r>
      <w:r>
        <w:rPr>
          <w:rFonts w:hint="eastAsia" w:ascii="仿宋" w:hAnsi="仿宋" w:eastAsia="仿宋"/>
          <w:sz w:val="32"/>
          <w:szCs w:val="32"/>
        </w:rPr>
        <w:t>、</w:t>
      </w:r>
      <w:r>
        <w:rPr>
          <w:rFonts w:ascii="仿宋" w:hAnsi="仿宋" w:eastAsia="仿宋"/>
          <w:sz w:val="32"/>
          <w:szCs w:val="32"/>
        </w:rPr>
        <w:t>20%</w:t>
      </w:r>
      <w:r>
        <w:rPr>
          <w:rFonts w:hint="eastAsia" w:ascii="仿宋" w:hAnsi="仿宋" w:eastAsia="仿宋"/>
          <w:sz w:val="32"/>
          <w:szCs w:val="32"/>
          <w:lang w:eastAsia="zh-CN"/>
        </w:rPr>
        <w:t>完成</w:t>
      </w:r>
      <w:r>
        <w:rPr>
          <w:rFonts w:hint="eastAsia" w:ascii="仿宋" w:hAnsi="仿宋" w:eastAsia="仿宋"/>
          <w:sz w:val="32"/>
          <w:szCs w:val="32"/>
        </w:rPr>
        <w:t>县级政区分阶段普查任务</w:t>
      </w:r>
      <w:r>
        <w:rPr>
          <w:rFonts w:hint="eastAsia" w:ascii="仿宋" w:hAnsi="仿宋" w:eastAsia="仿宋"/>
          <w:sz w:val="32"/>
          <w:szCs w:val="32"/>
          <w:lang w:eastAsia="zh-CN"/>
        </w:rPr>
        <w:t>安排，</w:t>
      </w:r>
      <w:r>
        <w:rPr>
          <w:rFonts w:hint="eastAsia" w:ascii="仿宋" w:hAnsi="仿宋" w:eastAsia="仿宋"/>
          <w:sz w:val="32"/>
          <w:szCs w:val="32"/>
        </w:rPr>
        <w:t>对难点问题现场办公及时解决，使普查工作得到了强力推进。民政厅作为地名普查牵头单位，下沉到基层一线，通过召开座谈会、实地走访等方式听取各地意见建议，对普查任务、时间节点、责任和奖惩措施等予以明确，有力推动了自治区决策部署在基层一线的贯彻落实。</w:t>
      </w:r>
    </w:p>
    <w:p>
      <w:pPr>
        <w:pStyle w:val="2"/>
        <w:keepNext w:val="0"/>
        <w:keepLines w:val="0"/>
        <w:pageBreakBefore w:val="0"/>
        <w:numPr>
          <w:ilvl w:val="0"/>
          <w:numId w:val="0"/>
        </w:numPr>
        <w:kinsoku/>
        <w:wordWrap/>
        <w:overflowPunct/>
        <w:topLinePunct w:val="0"/>
        <w:autoSpaceDE/>
        <w:autoSpaceDN/>
        <w:bidi w:val="0"/>
        <w:adjustRightInd/>
        <w:snapToGrid/>
        <w:spacing w:line="64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（4）成本指标。</w:t>
      </w:r>
      <w:r>
        <w:rPr>
          <w:rFonts w:hint="eastAsia" w:ascii="仿宋" w:hAnsi="仿宋" w:eastAsia="仿宋" w:cs="仿宋"/>
          <w:b w:val="0"/>
          <w:bCs w:val="0"/>
          <w:sz w:val="32"/>
          <w:szCs w:val="32"/>
          <w:lang w:val="en-US" w:eastAsia="zh-CN"/>
        </w:rPr>
        <w:t>中央下达第二次全国地名普查项目专项转移支付资金共1743万元，资金使用控制在预算范围内。</w:t>
      </w:r>
    </w:p>
    <w:p>
      <w:pPr>
        <w:pStyle w:val="2"/>
        <w:keepNext w:val="0"/>
        <w:keepLines w:val="0"/>
        <w:pageBreakBefore w:val="0"/>
        <w:numPr>
          <w:ilvl w:val="0"/>
          <w:numId w:val="0"/>
        </w:numPr>
        <w:kinsoku/>
        <w:wordWrap/>
        <w:overflowPunct/>
        <w:topLinePunct w:val="0"/>
        <w:autoSpaceDE/>
        <w:autoSpaceDN/>
        <w:bidi w:val="0"/>
        <w:adjustRightInd/>
        <w:snapToGrid/>
        <w:spacing w:line="640" w:lineRule="exact"/>
        <w:ind w:firstLine="64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2、效益指标完成情况分析。</w:t>
      </w:r>
    </w:p>
    <w:p>
      <w:pPr>
        <w:keepNext w:val="0"/>
        <w:keepLines w:val="0"/>
        <w:pageBreakBefore w:val="0"/>
        <w:kinsoku/>
        <w:wordWrap/>
        <w:overflowPunct/>
        <w:topLinePunct w:val="0"/>
        <w:autoSpaceDE/>
        <w:autoSpaceDN/>
        <w:bidi w:val="0"/>
        <w:adjustRightInd/>
        <w:snapToGrid/>
        <w:spacing w:line="640" w:lineRule="exact"/>
        <w:ind w:firstLine="643" w:firstLineChars="200"/>
        <w:textAlignment w:val="auto"/>
        <w:rPr>
          <w:rFonts w:hint="eastAsia" w:ascii="仿宋" w:hAnsi="仿宋" w:eastAsia="仿宋"/>
          <w:sz w:val="32"/>
          <w:szCs w:val="32"/>
        </w:rPr>
      </w:pPr>
      <w:r>
        <w:rPr>
          <w:rFonts w:hint="eastAsia" w:ascii="仿宋" w:hAnsi="仿宋" w:eastAsia="仿宋" w:cs="仿宋"/>
          <w:b/>
          <w:bCs/>
          <w:sz w:val="32"/>
          <w:szCs w:val="32"/>
          <w:lang w:val="en-US" w:eastAsia="zh-CN"/>
        </w:rPr>
        <w:t>（1）经济效益。</w:t>
      </w:r>
      <w:r>
        <w:rPr>
          <w:rFonts w:hint="eastAsia" w:ascii="仿宋" w:hAnsi="仿宋" w:eastAsia="仿宋"/>
          <w:sz w:val="32"/>
          <w:szCs w:val="32"/>
        </w:rPr>
        <w:t>对完成任务、时间节点、内容、标准做了精心安排，使普查内容更加清晰，时间节点更加具体，推进速度明显加快。在软件技术支撑上，采取分包和部分外包，既解决数据库建设的技术缺陷，又节约了经费，提高了进度和质量。</w:t>
      </w:r>
    </w:p>
    <w:p>
      <w:pPr>
        <w:pStyle w:val="17"/>
        <w:keepNext w:val="0"/>
        <w:keepLines w:val="0"/>
        <w:widowControl/>
        <w:suppressLineNumbers w:val="0"/>
        <w:spacing w:after="300" w:afterAutospacing="0" w:line="360" w:lineRule="atLeast"/>
        <w:jc w:val="both"/>
        <w:rPr>
          <w:rFonts w:hint="eastAsia" w:ascii="仿宋" w:hAnsi="仿宋" w:eastAsia="仿宋" w:cs="仿宋"/>
          <w:sz w:val="32"/>
          <w:szCs w:val="32"/>
        </w:rPr>
      </w:pPr>
      <w:r>
        <w:rPr>
          <w:rFonts w:hint="eastAsia" w:ascii="仿宋" w:hAnsi="仿宋" w:eastAsia="仿宋" w:cs="仿宋"/>
          <w:b/>
          <w:bCs/>
          <w:sz w:val="32"/>
          <w:szCs w:val="32"/>
          <w:lang w:val="en-US" w:eastAsia="zh-CN"/>
        </w:rPr>
        <w:t xml:space="preserve">    （2）社会效益。</w:t>
      </w:r>
      <w:r>
        <w:rPr>
          <w:rFonts w:hint="eastAsia" w:ascii="仿宋" w:hAnsi="仿宋" w:eastAsia="仿宋" w:cs="仿宋"/>
          <w:sz w:val="32"/>
          <w:szCs w:val="32"/>
        </w:rPr>
        <w:t>地名是基础地理信息，地名普查是一项公益性、基础性的国情调查。</w:t>
      </w:r>
      <w:r>
        <w:rPr>
          <w:rFonts w:hint="eastAsia" w:ascii="仿宋" w:hAnsi="仿宋" w:eastAsia="仿宋" w:cs="仿宋"/>
          <w:sz w:val="32"/>
          <w:szCs w:val="32"/>
          <w:lang w:eastAsia="zh-CN"/>
        </w:rPr>
        <w:t>此次地名普查，</w:t>
      </w:r>
      <w:r>
        <w:rPr>
          <w:rFonts w:hint="eastAsia" w:ascii="仿宋" w:hAnsi="仿宋" w:eastAsia="仿宋" w:cs="仿宋"/>
          <w:sz w:val="32"/>
          <w:szCs w:val="32"/>
        </w:rPr>
        <w:t>查清</w:t>
      </w:r>
      <w:r>
        <w:rPr>
          <w:rFonts w:hint="eastAsia" w:ascii="仿宋" w:hAnsi="仿宋" w:eastAsia="仿宋" w:cs="仿宋"/>
          <w:sz w:val="32"/>
          <w:szCs w:val="32"/>
          <w:lang w:eastAsia="zh-CN"/>
        </w:rPr>
        <w:t>了全区</w:t>
      </w:r>
      <w:r>
        <w:rPr>
          <w:rFonts w:hint="eastAsia" w:ascii="仿宋" w:hAnsi="仿宋" w:eastAsia="仿宋" w:cs="仿宋"/>
          <w:sz w:val="32"/>
          <w:szCs w:val="32"/>
        </w:rPr>
        <w:t>地名基本情况，掌握地名基础数据，提高地名标准化水平，加强地名信息化服务建设，为社会提供全面准确的地名信息。</w:t>
      </w:r>
      <w:r>
        <w:rPr>
          <w:rFonts w:hint="eastAsia" w:ascii="仿宋" w:hAnsi="仿宋" w:eastAsia="仿宋" w:cs="仿宋"/>
          <w:b w:val="0"/>
          <w:bCs w:val="0"/>
          <w:sz w:val="32"/>
          <w:szCs w:val="32"/>
          <w:lang w:val="en-US" w:eastAsia="zh-CN"/>
        </w:rPr>
        <w:t>通过</w:t>
      </w:r>
      <w:r>
        <w:rPr>
          <w:rFonts w:hint="eastAsia" w:ascii="仿宋" w:hAnsi="仿宋" w:eastAsia="仿宋" w:cs="仿宋"/>
          <w:sz w:val="32"/>
          <w:szCs w:val="32"/>
        </w:rPr>
        <w:t>开展</w:t>
      </w:r>
      <w:r>
        <w:rPr>
          <w:rFonts w:hint="eastAsia" w:ascii="仿宋" w:hAnsi="仿宋" w:eastAsia="仿宋" w:cs="仿宋"/>
          <w:b w:val="0"/>
          <w:bCs w:val="0"/>
          <w:sz w:val="32"/>
          <w:szCs w:val="32"/>
          <w:lang w:val="en-US" w:eastAsia="zh-CN"/>
        </w:rPr>
        <w:t>第二次全国地名普查，</w:t>
      </w:r>
      <w:r>
        <w:rPr>
          <w:rFonts w:hint="eastAsia" w:ascii="仿宋" w:hAnsi="仿宋" w:eastAsia="仿宋" w:cs="仿宋"/>
          <w:sz w:val="32"/>
          <w:szCs w:val="32"/>
        </w:rPr>
        <w:t xml:space="preserve">有利于维护国家主权和领土完整、巩固国防建设，有利于经济社会协调发展，有利于社会交流交往、方便人民群众生产生活，对提高政府管理水平和公共服务能力具有重要意义。 </w:t>
      </w:r>
    </w:p>
    <w:p>
      <w:pPr>
        <w:keepNext w:val="0"/>
        <w:keepLines w:val="0"/>
        <w:pageBreakBefore w:val="0"/>
        <w:kinsoku/>
        <w:wordWrap/>
        <w:overflowPunct/>
        <w:topLinePunct w:val="0"/>
        <w:autoSpaceDE/>
        <w:autoSpaceDN/>
        <w:bidi w:val="0"/>
        <w:adjustRightInd w:val="0"/>
        <w:snapToGrid/>
        <w:spacing w:line="64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(3)生态效益。</w:t>
      </w:r>
      <w:r>
        <w:rPr>
          <w:rFonts w:hint="eastAsia" w:ascii="仿宋" w:hAnsi="仿宋" w:eastAsia="仿宋" w:cs="仿宋"/>
          <w:sz w:val="32"/>
          <w:szCs w:val="32"/>
        </w:rPr>
        <w:t>第二次全国地名普查的内容是查清地名及相关属性信息，对有地无名的有地名作用的地理实体进行命名，对不规范地名进行标准化处理，设置标准规范的地名标志，建立、完善各级国家地名和区划数据库，加强地名信息化服务建设，建立地名普查档案。</w:t>
      </w:r>
    </w:p>
    <w:p>
      <w:pPr>
        <w:keepNext w:val="0"/>
        <w:keepLines w:val="0"/>
        <w:pageBreakBefore w:val="0"/>
        <w:kinsoku/>
        <w:wordWrap/>
        <w:overflowPunct/>
        <w:topLinePunct w:val="0"/>
        <w:autoSpaceDE/>
        <w:autoSpaceDN/>
        <w:bidi w:val="0"/>
        <w:snapToGrid/>
        <w:spacing w:line="640" w:lineRule="exact"/>
        <w:ind w:firstLine="630" w:firstLineChars="196"/>
        <w:textAlignment w:val="auto"/>
        <w:rPr>
          <w:rFonts w:hint="eastAsia" w:ascii="仿宋" w:hAnsi="仿宋" w:eastAsia="仿宋" w:cs="仿宋"/>
          <w:b w:val="0"/>
          <w:bCs w:val="0"/>
          <w:kern w:val="0"/>
          <w:sz w:val="32"/>
          <w:szCs w:val="32"/>
          <w:lang w:eastAsia="zh-CN"/>
        </w:rPr>
      </w:pPr>
      <w:r>
        <w:rPr>
          <w:rFonts w:hint="eastAsia" w:ascii="仿宋" w:hAnsi="仿宋" w:eastAsia="仿宋" w:cs="仿宋"/>
          <w:b/>
          <w:bCs/>
          <w:sz w:val="32"/>
          <w:szCs w:val="32"/>
          <w:lang w:val="en-US" w:eastAsia="zh-CN"/>
        </w:rPr>
        <w:t>（4）可持续影响。</w:t>
      </w:r>
      <w:r>
        <w:rPr>
          <w:rFonts w:hint="eastAsia" w:ascii="仿宋" w:hAnsi="仿宋" w:eastAsia="仿宋" w:cs="仿宋"/>
          <w:color w:val="000000"/>
          <w:sz w:val="32"/>
          <w:szCs w:val="32"/>
        </w:rPr>
        <w:t>通过第二次全国地名普查，掌握全面、翔实、准确的地名数据，并形成一批能够服务于社会治理、公众需求和地名管理的地名普查成果，</w:t>
      </w:r>
      <w:r>
        <w:rPr>
          <w:rFonts w:hint="eastAsia" w:ascii="仿宋" w:hAnsi="仿宋" w:eastAsia="仿宋" w:cs="仿宋"/>
          <w:color w:val="000000"/>
          <w:sz w:val="32"/>
          <w:szCs w:val="32"/>
          <w:lang w:eastAsia="zh-CN"/>
        </w:rPr>
        <w:t>将来</w:t>
      </w:r>
      <w:r>
        <w:rPr>
          <w:rFonts w:hint="eastAsia" w:ascii="仿宋" w:hAnsi="仿宋" w:eastAsia="仿宋" w:cs="仿宋"/>
          <w:color w:val="000000"/>
          <w:sz w:val="32"/>
          <w:szCs w:val="32"/>
        </w:rPr>
        <w:t>重点实现四个目标：</w:t>
      </w:r>
      <w:r>
        <w:rPr>
          <w:rFonts w:hint="eastAsia" w:ascii="仿宋" w:hAnsi="仿宋" w:eastAsia="仿宋" w:cs="仿宋"/>
          <w:b/>
          <w:bCs/>
          <w:color w:val="000000"/>
          <w:sz w:val="32"/>
          <w:szCs w:val="32"/>
        </w:rPr>
        <w:t>一是</w:t>
      </w:r>
      <w:r>
        <w:rPr>
          <w:rFonts w:hint="eastAsia" w:ascii="仿宋" w:hAnsi="仿宋" w:eastAsia="仿宋" w:cs="仿宋"/>
          <w:color w:val="000000"/>
          <w:sz w:val="32"/>
          <w:szCs w:val="32"/>
        </w:rPr>
        <w:t>通过普查建立国家、省、市、县四级标准地名数据库，形成各类地名专题数据库；</w:t>
      </w:r>
      <w:r>
        <w:rPr>
          <w:rFonts w:hint="eastAsia" w:ascii="仿宋" w:hAnsi="仿宋" w:eastAsia="仿宋" w:cs="仿宋"/>
          <w:b/>
          <w:bCs/>
          <w:color w:val="000000"/>
          <w:sz w:val="32"/>
          <w:szCs w:val="32"/>
        </w:rPr>
        <w:t>二是</w:t>
      </w:r>
      <w:r>
        <w:rPr>
          <w:rFonts w:hint="eastAsia" w:ascii="仿宋" w:hAnsi="仿宋" w:eastAsia="仿宋" w:cs="仿宋"/>
          <w:color w:val="000000"/>
          <w:sz w:val="32"/>
          <w:szCs w:val="32"/>
        </w:rPr>
        <w:t>通过普查建立完善地名管理和服务信息系统，形成地名申报、审批、发布、共享和数据更新维护长效机制；</w:t>
      </w:r>
      <w:r>
        <w:rPr>
          <w:rFonts w:hint="eastAsia" w:ascii="仿宋" w:hAnsi="仿宋" w:eastAsia="仿宋" w:cs="仿宋"/>
          <w:b/>
          <w:bCs/>
          <w:color w:val="000000"/>
          <w:sz w:val="32"/>
          <w:szCs w:val="32"/>
        </w:rPr>
        <w:t>三是</w:t>
      </w:r>
      <w:r>
        <w:rPr>
          <w:rFonts w:hint="eastAsia" w:ascii="仿宋" w:hAnsi="仿宋" w:eastAsia="仿宋" w:cs="仿宋"/>
          <w:color w:val="000000"/>
          <w:sz w:val="32"/>
          <w:szCs w:val="32"/>
        </w:rPr>
        <w:t>形成一批普查报告，既要形成地名普查工作报告和主要数据公告，又要形成地名文化遗产分布、地名标志设置和地名标准化处理等专题报告；</w:t>
      </w:r>
      <w:r>
        <w:rPr>
          <w:rFonts w:hint="eastAsia" w:ascii="仿宋" w:hAnsi="仿宋" w:eastAsia="仿宋" w:cs="仿宋"/>
          <w:b/>
          <w:bCs/>
          <w:color w:val="000000"/>
          <w:sz w:val="32"/>
          <w:szCs w:val="32"/>
        </w:rPr>
        <w:t>四是</w:t>
      </w:r>
      <w:r>
        <w:rPr>
          <w:rFonts w:hint="eastAsia" w:ascii="仿宋" w:hAnsi="仿宋" w:eastAsia="仿宋" w:cs="仿宋"/>
          <w:color w:val="000000"/>
          <w:sz w:val="32"/>
          <w:szCs w:val="32"/>
        </w:rPr>
        <w:t>编纂地名图集资料，包括地名图集、地名典志、地名图书以及电子地名图、电子地名辞典等。在保证普查数据安全的基础上，采取多种方式推动普查成果的转化应用，鼓励深入研究、深度开发普查成果，最大限度发挥和提高普查成果的社会效益，更好地为政府、企业和社会公众服务。</w:t>
      </w:r>
    </w:p>
    <w:p>
      <w:pPr>
        <w:spacing w:line="580" w:lineRule="exact"/>
        <w:ind w:firstLine="645"/>
        <w:rPr>
          <w:rFonts w:ascii="仿宋" w:hAnsi="仿宋" w:eastAsia="仿宋"/>
          <w:sz w:val="32"/>
          <w:szCs w:val="32"/>
        </w:rPr>
      </w:pPr>
      <w:r>
        <w:rPr>
          <w:rFonts w:hint="eastAsia" w:ascii="仿宋" w:hAnsi="仿宋" w:eastAsia="仿宋" w:cs="仿宋"/>
          <w:b/>
          <w:bCs/>
          <w:sz w:val="32"/>
          <w:szCs w:val="32"/>
          <w:lang w:val="en-US" w:eastAsia="zh-CN"/>
        </w:rPr>
        <w:t>3、满意度指标完成情况分析。</w:t>
      </w:r>
      <w:r>
        <w:rPr>
          <w:rFonts w:hint="eastAsia" w:ascii="仿宋" w:hAnsi="仿宋" w:eastAsia="仿宋" w:cs="仿宋"/>
          <w:sz w:val="32"/>
          <w:szCs w:val="32"/>
        </w:rPr>
        <w:t>通过实施</w:t>
      </w:r>
      <w:r>
        <w:rPr>
          <w:rFonts w:hint="eastAsia" w:ascii="仿宋" w:hAnsi="仿宋" w:eastAsia="仿宋" w:cs="仿宋"/>
          <w:sz w:val="32"/>
          <w:szCs w:val="32"/>
          <w:lang w:eastAsia="zh-CN"/>
        </w:rPr>
        <w:t>地名普查</w:t>
      </w:r>
      <w:r>
        <w:rPr>
          <w:rFonts w:hint="eastAsia" w:ascii="仿宋" w:hAnsi="仿宋" w:eastAsia="仿宋" w:cs="仿宋"/>
          <w:sz w:val="32"/>
          <w:szCs w:val="32"/>
        </w:rPr>
        <w:t>项目，紧紧聚焦总目标、服务总目标、实现总目标，</w:t>
      </w:r>
      <w:r>
        <w:rPr>
          <w:rFonts w:hint="eastAsia" w:ascii="仿宋" w:hAnsi="仿宋" w:eastAsia="仿宋" w:cs="仿宋"/>
          <w:sz w:val="32"/>
          <w:szCs w:val="32"/>
          <w:lang w:eastAsia="zh-CN"/>
        </w:rPr>
        <w:t>真实客观地反映了全区的地名现状，</w:t>
      </w:r>
      <w:r>
        <w:rPr>
          <w:rFonts w:hint="eastAsia" w:ascii="仿宋" w:hAnsi="仿宋" w:eastAsia="仿宋" w:cs="仿宋"/>
          <w:sz w:val="32"/>
          <w:szCs w:val="32"/>
        </w:rPr>
        <w:t>内容丰富，具有很强的实用性，是推广标准地名的重要载体，是向社会公众展示普查成果最直观的窗口。实现地名信息共享，发挥和提高地名普查成果社会效益，更好地为政府、企业和社会公众服务。</w:t>
      </w:r>
      <w:r>
        <w:rPr>
          <w:rFonts w:hint="eastAsia" w:ascii="仿宋" w:hAnsi="仿宋" w:eastAsia="仿宋"/>
          <w:sz w:val="32"/>
          <w:szCs w:val="32"/>
          <w:lang w:eastAsia="zh-CN"/>
        </w:rPr>
        <w:t>同时，</w:t>
      </w:r>
      <w:r>
        <w:rPr>
          <w:rFonts w:hint="eastAsia" w:ascii="仿宋" w:hAnsi="仿宋" w:eastAsia="仿宋" w:cs="Arial"/>
          <w:color w:val="000000"/>
          <w:sz w:val="32"/>
          <w:szCs w:val="32"/>
        </w:rPr>
        <w:t>通过编制地名图书、拍摄影视作品、开展地名评选活动等多种形式</w:t>
      </w:r>
      <w:r>
        <w:rPr>
          <w:rFonts w:ascii="仿宋" w:hAnsi="仿宋" w:eastAsia="仿宋" w:cs="Arial"/>
          <w:color w:val="000000"/>
          <w:sz w:val="32"/>
          <w:szCs w:val="32"/>
        </w:rPr>
        <w:t>,</w:t>
      </w:r>
      <w:r>
        <w:rPr>
          <w:rFonts w:hint="eastAsia" w:ascii="仿宋" w:hAnsi="仿宋" w:eastAsia="仿宋" w:cs="Arial"/>
          <w:color w:val="000000"/>
          <w:sz w:val="32"/>
          <w:szCs w:val="32"/>
        </w:rPr>
        <w:t>提高地名文化遗产影响力和知名度</w:t>
      </w:r>
      <w:r>
        <w:rPr>
          <w:rFonts w:ascii="仿宋" w:hAnsi="仿宋" w:eastAsia="仿宋" w:cs="Arial"/>
          <w:color w:val="000000"/>
          <w:sz w:val="32"/>
          <w:szCs w:val="32"/>
        </w:rPr>
        <w:t>,</w:t>
      </w:r>
      <w:r>
        <w:rPr>
          <w:rFonts w:hint="eastAsia" w:ascii="仿宋" w:hAnsi="仿宋" w:eastAsia="仿宋" w:cs="Arial"/>
          <w:color w:val="000000"/>
          <w:sz w:val="32"/>
          <w:szCs w:val="32"/>
        </w:rPr>
        <w:t>营造良好社会氛围。</w:t>
      </w:r>
    </w:p>
    <w:p>
      <w:pPr>
        <w:pStyle w:val="2"/>
        <w:keepNext w:val="0"/>
        <w:keepLines w:val="0"/>
        <w:pageBreakBefore w:val="0"/>
        <w:numPr>
          <w:ilvl w:val="0"/>
          <w:numId w:val="0"/>
        </w:numPr>
        <w:kinsoku/>
        <w:wordWrap/>
        <w:overflowPunct/>
        <w:topLinePunct w:val="0"/>
        <w:autoSpaceDE/>
        <w:autoSpaceDN/>
        <w:bidi w:val="0"/>
        <w:adjustRightInd/>
        <w:snapToGrid/>
        <w:spacing w:line="640" w:lineRule="exact"/>
        <w:ind w:firstLine="64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kinsoku/>
        <w:wordWrap/>
        <w:overflowPunct/>
        <w:topLinePunct w:val="0"/>
        <w:autoSpaceDE/>
        <w:autoSpaceDN/>
        <w:bidi w:val="0"/>
        <w:adjustRightInd/>
        <w:snapToGrid/>
        <w:spacing w:line="640" w:lineRule="exact"/>
        <w:ind w:left="0" w:leftChars="0" w:right="0" w:rightChars="0" w:firstLine="640" w:firstLineChars="200"/>
        <w:textAlignment w:val="auto"/>
        <w:rPr>
          <w:rFonts w:hint="eastAsia" w:ascii="黑体" w:hAnsi="黑体" w:eastAsia="黑体" w:cs="黑体"/>
          <w:sz w:val="32"/>
          <w:szCs w:val="32"/>
          <w:lang w:val="en-US" w:eastAsia="zh-CN"/>
        </w:rPr>
      </w:pPr>
      <w:r>
        <w:rPr>
          <w:rFonts w:hint="eastAsia" w:ascii="仿宋" w:hAnsi="仿宋" w:eastAsia="仿宋" w:cs="仿宋"/>
          <w:b w:val="0"/>
          <w:bCs w:val="0"/>
          <w:sz w:val="32"/>
          <w:szCs w:val="32"/>
          <w:lang w:eastAsia="zh-CN"/>
        </w:rPr>
        <w:t>无。</w:t>
      </w:r>
    </w:p>
    <w:p>
      <w:pPr>
        <w:pStyle w:val="2"/>
        <w:keepNext w:val="0"/>
        <w:keepLines w:val="0"/>
        <w:pageBreakBefore w:val="0"/>
        <w:numPr>
          <w:ilvl w:val="0"/>
          <w:numId w:val="1"/>
        </w:numPr>
        <w:kinsoku/>
        <w:wordWrap/>
        <w:overflowPunct/>
        <w:topLinePunct w:val="0"/>
        <w:autoSpaceDE/>
        <w:autoSpaceDN/>
        <w:bidi w:val="0"/>
        <w:adjustRightInd/>
        <w:snapToGrid/>
        <w:spacing w:line="640" w:lineRule="exact"/>
        <w:ind w:firstLine="64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绩效自评结果拟应用和公开情况</w:t>
      </w:r>
    </w:p>
    <w:p>
      <w:pPr>
        <w:pStyle w:val="2"/>
        <w:keepNext w:val="0"/>
        <w:keepLines w:val="0"/>
        <w:pageBreakBefore w:val="0"/>
        <w:numPr>
          <w:ilvl w:val="0"/>
          <w:numId w:val="0"/>
        </w:numPr>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一）资金管理制度。转发了国务院普查办《第二次全国地名普查资金管理规定》，要求各地按照《规定贯彻执行》。积极探索和建立与预算管理相结合、多渠道应用评价结果的有效机制，着力提高各地、县项目建设单位绩效意识和财政资金使用效益。</w:t>
      </w:r>
    </w:p>
    <w:p>
      <w:pPr>
        <w:pStyle w:val="2"/>
        <w:keepNext w:val="0"/>
        <w:keepLines w:val="0"/>
        <w:pageBreakBefore w:val="0"/>
        <w:numPr>
          <w:ilvl w:val="0"/>
          <w:numId w:val="0"/>
        </w:numPr>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（二）资金管理办法及措施。在地名普查验收时，专项对地名普查补助资金使用情况进行了验收。同时，将</w:t>
      </w:r>
      <w:r>
        <w:rPr>
          <w:rFonts w:hint="eastAsia" w:ascii="仿宋" w:hAnsi="仿宋" w:eastAsia="仿宋" w:cs="仿宋"/>
          <w:b w:val="0"/>
          <w:bCs w:val="0"/>
          <w:sz w:val="32"/>
          <w:szCs w:val="32"/>
          <w:lang w:val="en-US" w:eastAsia="zh-CN"/>
        </w:rPr>
        <w:t>中央下达第二次全国地名普查项目专项转移支付</w:t>
      </w:r>
      <w:r>
        <w:rPr>
          <w:rFonts w:hint="eastAsia" w:ascii="仿宋" w:hAnsi="仿宋" w:eastAsia="仿宋" w:cs="仿宋"/>
          <w:b w:val="0"/>
          <w:bCs w:val="0"/>
          <w:sz w:val="32"/>
          <w:szCs w:val="32"/>
          <w:lang w:eastAsia="zh-CN"/>
        </w:rPr>
        <w:t>绩效自评报告进行公开，广泛接受社会监督。</w:t>
      </w:r>
    </w:p>
    <w:p>
      <w:pPr>
        <w:pStyle w:val="2"/>
        <w:keepNext w:val="0"/>
        <w:keepLines w:val="0"/>
        <w:pageBreakBefore w:val="0"/>
        <w:numPr>
          <w:ilvl w:val="0"/>
          <w:numId w:val="0"/>
        </w:numPr>
        <w:kinsoku/>
        <w:wordWrap/>
        <w:overflowPunct/>
        <w:topLinePunct w:val="0"/>
        <w:autoSpaceDE/>
        <w:autoSpaceDN/>
        <w:bidi w:val="0"/>
        <w:adjustRightInd/>
        <w:snapToGrid/>
        <w:spacing w:line="640" w:lineRule="exact"/>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五、绩效未完成原因和下一步改进措施</w:t>
      </w:r>
    </w:p>
    <w:p>
      <w:pPr>
        <w:pStyle w:val="2"/>
        <w:keepNext w:val="0"/>
        <w:keepLines w:val="0"/>
        <w:pageBreakBefore w:val="0"/>
        <w:numPr>
          <w:ilvl w:val="0"/>
          <w:numId w:val="0"/>
        </w:numPr>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（一）未完成原因。根据国务院普查办安排，</w:t>
      </w:r>
      <w:r>
        <w:rPr>
          <w:rFonts w:hint="eastAsia" w:ascii="仿宋" w:hAnsi="仿宋" w:eastAsia="仿宋" w:cs="仿宋"/>
          <w:b w:val="0"/>
          <w:bCs w:val="0"/>
          <w:sz w:val="32"/>
          <w:szCs w:val="32"/>
          <w:lang w:val="en-US" w:eastAsia="zh-CN"/>
        </w:rPr>
        <w:t>12月按时上报了我区地名普查数据，由于国务院普查办验收时发现需整改的问题，经国务院普查办同意，</w:t>
      </w:r>
      <w:r>
        <w:rPr>
          <w:rFonts w:hint="eastAsia" w:ascii="仿宋" w:hAnsi="仿宋" w:eastAsia="仿宋" w:cs="仿宋"/>
          <w:b w:val="0"/>
          <w:bCs w:val="0"/>
          <w:sz w:val="32"/>
          <w:szCs w:val="32"/>
          <w:lang w:eastAsia="zh-CN"/>
        </w:rPr>
        <w:t>我们组织全区进行了整改，待整改后上报。</w:t>
      </w:r>
    </w:p>
    <w:p>
      <w:pPr>
        <w:pStyle w:val="2"/>
        <w:keepNext w:val="0"/>
        <w:keepLines w:val="0"/>
        <w:pageBreakBefore w:val="0"/>
        <w:numPr>
          <w:ilvl w:val="0"/>
          <w:numId w:val="0"/>
        </w:numPr>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eastAsia="zh-CN"/>
        </w:rPr>
        <w:t>（二）下一步措施。按照国务院普查办验收整改意见，我区</w:t>
      </w:r>
      <w:r>
        <w:rPr>
          <w:rFonts w:hint="eastAsia" w:ascii="仿宋" w:hAnsi="仿宋" w:eastAsia="仿宋" w:cs="仿宋"/>
          <w:b w:val="0"/>
          <w:bCs w:val="0"/>
          <w:sz w:val="32"/>
          <w:szCs w:val="32"/>
          <w:lang w:val="en-US" w:eastAsia="zh-CN"/>
        </w:rPr>
        <w:t>96个县（市、区）地名普查数据需进行整改，抓紧时间组织各地进行整改，自治区地名普查办再次组织人员验收，全部验收合格后上报国务院地名普查办。</w:t>
      </w:r>
    </w:p>
    <w:p>
      <w:pPr>
        <w:pStyle w:val="2"/>
        <w:keepNext w:val="0"/>
        <w:keepLines w:val="0"/>
        <w:pageBreakBefore w:val="0"/>
        <w:numPr>
          <w:ilvl w:val="0"/>
          <w:numId w:val="0"/>
        </w:numPr>
        <w:kinsoku/>
        <w:wordWrap/>
        <w:overflowPunct/>
        <w:topLinePunct w:val="0"/>
        <w:autoSpaceDE/>
        <w:autoSpaceDN/>
        <w:bidi w:val="0"/>
        <w:adjustRightInd/>
        <w:snapToGrid/>
        <w:spacing w:line="64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六、绩效自评工作的经验、问题和建议</w:t>
      </w:r>
    </w:p>
    <w:p>
      <w:pPr>
        <w:pStyle w:val="2"/>
        <w:keepNext w:val="0"/>
        <w:keepLines w:val="0"/>
        <w:pageBreakBefore w:val="0"/>
        <w:numPr>
          <w:ilvl w:val="0"/>
          <w:numId w:val="0"/>
        </w:numPr>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（一）绩效自评经验。绩效自评我们</w:t>
      </w:r>
      <w:r>
        <w:rPr>
          <w:rFonts w:hint="eastAsia" w:ascii="仿宋" w:hAnsi="仿宋" w:eastAsia="仿宋" w:cs="仿宋"/>
          <w:sz w:val="32"/>
          <w:szCs w:val="32"/>
        </w:rPr>
        <w:t>以评价的主体、评价的内容、评价的效果为切入点，</w:t>
      </w:r>
      <w:r>
        <w:rPr>
          <w:rFonts w:hint="eastAsia" w:ascii="仿宋" w:hAnsi="仿宋" w:eastAsia="仿宋" w:cs="仿宋"/>
          <w:sz w:val="32"/>
          <w:szCs w:val="32"/>
          <w:lang w:eastAsia="zh-CN"/>
        </w:rPr>
        <w:t>主要</w:t>
      </w:r>
      <w:r>
        <w:rPr>
          <w:rFonts w:hint="eastAsia" w:ascii="仿宋" w:hAnsi="仿宋" w:eastAsia="仿宋" w:cs="仿宋"/>
          <w:b w:val="0"/>
          <w:bCs w:val="0"/>
          <w:sz w:val="32"/>
          <w:szCs w:val="32"/>
          <w:lang w:val="en-US" w:eastAsia="zh-CN"/>
        </w:rPr>
        <w:t>分为三个阶段。</w:t>
      </w:r>
      <w:r>
        <w:rPr>
          <w:rFonts w:hint="eastAsia" w:ascii="仿宋" w:hAnsi="仿宋" w:eastAsia="仿宋" w:cs="仿宋"/>
          <w:sz w:val="32"/>
          <w:szCs w:val="32"/>
        </w:rPr>
        <w:t>第一阶段</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96个县（市、区）地名普查办进行自评，报地（州、市）地名普查办审核汇总；第二阶段：地（州、市）地名普查办根据各县（市、区）地名普查办上报的自评材料进行绩效自评，报自治区地名普查办；第三阶段：自治区地名普查办根据地（州、市）地名普查办上报的自评材料，进行自评上报。</w:t>
      </w:r>
    </w:p>
    <w:p>
      <w:pPr>
        <w:pStyle w:val="2"/>
        <w:keepNext w:val="0"/>
        <w:keepLines w:val="0"/>
        <w:pageBreakBefore w:val="0"/>
        <w:numPr>
          <w:ilvl w:val="0"/>
          <w:numId w:val="0"/>
        </w:numPr>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（二）绩效自评问题。</w:t>
      </w:r>
      <w:r>
        <w:rPr>
          <w:rFonts w:hint="eastAsia" w:ascii="仿宋" w:hAnsi="仿宋" w:eastAsia="仿宋" w:cs="仿宋"/>
          <w:sz w:val="32"/>
          <w:szCs w:val="32"/>
          <w:lang w:eastAsia="zh-CN"/>
        </w:rPr>
        <w:t>绩效自评要求高，我们对绩效自评的政策、要求、标准和规定把握不准，导致绩效自评</w:t>
      </w:r>
      <w:r>
        <w:rPr>
          <w:rFonts w:hint="eastAsia" w:ascii="仿宋" w:hAnsi="仿宋" w:eastAsia="仿宋" w:cs="仿宋"/>
          <w:sz w:val="32"/>
          <w:szCs w:val="32"/>
        </w:rPr>
        <w:t>的有效性大打折扣。 </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（三）绩效自评建议。加强绩效自评的培训。</w:t>
      </w:r>
    </w:p>
    <w:p>
      <w:pPr>
        <w:pStyle w:val="2"/>
        <w:keepNext w:val="0"/>
        <w:keepLines w:val="0"/>
        <w:pageBreakBefore w:val="0"/>
        <w:numPr>
          <w:ilvl w:val="0"/>
          <w:numId w:val="0"/>
        </w:numPr>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cs="仿宋"/>
          <w:sz w:val="32"/>
          <w:szCs w:val="32"/>
          <w:lang w:val="en-US" w:eastAsia="zh-CN"/>
        </w:rPr>
      </w:pPr>
    </w:p>
    <w:p>
      <w:pPr>
        <w:pStyle w:val="2"/>
        <w:keepNext w:val="0"/>
        <w:keepLines w:val="0"/>
        <w:pageBreakBefore w:val="0"/>
        <w:numPr>
          <w:ilvl w:val="0"/>
          <w:numId w:val="0"/>
        </w:numPr>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cs="仿宋"/>
          <w:sz w:val="32"/>
          <w:szCs w:val="32"/>
          <w:lang w:val="en-US" w:eastAsia="zh-CN"/>
        </w:rPr>
      </w:pPr>
    </w:p>
    <w:p>
      <w:pPr>
        <w:pStyle w:val="2"/>
        <w:keepNext w:val="0"/>
        <w:keepLines w:val="0"/>
        <w:pageBreakBefore w:val="0"/>
        <w:numPr>
          <w:ilvl w:val="0"/>
          <w:numId w:val="0"/>
        </w:numPr>
        <w:kinsoku/>
        <w:wordWrap/>
        <w:overflowPunct/>
        <w:topLinePunct w:val="0"/>
        <w:autoSpaceDE/>
        <w:autoSpaceDN/>
        <w:bidi w:val="0"/>
        <w:adjustRightInd/>
        <w:snapToGrid/>
        <w:spacing w:line="640" w:lineRule="exact"/>
        <w:ind w:firstLine="640" w:firstLineChars="200"/>
        <w:textAlignment w:val="auto"/>
        <w:rPr>
          <w:rFonts w:hint="eastAsia" w:ascii="仿宋" w:hAnsi="仿宋" w:eastAsia="仿宋" w:cs="仿宋"/>
          <w:sz w:val="32"/>
          <w:szCs w:val="32"/>
          <w:lang w:val="en-US" w:eastAsia="zh-CN"/>
        </w:rPr>
      </w:pPr>
    </w:p>
    <w:p>
      <w:pPr>
        <w:pStyle w:val="2"/>
        <w:keepNext w:val="0"/>
        <w:keepLines w:val="0"/>
        <w:pageBreakBefore w:val="0"/>
        <w:numPr>
          <w:ilvl w:val="0"/>
          <w:numId w:val="0"/>
        </w:numPr>
        <w:kinsoku/>
        <w:wordWrap/>
        <w:overflowPunct/>
        <w:topLinePunct w:val="0"/>
        <w:autoSpaceDE/>
        <w:autoSpaceDN/>
        <w:bidi w:val="0"/>
        <w:adjustRightInd/>
        <w:snapToGrid/>
        <w:spacing w:line="640" w:lineRule="exact"/>
        <w:textAlignment w:val="auto"/>
        <w:rPr>
          <w:rFonts w:hint="eastAsia" w:ascii="仿宋" w:hAnsi="仿宋" w:eastAsia="仿宋" w:cs="仿宋"/>
          <w:sz w:val="32"/>
          <w:szCs w:val="32"/>
          <w:lang w:val="en-US" w:eastAsia="zh-CN"/>
        </w:rPr>
      </w:pPr>
    </w:p>
    <w:tbl>
      <w:tblPr>
        <w:tblStyle w:val="19"/>
        <w:tblW w:w="9581" w:type="dxa"/>
        <w:tblInd w:w="0" w:type="dxa"/>
        <w:tblLayout w:type="fixed"/>
        <w:tblCellMar>
          <w:top w:w="0" w:type="dxa"/>
          <w:left w:w="0" w:type="dxa"/>
          <w:bottom w:w="0" w:type="dxa"/>
          <w:right w:w="0" w:type="dxa"/>
        </w:tblCellMar>
      </w:tblPr>
      <w:tblGrid>
        <w:gridCol w:w="655"/>
        <w:gridCol w:w="559"/>
        <w:gridCol w:w="791"/>
        <w:gridCol w:w="1648"/>
        <w:gridCol w:w="1075"/>
        <w:gridCol w:w="1191"/>
        <w:gridCol w:w="960"/>
        <w:gridCol w:w="2702"/>
      </w:tblGrid>
      <w:tr>
        <w:tblPrEx>
          <w:tblLayout w:type="fixed"/>
          <w:tblCellMar>
            <w:top w:w="0" w:type="dxa"/>
            <w:left w:w="0" w:type="dxa"/>
            <w:bottom w:w="0" w:type="dxa"/>
            <w:right w:w="0" w:type="dxa"/>
          </w:tblCellMar>
        </w:tblPrEx>
        <w:trPr>
          <w:trHeight w:val="333" w:hRule="atLeast"/>
        </w:trPr>
        <w:tc>
          <w:tcPr>
            <w:tcW w:w="9581" w:type="dxa"/>
            <w:gridSpan w:val="8"/>
            <w:tcBorders>
              <w:top w:val="nil"/>
              <w:left w:val="nil"/>
              <w:bottom w:val="nil"/>
              <w:right w:val="nil"/>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中央对地方专项转移支付</w:t>
            </w:r>
            <w:r>
              <w:rPr>
                <w:rFonts w:hint="eastAsia" w:ascii="宋体" w:hAnsi="宋体" w:cs="宋体"/>
                <w:b/>
                <w:i w:val="0"/>
                <w:color w:val="000000"/>
                <w:kern w:val="0"/>
                <w:sz w:val="32"/>
                <w:szCs w:val="32"/>
                <w:u w:val="none"/>
                <w:lang w:val="en-US" w:eastAsia="zh-CN" w:bidi="ar"/>
              </w:rPr>
              <w:t>地名普查</w:t>
            </w:r>
            <w:r>
              <w:rPr>
                <w:rFonts w:hint="eastAsia" w:ascii="宋体" w:hAnsi="宋体" w:eastAsia="宋体" w:cs="宋体"/>
                <w:b/>
                <w:i w:val="0"/>
                <w:color w:val="000000"/>
                <w:kern w:val="0"/>
                <w:sz w:val="32"/>
                <w:szCs w:val="32"/>
                <w:u w:val="none"/>
                <w:lang w:val="en-US" w:eastAsia="zh-CN" w:bidi="ar"/>
              </w:rPr>
              <w:t>项目绩效目标自评表</w:t>
            </w:r>
            <w:r>
              <w:rPr>
                <w:rStyle w:val="51"/>
                <w:lang w:val="en-US" w:eastAsia="zh-CN" w:bidi="ar"/>
              </w:rPr>
              <w:t xml:space="preserve"> </w:t>
            </w:r>
          </w:p>
        </w:tc>
      </w:tr>
      <w:tr>
        <w:tblPrEx>
          <w:tblLayout w:type="fixed"/>
          <w:tblCellMar>
            <w:top w:w="0" w:type="dxa"/>
            <w:left w:w="0" w:type="dxa"/>
            <w:bottom w:w="0" w:type="dxa"/>
            <w:right w:w="0" w:type="dxa"/>
          </w:tblCellMar>
        </w:tblPrEx>
        <w:trPr>
          <w:trHeight w:val="171" w:hRule="atLeast"/>
        </w:trPr>
        <w:tc>
          <w:tcPr>
            <w:tcW w:w="9581" w:type="dxa"/>
            <w:gridSpan w:val="8"/>
            <w:tcBorders>
              <w:top w:val="nil"/>
              <w:left w:val="nil"/>
              <w:bottom w:val="nil"/>
              <w:right w:val="nil"/>
            </w:tcBorders>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2018 年度）</w:t>
            </w:r>
          </w:p>
        </w:tc>
      </w:tr>
      <w:tr>
        <w:tblPrEx>
          <w:tblLayout w:type="fixed"/>
          <w:tblCellMar>
            <w:top w:w="0" w:type="dxa"/>
            <w:left w:w="0" w:type="dxa"/>
            <w:bottom w:w="0" w:type="dxa"/>
            <w:right w:w="0" w:type="dxa"/>
          </w:tblCellMar>
        </w:tblPrEx>
        <w:trPr>
          <w:trHeight w:val="338" w:hRule="atLeast"/>
        </w:trPr>
        <w:tc>
          <w:tcPr>
            <w:tcW w:w="20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专项（项目）名称</w:t>
            </w:r>
          </w:p>
        </w:tc>
        <w:tc>
          <w:tcPr>
            <w:tcW w:w="272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第二次地名普查</w:t>
            </w:r>
          </w:p>
        </w:tc>
        <w:tc>
          <w:tcPr>
            <w:tcW w:w="11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负责人及电话</w:t>
            </w:r>
          </w:p>
        </w:tc>
        <w:tc>
          <w:tcPr>
            <w:tcW w:w="3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董俊凯</w:t>
            </w:r>
          </w:p>
        </w:tc>
      </w:tr>
      <w:tr>
        <w:tblPrEx>
          <w:tblLayout w:type="fixed"/>
          <w:tblCellMar>
            <w:top w:w="0" w:type="dxa"/>
            <w:left w:w="0" w:type="dxa"/>
            <w:bottom w:w="0" w:type="dxa"/>
            <w:right w:w="0" w:type="dxa"/>
          </w:tblCellMar>
        </w:tblPrEx>
        <w:trPr>
          <w:trHeight w:val="176" w:hRule="atLeast"/>
        </w:trPr>
        <w:tc>
          <w:tcPr>
            <w:tcW w:w="20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中央主管部门</w:t>
            </w:r>
          </w:p>
        </w:tc>
        <w:tc>
          <w:tcPr>
            <w:tcW w:w="7576" w:type="dxa"/>
            <w:gridSpan w:val="5"/>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民政部　</w:t>
            </w:r>
          </w:p>
        </w:tc>
      </w:tr>
      <w:tr>
        <w:tblPrEx>
          <w:tblLayout w:type="fixed"/>
          <w:tblCellMar>
            <w:top w:w="0" w:type="dxa"/>
            <w:left w:w="0" w:type="dxa"/>
            <w:bottom w:w="0" w:type="dxa"/>
            <w:right w:w="0" w:type="dxa"/>
          </w:tblCellMar>
        </w:tblPrEx>
        <w:trPr>
          <w:trHeight w:val="176" w:hRule="atLeast"/>
        </w:trPr>
        <w:tc>
          <w:tcPr>
            <w:tcW w:w="200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地方主管部门</w:t>
            </w:r>
          </w:p>
        </w:tc>
        <w:tc>
          <w:tcPr>
            <w:tcW w:w="272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　自治区民政厅</w:t>
            </w:r>
          </w:p>
        </w:tc>
        <w:tc>
          <w:tcPr>
            <w:tcW w:w="11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实施单位</w:t>
            </w:r>
          </w:p>
        </w:tc>
        <w:tc>
          <w:tcPr>
            <w:tcW w:w="3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各地、县民政部门</w:t>
            </w:r>
          </w:p>
        </w:tc>
      </w:tr>
      <w:tr>
        <w:tblPrEx>
          <w:tblLayout w:type="fixed"/>
          <w:tblCellMar>
            <w:top w:w="0" w:type="dxa"/>
            <w:left w:w="0" w:type="dxa"/>
            <w:bottom w:w="0" w:type="dxa"/>
            <w:right w:w="0" w:type="dxa"/>
          </w:tblCellMar>
        </w:tblPrEx>
        <w:trPr>
          <w:trHeight w:val="176" w:hRule="atLeast"/>
        </w:trPr>
        <w:tc>
          <w:tcPr>
            <w:tcW w:w="2005"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项目资金（万元）</w:t>
            </w:r>
          </w:p>
        </w:tc>
        <w:tc>
          <w:tcPr>
            <w:tcW w:w="16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0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全年预算数（A）</w:t>
            </w:r>
          </w:p>
        </w:tc>
        <w:tc>
          <w:tcPr>
            <w:tcW w:w="215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全年执行数（B）</w:t>
            </w:r>
          </w:p>
        </w:tc>
        <w:tc>
          <w:tcPr>
            <w:tcW w:w="2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执行率（B/A)</w:t>
            </w:r>
          </w:p>
        </w:tc>
      </w:tr>
      <w:tr>
        <w:tblPrEx>
          <w:tblLayout w:type="fixed"/>
          <w:tblCellMar>
            <w:top w:w="0" w:type="dxa"/>
            <w:left w:w="0" w:type="dxa"/>
            <w:bottom w:w="0" w:type="dxa"/>
            <w:right w:w="0" w:type="dxa"/>
          </w:tblCellMar>
        </w:tblPrEx>
        <w:trPr>
          <w:trHeight w:val="176" w:hRule="atLeast"/>
        </w:trPr>
        <w:tc>
          <w:tcPr>
            <w:tcW w:w="20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年度资金总额：</w:t>
            </w:r>
          </w:p>
        </w:tc>
        <w:tc>
          <w:tcPr>
            <w:tcW w:w="10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1743</w:t>
            </w:r>
          </w:p>
        </w:tc>
        <w:tc>
          <w:tcPr>
            <w:tcW w:w="215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1743</w:t>
            </w:r>
          </w:p>
        </w:tc>
        <w:tc>
          <w:tcPr>
            <w:tcW w:w="2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rPr>
            </w:pPr>
            <w:r>
              <w:rPr>
                <w:rFonts w:hint="eastAsia" w:ascii="仿宋" w:hAnsi="仿宋" w:eastAsia="仿宋" w:cs="仿宋"/>
                <w:i w:val="0"/>
                <w:color w:val="000000"/>
                <w:kern w:val="0"/>
                <w:sz w:val="20"/>
                <w:szCs w:val="20"/>
                <w:u w:val="none"/>
                <w:lang w:val="en-US" w:eastAsia="zh-CN" w:bidi="ar"/>
              </w:rPr>
              <w:t>100%</w:t>
            </w:r>
          </w:p>
        </w:tc>
      </w:tr>
      <w:tr>
        <w:tblPrEx>
          <w:tblLayout w:type="fixed"/>
          <w:tblCellMar>
            <w:top w:w="0" w:type="dxa"/>
            <w:left w:w="0" w:type="dxa"/>
            <w:bottom w:w="0" w:type="dxa"/>
            <w:right w:w="0" w:type="dxa"/>
          </w:tblCellMar>
        </w:tblPrEx>
        <w:trPr>
          <w:trHeight w:val="338" w:hRule="atLeast"/>
        </w:trPr>
        <w:tc>
          <w:tcPr>
            <w:tcW w:w="20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 xml:space="preserve"> 其中：中央补助</w:t>
            </w:r>
          </w:p>
        </w:tc>
        <w:tc>
          <w:tcPr>
            <w:tcW w:w="10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1743</w:t>
            </w:r>
          </w:p>
        </w:tc>
        <w:tc>
          <w:tcPr>
            <w:tcW w:w="215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1743</w:t>
            </w:r>
          </w:p>
        </w:tc>
        <w:tc>
          <w:tcPr>
            <w:tcW w:w="2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0"/>
                <w:szCs w:val="20"/>
                <w:u w:val="none"/>
                <w:lang w:val="en-US"/>
              </w:rPr>
            </w:pPr>
            <w:r>
              <w:rPr>
                <w:rFonts w:hint="eastAsia" w:ascii="仿宋" w:hAnsi="仿宋" w:eastAsia="仿宋" w:cs="仿宋"/>
                <w:i w:val="0"/>
                <w:color w:val="000000"/>
                <w:kern w:val="0"/>
                <w:sz w:val="20"/>
                <w:szCs w:val="20"/>
                <w:u w:val="none"/>
                <w:lang w:val="en-US" w:eastAsia="zh-CN" w:bidi="ar"/>
              </w:rPr>
              <w:t>100%</w:t>
            </w:r>
            <w:bookmarkStart w:id="0" w:name="_GoBack"/>
            <w:bookmarkEnd w:id="0"/>
          </w:p>
        </w:tc>
      </w:tr>
      <w:tr>
        <w:tblPrEx>
          <w:tblLayout w:type="fixed"/>
          <w:tblCellMar>
            <w:top w:w="0" w:type="dxa"/>
            <w:left w:w="0" w:type="dxa"/>
            <w:bottom w:w="0" w:type="dxa"/>
            <w:right w:w="0" w:type="dxa"/>
          </w:tblCellMar>
        </w:tblPrEx>
        <w:trPr>
          <w:trHeight w:val="338" w:hRule="atLeast"/>
        </w:trPr>
        <w:tc>
          <w:tcPr>
            <w:tcW w:w="20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 xml:space="preserve">       地方资金</w:t>
            </w:r>
          </w:p>
        </w:tc>
        <w:tc>
          <w:tcPr>
            <w:tcW w:w="10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215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2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r>
      <w:tr>
        <w:tblPrEx>
          <w:tblLayout w:type="fixed"/>
          <w:tblCellMar>
            <w:top w:w="0" w:type="dxa"/>
            <w:left w:w="0" w:type="dxa"/>
            <w:bottom w:w="0" w:type="dxa"/>
            <w:right w:w="0" w:type="dxa"/>
          </w:tblCellMar>
        </w:tblPrEx>
        <w:trPr>
          <w:trHeight w:val="338" w:hRule="atLeast"/>
        </w:trPr>
        <w:tc>
          <w:tcPr>
            <w:tcW w:w="2005"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16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 xml:space="preserve">       其他资金</w:t>
            </w:r>
          </w:p>
        </w:tc>
        <w:tc>
          <w:tcPr>
            <w:tcW w:w="10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215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2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r>
      <w:tr>
        <w:tblPrEx>
          <w:tblLayout w:type="fixed"/>
          <w:tblCellMar>
            <w:top w:w="0" w:type="dxa"/>
            <w:left w:w="0" w:type="dxa"/>
            <w:bottom w:w="0" w:type="dxa"/>
            <w:right w:w="0" w:type="dxa"/>
          </w:tblCellMar>
        </w:tblPrEx>
        <w:trPr>
          <w:trHeight w:val="176" w:hRule="atLeast"/>
        </w:trPr>
        <w:tc>
          <w:tcPr>
            <w:tcW w:w="65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年度总体目标</w:t>
            </w:r>
          </w:p>
        </w:tc>
        <w:tc>
          <w:tcPr>
            <w:tcW w:w="4073"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年初设定目标</w:t>
            </w:r>
          </w:p>
        </w:tc>
        <w:tc>
          <w:tcPr>
            <w:tcW w:w="485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全年实际完成情况</w:t>
            </w:r>
          </w:p>
        </w:tc>
      </w:tr>
      <w:tr>
        <w:tblPrEx>
          <w:tblLayout w:type="fixed"/>
          <w:tblCellMar>
            <w:top w:w="0" w:type="dxa"/>
            <w:left w:w="0" w:type="dxa"/>
            <w:bottom w:w="0" w:type="dxa"/>
            <w:right w:w="0" w:type="dxa"/>
          </w:tblCellMar>
        </w:tblPrEx>
        <w:trPr>
          <w:trHeight w:val="987" w:hRule="atLeast"/>
        </w:trPr>
        <w:tc>
          <w:tcPr>
            <w:tcW w:w="65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4073"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 w:hAnsi="仿宋" w:eastAsia="仿宋" w:cs="仿宋"/>
                <w:sz w:val="21"/>
                <w:szCs w:val="21"/>
              </w:rPr>
            </w:pPr>
            <w:r>
              <w:rPr>
                <w:rFonts w:hint="eastAsia" w:ascii="仿宋" w:hAnsi="仿宋" w:eastAsia="仿宋" w:cs="仿宋"/>
                <w:color w:val="000000"/>
                <w:kern w:val="0"/>
                <w:sz w:val="21"/>
                <w:szCs w:val="21"/>
                <w:lang w:eastAsia="zh-CN"/>
              </w:rPr>
              <w:t>完成</w:t>
            </w:r>
            <w:r>
              <w:rPr>
                <w:rFonts w:hint="eastAsia" w:ascii="仿宋" w:hAnsi="仿宋" w:eastAsia="仿宋" w:cs="仿宋"/>
                <w:sz w:val="21"/>
                <w:szCs w:val="21"/>
                <w:lang w:val="en-US" w:eastAsia="zh-CN"/>
              </w:rPr>
              <w:t>14地（州、市）96</w:t>
            </w:r>
            <w:r>
              <w:rPr>
                <w:rFonts w:hint="eastAsia" w:ascii="仿宋" w:hAnsi="仿宋" w:eastAsia="仿宋" w:cs="仿宋"/>
                <w:sz w:val="21"/>
                <w:szCs w:val="21"/>
              </w:rPr>
              <w:t>个</w:t>
            </w:r>
            <w:r>
              <w:rPr>
                <w:rFonts w:hint="eastAsia" w:ascii="仿宋" w:hAnsi="仿宋" w:eastAsia="仿宋" w:cs="仿宋"/>
                <w:sz w:val="21"/>
                <w:szCs w:val="21"/>
                <w:lang w:eastAsia="zh-CN"/>
              </w:rPr>
              <w:t>县（市、区）地名普查工作任务</w:t>
            </w:r>
          </w:p>
          <w:p>
            <w:pPr>
              <w:keepNext w:val="0"/>
              <w:keepLines w:val="0"/>
              <w:widowControl/>
              <w:suppressLineNumbers w:val="0"/>
              <w:jc w:val="left"/>
              <w:textAlignment w:val="center"/>
              <w:rPr>
                <w:rFonts w:hint="eastAsia" w:ascii="仿宋" w:hAnsi="仿宋" w:eastAsia="仿宋" w:cs="仿宋"/>
                <w:i w:val="0"/>
                <w:color w:val="000000"/>
                <w:sz w:val="21"/>
                <w:szCs w:val="21"/>
                <w:u w:val="none"/>
              </w:rPr>
            </w:pPr>
          </w:p>
        </w:tc>
        <w:tc>
          <w:tcPr>
            <w:tcW w:w="4853"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 xml:space="preserve"> </w:t>
            </w:r>
            <w:r>
              <w:rPr>
                <w:rFonts w:hint="eastAsia" w:ascii="仿宋" w:hAnsi="仿宋" w:eastAsia="仿宋" w:cs="仿宋"/>
                <w:b w:val="0"/>
                <w:bCs w:val="0"/>
                <w:sz w:val="21"/>
                <w:szCs w:val="21"/>
                <w:lang w:val="en-US" w:eastAsia="zh-CN"/>
              </w:rPr>
              <w:t>国务院地名普查办11月8日下发《新疆维吾尔自治区第二次全国地名普查成果验收意见》（国地名普查办发</w:t>
            </w:r>
            <w:r>
              <w:rPr>
                <w:rFonts w:hint="eastAsia" w:ascii="仿宋" w:hAnsi="仿宋" w:eastAsia="仿宋" w:cs="仿宋"/>
                <w:b w:val="0"/>
                <w:bCs w:val="0"/>
                <w:i w:val="0"/>
                <w:color w:val="000000"/>
                <w:kern w:val="0"/>
                <w:sz w:val="21"/>
                <w:szCs w:val="21"/>
                <w:u w:val="none"/>
                <w:lang w:val="en-US" w:eastAsia="zh-CN" w:bidi="ar"/>
              </w:rPr>
              <w:t>〔2018〕63号</w:t>
            </w:r>
            <w:r>
              <w:rPr>
                <w:rFonts w:hint="eastAsia" w:ascii="仿宋" w:hAnsi="仿宋" w:eastAsia="仿宋" w:cs="仿宋"/>
                <w:b w:val="0"/>
                <w:bCs w:val="0"/>
                <w:sz w:val="21"/>
                <w:szCs w:val="21"/>
                <w:lang w:val="en-US" w:eastAsia="zh-CN"/>
              </w:rPr>
              <w:t>），我区已通过全面审核和入库验收</w:t>
            </w:r>
            <w:r>
              <w:rPr>
                <w:rFonts w:hint="eastAsia" w:ascii="仿宋" w:hAnsi="仿宋" w:eastAsia="仿宋" w:cs="仿宋"/>
                <w:b w:val="0"/>
                <w:bCs w:val="0"/>
                <w:sz w:val="21"/>
                <w:szCs w:val="21"/>
              </w:rPr>
              <w:t>。</w:t>
            </w:r>
          </w:p>
        </w:tc>
      </w:tr>
      <w:tr>
        <w:tblPrEx>
          <w:tblLayout w:type="fixed"/>
          <w:tblCellMar>
            <w:top w:w="0" w:type="dxa"/>
            <w:left w:w="0" w:type="dxa"/>
            <w:bottom w:w="0" w:type="dxa"/>
            <w:right w:w="0" w:type="dxa"/>
          </w:tblCellMar>
        </w:tblPrEx>
        <w:trPr>
          <w:trHeight w:val="338" w:hRule="atLeast"/>
        </w:trPr>
        <w:tc>
          <w:tcPr>
            <w:tcW w:w="65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绩</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效</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指</w:t>
            </w:r>
            <w:r>
              <w:rPr>
                <w:rFonts w:hint="eastAsia" w:ascii="仿宋" w:hAnsi="仿宋" w:eastAsia="仿宋" w:cs="仿宋"/>
                <w:i w:val="0"/>
                <w:color w:val="000000"/>
                <w:kern w:val="0"/>
                <w:sz w:val="20"/>
                <w:szCs w:val="20"/>
                <w:u w:val="none"/>
                <w:lang w:val="en-US" w:eastAsia="zh-CN" w:bidi="ar"/>
              </w:rPr>
              <w:br w:type="textWrapping"/>
            </w:r>
            <w:r>
              <w:rPr>
                <w:rFonts w:hint="eastAsia" w:ascii="仿宋" w:hAnsi="仿宋" w:eastAsia="仿宋" w:cs="仿宋"/>
                <w:i w:val="0"/>
                <w:color w:val="000000"/>
                <w:kern w:val="0"/>
                <w:sz w:val="20"/>
                <w:szCs w:val="20"/>
                <w:u w:val="none"/>
                <w:lang w:val="en-US" w:eastAsia="zh-CN" w:bidi="ar"/>
              </w:rPr>
              <w:t>标</w:t>
            </w:r>
          </w:p>
        </w:tc>
        <w:tc>
          <w:tcPr>
            <w:tcW w:w="5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一级指标</w:t>
            </w: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二级指标</w:t>
            </w:r>
          </w:p>
        </w:tc>
        <w:tc>
          <w:tcPr>
            <w:tcW w:w="272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三级指标</w:t>
            </w:r>
          </w:p>
        </w:tc>
        <w:tc>
          <w:tcPr>
            <w:tcW w:w="11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年度指标值</w:t>
            </w:r>
          </w:p>
        </w:tc>
        <w:tc>
          <w:tcPr>
            <w:tcW w:w="9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全年完成值</w:t>
            </w:r>
          </w:p>
        </w:tc>
        <w:tc>
          <w:tcPr>
            <w:tcW w:w="2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未完成原因和改进措施</w:t>
            </w:r>
          </w:p>
        </w:tc>
      </w:tr>
      <w:tr>
        <w:tblPrEx>
          <w:tblLayout w:type="fixed"/>
          <w:tblCellMar>
            <w:top w:w="0" w:type="dxa"/>
            <w:left w:w="0" w:type="dxa"/>
            <w:bottom w:w="0" w:type="dxa"/>
            <w:right w:w="0" w:type="dxa"/>
          </w:tblCellMar>
        </w:tblPrEx>
        <w:trPr>
          <w:trHeight w:val="176" w:hRule="atLeast"/>
        </w:trPr>
        <w:tc>
          <w:tcPr>
            <w:tcW w:w="65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59"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产</w:t>
            </w: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数量指标</w:t>
            </w:r>
          </w:p>
        </w:tc>
        <w:tc>
          <w:tcPr>
            <w:tcW w:w="272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项目资助个数</w:t>
            </w:r>
          </w:p>
        </w:tc>
        <w:tc>
          <w:tcPr>
            <w:tcW w:w="11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96个</w:t>
            </w:r>
          </w:p>
        </w:tc>
        <w:tc>
          <w:tcPr>
            <w:tcW w:w="9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96个</w:t>
            </w:r>
          </w:p>
        </w:tc>
        <w:tc>
          <w:tcPr>
            <w:tcW w:w="2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r>
      <w:tr>
        <w:tblPrEx>
          <w:tblLayout w:type="fixed"/>
          <w:tblCellMar>
            <w:top w:w="0" w:type="dxa"/>
            <w:left w:w="0" w:type="dxa"/>
            <w:bottom w:w="0" w:type="dxa"/>
            <w:right w:w="0" w:type="dxa"/>
          </w:tblCellMar>
        </w:tblPrEx>
        <w:trPr>
          <w:trHeight w:val="637" w:hRule="atLeast"/>
        </w:trPr>
        <w:tc>
          <w:tcPr>
            <w:tcW w:w="65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5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79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质量指标</w:t>
            </w:r>
          </w:p>
        </w:tc>
        <w:tc>
          <w:tcPr>
            <w:tcW w:w="272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安全稳定合格率</w:t>
            </w:r>
          </w:p>
        </w:tc>
        <w:tc>
          <w:tcPr>
            <w:tcW w:w="11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hint="eastAsia" w:ascii="仿宋" w:hAnsi="仿宋" w:eastAsia="仿宋" w:cs="仿宋"/>
                <w:i w:val="0"/>
                <w:color w:val="000000"/>
                <w:kern w:val="0"/>
                <w:sz w:val="20"/>
                <w:szCs w:val="20"/>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hint="eastAsia" w:ascii="仿宋" w:hAnsi="仿宋" w:eastAsia="仿宋" w:cs="仿宋"/>
                <w:i w:val="0"/>
                <w:color w:val="000000"/>
                <w:kern w:val="0"/>
                <w:sz w:val="20"/>
                <w:szCs w:val="20"/>
                <w:u w:val="none"/>
                <w:lang w:val="en-US" w:eastAsia="zh-CN" w:bidi="ar"/>
              </w:rPr>
              <w:t>100%</w:t>
            </w:r>
          </w:p>
        </w:tc>
        <w:tc>
          <w:tcPr>
            <w:tcW w:w="2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 w:hAnsi="仿宋" w:eastAsia="仿宋" w:cs="仿宋"/>
                <w:i w:val="0"/>
                <w:color w:val="000000"/>
                <w:sz w:val="16"/>
                <w:szCs w:val="16"/>
                <w:u w:val="none"/>
              </w:rPr>
            </w:pPr>
          </w:p>
        </w:tc>
      </w:tr>
      <w:tr>
        <w:tblPrEx>
          <w:tblLayout w:type="fixed"/>
          <w:tblCellMar>
            <w:top w:w="0" w:type="dxa"/>
            <w:left w:w="0" w:type="dxa"/>
            <w:bottom w:w="0" w:type="dxa"/>
            <w:right w:w="0" w:type="dxa"/>
          </w:tblCellMar>
        </w:tblPrEx>
        <w:trPr>
          <w:trHeight w:val="338" w:hRule="atLeast"/>
        </w:trPr>
        <w:tc>
          <w:tcPr>
            <w:tcW w:w="65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5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7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272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开展第二次全国地名普查业务培训人数</w:t>
            </w:r>
          </w:p>
        </w:tc>
        <w:tc>
          <w:tcPr>
            <w:tcW w:w="11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w:t>
            </w:r>
            <w:r>
              <w:rPr>
                <w:rFonts w:hint="eastAsia" w:ascii="宋体" w:hAnsi="宋体" w:cs="宋体"/>
                <w:i w:val="0"/>
                <w:color w:val="000000"/>
                <w:kern w:val="0"/>
                <w:sz w:val="20"/>
                <w:szCs w:val="20"/>
                <w:u w:val="none"/>
                <w:lang w:val="en-US" w:eastAsia="zh-CN" w:bidi="ar"/>
              </w:rPr>
              <w:t>3</w:t>
            </w:r>
            <w:r>
              <w:rPr>
                <w:rFonts w:ascii="宋体" w:hAnsi="宋体" w:eastAsia="宋体" w:cs="宋体"/>
                <w:i w:val="0"/>
                <w:color w:val="000000"/>
                <w:kern w:val="0"/>
                <w:sz w:val="20"/>
                <w:szCs w:val="20"/>
                <w:u w:val="none"/>
                <w:lang w:val="en-US" w:eastAsia="zh-CN" w:bidi="ar"/>
              </w:rPr>
              <w:t>00人</w:t>
            </w:r>
          </w:p>
        </w:tc>
        <w:tc>
          <w:tcPr>
            <w:tcW w:w="9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300人</w:t>
            </w:r>
          </w:p>
        </w:tc>
        <w:tc>
          <w:tcPr>
            <w:tcW w:w="2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r>
      <w:tr>
        <w:tblPrEx>
          <w:tblLayout w:type="fixed"/>
          <w:tblCellMar>
            <w:top w:w="0" w:type="dxa"/>
            <w:left w:w="0" w:type="dxa"/>
            <w:bottom w:w="0" w:type="dxa"/>
            <w:right w:w="0" w:type="dxa"/>
          </w:tblCellMar>
        </w:tblPrEx>
        <w:trPr>
          <w:trHeight w:val="176" w:hRule="atLeast"/>
        </w:trPr>
        <w:tc>
          <w:tcPr>
            <w:tcW w:w="65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5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79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时效指标</w:t>
            </w:r>
          </w:p>
        </w:tc>
        <w:tc>
          <w:tcPr>
            <w:tcW w:w="272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项目开工率</w:t>
            </w:r>
          </w:p>
        </w:tc>
        <w:tc>
          <w:tcPr>
            <w:tcW w:w="11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w:t>
            </w:r>
            <w:r>
              <w:rPr>
                <w:rFonts w:hint="eastAsia" w:ascii="宋体" w:hAnsi="宋体" w:cs="宋体"/>
                <w:i w:val="0"/>
                <w:color w:val="000000"/>
                <w:kern w:val="0"/>
                <w:sz w:val="20"/>
                <w:szCs w:val="20"/>
                <w:u w:val="none"/>
                <w:lang w:val="en-US" w:eastAsia="zh-CN" w:bidi="ar"/>
              </w:rPr>
              <w:t>100</w:t>
            </w:r>
            <w:r>
              <w:rPr>
                <w:rFonts w:ascii="宋体" w:hAnsi="宋体" w:eastAsia="宋体" w:cs="宋体"/>
                <w:i w:val="0"/>
                <w:color w:val="000000"/>
                <w:kern w:val="0"/>
                <w:sz w:val="20"/>
                <w:szCs w:val="20"/>
                <w:u w:val="none"/>
                <w:lang w:val="en-US" w:eastAsia="zh-CN" w:bidi="ar"/>
              </w:rPr>
              <w:t>%</w:t>
            </w:r>
          </w:p>
        </w:tc>
        <w:tc>
          <w:tcPr>
            <w:tcW w:w="9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100%</w:t>
            </w:r>
          </w:p>
        </w:tc>
        <w:tc>
          <w:tcPr>
            <w:tcW w:w="270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0"/>
                <w:szCs w:val="20"/>
                <w:u w:val="none"/>
              </w:rPr>
            </w:pPr>
          </w:p>
        </w:tc>
      </w:tr>
      <w:tr>
        <w:tblPrEx>
          <w:tblLayout w:type="fixed"/>
          <w:tblCellMar>
            <w:top w:w="0" w:type="dxa"/>
            <w:left w:w="0" w:type="dxa"/>
            <w:bottom w:w="0" w:type="dxa"/>
            <w:right w:w="0" w:type="dxa"/>
          </w:tblCellMar>
        </w:tblPrEx>
        <w:trPr>
          <w:trHeight w:val="176" w:hRule="atLeast"/>
        </w:trPr>
        <w:tc>
          <w:tcPr>
            <w:tcW w:w="65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5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7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272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项目完工率</w:t>
            </w:r>
          </w:p>
        </w:tc>
        <w:tc>
          <w:tcPr>
            <w:tcW w:w="11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w:t>
            </w:r>
            <w:r>
              <w:rPr>
                <w:rFonts w:hint="eastAsia" w:ascii="宋体" w:hAnsi="宋体" w:cs="宋体"/>
                <w:i w:val="0"/>
                <w:color w:val="000000"/>
                <w:kern w:val="0"/>
                <w:sz w:val="20"/>
                <w:szCs w:val="20"/>
                <w:u w:val="none"/>
                <w:lang w:val="en-US" w:eastAsia="zh-CN" w:bidi="ar"/>
              </w:rPr>
              <w:t>10</w:t>
            </w:r>
            <w:r>
              <w:rPr>
                <w:rFonts w:ascii="宋体" w:hAnsi="宋体" w:eastAsia="宋体" w:cs="宋体"/>
                <w:i w:val="0"/>
                <w:color w:val="000000"/>
                <w:kern w:val="0"/>
                <w:sz w:val="20"/>
                <w:szCs w:val="20"/>
                <w:u w:val="none"/>
                <w:lang w:val="en-US" w:eastAsia="zh-CN" w:bidi="ar"/>
              </w:rPr>
              <w:t>0%</w:t>
            </w:r>
          </w:p>
        </w:tc>
        <w:tc>
          <w:tcPr>
            <w:tcW w:w="9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100%</w:t>
            </w:r>
          </w:p>
        </w:tc>
        <w:tc>
          <w:tcPr>
            <w:tcW w:w="270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 w:hAnsi="仿宋" w:eastAsia="仿宋" w:cs="仿宋"/>
                <w:i w:val="0"/>
                <w:color w:val="000000"/>
                <w:sz w:val="20"/>
                <w:szCs w:val="20"/>
                <w:u w:val="none"/>
              </w:rPr>
            </w:pPr>
          </w:p>
        </w:tc>
      </w:tr>
      <w:tr>
        <w:tblPrEx>
          <w:tblLayout w:type="fixed"/>
          <w:tblCellMar>
            <w:top w:w="0" w:type="dxa"/>
            <w:left w:w="0" w:type="dxa"/>
            <w:bottom w:w="0" w:type="dxa"/>
            <w:right w:w="0" w:type="dxa"/>
          </w:tblCellMar>
        </w:tblPrEx>
        <w:trPr>
          <w:trHeight w:val="176" w:hRule="atLeast"/>
        </w:trPr>
        <w:tc>
          <w:tcPr>
            <w:tcW w:w="65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5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7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272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项目运行使用率</w:t>
            </w:r>
          </w:p>
        </w:tc>
        <w:tc>
          <w:tcPr>
            <w:tcW w:w="11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w:t>
            </w:r>
            <w:r>
              <w:rPr>
                <w:rFonts w:hint="eastAsia" w:ascii="宋体" w:hAnsi="宋体" w:cs="宋体"/>
                <w:i w:val="0"/>
                <w:color w:val="000000"/>
                <w:kern w:val="0"/>
                <w:sz w:val="20"/>
                <w:szCs w:val="20"/>
                <w:u w:val="none"/>
                <w:lang w:val="en-US" w:eastAsia="zh-CN" w:bidi="ar"/>
              </w:rPr>
              <w:t>10</w:t>
            </w:r>
            <w:r>
              <w:rPr>
                <w:rFonts w:ascii="宋体" w:hAnsi="宋体" w:eastAsia="宋体" w:cs="宋体"/>
                <w:i w:val="0"/>
                <w:color w:val="000000"/>
                <w:kern w:val="0"/>
                <w:sz w:val="20"/>
                <w:szCs w:val="20"/>
                <w:u w:val="none"/>
                <w:lang w:val="en-US" w:eastAsia="zh-CN" w:bidi="ar"/>
              </w:rPr>
              <w:t>0%</w:t>
            </w:r>
          </w:p>
        </w:tc>
        <w:tc>
          <w:tcPr>
            <w:tcW w:w="9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100%</w:t>
            </w:r>
          </w:p>
        </w:tc>
        <w:tc>
          <w:tcPr>
            <w:tcW w:w="270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 w:hAnsi="仿宋" w:eastAsia="仿宋" w:cs="仿宋"/>
                <w:i w:val="0"/>
                <w:color w:val="000000"/>
                <w:sz w:val="20"/>
                <w:szCs w:val="20"/>
                <w:u w:val="none"/>
              </w:rPr>
            </w:pPr>
          </w:p>
        </w:tc>
      </w:tr>
      <w:tr>
        <w:tblPrEx>
          <w:tblLayout w:type="fixed"/>
          <w:tblCellMar>
            <w:top w:w="0" w:type="dxa"/>
            <w:left w:w="0" w:type="dxa"/>
            <w:bottom w:w="0" w:type="dxa"/>
            <w:right w:w="0" w:type="dxa"/>
          </w:tblCellMar>
        </w:tblPrEx>
        <w:trPr>
          <w:trHeight w:val="176" w:hRule="atLeast"/>
        </w:trPr>
        <w:tc>
          <w:tcPr>
            <w:tcW w:w="65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5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7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272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事业单位法人登记率</w:t>
            </w:r>
          </w:p>
        </w:tc>
        <w:tc>
          <w:tcPr>
            <w:tcW w:w="11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w:t>
            </w:r>
            <w:r>
              <w:rPr>
                <w:rFonts w:hint="eastAsia" w:ascii="宋体" w:hAnsi="宋体" w:cs="宋体"/>
                <w:i w:val="0"/>
                <w:color w:val="000000"/>
                <w:kern w:val="0"/>
                <w:sz w:val="20"/>
                <w:szCs w:val="20"/>
                <w:u w:val="none"/>
                <w:lang w:val="en-US" w:eastAsia="zh-CN" w:bidi="ar"/>
              </w:rPr>
              <w:t>100</w:t>
            </w:r>
            <w:r>
              <w:rPr>
                <w:rFonts w:ascii="宋体" w:hAnsi="宋体" w:eastAsia="宋体" w:cs="宋体"/>
                <w:i w:val="0"/>
                <w:color w:val="000000"/>
                <w:kern w:val="0"/>
                <w:sz w:val="20"/>
                <w:szCs w:val="20"/>
                <w:u w:val="none"/>
                <w:lang w:val="en-US" w:eastAsia="zh-CN" w:bidi="ar"/>
              </w:rPr>
              <w:t>%</w:t>
            </w:r>
          </w:p>
        </w:tc>
        <w:tc>
          <w:tcPr>
            <w:tcW w:w="9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100%</w:t>
            </w:r>
          </w:p>
        </w:tc>
        <w:tc>
          <w:tcPr>
            <w:tcW w:w="270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 w:hAnsi="仿宋" w:eastAsia="仿宋" w:cs="仿宋"/>
                <w:i w:val="0"/>
                <w:color w:val="000000"/>
                <w:sz w:val="20"/>
                <w:szCs w:val="20"/>
                <w:u w:val="none"/>
              </w:rPr>
            </w:pPr>
          </w:p>
        </w:tc>
      </w:tr>
      <w:tr>
        <w:tblPrEx>
          <w:tblLayout w:type="fixed"/>
          <w:tblCellMar>
            <w:top w:w="0" w:type="dxa"/>
            <w:left w:w="0" w:type="dxa"/>
            <w:bottom w:w="0" w:type="dxa"/>
            <w:right w:w="0" w:type="dxa"/>
          </w:tblCellMar>
        </w:tblPrEx>
        <w:trPr>
          <w:trHeight w:val="611" w:hRule="atLeast"/>
        </w:trPr>
        <w:tc>
          <w:tcPr>
            <w:tcW w:w="65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59"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效益指标</w:t>
            </w: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经济效益指标</w:t>
            </w:r>
          </w:p>
        </w:tc>
        <w:tc>
          <w:tcPr>
            <w:tcW w:w="272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新增就业岗位</w:t>
            </w:r>
          </w:p>
        </w:tc>
        <w:tc>
          <w:tcPr>
            <w:tcW w:w="11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50人</w:t>
            </w:r>
          </w:p>
        </w:tc>
        <w:tc>
          <w:tcPr>
            <w:tcW w:w="9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50人</w:t>
            </w:r>
          </w:p>
        </w:tc>
        <w:tc>
          <w:tcPr>
            <w:tcW w:w="270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eastAsia" w:ascii="仿宋" w:hAnsi="仿宋" w:eastAsia="仿宋" w:cs="仿宋"/>
                <w:i w:val="0"/>
                <w:color w:val="000000"/>
                <w:sz w:val="20"/>
                <w:szCs w:val="20"/>
                <w:u w:val="none"/>
              </w:rPr>
            </w:pPr>
          </w:p>
        </w:tc>
      </w:tr>
      <w:tr>
        <w:tblPrEx>
          <w:tblLayout w:type="fixed"/>
          <w:tblCellMar>
            <w:top w:w="0" w:type="dxa"/>
            <w:left w:w="0" w:type="dxa"/>
            <w:bottom w:w="0" w:type="dxa"/>
            <w:right w:w="0" w:type="dxa"/>
          </w:tblCellMar>
        </w:tblPrEx>
        <w:trPr>
          <w:trHeight w:val="203" w:hRule="atLeast"/>
        </w:trPr>
        <w:tc>
          <w:tcPr>
            <w:tcW w:w="65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5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生态效益指标</w:t>
            </w:r>
          </w:p>
        </w:tc>
        <w:tc>
          <w:tcPr>
            <w:tcW w:w="272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节能电器和节水型设备使用率</w:t>
            </w:r>
          </w:p>
        </w:tc>
        <w:tc>
          <w:tcPr>
            <w:tcW w:w="11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≧80%</w:t>
            </w:r>
          </w:p>
        </w:tc>
        <w:tc>
          <w:tcPr>
            <w:tcW w:w="9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≧80%</w:t>
            </w:r>
          </w:p>
        </w:tc>
        <w:tc>
          <w:tcPr>
            <w:tcW w:w="2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r>
      <w:tr>
        <w:tblPrEx>
          <w:tblLayout w:type="fixed"/>
          <w:tblCellMar>
            <w:top w:w="0" w:type="dxa"/>
            <w:left w:w="0" w:type="dxa"/>
            <w:bottom w:w="0" w:type="dxa"/>
            <w:right w:w="0" w:type="dxa"/>
          </w:tblCellMar>
        </w:tblPrEx>
        <w:trPr>
          <w:trHeight w:val="506" w:hRule="atLeast"/>
        </w:trPr>
        <w:tc>
          <w:tcPr>
            <w:tcW w:w="65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c>
          <w:tcPr>
            <w:tcW w:w="55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满意度指标</w:t>
            </w: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服务对象满意度指标</w:t>
            </w:r>
          </w:p>
        </w:tc>
        <w:tc>
          <w:tcPr>
            <w:tcW w:w="272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满意率</w:t>
            </w:r>
          </w:p>
        </w:tc>
        <w:tc>
          <w:tcPr>
            <w:tcW w:w="11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w:t>
            </w:r>
            <w:r>
              <w:rPr>
                <w:rStyle w:val="52"/>
                <w:lang w:val="en-US" w:eastAsia="zh-CN" w:bidi="ar"/>
              </w:rPr>
              <w:t>85%</w:t>
            </w:r>
          </w:p>
        </w:tc>
        <w:tc>
          <w:tcPr>
            <w:tcW w:w="9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85</w:t>
            </w:r>
          </w:p>
        </w:tc>
        <w:tc>
          <w:tcPr>
            <w:tcW w:w="27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仿宋" w:hAnsi="仿宋" w:eastAsia="仿宋" w:cs="仿宋"/>
                <w:i w:val="0"/>
                <w:color w:val="000000"/>
                <w:sz w:val="20"/>
                <w:szCs w:val="20"/>
                <w:u w:val="none"/>
              </w:rPr>
            </w:pPr>
          </w:p>
        </w:tc>
      </w:tr>
    </w:tbl>
    <w:p>
      <w:pPr>
        <w:pStyle w:val="2"/>
        <w:ind w:firstLine="608"/>
        <w:rPr>
          <w:rFonts w:hint="eastAsia" w:ascii="仿宋" w:hAnsi="仿宋" w:eastAsia="仿宋" w:cs="仿宋"/>
          <w:sz w:val="32"/>
          <w:szCs w:val="32"/>
          <w:lang w:val="en-US" w:eastAsia="zh-CN"/>
        </w:rPr>
      </w:pPr>
    </w:p>
    <w:p>
      <w:pPr>
        <w:pStyle w:val="2"/>
        <w:ind w:firstLine="608"/>
        <w:rPr>
          <w:rFonts w:hint="eastAsia" w:ascii="仿宋" w:hAnsi="仿宋" w:eastAsia="仿宋" w:cs="仿宋"/>
          <w:sz w:val="32"/>
          <w:szCs w:val="32"/>
          <w:lang w:val="en-US" w:eastAsia="zh-CN"/>
        </w:rPr>
      </w:pPr>
    </w:p>
    <w:p>
      <w:pPr>
        <w:pStyle w:val="2"/>
        <w:rPr>
          <w:rFonts w:hint="eastAsia" w:ascii="仿宋" w:hAnsi="仿宋" w:eastAsia="仿宋" w:cs="仿宋"/>
          <w:sz w:val="32"/>
          <w:szCs w:val="32"/>
          <w:lang w:val="en-US" w:eastAsia="zh-CN"/>
        </w:rPr>
      </w:pPr>
    </w:p>
    <w:sectPr>
      <w:footerReference r:id="rId3" w:type="default"/>
      <w:pgSz w:w="11906" w:h="16838"/>
      <w:pgMar w:top="1418" w:right="1247" w:bottom="1418" w:left="124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moder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sdt>
                          <w:sdtPr>
                            <w:id w:val="422003363"/>
                          </w:sdtPr>
                          <w:sdtContent>
                            <w:p>
                              <w:pPr>
                                <w:pStyle w:val="14"/>
                                <w:jc w:val="center"/>
                              </w:pPr>
                              <w:r>
                                <w:fldChar w:fldCharType="begin"/>
                              </w:r>
                              <w:r>
                                <w:instrText xml:space="preserve">PAGE   \* MERGEFORMAT</w:instrText>
                              </w:r>
                              <w:r>
                                <w:fldChar w:fldCharType="separate"/>
                              </w:r>
                              <w:r>
                                <w:t>1</w:t>
                              </w:r>
                              <w:r>
                                <w:fldChar w:fldCharType="end"/>
                              </w:r>
                            </w:p>
                          </w:sdtContent>
                        </w:sdt>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Aj&#10;0coStwEAAFcDAAAOAAAAAAAAAAEAIAAAAB4BAABkcnMvZTJvRG9jLnhtbFBLBQYAAAAABgAGAFkB&#10;AABHBQAAAAA=&#10;">
              <v:fill on="f" focussize="0,0"/>
              <v:stroke on="f"/>
              <v:imagedata o:title=""/>
              <o:lock v:ext="edit" aspectratio="f"/>
              <v:textbox inset="0mm,0mm,0mm,0mm" style="mso-fit-shape-to-text:t;">
                <w:txbxContent>
                  <w:sdt>
                    <w:sdtPr>
                      <w:id w:val="422003363"/>
                    </w:sdtPr>
                    <w:sdtContent>
                      <w:p>
                        <w:pPr>
                          <w:pStyle w:val="14"/>
                          <w:jc w:val="center"/>
                        </w:pPr>
                        <w:r>
                          <w:fldChar w:fldCharType="begin"/>
                        </w:r>
                        <w:r>
                          <w:instrText xml:space="preserve">PAGE   \* MERGEFORMAT</w:instrText>
                        </w:r>
                        <w:r>
                          <w:fldChar w:fldCharType="separate"/>
                        </w:r>
                        <w:r>
                          <w:t>1</w:t>
                        </w:r>
                        <w:r>
                          <w:fldChar w:fldCharType="end"/>
                        </w:r>
                      </w:p>
                    </w:sdtContent>
                  </w:sdt>
                  <w:p/>
                </w:txbxContent>
              </v:textbox>
            </v:shape>
          </w:pict>
        </mc:Fallback>
      </mc:AlternateContent>
    </w:r>
  </w:p>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70B06F"/>
    <w:multiLevelType w:val="singleLevel"/>
    <w:tmpl w:val="BF70B06F"/>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284867"/>
    <w:rsid w:val="00302DAE"/>
    <w:rsid w:val="00341B5D"/>
    <w:rsid w:val="004366A8"/>
    <w:rsid w:val="00491111"/>
    <w:rsid w:val="00502BA7"/>
    <w:rsid w:val="005162F1"/>
    <w:rsid w:val="00535153"/>
    <w:rsid w:val="00554F82"/>
    <w:rsid w:val="0056390D"/>
    <w:rsid w:val="005719B0"/>
    <w:rsid w:val="005D10D6"/>
    <w:rsid w:val="007A398B"/>
    <w:rsid w:val="00855E3A"/>
    <w:rsid w:val="00922CB9"/>
    <w:rsid w:val="009E5CD9"/>
    <w:rsid w:val="00A1693E"/>
    <w:rsid w:val="00A26421"/>
    <w:rsid w:val="00A4293B"/>
    <w:rsid w:val="00A67D50"/>
    <w:rsid w:val="00A8691A"/>
    <w:rsid w:val="00AC1946"/>
    <w:rsid w:val="00B40063"/>
    <w:rsid w:val="00B41F61"/>
    <w:rsid w:val="00BA46E6"/>
    <w:rsid w:val="00C56C72"/>
    <w:rsid w:val="00CA6457"/>
    <w:rsid w:val="00D17F2E"/>
    <w:rsid w:val="00D30354"/>
    <w:rsid w:val="00DC721C"/>
    <w:rsid w:val="00DF42A0"/>
    <w:rsid w:val="00E769FE"/>
    <w:rsid w:val="00EA2CBE"/>
    <w:rsid w:val="00F128B8"/>
    <w:rsid w:val="00F32FEE"/>
    <w:rsid w:val="00FB10BB"/>
    <w:rsid w:val="03A14A34"/>
    <w:rsid w:val="05AC3189"/>
    <w:rsid w:val="082D111B"/>
    <w:rsid w:val="0A061C41"/>
    <w:rsid w:val="0C3E33A6"/>
    <w:rsid w:val="0C84660B"/>
    <w:rsid w:val="0E3D12D7"/>
    <w:rsid w:val="12C60C7C"/>
    <w:rsid w:val="182633AB"/>
    <w:rsid w:val="185F05B6"/>
    <w:rsid w:val="1888745C"/>
    <w:rsid w:val="19D96E1C"/>
    <w:rsid w:val="1B9368CB"/>
    <w:rsid w:val="1BB0732D"/>
    <w:rsid w:val="1D9E3CB9"/>
    <w:rsid w:val="2166231C"/>
    <w:rsid w:val="241D608B"/>
    <w:rsid w:val="24802FBF"/>
    <w:rsid w:val="26E91546"/>
    <w:rsid w:val="344B63F8"/>
    <w:rsid w:val="34903B9C"/>
    <w:rsid w:val="39181622"/>
    <w:rsid w:val="3ECD0693"/>
    <w:rsid w:val="3F020281"/>
    <w:rsid w:val="417B07EB"/>
    <w:rsid w:val="438C074A"/>
    <w:rsid w:val="43B179EB"/>
    <w:rsid w:val="45024347"/>
    <w:rsid w:val="47A01390"/>
    <w:rsid w:val="48465BFE"/>
    <w:rsid w:val="4A880266"/>
    <w:rsid w:val="4BAA437A"/>
    <w:rsid w:val="52EB708A"/>
    <w:rsid w:val="53C601CA"/>
    <w:rsid w:val="552E0B28"/>
    <w:rsid w:val="5691275A"/>
    <w:rsid w:val="59AB192B"/>
    <w:rsid w:val="623A457E"/>
    <w:rsid w:val="625A33E9"/>
    <w:rsid w:val="682559FD"/>
    <w:rsid w:val="6D344536"/>
    <w:rsid w:val="6E830FE9"/>
    <w:rsid w:val="704D3AA6"/>
    <w:rsid w:val="715801D5"/>
    <w:rsid w:val="765A4D11"/>
    <w:rsid w:val="7DB07DF0"/>
    <w:rsid w:val="7E560944"/>
    <w:rsid w:val="7E5C122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6"/>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7"/>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8"/>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9"/>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0"/>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1"/>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2"/>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3"/>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customStyle="1" w:styleId="2">
    <w:name w:val="Char"/>
    <w:basedOn w:val="1"/>
    <w:qFormat/>
    <w:uiPriority w:val="99"/>
    <w:pPr>
      <w:widowControl/>
      <w:spacing w:after="160" w:line="240" w:lineRule="exact"/>
      <w:jc w:val="left"/>
    </w:pPr>
  </w:style>
  <w:style w:type="paragraph" w:styleId="12">
    <w:name w:val="annotation text"/>
    <w:basedOn w:val="1"/>
    <w:semiHidden/>
    <w:unhideWhenUsed/>
    <w:uiPriority w:val="99"/>
    <w:pPr>
      <w:jc w:val="left"/>
    </w:pPr>
  </w:style>
  <w:style w:type="paragraph" w:styleId="13">
    <w:name w:val="Balloon Text"/>
    <w:basedOn w:val="1"/>
    <w:link w:val="50"/>
    <w:unhideWhenUsed/>
    <w:qFormat/>
    <w:uiPriority w:val="99"/>
    <w:rPr>
      <w:sz w:val="18"/>
      <w:szCs w:val="18"/>
    </w:rPr>
  </w:style>
  <w:style w:type="paragraph" w:styleId="14">
    <w:name w:val="footer"/>
    <w:basedOn w:val="1"/>
    <w:link w:val="49"/>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5"/>
    <w:qFormat/>
    <w:uiPriority w:val="11"/>
    <w:pPr>
      <w:widowControl/>
      <w:spacing w:after="60"/>
      <w:jc w:val="center"/>
      <w:outlineLvl w:val="1"/>
    </w:pPr>
    <w:rPr>
      <w:rFonts w:asciiTheme="majorHAnsi" w:hAnsiTheme="majorHAnsi" w:eastAsiaTheme="majorEastAsia"/>
      <w:kern w:val="0"/>
      <w:sz w:val="24"/>
    </w:rPr>
  </w:style>
  <w:style w:type="paragraph" w:styleId="17">
    <w:name w:val="Normal (Web)"/>
    <w:basedOn w:val="1"/>
    <w:unhideWhenUsed/>
    <w:qFormat/>
    <w:uiPriority w:val="99"/>
    <w:pPr>
      <w:spacing w:before="0" w:beforeAutospacing="1" w:after="0" w:afterAutospacing="1"/>
      <w:ind w:left="0" w:right="0"/>
      <w:jc w:val="left"/>
    </w:pPr>
    <w:rPr>
      <w:kern w:val="0"/>
      <w:sz w:val="24"/>
      <w:lang w:val="en-US" w:eastAsia="zh-CN" w:bidi="ar"/>
    </w:rPr>
  </w:style>
  <w:style w:type="paragraph" w:styleId="18">
    <w:name w:val="Title"/>
    <w:basedOn w:val="1"/>
    <w:next w:val="1"/>
    <w:link w:val="34"/>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21">
    <w:name w:val="Strong"/>
    <w:basedOn w:val="20"/>
    <w:qFormat/>
    <w:uiPriority w:val="0"/>
    <w:rPr>
      <w:b/>
      <w:bCs/>
    </w:rPr>
  </w:style>
  <w:style w:type="character" w:styleId="22">
    <w:name w:val="FollowedHyperlink"/>
    <w:basedOn w:val="20"/>
    <w:unhideWhenUsed/>
    <w:qFormat/>
    <w:uiPriority w:val="99"/>
    <w:rPr>
      <w:color w:val="333333"/>
      <w:sz w:val="21"/>
      <w:szCs w:val="21"/>
      <w:u w:val="single"/>
    </w:rPr>
  </w:style>
  <w:style w:type="character" w:styleId="23">
    <w:name w:val="Emphasis"/>
    <w:basedOn w:val="20"/>
    <w:qFormat/>
    <w:uiPriority w:val="20"/>
    <w:rPr>
      <w:rFonts w:asciiTheme="minorHAnsi" w:hAnsiTheme="minorHAnsi"/>
      <w:b/>
      <w:i/>
      <w:iCs/>
    </w:rPr>
  </w:style>
  <w:style w:type="character" w:styleId="24">
    <w:name w:val="Hyperlink"/>
    <w:basedOn w:val="20"/>
    <w:unhideWhenUsed/>
    <w:qFormat/>
    <w:uiPriority w:val="99"/>
    <w:rPr>
      <w:color w:val="0000FF"/>
      <w:u w:val="single"/>
    </w:rPr>
  </w:style>
  <w:style w:type="character" w:customStyle="1" w:styleId="25">
    <w:name w:val="标题 1 Char"/>
    <w:basedOn w:val="20"/>
    <w:link w:val="3"/>
    <w:qFormat/>
    <w:uiPriority w:val="9"/>
    <w:rPr>
      <w:rFonts w:asciiTheme="majorHAnsi" w:hAnsiTheme="majorHAnsi" w:eastAsiaTheme="majorEastAsia"/>
      <w:b/>
      <w:bCs/>
      <w:kern w:val="32"/>
      <w:sz w:val="32"/>
      <w:szCs w:val="32"/>
    </w:rPr>
  </w:style>
  <w:style w:type="character" w:customStyle="1" w:styleId="26">
    <w:name w:val="标题 2 Char"/>
    <w:basedOn w:val="20"/>
    <w:link w:val="4"/>
    <w:semiHidden/>
    <w:qFormat/>
    <w:uiPriority w:val="9"/>
    <w:rPr>
      <w:rFonts w:asciiTheme="majorHAnsi" w:hAnsiTheme="majorHAnsi" w:eastAsiaTheme="majorEastAsia"/>
      <w:b/>
      <w:bCs/>
      <w:i/>
      <w:iCs/>
      <w:sz w:val="28"/>
      <w:szCs w:val="28"/>
    </w:rPr>
  </w:style>
  <w:style w:type="character" w:customStyle="1" w:styleId="27">
    <w:name w:val="标题 3 Char"/>
    <w:basedOn w:val="20"/>
    <w:link w:val="5"/>
    <w:semiHidden/>
    <w:qFormat/>
    <w:uiPriority w:val="9"/>
    <w:rPr>
      <w:rFonts w:asciiTheme="majorHAnsi" w:hAnsiTheme="majorHAnsi" w:eastAsiaTheme="majorEastAsia"/>
      <w:b/>
      <w:bCs/>
      <w:sz w:val="26"/>
      <w:szCs w:val="26"/>
    </w:rPr>
  </w:style>
  <w:style w:type="character" w:customStyle="1" w:styleId="28">
    <w:name w:val="标题 4 Char"/>
    <w:basedOn w:val="20"/>
    <w:link w:val="6"/>
    <w:semiHidden/>
    <w:qFormat/>
    <w:uiPriority w:val="9"/>
    <w:rPr>
      <w:b/>
      <w:bCs/>
      <w:sz w:val="28"/>
      <w:szCs w:val="28"/>
    </w:rPr>
  </w:style>
  <w:style w:type="character" w:customStyle="1" w:styleId="29">
    <w:name w:val="标题 5 Char"/>
    <w:basedOn w:val="20"/>
    <w:link w:val="7"/>
    <w:semiHidden/>
    <w:qFormat/>
    <w:uiPriority w:val="9"/>
    <w:rPr>
      <w:b/>
      <w:bCs/>
      <w:i/>
      <w:iCs/>
      <w:sz w:val="26"/>
      <w:szCs w:val="26"/>
    </w:rPr>
  </w:style>
  <w:style w:type="character" w:customStyle="1" w:styleId="30">
    <w:name w:val="标题 6 Char"/>
    <w:basedOn w:val="20"/>
    <w:link w:val="8"/>
    <w:semiHidden/>
    <w:qFormat/>
    <w:uiPriority w:val="9"/>
    <w:rPr>
      <w:b/>
      <w:bCs/>
    </w:rPr>
  </w:style>
  <w:style w:type="character" w:customStyle="1" w:styleId="31">
    <w:name w:val="标题 7 Char"/>
    <w:basedOn w:val="20"/>
    <w:link w:val="9"/>
    <w:semiHidden/>
    <w:qFormat/>
    <w:uiPriority w:val="9"/>
    <w:rPr>
      <w:sz w:val="24"/>
      <w:szCs w:val="24"/>
    </w:rPr>
  </w:style>
  <w:style w:type="character" w:customStyle="1" w:styleId="32">
    <w:name w:val="标题 8 Char"/>
    <w:basedOn w:val="20"/>
    <w:link w:val="10"/>
    <w:semiHidden/>
    <w:qFormat/>
    <w:uiPriority w:val="9"/>
    <w:rPr>
      <w:i/>
      <w:iCs/>
      <w:sz w:val="24"/>
      <w:szCs w:val="24"/>
    </w:rPr>
  </w:style>
  <w:style w:type="character" w:customStyle="1" w:styleId="33">
    <w:name w:val="标题 9 Char"/>
    <w:basedOn w:val="20"/>
    <w:link w:val="11"/>
    <w:semiHidden/>
    <w:qFormat/>
    <w:uiPriority w:val="9"/>
    <w:rPr>
      <w:rFonts w:asciiTheme="majorHAnsi" w:hAnsiTheme="majorHAnsi" w:eastAsiaTheme="majorEastAsia"/>
    </w:rPr>
  </w:style>
  <w:style w:type="character" w:customStyle="1" w:styleId="34">
    <w:name w:val="标题 Char"/>
    <w:basedOn w:val="20"/>
    <w:link w:val="18"/>
    <w:qFormat/>
    <w:uiPriority w:val="10"/>
    <w:rPr>
      <w:rFonts w:asciiTheme="majorHAnsi" w:hAnsiTheme="majorHAnsi" w:eastAsiaTheme="majorEastAsia"/>
      <w:b/>
      <w:bCs/>
      <w:kern w:val="28"/>
      <w:sz w:val="32"/>
      <w:szCs w:val="32"/>
    </w:rPr>
  </w:style>
  <w:style w:type="character" w:customStyle="1" w:styleId="35">
    <w:name w:val="副标题 Char"/>
    <w:basedOn w:val="20"/>
    <w:link w:val="16"/>
    <w:qFormat/>
    <w:uiPriority w:val="11"/>
    <w:rPr>
      <w:rFonts w:asciiTheme="majorHAnsi" w:hAnsiTheme="majorHAnsi" w:eastAsiaTheme="majorEastAsia"/>
      <w:sz w:val="24"/>
      <w:szCs w:val="24"/>
    </w:rPr>
  </w:style>
  <w:style w:type="paragraph" w:customStyle="1" w:styleId="36">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7">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8">
    <w:name w:val="引用1"/>
    <w:basedOn w:val="1"/>
    <w:next w:val="1"/>
    <w:link w:val="39"/>
    <w:qFormat/>
    <w:uiPriority w:val="29"/>
    <w:pPr>
      <w:widowControl/>
      <w:jc w:val="left"/>
    </w:pPr>
    <w:rPr>
      <w:rFonts w:asciiTheme="minorHAnsi" w:hAnsiTheme="minorHAnsi" w:eastAsiaTheme="minorEastAsia"/>
      <w:i/>
      <w:kern w:val="0"/>
      <w:sz w:val="24"/>
    </w:rPr>
  </w:style>
  <w:style w:type="character" w:customStyle="1" w:styleId="39">
    <w:name w:val="引用 Char"/>
    <w:basedOn w:val="20"/>
    <w:link w:val="38"/>
    <w:qFormat/>
    <w:uiPriority w:val="29"/>
    <w:rPr>
      <w:i/>
      <w:sz w:val="24"/>
      <w:szCs w:val="24"/>
    </w:rPr>
  </w:style>
  <w:style w:type="paragraph" w:customStyle="1" w:styleId="40">
    <w:name w:val="明显引用1"/>
    <w:basedOn w:val="1"/>
    <w:next w:val="1"/>
    <w:link w:val="41"/>
    <w:qFormat/>
    <w:uiPriority w:val="30"/>
    <w:pPr>
      <w:widowControl/>
      <w:ind w:left="720" w:right="720"/>
      <w:jc w:val="left"/>
    </w:pPr>
    <w:rPr>
      <w:rFonts w:asciiTheme="minorHAnsi" w:hAnsiTheme="minorHAnsi" w:eastAsiaTheme="minorEastAsia"/>
      <w:b/>
      <w:i/>
      <w:kern w:val="0"/>
      <w:sz w:val="24"/>
      <w:szCs w:val="22"/>
    </w:rPr>
  </w:style>
  <w:style w:type="character" w:customStyle="1" w:styleId="41">
    <w:name w:val="明显引用 Char"/>
    <w:basedOn w:val="20"/>
    <w:link w:val="40"/>
    <w:qFormat/>
    <w:uiPriority w:val="30"/>
    <w:rPr>
      <w:b/>
      <w:i/>
      <w:sz w:val="24"/>
    </w:rPr>
  </w:style>
  <w:style w:type="character" w:customStyle="1" w:styleId="42">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3">
    <w:name w:val="明显强调1"/>
    <w:basedOn w:val="20"/>
    <w:qFormat/>
    <w:uiPriority w:val="21"/>
    <w:rPr>
      <w:b/>
      <w:i/>
      <w:sz w:val="24"/>
      <w:szCs w:val="24"/>
      <w:u w:val="single"/>
    </w:rPr>
  </w:style>
  <w:style w:type="character" w:customStyle="1" w:styleId="44">
    <w:name w:val="不明显参考1"/>
    <w:basedOn w:val="20"/>
    <w:qFormat/>
    <w:uiPriority w:val="31"/>
    <w:rPr>
      <w:sz w:val="24"/>
      <w:szCs w:val="24"/>
      <w:u w:val="single"/>
    </w:rPr>
  </w:style>
  <w:style w:type="character" w:customStyle="1" w:styleId="45">
    <w:name w:val="明显参考1"/>
    <w:basedOn w:val="20"/>
    <w:qFormat/>
    <w:uiPriority w:val="32"/>
    <w:rPr>
      <w:b/>
      <w:sz w:val="24"/>
      <w:u w:val="single"/>
    </w:rPr>
  </w:style>
  <w:style w:type="character" w:customStyle="1" w:styleId="46">
    <w:name w:val="书籍标题1"/>
    <w:basedOn w:val="20"/>
    <w:qFormat/>
    <w:uiPriority w:val="33"/>
    <w:rPr>
      <w:rFonts w:asciiTheme="majorHAnsi" w:hAnsiTheme="majorHAnsi" w:eastAsiaTheme="majorEastAsia"/>
      <w:b/>
      <w:i/>
      <w:sz w:val="24"/>
      <w:szCs w:val="24"/>
    </w:rPr>
  </w:style>
  <w:style w:type="paragraph" w:customStyle="1" w:styleId="47">
    <w:name w:val="TOC 标题1"/>
    <w:basedOn w:val="3"/>
    <w:next w:val="1"/>
    <w:unhideWhenUsed/>
    <w:qFormat/>
    <w:uiPriority w:val="39"/>
    <w:pPr>
      <w:outlineLvl w:val="9"/>
    </w:pPr>
    <w:rPr>
      <w:lang w:eastAsia="en-US" w:bidi="en-US"/>
    </w:rPr>
  </w:style>
  <w:style w:type="character" w:customStyle="1" w:styleId="48">
    <w:name w:val="页眉 Char"/>
    <w:basedOn w:val="20"/>
    <w:link w:val="15"/>
    <w:qFormat/>
    <w:uiPriority w:val="99"/>
    <w:rPr>
      <w:rFonts w:ascii="Calibri" w:hAnsi="Calibri" w:eastAsia="宋体"/>
      <w:kern w:val="2"/>
      <w:sz w:val="18"/>
      <w:szCs w:val="18"/>
    </w:rPr>
  </w:style>
  <w:style w:type="character" w:customStyle="1" w:styleId="49">
    <w:name w:val="页脚 Char"/>
    <w:basedOn w:val="20"/>
    <w:link w:val="14"/>
    <w:qFormat/>
    <w:uiPriority w:val="99"/>
    <w:rPr>
      <w:rFonts w:ascii="Calibri" w:hAnsi="Calibri" w:eastAsia="宋体"/>
      <w:kern w:val="2"/>
      <w:sz w:val="18"/>
      <w:szCs w:val="18"/>
    </w:rPr>
  </w:style>
  <w:style w:type="character" w:customStyle="1" w:styleId="50">
    <w:name w:val="批注框文本 Char"/>
    <w:basedOn w:val="20"/>
    <w:link w:val="13"/>
    <w:semiHidden/>
    <w:qFormat/>
    <w:uiPriority w:val="99"/>
    <w:rPr>
      <w:rFonts w:ascii="Times New Roman" w:hAnsi="Times New Roman" w:eastAsia="宋体"/>
      <w:kern w:val="2"/>
      <w:sz w:val="18"/>
      <w:szCs w:val="18"/>
    </w:rPr>
  </w:style>
  <w:style w:type="character" w:customStyle="1" w:styleId="51">
    <w:name w:val="font71"/>
    <w:basedOn w:val="20"/>
    <w:qFormat/>
    <w:uiPriority w:val="0"/>
    <w:rPr>
      <w:rFonts w:hint="eastAsia" w:ascii="宋体" w:hAnsi="宋体" w:eastAsia="宋体" w:cs="宋体"/>
      <w:color w:val="000000"/>
      <w:sz w:val="32"/>
      <w:szCs w:val="32"/>
      <w:u w:val="none"/>
    </w:rPr>
  </w:style>
  <w:style w:type="character" w:customStyle="1" w:styleId="52">
    <w:name w:val="font51"/>
    <w:basedOn w:val="20"/>
    <w:qFormat/>
    <w:uiPriority w:val="0"/>
    <w:rPr>
      <w:rFonts w:hint="eastAsia" w:ascii="仿宋" w:hAnsi="仿宋" w:eastAsia="仿宋" w:cs="仿宋"/>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DC4047-AD0D-4C6D-B19E-B52319F92ED3}">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9</Pages>
  <Words>666</Words>
  <Characters>3797</Characters>
  <Lines>31</Lines>
  <Paragraphs>8</Paragraphs>
  <TotalTime>4</TotalTime>
  <ScaleCrop>false</ScaleCrop>
  <LinksUpToDate>false</LinksUpToDate>
  <CharactersWithSpaces>4455</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没有人</cp:lastModifiedBy>
  <cp:lastPrinted>2019-03-11T08:51:00Z</cp:lastPrinted>
  <dcterms:modified xsi:type="dcterms:W3CDTF">2019-08-02T11:08:13Z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