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宋体" w:eastAsia="方正小标宋_GBK"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28"/>
          <w:szCs w:val="28"/>
        </w:rPr>
      </w:pPr>
      <w:r>
        <w:rPr>
          <w:rFonts w:hint="eastAsia" w:hAnsi="宋体" w:eastAsia="仿宋_GB2312" w:cs="宋体"/>
          <w:kern w:val="0"/>
          <w:sz w:val="36"/>
          <w:szCs w:val="36"/>
        </w:rPr>
        <w:t xml:space="preserve">     项目名称：</w:t>
      </w:r>
      <w:r>
        <w:rPr>
          <w:rFonts w:hint="eastAsia" w:hAnsi="宋体" w:eastAsia="仿宋_GB2312" w:cs="宋体"/>
          <w:kern w:val="0"/>
          <w:sz w:val="28"/>
          <w:szCs w:val="28"/>
        </w:rPr>
        <w:t>自治区未成年人教育培训安置中心设施设备购置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自治区救助管理站</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自治区民政厅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ascii="仿宋_GB2312" w:hAnsi="仿宋_GB2312" w:eastAsia="仿宋_GB2312" w:cs="仿宋_GB2312"/>
          <w:kern w:val="0"/>
          <w:sz w:val="36"/>
          <w:szCs w:val="36"/>
          <w:lang w:eastAsia="zh-CN"/>
        </w:rPr>
        <w:t>祖丽比亚</w:t>
      </w:r>
      <w:r>
        <w:rPr>
          <w:rFonts w:hint="eastAsia" w:ascii="仿宋_GB2312" w:hAnsi="仿宋_GB2312" w:eastAsia="仿宋_GB2312" w:cs="仿宋_GB2312"/>
          <w:kern w:val="0"/>
          <w:sz w:val="36"/>
          <w:szCs w:val="36"/>
          <w:lang w:val="en-US" w:eastAsia="zh-CN"/>
        </w:rPr>
        <w:t>·依沙克</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 xml:space="preserve">  日</w:t>
      </w:r>
    </w:p>
    <w:p>
      <w:pPr>
        <w:spacing w:line="700" w:lineRule="exact"/>
        <w:ind w:firstLine="849" w:firstLineChars="236"/>
        <w:jc w:val="left"/>
        <w:rPr>
          <w:rFonts w:hint="eastAsia" w:hAnsi="宋体" w:eastAsia="仿宋_GB2312" w:cs="宋体"/>
          <w:kern w:val="0"/>
          <w:sz w:val="36"/>
          <w:szCs w:val="36"/>
        </w:rPr>
      </w:pPr>
    </w:p>
    <w:p>
      <w:pPr>
        <w:spacing w:line="700" w:lineRule="exact"/>
        <w:ind w:firstLine="849" w:firstLineChars="236"/>
        <w:jc w:val="left"/>
        <w:rPr>
          <w:rFonts w:hint="eastAsia" w:hAnsi="宋体" w:eastAsia="仿宋_GB2312" w:cs="宋体"/>
          <w:kern w:val="0"/>
          <w:sz w:val="36"/>
          <w:szCs w:val="36"/>
        </w:rPr>
      </w:pPr>
    </w:p>
    <w:p>
      <w:pPr>
        <w:spacing w:line="540" w:lineRule="exact"/>
        <w:jc w:val="center"/>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20" w:lineRule="exact"/>
        <w:ind w:firstLine="567"/>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pStyle w:val="15"/>
        <w:keepNext w:val="0"/>
        <w:keepLines w:val="0"/>
        <w:pageBreakBefore w:val="0"/>
        <w:widowControl/>
        <w:kinsoku/>
        <w:wordWrap/>
        <w:overflowPunct/>
        <w:topLinePunct w:val="0"/>
        <w:autoSpaceDE/>
        <w:autoSpaceDN/>
        <w:bidi w:val="0"/>
        <w:adjustRightInd/>
        <w:snapToGrid/>
        <w:spacing w:line="520" w:lineRule="exact"/>
        <w:ind w:firstLine="472"/>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我单位是民政厅下属的事业单位（参照公务员管理），单位参照公务员管理编制59人,2018年年末实有人数54人，其中在职人员51人（干部38人、工人13人），离休3人。</w:t>
      </w:r>
      <w:r>
        <w:rPr>
          <w:rFonts w:hint="eastAsia" w:ascii="仿宋_GB2312" w:hAnsi="仿宋_GB2312" w:eastAsia="仿宋_GB2312" w:cs="仿宋_GB2312"/>
          <w:sz w:val="32"/>
          <w:szCs w:val="32"/>
          <w:lang w:eastAsia="zh-CN"/>
        </w:rPr>
        <w:t>。办公用房面积</w:t>
      </w:r>
      <w:r>
        <w:rPr>
          <w:rFonts w:hint="eastAsia" w:ascii="仿宋_GB2312" w:hAnsi="仿宋_GB2312" w:eastAsia="仿宋_GB2312" w:cs="仿宋_GB2312"/>
          <w:sz w:val="32"/>
          <w:szCs w:val="32"/>
          <w:lang w:val="en-US" w:eastAsia="zh-CN"/>
        </w:rPr>
        <w:t>4105.95平方米，专用房屋为21120.97平方米（其中业务综合楼3761.97平方米，东大梁新址17359平方米）。单位配备</w:t>
      </w:r>
      <w:r>
        <w:rPr>
          <w:rFonts w:hint="eastAsia" w:ascii="仿宋_GB2312" w:hAnsi="仿宋_GB2312" w:eastAsia="仿宋_GB2312" w:cs="仿宋_GB2312"/>
          <w:sz w:val="32"/>
          <w:szCs w:val="32"/>
          <w:lang w:eastAsia="zh-CN"/>
        </w:rPr>
        <w:t>工作用</w:t>
      </w:r>
      <w:r>
        <w:rPr>
          <w:rFonts w:hint="eastAsia" w:ascii="仿宋_GB2312" w:hAnsi="仿宋_GB2312" w:eastAsia="仿宋_GB2312" w:cs="仿宋_GB2312"/>
          <w:sz w:val="32"/>
          <w:szCs w:val="32"/>
        </w:rPr>
        <w:t>车</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辆。</w:t>
      </w:r>
    </w:p>
    <w:p>
      <w:pPr>
        <w:keepNext w:val="0"/>
        <w:keepLines w:val="0"/>
        <w:pageBreakBefore w:val="0"/>
        <w:kinsoku/>
        <w:wordWrap/>
        <w:overflowPunct/>
        <w:topLinePunct w:val="0"/>
        <w:autoSpaceDE/>
        <w:autoSpaceDN/>
        <w:bidi w:val="0"/>
        <w:adjustRightInd/>
        <w:snapToGrid/>
        <w:spacing w:line="52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服务宗旨和业务范围是：提供关爱性服务，弘扬救助管理精神，维护社会稳定，对在城市生活无着的流浪乞讨人员、流浪少年儿童实行救助，保障其基本生活权益，相关业务管理工作。</w:t>
      </w:r>
    </w:p>
    <w:p>
      <w:pPr>
        <w:keepNext w:val="0"/>
        <w:keepLines w:val="0"/>
        <w:pageBreakBefore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（二）项目预算绩效目标设定情况</w:t>
      </w:r>
    </w:p>
    <w:p>
      <w:pPr>
        <w:keepNext w:val="0"/>
        <w:keepLines w:val="0"/>
        <w:pageBreakBefore w:val="0"/>
        <w:kinsoku/>
        <w:wordWrap/>
        <w:overflowPunct/>
        <w:topLinePunct w:val="0"/>
        <w:autoSpaceDE/>
        <w:autoSpaceDN/>
        <w:bidi w:val="0"/>
        <w:adjustRightInd/>
        <w:snapToGrid/>
        <w:spacing w:line="520" w:lineRule="exact"/>
        <w:ind w:firstLine="567" w:firstLineChars="181"/>
        <w:textAlignment w:val="auto"/>
        <w:rPr>
          <w:rStyle w:val="18"/>
          <w:rFonts w:hint="eastAsia" w:ascii="仿宋_GB2312" w:hAnsi="仿宋_GB2312" w:eastAsia="仿宋_GB2312" w:cs="仿宋_GB2312"/>
          <w:b/>
          <w:bCs w:val="0"/>
          <w:spacing w:val="-4"/>
          <w:sz w:val="32"/>
          <w:szCs w:val="32"/>
        </w:rPr>
      </w:pPr>
      <w:r>
        <w:rPr>
          <w:rStyle w:val="18"/>
          <w:rFonts w:hint="eastAsia" w:ascii="仿宋_GB2312" w:hAnsi="仿宋_GB2312" w:eastAsia="仿宋_GB2312" w:cs="仿宋_GB2312"/>
          <w:b/>
          <w:bCs w:val="0"/>
          <w:spacing w:val="-4"/>
          <w:sz w:val="32"/>
          <w:szCs w:val="32"/>
        </w:rPr>
        <w:t>（包括预期目标及阶段性目标；项目基本性质、用途和主要内容、涉及范围）</w:t>
      </w:r>
    </w:p>
    <w:p>
      <w:pPr>
        <w:pStyle w:val="15"/>
        <w:keepNext w:val="0"/>
        <w:keepLines w:val="0"/>
        <w:pageBreakBefore w:val="0"/>
        <w:widowControl/>
        <w:kinsoku/>
        <w:wordWrap/>
        <w:overflowPunct/>
        <w:topLinePunct w:val="0"/>
        <w:autoSpaceDE/>
        <w:autoSpaceDN/>
        <w:bidi w:val="0"/>
        <w:adjustRightInd/>
        <w:snapToGrid/>
        <w:spacing w:line="520" w:lineRule="exact"/>
        <w:ind w:firstLine="472"/>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发展改革委《关于自治区救助管理站流浪未成年人教育培训安置中心项目建设可行性研究报告的批复》（新发改社会【2014】1799号），和自治区发展改革委《关于自治区救助管理站流浪未成年人教育培训安置中心建设项目初步设计的批复》（新发改项目【2015】386号），批复新建流浪未成年人教育培训安置中心用房楼、门卫室、锅炉房。总建筑面积17800㎡，其中主楼建筑17359㎡，新建门卫室一栋，地上一层中，建筑面积306㎡，新建锅炉房一座，地上一层，总建筑面积135㎡。</w:t>
      </w:r>
    </w:p>
    <w:p>
      <w:pPr>
        <w:pStyle w:val="15"/>
        <w:keepNext w:val="0"/>
        <w:keepLines w:val="0"/>
        <w:pageBreakBefore w:val="0"/>
        <w:widowControl/>
        <w:kinsoku/>
        <w:wordWrap/>
        <w:overflowPunct/>
        <w:topLinePunct w:val="0"/>
        <w:autoSpaceDE/>
        <w:autoSpaceDN/>
        <w:bidi w:val="0"/>
        <w:adjustRightInd/>
        <w:snapToGrid/>
        <w:spacing w:line="520" w:lineRule="exact"/>
        <w:ind w:firstLine="472"/>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满足流浪未成年人救助、保护、教育、培训、医疗、心理、安置等服务功能所采购设施、设备18个项目，包括：宿舍窗户不锈钢防护栏2000平方米；厨房设备61项；门禁系统13套；音响设备1套；视频设备2套；室内、外弱电及监控系统1批；车库快速卷帘门2部；主入口悬折门1套；大门道闸、破胎器1套，医疗设备16件；心理咨询设备24件套；附属工程土建及绿化12000㎡；厨房隔断改造300㎡；柴油发电机1部等。</w:t>
      </w:r>
    </w:p>
    <w:p>
      <w:pPr>
        <w:pStyle w:val="15"/>
        <w:keepNext w:val="0"/>
        <w:keepLines w:val="0"/>
        <w:pageBreakBefore w:val="0"/>
        <w:widowControl/>
        <w:kinsoku/>
        <w:wordWrap/>
        <w:overflowPunct/>
        <w:topLinePunct w:val="0"/>
        <w:autoSpaceDE/>
        <w:autoSpaceDN/>
        <w:bidi w:val="0"/>
        <w:adjustRightInd/>
        <w:snapToGrid/>
        <w:spacing w:line="520" w:lineRule="exact"/>
        <w:ind w:firstLine="472"/>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流浪未成年人救助保护工作一直是新疆比较突出的问题，目前新疆流浪未成年人数量较高，占全国流浪未成年人数量的20%-30%。新疆现有流浪未成年人救助保护机构中，还没有一家机构专业从事流浪未成年人教育培训，安置工作。救助保护机构由于资金缺乏，设施不全，于同国家提出的流浪未成年人提供及救助、保护、教育、救治和安置五种功能于一体的要求相差甚远。特别是一些在站滞留多年已近成年的儿童，他们的技能培训，就业，融入社会问题迫在眉睫。</w:t>
      </w:r>
    </w:p>
    <w:p>
      <w:pPr>
        <w:pStyle w:val="15"/>
        <w:keepNext w:val="0"/>
        <w:keepLines w:val="0"/>
        <w:pageBreakBefore w:val="0"/>
        <w:widowControl/>
        <w:kinsoku/>
        <w:wordWrap/>
        <w:overflowPunct/>
        <w:topLinePunct w:val="0"/>
        <w:autoSpaceDE/>
        <w:autoSpaceDN/>
        <w:bidi w:val="0"/>
        <w:adjustRightInd/>
        <w:snapToGrid/>
        <w:spacing w:line="520" w:lineRule="exact"/>
        <w:ind w:firstLine="472"/>
        <w:textAlignment w:val="auto"/>
        <w:rPr>
          <w:rStyle w:val="18"/>
          <w:rFonts w:hint="eastAsia" w:ascii="仿宋_GB2312" w:hAnsi="仿宋_GB2312" w:eastAsia="仿宋_GB2312" w:cs="仿宋_GB2312"/>
          <w:spacing w:val="-4"/>
          <w:sz w:val="32"/>
          <w:szCs w:val="32"/>
        </w:rPr>
      </w:pPr>
      <w:r>
        <w:rPr>
          <w:rFonts w:hint="eastAsia" w:ascii="仿宋_GB2312" w:hAnsi="仿宋_GB2312" w:eastAsia="仿宋_GB2312" w:cs="仿宋_GB2312"/>
          <w:sz w:val="32"/>
          <w:szCs w:val="32"/>
          <w:lang w:val="en-US" w:eastAsia="zh-CN"/>
        </w:rPr>
        <w:t>按照自治区党委政府的要求规、建设一所及救助、保护、教育、救治和安置五种功能于一体的流浪未成年人教育培训安置中心。该项目建设地点位于乌鲁木齐市天山区跃进街东延那拉提街，主要建设内容为自治区流浪未成年人教育培训安置业务用房及其他辅助设施</w:t>
      </w:r>
      <w:r>
        <w:rPr>
          <w:rFonts w:hint="eastAsia" w:ascii="仿宋_GB2312" w:hAnsi="仿宋_GB2312" w:eastAsia="仿宋_GB2312" w:cs="仿宋_GB2312"/>
          <w:kern w:val="0"/>
          <w:sz w:val="32"/>
          <w:szCs w:val="32"/>
          <w:lang w:val="en-US" w:eastAsia="zh-CN" w:bidi="ar"/>
        </w:rPr>
        <w:t>。</w:t>
      </w:r>
    </w:p>
    <w:p>
      <w:pPr>
        <w:keepNext w:val="0"/>
        <w:keepLines w:val="0"/>
        <w:pageBreakBefore w:val="0"/>
        <w:kinsoku/>
        <w:wordWrap/>
        <w:overflowPunct/>
        <w:topLinePunct w:val="0"/>
        <w:autoSpaceDE/>
        <w:autoSpaceDN/>
        <w:bidi w:val="0"/>
        <w:adjustRightInd/>
        <w:snapToGrid/>
        <w:spacing w:line="520" w:lineRule="exact"/>
        <w:ind w:firstLine="640"/>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20" w:lineRule="exact"/>
        <w:ind w:firstLine="567" w:firstLineChars="181"/>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bCs w:val="0"/>
          <w:spacing w:val="-4"/>
          <w:sz w:val="32"/>
          <w:szCs w:val="32"/>
        </w:rPr>
      </w:pPr>
      <w:r>
        <w:rPr>
          <w:rStyle w:val="18"/>
          <w:rFonts w:hint="eastAsia" w:ascii="仿宋_GB2312" w:hAnsi="仿宋_GB2312" w:eastAsia="仿宋_GB2312" w:cs="仿宋_GB2312"/>
          <w:b/>
          <w:bCs w:val="0"/>
          <w:spacing w:val="-4"/>
          <w:sz w:val="32"/>
          <w:szCs w:val="32"/>
        </w:rPr>
        <w:t>（包括财政资金、自筹资金等）</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Style w:val="18"/>
          <w:rFonts w:hint="eastAsia" w:ascii="仿宋_GB2312" w:hAnsi="仿宋_GB2312" w:eastAsia="仿宋_GB2312" w:cs="仿宋_GB2312"/>
          <w:spacing w:val="-4"/>
          <w:sz w:val="32"/>
          <w:szCs w:val="32"/>
          <w:lang w:val="en-US"/>
        </w:rPr>
      </w:pPr>
      <w:r>
        <w:rPr>
          <w:rFonts w:hint="eastAsia" w:ascii="仿宋_GB2312" w:hAnsi="仿宋_GB2312" w:eastAsia="仿宋_GB2312" w:cs="仿宋_GB2312"/>
          <w:kern w:val="2"/>
          <w:sz w:val="32"/>
          <w:szCs w:val="32"/>
          <w:lang w:val="en-US" w:eastAsia="zh-CN" w:bidi="ar-SA"/>
        </w:rPr>
        <w:t>项目总收入7100万元，5000万元为中央集中彩票公益金，2100万元为自治区本级彩票公益金。自治区本级彩票公益金中600万元为附属工程资金，1500万元为搬迁经费。截至目前主体工程和附属工程项目已经基本完工，搬迁筹备工作正有序进行，为满足办公需要、受助人员住宿饮食和流浪未成年人服务的五大功能等，采购流浪未成年人教育培训安置中心搬迁设施、设备18个项目，为了使采购的项目施工进度加快，能够按合同如期履约，财政拨付2018年末财政结转的流浪未成年人教育培训安置中心购置设施、设备的资金400万元</w:t>
      </w:r>
      <w:r>
        <w:rPr>
          <w:rFonts w:hint="eastAsia" w:ascii="仿宋_GB2312" w:hAnsi="仿宋_GB2312" w:eastAsia="仿宋_GB2312" w:cs="仿宋_GB2312"/>
          <w:kern w:val="0"/>
          <w:sz w:val="32"/>
          <w:szCs w:val="32"/>
          <w:lang w:val="en-US" w:eastAsia="zh-CN" w:bidi="ar"/>
        </w:rPr>
        <w:t>。</w:t>
      </w:r>
    </w:p>
    <w:p>
      <w:pPr>
        <w:keepNext w:val="0"/>
        <w:keepLines w:val="0"/>
        <w:pageBreakBefore w:val="0"/>
        <w:numPr>
          <w:ilvl w:val="0"/>
          <w:numId w:val="1"/>
        </w:numPr>
        <w:kinsoku/>
        <w:wordWrap/>
        <w:overflowPunct/>
        <w:topLinePunct w:val="0"/>
        <w:autoSpaceDE/>
        <w:autoSpaceDN/>
        <w:bidi w:val="0"/>
        <w:adjustRightInd/>
        <w:snapToGrid/>
        <w:spacing w:line="520" w:lineRule="exact"/>
        <w:ind w:firstLine="313" w:firstLineChars="1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项目资金实际使用情况分析</w:t>
      </w:r>
    </w:p>
    <w:p>
      <w:pPr>
        <w:keepNext w:val="0"/>
        <w:keepLines w:val="0"/>
        <w:pageBreakBefore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bCs w:val="0"/>
          <w:spacing w:val="-4"/>
          <w:sz w:val="32"/>
          <w:szCs w:val="32"/>
        </w:rPr>
      </w:pPr>
      <w:r>
        <w:rPr>
          <w:rStyle w:val="18"/>
          <w:rFonts w:hint="eastAsia" w:ascii="仿宋_GB2312" w:hAnsi="仿宋_GB2312" w:eastAsia="仿宋_GB2312" w:cs="仿宋_GB2312"/>
          <w:b/>
          <w:bCs w:val="0"/>
          <w:spacing w:val="-4"/>
          <w:sz w:val="32"/>
          <w:szCs w:val="32"/>
        </w:rPr>
        <w:t>（主要是指财政资金）</w:t>
      </w: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400万元</w:t>
      </w:r>
      <w:r>
        <w:rPr>
          <w:rStyle w:val="18"/>
          <w:rFonts w:hint="eastAsia" w:ascii="仿宋_GB2312" w:hAnsi="仿宋_GB2312" w:eastAsia="仿宋_GB2312" w:cs="仿宋_GB2312"/>
          <w:b w:val="0"/>
          <w:spacing w:val="-4"/>
          <w:sz w:val="32"/>
          <w:szCs w:val="32"/>
          <w:lang w:eastAsia="zh-CN"/>
        </w:rPr>
        <w:t>项目资金</w:t>
      </w:r>
      <w:r>
        <w:rPr>
          <w:rStyle w:val="18"/>
          <w:rFonts w:hint="eastAsia" w:ascii="仿宋_GB2312" w:hAnsi="仿宋_GB2312" w:eastAsia="仿宋_GB2312" w:cs="仿宋_GB2312"/>
          <w:b w:val="0"/>
          <w:spacing w:val="-4"/>
          <w:sz w:val="32"/>
          <w:szCs w:val="32"/>
          <w:lang w:val="en-US" w:eastAsia="zh-CN"/>
        </w:rPr>
        <w:t>主要用于</w:t>
      </w:r>
      <w:r>
        <w:rPr>
          <w:rFonts w:hint="eastAsia" w:ascii="仿宋_GB2312" w:hAnsi="仿宋_GB2312" w:eastAsia="仿宋_GB2312" w:cs="仿宋_GB2312"/>
          <w:kern w:val="0"/>
          <w:sz w:val="32"/>
          <w:szCs w:val="32"/>
          <w:lang w:val="en-US" w:eastAsia="zh-CN" w:bidi="ar"/>
        </w:rPr>
        <w:t>流浪未成年人教育培训安置中心设施设备购置及附属工程、绿化建设等支出。</w:t>
      </w:r>
    </w:p>
    <w:p>
      <w:pPr>
        <w:keepNext w:val="0"/>
        <w:keepLines w:val="0"/>
        <w:pageBreakBefore w:val="0"/>
        <w:kinsoku/>
        <w:wordWrap/>
        <w:overflowPunct/>
        <w:topLinePunct w:val="0"/>
        <w:autoSpaceDE/>
        <w:autoSpaceDN/>
        <w:bidi w:val="0"/>
        <w:adjustRightInd/>
        <w:snapToGrid/>
        <w:spacing w:line="520" w:lineRule="exact"/>
        <w:ind w:firstLine="567" w:firstLineChars="181"/>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bCs w:val="0"/>
          <w:spacing w:val="-4"/>
          <w:sz w:val="32"/>
          <w:szCs w:val="32"/>
        </w:rPr>
        <w:t>（包括管理制度、办法的制定及执行情况）</w:t>
      </w: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eastAsia="zh-CN"/>
        </w:rPr>
        <w:t>本项目资金实行专项管理、专款专用。根据财务制度，项目承担单位应及时向项目主管部门报送有关建设资料和财务报告。</w:t>
      </w:r>
    </w:p>
    <w:p>
      <w:pPr>
        <w:keepNext w:val="0"/>
        <w:keepLines w:val="0"/>
        <w:pageBreakBefore w:val="0"/>
        <w:kinsoku/>
        <w:wordWrap/>
        <w:overflowPunct/>
        <w:topLinePunct w:val="0"/>
        <w:autoSpaceDE/>
        <w:autoSpaceDN/>
        <w:bidi w:val="0"/>
        <w:adjustRightInd/>
        <w:snapToGrid/>
        <w:spacing w:line="520" w:lineRule="exact"/>
        <w:ind w:firstLine="640"/>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20" w:lineRule="exact"/>
        <w:ind w:firstLine="567" w:firstLineChars="181"/>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bCs w:val="0"/>
          <w:spacing w:val="-4"/>
          <w:sz w:val="32"/>
          <w:szCs w:val="32"/>
        </w:rPr>
      </w:pPr>
      <w:r>
        <w:rPr>
          <w:rStyle w:val="18"/>
          <w:rFonts w:hint="eastAsia" w:ascii="仿宋_GB2312" w:hAnsi="仿宋_GB2312" w:eastAsia="仿宋_GB2312" w:cs="仿宋_GB2312"/>
          <w:b/>
          <w:bCs w:val="0"/>
          <w:spacing w:val="-4"/>
          <w:sz w:val="32"/>
          <w:szCs w:val="32"/>
        </w:rPr>
        <w:t>（包括项目投标情况、调整情况、完成验收等）</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Style w:val="18"/>
          <w:rFonts w:hint="eastAsia" w:ascii="仿宋_GB2312" w:hAnsi="仿宋_GB2312" w:eastAsia="仿宋_GB2312" w:cs="仿宋_GB2312"/>
          <w:b w:val="0"/>
          <w:spacing w:val="-4"/>
          <w:sz w:val="32"/>
          <w:szCs w:val="32"/>
          <w:lang w:val="en-US" w:eastAsia="zh-CN"/>
        </w:rPr>
      </w:pPr>
      <w:r>
        <w:rPr>
          <w:rFonts w:hint="eastAsia" w:ascii="仿宋_GB2312" w:hAnsi="仿宋_GB2312" w:eastAsia="仿宋_GB2312" w:cs="仿宋_GB2312"/>
          <w:kern w:val="0"/>
          <w:sz w:val="32"/>
          <w:szCs w:val="32"/>
          <w:lang w:val="en-US" w:eastAsia="zh-CN" w:bidi="ar"/>
        </w:rPr>
        <w:t xml:space="preserve"> </w:t>
      </w:r>
      <w:r>
        <w:rPr>
          <w:rStyle w:val="18"/>
          <w:rFonts w:hint="eastAsia" w:ascii="仿宋_GB2312" w:hAnsi="仿宋_GB2312" w:eastAsia="仿宋_GB2312" w:cs="仿宋_GB2312"/>
          <w:b/>
          <w:bCs w:val="0"/>
          <w:spacing w:val="-4"/>
          <w:sz w:val="32"/>
          <w:szCs w:val="32"/>
          <w:lang w:val="en-US" w:eastAsia="zh-CN"/>
        </w:rPr>
        <w:t xml:space="preserve"> 组织管理原则</w:t>
      </w:r>
      <w:r>
        <w:rPr>
          <w:rStyle w:val="18"/>
          <w:rFonts w:hint="eastAsia" w:ascii="仿宋_GB2312" w:hAnsi="仿宋_GB2312" w:eastAsia="仿宋_GB2312" w:cs="仿宋_GB2312"/>
          <w:b w:val="0"/>
          <w:spacing w:val="-4"/>
          <w:sz w:val="32"/>
          <w:szCs w:val="32"/>
          <w:lang w:val="en-US" w:eastAsia="zh-CN"/>
        </w:rPr>
        <w:t>：项目在建设期力求采用先进的管理方法，科学的劳动组织方式，合理协调建设单位内部的各项事务，保证充分发挥每个管理者和工作人员的积极性，保证项目的顺利实施，并带来最好的实施效果。</w:t>
      </w: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spacing w:val="-4"/>
          <w:sz w:val="32"/>
          <w:szCs w:val="32"/>
          <w:lang w:val="en-US" w:eastAsia="zh-CN"/>
        </w:rPr>
        <w:t xml:space="preserve"> </w:t>
      </w:r>
      <w:r>
        <w:rPr>
          <w:rStyle w:val="18"/>
          <w:rFonts w:hint="eastAsia" w:ascii="仿宋_GB2312" w:hAnsi="仿宋_GB2312" w:eastAsia="仿宋_GB2312" w:cs="仿宋_GB2312"/>
          <w:b/>
          <w:bCs w:val="0"/>
          <w:spacing w:val="-4"/>
          <w:sz w:val="32"/>
          <w:szCs w:val="32"/>
          <w:lang w:val="en-US" w:eastAsia="zh-CN"/>
        </w:rPr>
        <w:t>成立项目工作领导小组：</w:t>
      </w:r>
      <w:r>
        <w:rPr>
          <w:rStyle w:val="18"/>
          <w:rFonts w:hint="eastAsia" w:ascii="仿宋_GB2312" w:hAnsi="仿宋_GB2312" w:eastAsia="仿宋_GB2312" w:cs="仿宋_GB2312"/>
          <w:b w:val="0"/>
          <w:spacing w:val="-4"/>
          <w:sz w:val="32"/>
          <w:szCs w:val="32"/>
          <w:lang w:val="en-US" w:eastAsia="zh-CN"/>
        </w:rPr>
        <w:t>负责项目建设工作的筹备，组织领导，协调以及研究决策，建设工程中的各项重大事项，履行建设初期组织管理机构职能，具体负责本项目的制定和组织，负责项目实施任务的落实，加强项目实施管理和监督资金合理使用，建设工程的质量管理，现场技术指导，专项培训等工作。解决时时中出现的问题进行项目总结，开展技术交流，协作等工作，保证项目顺利实施。</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 xml:space="preserve">    项目建设领导小组下设项目管理办公室，负责项目建设工作具体问题的协调沟通，具体工作任务的落实执行，督促检查等。完成项目的总体规划，技术设计和审批等相关手续，组织完成项目招标，负责项目资金使用计划和项目建设进度安排，组织人员对工程质量进行检查、监督，并组织有关部门对项目进行竣工验收。</w:t>
      </w:r>
      <w:r>
        <w:rPr>
          <w:rStyle w:val="18"/>
          <w:rFonts w:hint="eastAsia" w:ascii="仿宋_GB2312" w:hAnsi="仿宋_GB2312" w:eastAsia="仿宋_GB2312" w:cs="仿宋_GB2312"/>
          <w:b w:val="0"/>
          <w:spacing w:val="-4"/>
          <w:sz w:val="32"/>
          <w:szCs w:val="32"/>
          <w:lang w:val="en-US" w:eastAsia="zh-CN"/>
        </w:rPr>
        <w:br w:type="textWrapping"/>
      </w:r>
      <w:r>
        <w:rPr>
          <w:rFonts w:hint="eastAsia" w:ascii="仿宋_GB2312" w:hAnsi="仿宋_GB2312" w:eastAsia="仿宋_GB2312" w:cs="仿宋_GB2312"/>
          <w:kern w:val="0"/>
          <w:sz w:val="32"/>
          <w:szCs w:val="32"/>
          <w:lang w:val="en-US" w:eastAsia="zh-CN" w:bidi="ar"/>
        </w:rPr>
        <w:t xml:space="preserve">   </w:t>
      </w:r>
      <w:r>
        <w:rPr>
          <w:rStyle w:val="18"/>
          <w:rFonts w:hint="eastAsia" w:ascii="仿宋_GB2312" w:hAnsi="仿宋_GB2312" w:eastAsia="仿宋_GB2312" w:cs="仿宋_GB2312"/>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bCs w:val="0"/>
          <w:spacing w:val="-4"/>
          <w:sz w:val="32"/>
          <w:szCs w:val="32"/>
        </w:rPr>
      </w:pPr>
      <w:r>
        <w:rPr>
          <w:rStyle w:val="18"/>
          <w:rFonts w:hint="eastAsia" w:ascii="仿宋_GB2312" w:hAnsi="仿宋_GB2312" w:eastAsia="仿宋_GB2312" w:cs="仿宋_GB2312"/>
          <w:b/>
          <w:bCs w:val="0"/>
          <w:spacing w:val="-4"/>
          <w:sz w:val="32"/>
          <w:szCs w:val="32"/>
        </w:rPr>
        <w:t>（包括项目管理制度建设、日常检查监督管理等情况）</w:t>
      </w:r>
    </w:p>
    <w:p>
      <w:pPr>
        <w:keepNext w:val="0"/>
        <w:keepLines w:val="0"/>
        <w:pageBreakBefore w:val="0"/>
        <w:kinsoku/>
        <w:wordWrap/>
        <w:overflowPunct/>
        <w:topLinePunct w:val="0"/>
        <w:autoSpaceDE/>
        <w:autoSpaceDN/>
        <w:bidi w:val="0"/>
        <w:adjustRightInd/>
        <w:snapToGrid/>
        <w:spacing w:line="520" w:lineRule="exact"/>
        <w:ind w:firstLine="627"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bCs w:val="0"/>
          <w:spacing w:val="-4"/>
          <w:sz w:val="32"/>
          <w:szCs w:val="32"/>
          <w:lang w:val="en-US" w:eastAsia="zh-CN"/>
        </w:rPr>
        <w:t>设置管理机构：</w:t>
      </w:r>
      <w:r>
        <w:rPr>
          <w:rStyle w:val="18"/>
          <w:rFonts w:hint="eastAsia" w:ascii="仿宋_GB2312" w:hAnsi="仿宋_GB2312" w:eastAsia="仿宋_GB2312" w:cs="仿宋_GB2312"/>
          <w:b w:val="0"/>
          <w:spacing w:val="-4"/>
          <w:sz w:val="32"/>
          <w:szCs w:val="32"/>
          <w:lang w:val="en-US" w:eastAsia="zh-CN"/>
        </w:rPr>
        <w:t>为使该项目能够顺利实施，认真调查研究，强化项目的组织机构，经研究决定，成立新疆维吾尔自治区救助管理站流浪未成年人教育培训安置中心建设项目领导小组。</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 xml:space="preserve">    </w:t>
      </w:r>
      <w:r>
        <w:rPr>
          <w:rStyle w:val="18"/>
          <w:rFonts w:hint="eastAsia" w:ascii="仿宋_GB2312" w:hAnsi="仿宋_GB2312" w:eastAsia="仿宋_GB2312" w:cs="仿宋_GB2312"/>
          <w:b/>
          <w:bCs w:val="0"/>
          <w:spacing w:val="-4"/>
          <w:sz w:val="32"/>
          <w:szCs w:val="32"/>
          <w:lang w:val="en-US" w:eastAsia="zh-CN"/>
        </w:rPr>
        <w:t>制定了项目管理制度建设</w:t>
      </w:r>
      <w:r>
        <w:rPr>
          <w:rStyle w:val="18"/>
          <w:rFonts w:hint="eastAsia" w:ascii="仿宋_GB2312" w:hAnsi="仿宋_GB2312" w:eastAsia="仿宋_GB2312" w:cs="仿宋_GB2312"/>
          <w:b w:val="0"/>
          <w:spacing w:val="-4"/>
          <w:sz w:val="32"/>
          <w:szCs w:val="32"/>
          <w:lang w:val="en-US" w:eastAsia="zh-CN"/>
        </w:rPr>
        <w:t>：项目建设必须严格遵守基本建设程序，实行项目法人责任制，招标投标制，监理制，合同制。认真执行《招标、投标法》，《建设工程质量管理条例》，《建设工程安全生产管理条例》等有关法律法规，依法实施建设管理。</w:t>
      </w: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1.严格按照项目基本建设程序办事，本着责任明确，严格管理的原则，签订工程建设的法人合同。</w:t>
      </w: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2.选择有资质的专业勘察设计单位，做好项目初步设计和施工图纸设计。</w:t>
      </w: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3.项目建设严格按照国家要求实行招投标制，明确投资额度，技术标准，质量要求和工期等。</w:t>
      </w: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4.中标施工单位不准私自转包、并赢，严格按有关技术规程、规范标准和批准的设计方案施工。</w:t>
      </w: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5.实行工程监理制，选择有资质的监理公司和勘察设计单位，承担工程监理，保证施工质量。</w:t>
      </w: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6.对项目建设规划制度实施及建设情况进行全程监督，建立巡报制度，实时组织进行实地抽插抽检。</w:t>
      </w: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7.建立健全项目执行情况检查及信息报送制度，以增强项目管理的专业性，规范性。</w:t>
      </w: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8.项目完工后，由主管单位及时组织相关质量监督部门进行验收。</w:t>
      </w:r>
    </w:p>
    <w:p>
      <w:pPr>
        <w:keepNext w:val="0"/>
        <w:keepLines w:val="0"/>
        <w:pageBreakBefore w:val="0"/>
        <w:kinsoku/>
        <w:wordWrap/>
        <w:overflowPunct/>
        <w:topLinePunct w:val="0"/>
        <w:autoSpaceDE/>
        <w:autoSpaceDN/>
        <w:bidi w:val="0"/>
        <w:adjustRightInd/>
        <w:snapToGrid/>
        <w:spacing w:line="520" w:lineRule="exact"/>
        <w:ind w:firstLine="640"/>
        <w:textAlignment w:val="auto"/>
        <w:rPr>
          <w:rStyle w:val="18"/>
          <w:rFonts w:hint="eastAsia" w:ascii="黑体" w:hAnsi="黑体" w:eastAsia="黑体" w:cs="黑体"/>
          <w:sz w:val="32"/>
          <w:szCs w:val="32"/>
        </w:rPr>
      </w:pPr>
      <w:r>
        <w:rPr>
          <w:rStyle w:val="18"/>
          <w:rFonts w:hint="eastAsia" w:ascii="黑体" w:hAnsi="黑体" w:eastAsia="黑体" w:cs="黑体"/>
          <w:b w:val="0"/>
          <w:spacing w:val="-4"/>
          <w:sz w:val="32"/>
          <w:szCs w:val="32"/>
        </w:rPr>
        <w:t>四、项目绩效情况</w:t>
      </w:r>
      <w:r>
        <w:rPr>
          <w:rStyle w:val="18"/>
          <w:rFonts w:hint="eastAsia" w:ascii="黑体" w:hAnsi="黑体" w:eastAsia="黑体" w:cs="黑体"/>
          <w:sz w:val="32"/>
          <w:szCs w:val="32"/>
        </w:rPr>
        <w:t xml:space="preserve"> </w:t>
      </w:r>
    </w:p>
    <w:p>
      <w:pPr>
        <w:keepNext w:val="0"/>
        <w:keepLines w:val="0"/>
        <w:pageBreakBefore w:val="0"/>
        <w:kinsoku/>
        <w:wordWrap/>
        <w:overflowPunct/>
        <w:topLinePunct w:val="0"/>
        <w:autoSpaceDE/>
        <w:autoSpaceDN/>
        <w:bidi w:val="0"/>
        <w:adjustRightInd/>
        <w:snapToGrid/>
        <w:spacing w:line="520" w:lineRule="exact"/>
        <w:ind w:firstLine="567" w:firstLineChars="181"/>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20" w:lineRule="exact"/>
        <w:ind w:firstLine="567" w:firstLineChars="181"/>
        <w:textAlignment w:val="auto"/>
        <w:rPr>
          <w:rStyle w:val="18"/>
          <w:rFonts w:hint="eastAsia" w:ascii="仿宋_GB2312" w:hAnsi="仿宋_GB2312" w:eastAsia="仿宋_GB2312" w:cs="仿宋_GB2312"/>
          <w:b/>
          <w:bCs w:val="0"/>
          <w:spacing w:val="-4"/>
          <w:sz w:val="32"/>
          <w:szCs w:val="32"/>
        </w:rPr>
      </w:pPr>
      <w:r>
        <w:rPr>
          <w:rStyle w:val="18"/>
          <w:rFonts w:hint="eastAsia" w:ascii="仿宋_GB2312" w:hAnsi="仿宋_GB2312" w:eastAsia="仿宋_GB2312" w:cs="仿宋_GB2312"/>
          <w:b/>
          <w:bCs w:val="0"/>
          <w:spacing w:val="-4"/>
          <w:sz w:val="32"/>
          <w:szCs w:val="32"/>
        </w:rPr>
        <w:t>（将项目支出后的实际状况与申报的绩效目标对比，从项目的经济性、效率性、有益性和可持续性等方面进行量化、具体分析。）</w:t>
      </w:r>
    </w:p>
    <w:p>
      <w:pPr>
        <w:keepNext w:val="0"/>
        <w:keepLines w:val="0"/>
        <w:pageBreakBefore w:val="0"/>
        <w:kinsoku/>
        <w:wordWrap/>
        <w:overflowPunct/>
        <w:topLinePunct w:val="0"/>
        <w:autoSpaceDE/>
        <w:autoSpaceDN/>
        <w:bidi w:val="0"/>
        <w:adjustRightInd/>
        <w:snapToGrid/>
        <w:spacing w:line="520" w:lineRule="exact"/>
        <w:ind w:firstLine="564" w:firstLineChars="181"/>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eastAsia="zh-CN"/>
        </w:rPr>
        <w:t>项目按照既定目标已完成</w:t>
      </w:r>
      <w:r>
        <w:rPr>
          <w:rStyle w:val="18"/>
          <w:rFonts w:hint="eastAsia" w:ascii="仿宋_GB2312" w:hAnsi="仿宋_GB2312" w:eastAsia="仿宋_GB2312" w:cs="仿宋_GB2312"/>
          <w:b w:val="0"/>
          <w:spacing w:val="-4"/>
          <w:sz w:val="32"/>
          <w:szCs w:val="32"/>
          <w:lang w:val="en-US" w:eastAsia="zh-CN"/>
        </w:rPr>
        <w:t>90%，只剩余部分实施设备采购项目工作。</w:t>
      </w:r>
    </w:p>
    <w:p>
      <w:pPr>
        <w:keepNext w:val="0"/>
        <w:keepLines w:val="0"/>
        <w:pageBreakBefore w:val="0"/>
        <w:kinsoku/>
        <w:wordWrap/>
        <w:overflowPunct/>
        <w:topLinePunct w:val="0"/>
        <w:autoSpaceDE/>
        <w:autoSpaceDN/>
        <w:bidi w:val="0"/>
        <w:adjustRightInd/>
        <w:snapToGrid/>
        <w:spacing w:line="520" w:lineRule="exact"/>
        <w:ind w:firstLine="567" w:firstLineChars="181"/>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20" w:lineRule="exact"/>
        <w:ind w:firstLine="567" w:firstLineChars="181"/>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（如项目绩效目标已完成，可不用填写该部分</w:t>
      </w:r>
      <w:r>
        <w:rPr>
          <w:rFonts w:hint="eastAsia" w:ascii="仿宋_GB2312" w:hAnsi="仿宋_GB2312" w:eastAsia="仿宋_GB2312" w:cs="仿宋_GB2312"/>
          <w:b/>
          <w:bCs/>
          <w:spacing w:val="-4"/>
          <w:sz w:val="32"/>
          <w:szCs w:val="32"/>
          <w:lang w:eastAsia="zh-CN"/>
        </w:rPr>
        <w:t>。</w:t>
      </w:r>
      <w:r>
        <w:rPr>
          <w:rFonts w:hint="eastAsia" w:ascii="仿宋_GB2312" w:hAnsi="仿宋_GB2312" w:eastAsia="仿宋_GB2312" w:cs="仿宋_GB2312"/>
          <w:b/>
          <w:bCs/>
          <w:spacing w:val="-4"/>
          <w:sz w:val="32"/>
          <w:szCs w:val="32"/>
        </w:rPr>
        <w:t>）</w:t>
      </w:r>
    </w:p>
    <w:p>
      <w:pPr>
        <w:keepNext w:val="0"/>
        <w:keepLines w:val="0"/>
        <w:pageBreakBefore w:val="0"/>
        <w:kinsoku/>
        <w:wordWrap/>
        <w:overflowPunct/>
        <w:topLinePunct w:val="0"/>
        <w:autoSpaceDE/>
        <w:autoSpaceDN/>
        <w:bidi w:val="0"/>
        <w:adjustRightInd/>
        <w:snapToGrid/>
        <w:spacing w:line="520" w:lineRule="exact"/>
        <w:ind w:firstLine="1491" w:firstLineChars="478"/>
        <w:textAlignment w:val="auto"/>
        <w:rPr>
          <w:rFonts w:hint="eastAsia" w:ascii="仿宋_GB2312" w:hAnsi="仿宋_GB2312" w:eastAsia="仿宋_GB2312" w:cs="仿宋_GB2312"/>
          <w:spacing w:val="-4"/>
          <w:sz w:val="32"/>
          <w:szCs w:val="32"/>
          <w:lang w:eastAsia="zh-CN"/>
        </w:rPr>
      </w:pPr>
      <w:r>
        <w:rPr>
          <w:rFonts w:hint="eastAsia" w:ascii="仿宋_GB2312" w:hAnsi="仿宋_GB2312" w:eastAsia="仿宋_GB2312" w:cs="仿宋_GB2312"/>
          <w:spacing w:val="-4"/>
          <w:sz w:val="32"/>
          <w:szCs w:val="32"/>
          <w:lang w:eastAsia="zh-CN"/>
        </w:rPr>
        <w:t>无</w:t>
      </w:r>
    </w:p>
    <w:p>
      <w:pPr>
        <w:keepNext w:val="0"/>
        <w:keepLines w:val="0"/>
        <w:pageBreakBefore w:val="0"/>
        <w:kinsoku/>
        <w:wordWrap/>
        <w:overflowPunct/>
        <w:topLinePunct w:val="0"/>
        <w:autoSpaceDE/>
        <w:autoSpaceDN/>
        <w:bidi w:val="0"/>
        <w:adjustRightInd/>
        <w:snapToGrid/>
        <w:spacing w:line="520" w:lineRule="exact"/>
        <w:ind w:firstLine="640"/>
        <w:textAlignment w:val="auto"/>
        <w:rPr>
          <w:rStyle w:val="18"/>
          <w:rFonts w:hint="eastAsia" w:ascii="仿宋_GB2312" w:hAnsi="仿宋_GB2312" w:eastAsia="仿宋_GB2312" w:cs="仿宋_GB2312"/>
          <w:b w:val="0"/>
          <w:spacing w:val="-4"/>
          <w:sz w:val="32"/>
          <w:szCs w:val="32"/>
        </w:rPr>
      </w:pPr>
      <w:r>
        <w:rPr>
          <w:rStyle w:val="18"/>
          <w:rFonts w:hint="eastAsia" w:ascii="黑体" w:hAnsi="黑体" w:eastAsia="黑体" w:cs="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20" w:lineRule="exact"/>
        <w:ind w:firstLine="567" w:firstLineChars="181"/>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（一）后续工作计划</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624" w:firstLineChars="200"/>
        <w:textAlignment w:val="auto"/>
        <w:rPr>
          <w:rStyle w:val="18"/>
          <w:rFonts w:hint="eastAsia" w:ascii="仿宋_GB2312" w:hAnsi="仿宋_GB2312" w:eastAsia="仿宋_GB2312" w:cs="仿宋_GB2312"/>
          <w:b w:val="0"/>
          <w:bCs/>
          <w:spacing w:val="-4"/>
          <w:sz w:val="32"/>
          <w:szCs w:val="32"/>
          <w:lang w:eastAsia="zh-CN"/>
        </w:rPr>
      </w:pPr>
      <w:r>
        <w:rPr>
          <w:rStyle w:val="18"/>
          <w:rFonts w:hint="eastAsia" w:ascii="仿宋_GB2312" w:hAnsi="仿宋_GB2312" w:eastAsia="仿宋_GB2312" w:cs="仿宋_GB2312"/>
          <w:b w:val="0"/>
          <w:bCs/>
          <w:spacing w:val="-4"/>
          <w:sz w:val="32"/>
          <w:szCs w:val="32"/>
          <w:lang w:eastAsia="zh-CN"/>
        </w:rPr>
        <w:t>项目附属工程包括：楼内、外装修，室外的道路、围墙、绿化，市政设施管网的接通，（给排水、供暖、天然气、通信、网络）还有办公设备和为流浪未成年人提供的设施设备的采购及安装施工，服务项目多，细节繁杂，制约项目整体进度。</w:t>
      </w:r>
    </w:p>
    <w:p>
      <w:pPr>
        <w:keepNext w:val="0"/>
        <w:keepLines w:val="0"/>
        <w:pageBreakBefore w:val="0"/>
        <w:kinsoku/>
        <w:wordWrap/>
        <w:overflowPunct/>
        <w:topLinePunct w:val="0"/>
        <w:autoSpaceDE/>
        <w:autoSpaceDN/>
        <w:bidi w:val="0"/>
        <w:adjustRightInd/>
        <w:snapToGrid/>
        <w:spacing w:line="520" w:lineRule="exact"/>
        <w:ind w:firstLine="640"/>
        <w:textAlignment w:val="auto"/>
        <w:rPr>
          <w:rFonts w:hint="eastAsia" w:ascii="仿宋_GB2312" w:hAnsi="仿宋_GB2312" w:eastAsia="仿宋_GB2312" w:cs="仿宋_GB2312"/>
          <w:b w:val="0"/>
          <w:bCs/>
          <w:spacing w:val="-4"/>
          <w:sz w:val="32"/>
          <w:szCs w:val="32"/>
          <w:lang w:eastAsia="zh-CN"/>
        </w:rPr>
      </w:pPr>
      <w:r>
        <w:rPr>
          <w:rFonts w:hint="eastAsia" w:ascii="仿宋_GB2312" w:hAnsi="仿宋_GB2312" w:eastAsia="仿宋_GB2312" w:cs="仿宋_GB2312"/>
          <w:bCs/>
          <w:sz w:val="32"/>
          <w:szCs w:val="32"/>
          <w:lang w:eastAsia="zh-CN"/>
        </w:rPr>
        <w:t>自治区流浪未成年人教育培训安置中心</w:t>
      </w:r>
      <w:r>
        <w:rPr>
          <w:rFonts w:hint="eastAsia" w:ascii="仿宋_GB2312" w:hAnsi="仿宋_GB2312" w:eastAsia="仿宋_GB2312" w:cs="仿宋_GB2312"/>
          <w:bCs/>
          <w:sz w:val="32"/>
          <w:szCs w:val="32"/>
        </w:rPr>
        <w:t>项目</w:t>
      </w:r>
      <w:r>
        <w:rPr>
          <w:rFonts w:hint="eastAsia" w:ascii="仿宋_GB2312" w:hAnsi="仿宋_GB2312" w:eastAsia="仿宋_GB2312" w:cs="仿宋_GB2312"/>
          <w:bCs/>
          <w:sz w:val="32"/>
          <w:szCs w:val="32"/>
          <w:lang w:val="en-US" w:eastAsia="zh-CN"/>
        </w:rPr>
        <w:t>2012年自治区发改委批复立项，</w:t>
      </w:r>
      <w:r>
        <w:rPr>
          <w:rFonts w:hint="eastAsia" w:ascii="仿宋_GB2312" w:hAnsi="仿宋_GB2312" w:eastAsia="仿宋_GB2312" w:cs="仿宋_GB2312"/>
          <w:sz w:val="32"/>
          <w:szCs w:val="32"/>
          <w:lang w:val="en-US" w:eastAsia="zh-CN"/>
        </w:rPr>
        <w:t>规划选址在乌鲁木齐市天山区跃进街那拉提街，于2013年4月由</w:t>
      </w:r>
      <w:r>
        <w:rPr>
          <w:rFonts w:hint="eastAsia" w:ascii="仿宋_GB2312" w:hAnsi="仿宋_GB2312" w:eastAsia="仿宋_GB2312" w:cs="仿宋_GB2312"/>
          <w:sz w:val="32"/>
          <w:szCs w:val="32"/>
          <w:lang w:eastAsia="zh-CN"/>
        </w:rPr>
        <w:t>新疆宏泰建工集团有限公司承建</w:t>
      </w:r>
      <w:r>
        <w:rPr>
          <w:rFonts w:hint="eastAsia" w:ascii="仿宋_GB2312" w:hAnsi="仿宋_GB2312" w:eastAsia="仿宋_GB2312" w:cs="仿宋_GB2312"/>
          <w:sz w:val="32"/>
          <w:szCs w:val="32"/>
          <w:lang w:val="en-US" w:eastAsia="zh-CN"/>
        </w:rPr>
        <w:t>，2015年初主体建筑完工，</w:t>
      </w:r>
      <w:r>
        <w:rPr>
          <w:rFonts w:hint="eastAsia" w:ascii="仿宋_GB2312" w:hAnsi="仿宋_GB2312" w:eastAsia="仿宋_GB2312" w:cs="仿宋_GB2312"/>
          <w:b w:val="0"/>
          <w:i w:val="0"/>
          <w:caps w:val="0"/>
          <w:color w:val="000000"/>
          <w:spacing w:val="0"/>
          <w:kern w:val="0"/>
          <w:sz w:val="32"/>
          <w:szCs w:val="32"/>
          <w:shd w:val="clear" w:color="auto" w:fill="FFFFFF"/>
          <w:lang w:val="en-US" w:eastAsia="zh-CN" w:bidi="ar"/>
        </w:rPr>
        <w:t>项目已通过五方验证，目前正在竣工验收阶段。由于</w:t>
      </w:r>
      <w:r>
        <w:rPr>
          <w:rFonts w:hint="eastAsia" w:ascii="仿宋_GB2312" w:hAnsi="仿宋_GB2312" w:eastAsia="仿宋_GB2312" w:cs="仿宋_GB2312"/>
          <w:b w:val="0"/>
          <w:bCs/>
          <w:spacing w:val="-4"/>
          <w:sz w:val="32"/>
          <w:szCs w:val="32"/>
          <w:lang w:eastAsia="zh-CN"/>
        </w:rPr>
        <w:t>项目历史遗留问题原因，造成建设初期相关手续没能按照程序办理，现正在补办当中，但建设方属于挂靠主体方，不能很好配合履行相关义务，工作推进难度很大。</w:t>
      </w:r>
    </w:p>
    <w:p>
      <w:pPr>
        <w:keepNext w:val="0"/>
        <w:keepLines w:val="0"/>
        <w:pageBreakBefore w:val="0"/>
        <w:kinsoku/>
        <w:wordWrap/>
        <w:overflowPunct/>
        <w:topLinePunct w:val="0"/>
        <w:autoSpaceDE/>
        <w:autoSpaceDN/>
        <w:bidi w:val="0"/>
        <w:adjustRightInd/>
        <w:snapToGrid/>
        <w:spacing w:line="520" w:lineRule="exact"/>
        <w:ind w:firstLine="313" w:firstLineChars="10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20" w:lineRule="exact"/>
        <w:ind w:firstLine="567" w:firstLineChars="181"/>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（包括资金安排、使用过程中的经验、做法、存在问题、改进措施和有关建议等）</w:t>
      </w:r>
    </w:p>
    <w:p>
      <w:pPr>
        <w:keepNext w:val="0"/>
        <w:keepLines w:val="0"/>
        <w:pageBreakBefore w:val="0"/>
        <w:kinsoku/>
        <w:wordWrap/>
        <w:overflowPunct/>
        <w:topLinePunct w:val="0"/>
        <w:autoSpaceDE/>
        <w:autoSpaceDN/>
        <w:bidi w:val="0"/>
        <w:adjustRightInd/>
        <w:snapToGrid/>
        <w:spacing w:line="520" w:lineRule="exact"/>
        <w:ind w:firstLine="64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b w:val="0"/>
          <w:i w:val="0"/>
          <w:caps w:val="0"/>
          <w:color w:val="000000"/>
          <w:spacing w:val="0"/>
          <w:kern w:val="0"/>
          <w:sz w:val="32"/>
          <w:szCs w:val="32"/>
          <w:shd w:val="clear" w:color="auto" w:fill="FFFFFF"/>
          <w:lang w:val="en-US" w:eastAsia="zh-CN" w:bidi="ar"/>
        </w:rPr>
        <w:t>由于</w:t>
      </w:r>
      <w:r>
        <w:rPr>
          <w:rFonts w:hint="eastAsia" w:ascii="仿宋_GB2312" w:hAnsi="仿宋_GB2312" w:eastAsia="仿宋_GB2312" w:cs="仿宋_GB2312"/>
          <w:b w:val="0"/>
          <w:bCs/>
          <w:spacing w:val="-4"/>
          <w:sz w:val="32"/>
          <w:szCs w:val="32"/>
          <w:lang w:eastAsia="zh-CN"/>
        </w:rPr>
        <w:t>项目历史遗留问题原因，造成建设初期相关手续没能按照程序办理，现正在补办当中，还需要进行资金投入，需要财政给以一定资金支持。</w:t>
      </w:r>
    </w:p>
    <w:p>
      <w:pPr>
        <w:keepNext w:val="0"/>
        <w:keepLines w:val="0"/>
        <w:pageBreakBefore w:val="0"/>
        <w:kinsoku/>
        <w:wordWrap/>
        <w:overflowPunct/>
        <w:topLinePunct w:val="0"/>
        <w:autoSpaceDE/>
        <w:autoSpaceDN/>
        <w:bidi w:val="0"/>
        <w:adjustRightInd/>
        <w:snapToGrid/>
        <w:spacing w:line="520" w:lineRule="exact"/>
        <w:ind w:firstLine="313" w:firstLineChars="100"/>
        <w:textAlignment w:val="auto"/>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（三）其他</w:t>
      </w: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20" w:lineRule="exact"/>
        <w:ind w:firstLine="624" w:firstLineChars="200"/>
        <w:textAlignment w:val="auto"/>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包括评价基础数据收集、资料来源和依据等佐证材料情况，项目现场勘验检查核实等情况</w:t>
      </w:r>
    </w:p>
    <w:p>
      <w:pPr>
        <w:keepNext w:val="0"/>
        <w:keepLines w:val="0"/>
        <w:pageBreakBefore w:val="0"/>
        <w:numPr>
          <w:ilvl w:val="0"/>
          <w:numId w:val="2"/>
        </w:numPr>
        <w:kinsoku/>
        <w:wordWrap/>
        <w:overflowPunct/>
        <w:topLinePunct w:val="0"/>
        <w:autoSpaceDE/>
        <w:autoSpaceDN/>
        <w:bidi w:val="0"/>
        <w:adjustRightInd/>
        <w:snapToGrid/>
        <w:spacing w:line="520" w:lineRule="exact"/>
        <w:ind w:firstLine="640"/>
        <w:textAlignment w:val="auto"/>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附表</w:t>
      </w: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Style w:val="18"/>
          <w:rFonts w:hint="eastAsia" w:ascii="仿宋_GB2312" w:hAnsi="仿宋_GB2312" w:eastAsia="仿宋_GB2312" w:cs="仿宋_GB2312"/>
          <w:b/>
          <w:bCs w:val="0"/>
          <w:spacing w:val="-4"/>
          <w:sz w:val="32"/>
          <w:szCs w:val="32"/>
        </w:rPr>
      </w:pPr>
      <w:r>
        <w:rPr>
          <w:rStyle w:val="18"/>
          <w:rFonts w:hint="eastAsia" w:ascii="仿宋_GB2312" w:hAnsi="仿宋_GB2312" w:eastAsia="仿宋_GB2312" w:cs="仿宋_GB2312"/>
          <w:b/>
          <w:bCs w:val="0"/>
          <w:spacing w:val="-4"/>
          <w:sz w:val="32"/>
          <w:szCs w:val="32"/>
        </w:rPr>
        <w:t>《自治区财政项目支出绩效自评表》</w:t>
      </w: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bookmarkStart w:id="0" w:name="_GoBack"/>
      <w:bookmarkEnd w:id="0"/>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2018</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hAnsi="宋体" w:eastAsia="仿宋_GB2312" w:cs="宋体"/>
                <w:kern w:val="0"/>
                <w:sz w:val="21"/>
                <w:szCs w:val="21"/>
              </w:rPr>
              <w:t>自治区未成年人教育培训安置中心设施设备购置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自治区救助管理站</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400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400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按建设项目及时竣工投入使用，符合相关要求，有效改善办公环境，为流浪未成年人提供救助、保护、教育、救治和安置等五大功能的服务，满足社会兜底保障需求。1.完成新建、改建、采购设施，满足办公需求。2.符合工程施工质量和采购设备质量验收相关要求，尽快投入使用。</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我单位</w:t>
            </w:r>
            <w:r>
              <w:rPr>
                <w:rFonts w:hint="eastAsia" w:ascii="宋体" w:hAnsi="宋体" w:cs="宋体"/>
                <w:kern w:val="0"/>
                <w:sz w:val="20"/>
                <w:szCs w:val="20"/>
              </w:rPr>
              <w:t>按建设项目竣工投入使用，符合相关要求，有效改善办公环境，为流浪未成年人提供救助、保护、教育、救治和安置等五大功能的服务，满足社会兜底保障需求。</w:t>
            </w:r>
            <w:r>
              <w:rPr>
                <w:rFonts w:hint="eastAsia" w:ascii="宋体" w:hAnsi="宋体" w:cs="宋体"/>
                <w:kern w:val="0"/>
                <w:sz w:val="20"/>
                <w:szCs w:val="20"/>
                <w:lang w:eastAsia="zh-CN"/>
              </w:rPr>
              <w:t>在</w:t>
            </w:r>
            <w:r>
              <w:rPr>
                <w:rFonts w:hint="eastAsia" w:hAnsi="宋体" w:eastAsia="仿宋_GB2312" w:cs="宋体"/>
                <w:kern w:val="0"/>
                <w:sz w:val="21"/>
                <w:szCs w:val="21"/>
              </w:rPr>
              <w:t>自治区未成年人教育培训安置中心</w:t>
            </w:r>
            <w:r>
              <w:rPr>
                <w:rFonts w:hint="eastAsia" w:ascii="宋体" w:hAnsi="宋体" w:cs="宋体"/>
                <w:kern w:val="0"/>
                <w:sz w:val="20"/>
                <w:szCs w:val="20"/>
                <w:lang w:eastAsia="zh-CN"/>
              </w:rPr>
              <w:t>安装监控、智能门、发电机、大厅</w:t>
            </w:r>
            <w:r>
              <w:rPr>
                <w:rFonts w:hint="eastAsia" w:ascii="宋体" w:hAnsi="宋体" w:cs="宋体"/>
                <w:kern w:val="0"/>
                <w:sz w:val="20"/>
                <w:szCs w:val="20"/>
                <w:lang w:val="en-US" w:eastAsia="zh-CN"/>
              </w:rPr>
              <w:t>LED屏及附属工程、监理款及绿化费用等费用支出</w:t>
            </w: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 新建面积</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≧13000㎡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w:t>
            </w:r>
            <w:r>
              <w:rPr>
                <w:rFonts w:hint="eastAsia" w:ascii="宋体" w:hAnsi="宋体" w:cs="宋体"/>
                <w:kern w:val="0"/>
                <w:sz w:val="20"/>
                <w:szCs w:val="20"/>
              </w:rPr>
              <w:t>13000㎡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改造、加装面积</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≧5500㎡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17359</w:t>
            </w:r>
            <w:r>
              <w:rPr>
                <w:rFonts w:hint="eastAsia" w:ascii="宋体" w:hAnsi="宋体" w:cs="宋体"/>
                <w:kern w:val="0"/>
                <w:sz w:val="20"/>
                <w:szCs w:val="20"/>
              </w:rPr>
              <w:t>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办公购置物品数量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xml:space="preserve">  ≧350件套</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lang w:val="en-US" w:eastAsia="zh-CN"/>
              </w:rPr>
              <w:t>600</w:t>
            </w:r>
            <w:r>
              <w:rPr>
                <w:rFonts w:hint="eastAsia" w:ascii="宋体" w:hAnsi="宋体" w:cs="宋体"/>
                <w:kern w:val="0"/>
                <w:sz w:val="20"/>
                <w:szCs w:val="20"/>
              </w:rPr>
              <w:t>件套</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购置受助人员功能性设备数量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≧184件套</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184件套</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项目竣工验收合格率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≧90%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绿化、大门、附属设施、办公设备购置等均已严验收合格。</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2018年12月底</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项目工程按进度进行</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r>
      <w:tr>
        <w:tblPrEx>
          <w:tblLayout w:type="fixed"/>
          <w:tblCellMar>
            <w:top w:w="0" w:type="dxa"/>
            <w:left w:w="108" w:type="dxa"/>
            <w:bottom w:w="0" w:type="dxa"/>
            <w:right w:w="108" w:type="dxa"/>
          </w:tblCellMar>
        </w:tblPrEx>
        <w:trPr>
          <w:trHeight w:val="1458"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成本节约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保证质量，控制支出。</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400万元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lang w:val="en-US" w:eastAsia="zh-CN"/>
              </w:rPr>
              <w:t xml:space="preserve"> 受助群众满意度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项目建成使用后受助人员在安置中心环境改善，服务配套设施齐全。预估受助群众满意度可达到</w:t>
            </w:r>
            <w:r>
              <w:rPr>
                <w:rFonts w:hint="eastAsia" w:ascii="宋体" w:hAnsi="宋体" w:cs="宋体"/>
                <w:kern w:val="0"/>
                <w:sz w:val="20"/>
                <w:szCs w:val="20"/>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lang w:val="en-US" w:eastAsia="zh-CN"/>
              </w:rPr>
              <w:t xml:space="preserve"> 职工满意度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≧95％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项目建成使用后，单位职工工作环境改善，预估职工满意度达</w:t>
            </w:r>
            <w:r>
              <w:rPr>
                <w:rFonts w:hint="eastAsia" w:ascii="宋体" w:hAnsi="宋体" w:cs="宋体"/>
                <w:kern w:val="0"/>
                <w:sz w:val="20"/>
                <w:szCs w:val="20"/>
              </w:rPr>
              <w:t>95％</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223118"/>
    <w:multiLevelType w:val="singleLevel"/>
    <w:tmpl w:val="87223118"/>
    <w:lvl w:ilvl="0" w:tentative="0">
      <w:start w:val="2"/>
      <w:numFmt w:val="chineseCounting"/>
      <w:suff w:val="nothing"/>
      <w:lvlText w:val="（%1）"/>
      <w:lvlJc w:val="left"/>
      <w:rPr>
        <w:rFonts w:hint="eastAsia"/>
      </w:rPr>
    </w:lvl>
  </w:abstractNum>
  <w:abstractNum w:abstractNumId="1">
    <w:nsid w:val="9582E7AE"/>
    <w:multiLevelType w:val="singleLevel"/>
    <w:tmpl w:val="9582E7AE"/>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4366A8"/>
    <w:rsid w:val="00502BA7"/>
    <w:rsid w:val="005162F1"/>
    <w:rsid w:val="00535153"/>
    <w:rsid w:val="00554F82"/>
    <w:rsid w:val="0056390D"/>
    <w:rsid w:val="005719B0"/>
    <w:rsid w:val="005D10D6"/>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769FE"/>
    <w:rsid w:val="00EA2CBE"/>
    <w:rsid w:val="00F32FEE"/>
    <w:rsid w:val="00FB10BB"/>
    <w:rsid w:val="067A60F6"/>
    <w:rsid w:val="07743442"/>
    <w:rsid w:val="1C146879"/>
    <w:rsid w:val="2B6D5464"/>
    <w:rsid w:val="30C86998"/>
    <w:rsid w:val="47CA26EA"/>
    <w:rsid w:val="54301C1A"/>
    <w:rsid w:val="54A4058C"/>
    <w:rsid w:val="5B675EC5"/>
    <w:rsid w:val="60E90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uiPriority w:val="9"/>
    <w:rPr>
      <w:b/>
      <w:bCs/>
    </w:rPr>
  </w:style>
  <w:style w:type="character" w:customStyle="1" w:styleId="27">
    <w:name w:val="标题 7 Char"/>
    <w:basedOn w:val="17"/>
    <w:link w:val="8"/>
    <w:semiHidden/>
    <w:uiPriority w:val="9"/>
    <w:rPr>
      <w:sz w:val="24"/>
      <w:szCs w:val="24"/>
    </w:rPr>
  </w:style>
  <w:style w:type="character" w:customStyle="1" w:styleId="28">
    <w:name w:val="标题 8 Char"/>
    <w:basedOn w:val="17"/>
    <w:link w:val="9"/>
    <w:semiHidden/>
    <w:uiPriority w:val="9"/>
    <w:rPr>
      <w:i/>
      <w:iCs/>
      <w:sz w:val="24"/>
      <w:szCs w:val="24"/>
    </w:rPr>
  </w:style>
  <w:style w:type="character" w:customStyle="1" w:styleId="29">
    <w:name w:val="标题 9 Char"/>
    <w:basedOn w:val="17"/>
    <w:link w:val="10"/>
    <w:semiHidden/>
    <w:uiPriority w:val="9"/>
    <w:rPr>
      <w:rFonts w:asciiTheme="majorHAnsi" w:hAnsiTheme="majorHAnsi" w:eastAsiaTheme="majorEastAsia"/>
    </w:rPr>
  </w:style>
  <w:style w:type="character" w:customStyle="1" w:styleId="30">
    <w:name w:val="标题 Char"/>
    <w:basedOn w:val="17"/>
    <w:link w:val="16"/>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25</TotalTime>
  <ScaleCrop>false</ScaleCrop>
  <LinksUpToDate>false</LinksUpToDate>
  <CharactersWithSpaces>1366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JHCWC</cp:lastModifiedBy>
  <cp:lastPrinted>2019-01-29T10:38:05Z</cp:lastPrinted>
  <dcterms:modified xsi:type="dcterms:W3CDTF">2019-01-29T10:38:09Z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