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pacing w:line="540" w:lineRule="exact"/>
        <w:jc w:val="left"/>
        <w:rPr>
          <w:rFonts w:ascii="仿宋" w:hAnsi="仿宋" w:eastAsia="仿宋" w:cs="宋体"/>
          <w:color w:val="000000" w:themeColor="text1"/>
          <w:kern w:val="0"/>
          <w:sz w:val="32"/>
          <w:szCs w:val="32"/>
          <w14:textFill>
            <w14:solidFill>
              <w14:schemeClr w14:val="tx1"/>
            </w14:solidFill>
          </w14:textFill>
        </w:rPr>
      </w:pPr>
      <w:r>
        <w:rPr>
          <w:rFonts w:hint="eastAsia" w:ascii="仿宋" w:hAnsi="仿宋" w:eastAsia="仿宋" w:cs="宋体"/>
          <w:color w:val="000000" w:themeColor="text1"/>
          <w:kern w:val="0"/>
          <w:sz w:val="32"/>
          <w:szCs w:val="32"/>
          <w14:textFill>
            <w14:solidFill>
              <w14:schemeClr w14:val="tx1"/>
            </w14:solidFill>
          </w14:textFill>
        </w:rPr>
        <w:t>附件2：</w:t>
      </w:r>
    </w:p>
    <w:p>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pPr>
        <w:spacing w:line="540" w:lineRule="exact"/>
        <w:jc w:val="center"/>
        <w:rPr>
          <w:rFonts w:ascii="方正小标宋_GBK" w:hAnsi="华文中宋" w:eastAsia="方正小标宋_GBK" w:cs="宋体"/>
          <w:b/>
          <w:color w:val="000000" w:themeColor="text1"/>
          <w:kern w:val="0"/>
          <w:sz w:val="48"/>
          <w:szCs w:val="48"/>
          <w14:textFill>
            <w14:solidFill>
              <w14:schemeClr w14:val="tx1"/>
            </w14:solidFill>
          </w14:textFill>
        </w:rPr>
      </w:pPr>
      <w:r>
        <w:rPr>
          <w:rFonts w:hint="eastAsia" w:ascii="方正小标宋_GBK" w:hAnsi="华文中宋" w:eastAsia="方正小标宋_GBK" w:cs="宋体"/>
          <w:b/>
          <w:color w:val="000000" w:themeColor="text1"/>
          <w:kern w:val="0"/>
          <w:sz w:val="48"/>
          <w:szCs w:val="48"/>
          <w14:textFill>
            <w14:solidFill>
              <w14:schemeClr w14:val="tx1"/>
            </w14:solidFill>
          </w14:textFill>
        </w:rPr>
        <w:t>自治区财政项目支出绩效自评报告</w:t>
      </w:r>
    </w:p>
    <w:p>
      <w:pPr>
        <w:spacing w:line="540" w:lineRule="exact"/>
        <w:jc w:val="center"/>
        <w:rPr>
          <w:rFonts w:ascii="华文中宋" w:hAnsi="华文中宋" w:eastAsia="华文中宋" w:cs="宋体"/>
          <w:b/>
          <w:color w:val="000000" w:themeColor="text1"/>
          <w:kern w:val="0"/>
          <w:sz w:val="52"/>
          <w:szCs w:val="52"/>
          <w14:textFill>
            <w14:solidFill>
              <w14:schemeClr w14:val="tx1"/>
            </w14:solidFill>
          </w14:textFill>
        </w:rPr>
      </w:pPr>
    </w:p>
    <w:p>
      <w:pPr>
        <w:spacing w:line="540" w:lineRule="exact"/>
        <w:jc w:val="center"/>
        <w:rPr>
          <w:rFonts w:hAnsi="宋体" w:eastAsia="仿宋_GB2312" w:cs="宋体"/>
          <w:color w:val="000000" w:themeColor="text1"/>
          <w:kern w:val="0"/>
          <w:sz w:val="36"/>
          <w:szCs w:val="36"/>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（2018 年度）</w:t>
      </w:r>
    </w:p>
    <w:p>
      <w:pPr>
        <w:spacing w:line="540" w:lineRule="exact"/>
        <w:jc w:val="center"/>
        <w:rPr>
          <w:rFonts w:hAnsi="宋体" w:eastAsia="仿宋_GB2312" w:cs="宋体"/>
          <w:color w:val="000000" w:themeColor="text1"/>
          <w:kern w:val="0"/>
          <w:sz w:val="30"/>
          <w:szCs w:val="30"/>
          <w14:textFill>
            <w14:solidFill>
              <w14:schemeClr w14:val="tx1"/>
            </w14:solidFill>
          </w14:textFill>
        </w:rPr>
      </w:pPr>
    </w:p>
    <w:p>
      <w:pPr>
        <w:spacing w:line="540" w:lineRule="exact"/>
        <w:jc w:val="center"/>
        <w:rPr>
          <w:rFonts w:hAnsi="宋体" w:eastAsia="仿宋_GB2312" w:cs="宋体"/>
          <w:color w:val="000000" w:themeColor="text1"/>
          <w:kern w:val="0"/>
          <w:sz w:val="30"/>
          <w:szCs w:val="30"/>
          <w14:textFill>
            <w14:solidFill>
              <w14:schemeClr w14:val="tx1"/>
            </w14:solidFill>
          </w14:textFill>
        </w:rPr>
      </w:pPr>
    </w:p>
    <w:p>
      <w:pPr>
        <w:spacing w:line="540" w:lineRule="exact"/>
        <w:jc w:val="center"/>
        <w:rPr>
          <w:rFonts w:hAnsi="宋体" w:eastAsia="仿宋_GB2312" w:cs="宋体"/>
          <w:color w:val="000000" w:themeColor="text1"/>
          <w:kern w:val="0"/>
          <w:sz w:val="30"/>
          <w:szCs w:val="30"/>
          <w14:textFill>
            <w14:solidFill>
              <w14:schemeClr w14:val="tx1"/>
            </w14:solidFill>
          </w14:textFill>
        </w:rPr>
      </w:pPr>
    </w:p>
    <w:p>
      <w:pPr>
        <w:spacing w:line="540" w:lineRule="exact"/>
        <w:jc w:val="center"/>
        <w:rPr>
          <w:rFonts w:hAnsi="宋体" w:eastAsia="仿宋_GB2312" w:cs="宋体"/>
          <w:color w:val="000000" w:themeColor="text1"/>
          <w:kern w:val="0"/>
          <w:sz w:val="30"/>
          <w:szCs w:val="30"/>
          <w14:textFill>
            <w14:solidFill>
              <w14:schemeClr w14:val="tx1"/>
            </w14:solidFill>
          </w14:textFill>
        </w:rPr>
      </w:pPr>
    </w:p>
    <w:p>
      <w:pPr>
        <w:spacing w:line="540" w:lineRule="exact"/>
        <w:jc w:val="center"/>
        <w:rPr>
          <w:rFonts w:hAnsi="宋体" w:eastAsia="仿宋_GB2312" w:cs="宋体"/>
          <w:color w:val="000000" w:themeColor="text1"/>
          <w:kern w:val="0"/>
          <w:sz w:val="30"/>
          <w:szCs w:val="30"/>
          <w14:textFill>
            <w14:solidFill>
              <w14:schemeClr w14:val="tx1"/>
            </w14:solidFill>
          </w14:textFill>
        </w:rPr>
      </w:pPr>
    </w:p>
    <w:p>
      <w:pPr>
        <w:spacing w:line="540" w:lineRule="exact"/>
        <w:rPr>
          <w:rFonts w:hAnsi="宋体" w:eastAsia="仿宋_GB2312" w:cs="宋体"/>
          <w:color w:val="000000" w:themeColor="text1"/>
          <w:kern w:val="0"/>
          <w:sz w:val="30"/>
          <w:szCs w:val="30"/>
          <w14:textFill>
            <w14:solidFill>
              <w14:schemeClr w14:val="tx1"/>
            </w14:solidFill>
          </w14:textFill>
        </w:rPr>
      </w:pPr>
    </w:p>
    <w:p>
      <w:pPr>
        <w:spacing w:line="700" w:lineRule="exact"/>
        <w:jc w:val="left"/>
        <w:rPr>
          <w:rFonts w:hAnsi="宋体" w:eastAsia="仿宋_GB2312" w:cs="宋体"/>
          <w:color w:val="000000" w:themeColor="text1"/>
          <w:kern w:val="0"/>
          <w:sz w:val="36"/>
          <w:szCs w:val="36"/>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 xml:space="preserve">     项目名称：民办非营利养老机构自治区资助</w:t>
      </w:r>
    </w:p>
    <w:p>
      <w:pPr>
        <w:spacing w:line="700" w:lineRule="exact"/>
        <w:jc w:val="left"/>
        <w:rPr>
          <w:rFonts w:hAnsi="宋体" w:eastAsia="仿宋_GB2312" w:cs="宋体"/>
          <w:color w:val="000000" w:themeColor="text1"/>
          <w:kern w:val="0"/>
          <w:sz w:val="36"/>
          <w:szCs w:val="36"/>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 xml:space="preserve">     实施单位（公章）：自治区民政厅</w:t>
      </w:r>
    </w:p>
    <w:p>
      <w:pPr>
        <w:spacing w:line="700" w:lineRule="exact"/>
        <w:ind w:firstLine="849" w:firstLineChars="236"/>
        <w:jc w:val="left"/>
        <w:rPr>
          <w:rFonts w:hAnsi="宋体" w:eastAsia="仿宋_GB2312" w:cs="宋体"/>
          <w:color w:val="000000" w:themeColor="text1"/>
          <w:kern w:val="0"/>
          <w:sz w:val="36"/>
          <w:szCs w:val="36"/>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主管部门（公章） ：</w:t>
      </w:r>
    </w:p>
    <w:p>
      <w:pPr>
        <w:spacing w:line="700" w:lineRule="exact"/>
        <w:ind w:firstLine="849" w:firstLineChars="236"/>
        <w:jc w:val="left"/>
        <w:rPr>
          <w:rFonts w:hAnsi="宋体" w:eastAsia="仿宋_GB2312" w:cs="宋体"/>
          <w:color w:val="000000" w:themeColor="text1"/>
          <w:kern w:val="0"/>
          <w:sz w:val="36"/>
          <w:szCs w:val="36"/>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项目负责人（签章）：</w:t>
      </w:r>
    </w:p>
    <w:p>
      <w:pPr>
        <w:spacing w:line="700" w:lineRule="exact"/>
        <w:ind w:firstLine="849" w:firstLineChars="236"/>
        <w:jc w:val="left"/>
        <w:rPr>
          <w:rFonts w:hAnsi="宋体" w:eastAsia="仿宋_GB2312" w:cs="宋体"/>
          <w:color w:val="000000" w:themeColor="text1"/>
          <w:kern w:val="0"/>
          <w:sz w:val="36"/>
          <w:szCs w:val="36"/>
          <w14:textFill>
            <w14:solidFill>
              <w14:schemeClr w14:val="tx1"/>
            </w14:solidFill>
          </w14:textFill>
        </w:rPr>
      </w:pPr>
      <w:r>
        <w:rPr>
          <w:rFonts w:hint="eastAsia" w:hAnsi="宋体" w:eastAsia="仿宋_GB2312" w:cs="宋体"/>
          <w:color w:val="000000" w:themeColor="text1"/>
          <w:kern w:val="0"/>
          <w:sz w:val="36"/>
          <w:szCs w:val="36"/>
          <w14:textFill>
            <w14:solidFill>
              <w14:schemeClr w14:val="tx1"/>
            </w14:solidFill>
          </w14:textFill>
        </w:rPr>
        <w:t>填报时间：  2019年1 月23 日</w:t>
      </w:r>
    </w:p>
    <w:p>
      <w:pPr>
        <w:spacing w:line="540" w:lineRule="exact"/>
        <w:rPr>
          <w:rStyle w:val="19"/>
          <w:rFonts w:ascii="楷体" w:hAnsi="楷体" w:eastAsia="楷体"/>
          <w:color w:val="000000" w:themeColor="text1"/>
          <w:spacing w:val="-4"/>
          <w:sz w:val="32"/>
          <w:szCs w:val="32"/>
          <w14:textFill>
            <w14:solidFill>
              <w14:schemeClr w14:val="tx1"/>
            </w14:solidFill>
          </w14:textFill>
        </w:rPr>
      </w:pPr>
    </w:p>
    <w:p>
      <w:pPr>
        <w:spacing w:line="500" w:lineRule="exact"/>
        <w:jc w:val="center"/>
        <w:rPr>
          <w:rStyle w:val="19"/>
          <w:rFonts w:ascii="黑体" w:hAnsi="黑体" w:eastAsia="黑体"/>
          <w:b w:val="0"/>
          <w:color w:val="000000" w:themeColor="text1"/>
          <w:spacing w:val="-4"/>
          <w:sz w:val="32"/>
          <w:szCs w:val="32"/>
          <w14:textFill>
            <w14:solidFill>
              <w14:schemeClr w14:val="tx1"/>
            </w14:solidFill>
          </w14:textFill>
        </w:rPr>
      </w:pPr>
    </w:p>
    <w:p>
      <w:pPr>
        <w:spacing w:line="560" w:lineRule="exact"/>
        <w:jc w:val="center"/>
        <w:rPr>
          <w:rFonts w:ascii="仿宋_GB2312" w:hAnsi="仿宋_GB2312" w:eastAsia="仿宋_GB2312" w:cs="仿宋_GB2312"/>
          <w:bCs/>
          <w:color w:val="000000" w:themeColor="text1"/>
          <w:spacing w:val="-11"/>
          <w:sz w:val="32"/>
          <w:szCs w:val="32"/>
          <w14:textFill>
            <w14:solidFill>
              <w14:schemeClr w14:val="tx1"/>
            </w14:solidFill>
          </w14:textFill>
        </w:rPr>
      </w:pPr>
    </w:p>
    <w:p>
      <w:pPr>
        <w:spacing w:line="560" w:lineRule="exact"/>
        <w:jc w:val="center"/>
        <w:rPr>
          <w:rStyle w:val="19"/>
          <w:rFonts w:ascii="方正小标宋_GBK" w:hAnsi="方正小标宋_GBK" w:eastAsia="方正小标宋_GBK" w:cs="方正小标宋_GBK"/>
          <w:b w:val="0"/>
          <w:color w:val="000000" w:themeColor="text1"/>
          <w:spacing w:val="-4"/>
          <w:sz w:val="44"/>
          <w:szCs w:val="44"/>
          <w14:textFill>
            <w14:solidFill>
              <w14:schemeClr w14:val="tx1"/>
            </w14:solidFill>
          </w14:textFill>
        </w:rPr>
      </w:pPr>
    </w:p>
    <w:p>
      <w:pPr>
        <w:spacing w:line="560" w:lineRule="exact"/>
        <w:jc w:val="center"/>
        <w:rPr>
          <w:rStyle w:val="19"/>
          <w:rFonts w:ascii="方正小标宋_GBK" w:hAnsi="方正小标宋_GBK" w:eastAsia="方正小标宋_GBK" w:cs="方正小标宋_GBK"/>
          <w:b w:val="0"/>
          <w:color w:val="000000" w:themeColor="text1"/>
          <w:spacing w:val="-4"/>
          <w:sz w:val="44"/>
          <w:szCs w:val="44"/>
          <w14:textFill>
            <w14:solidFill>
              <w14:schemeClr w14:val="tx1"/>
            </w14:solidFill>
          </w14:textFill>
        </w:rPr>
      </w:pPr>
      <w:r>
        <w:rPr>
          <w:rStyle w:val="19"/>
          <w:rFonts w:hint="eastAsia" w:ascii="方正小标宋_GBK" w:hAnsi="方正小标宋_GBK" w:eastAsia="方正小标宋_GBK" w:cs="方正小标宋_GBK"/>
          <w:b w:val="0"/>
          <w:color w:val="000000" w:themeColor="text1"/>
          <w:spacing w:val="-4"/>
          <w:sz w:val="44"/>
          <w:szCs w:val="44"/>
          <w14:textFill>
            <w14:solidFill>
              <w14:schemeClr w14:val="tx1"/>
            </w14:solidFill>
          </w14:textFill>
        </w:rPr>
        <w:t>2018年度</w:t>
      </w:r>
      <w:r>
        <w:rPr>
          <w:rFonts w:hint="eastAsia" w:ascii="方正小标宋_GBK" w:hAnsi="方正小标宋_GBK" w:eastAsia="方正小标宋_GBK" w:cs="方正小标宋_GBK"/>
          <w:bCs/>
          <w:color w:val="000000" w:themeColor="text1"/>
          <w:spacing w:val="-11"/>
          <w:sz w:val="44"/>
          <w:szCs w:val="44"/>
          <w14:textFill>
            <w14:solidFill>
              <w14:schemeClr w14:val="tx1"/>
            </w14:solidFill>
          </w14:textFill>
        </w:rPr>
        <w:t>自治区财政资金</w:t>
      </w:r>
      <w:r>
        <w:rPr>
          <w:rStyle w:val="19"/>
          <w:rFonts w:hint="eastAsia" w:ascii="方正小标宋_GBK" w:hAnsi="方正小标宋_GBK" w:eastAsia="方正小标宋_GBK" w:cs="方正小标宋_GBK"/>
          <w:b w:val="0"/>
          <w:color w:val="000000" w:themeColor="text1"/>
          <w:spacing w:val="-4"/>
          <w:sz w:val="44"/>
          <w:szCs w:val="44"/>
          <w14:textFill>
            <w14:solidFill>
              <w14:schemeClr w14:val="tx1"/>
            </w14:solidFill>
          </w14:textFill>
        </w:rPr>
        <w:t>《民办非营利养老机构资助》项目支出绩效自评报告</w:t>
      </w:r>
    </w:p>
    <w:p>
      <w:pPr>
        <w:spacing w:line="560" w:lineRule="exact"/>
        <w:rPr>
          <w:rStyle w:val="19"/>
          <w:rFonts w:ascii="仿宋_GB2312" w:hAnsi="仿宋_GB2312" w:eastAsia="仿宋_GB2312" w:cs="仿宋_GB2312"/>
          <w:b w:val="0"/>
          <w:color w:val="000000" w:themeColor="text1"/>
          <w:spacing w:val="-4"/>
          <w:sz w:val="32"/>
          <w:szCs w:val="32"/>
          <w14:textFill>
            <w14:solidFill>
              <w14:schemeClr w14:val="tx1"/>
            </w14:solidFill>
          </w14:textFill>
        </w:rPr>
      </w:pPr>
    </w:p>
    <w:p>
      <w:pPr>
        <w:spacing w:line="560" w:lineRule="exact"/>
        <w:rPr>
          <w:rStyle w:val="19"/>
          <w:rFonts w:ascii="仿宋_GB2312" w:hAnsi="仿宋_GB2312" w:eastAsia="仿宋_GB2312" w:cs="仿宋_GB2312"/>
          <w:b w:val="0"/>
          <w:color w:val="000000" w:themeColor="text1"/>
          <w:spacing w:val="-4"/>
          <w:sz w:val="32"/>
          <w:szCs w:val="32"/>
          <w14:textFill>
            <w14:solidFill>
              <w14:schemeClr w14:val="tx1"/>
            </w14:solidFill>
          </w14:textFill>
        </w:rPr>
      </w:pPr>
      <w:r>
        <w:rPr>
          <w:rStyle w:val="19"/>
          <w:rFonts w:hint="eastAsia" w:ascii="仿宋_GB2312" w:hAnsi="仿宋_GB2312" w:eastAsia="仿宋_GB2312" w:cs="仿宋_GB2312"/>
          <w:b w:val="0"/>
          <w:color w:val="000000" w:themeColor="text1"/>
          <w:spacing w:val="-4"/>
          <w:sz w:val="32"/>
          <w:szCs w:val="32"/>
          <w14:textFill>
            <w14:solidFill>
              <w14:schemeClr w14:val="tx1"/>
            </w14:solidFill>
          </w14:textFill>
        </w:rPr>
        <w:t>自治区财政厅：</w:t>
      </w:r>
    </w:p>
    <w:p>
      <w:pPr>
        <w:spacing w:line="560" w:lineRule="exact"/>
        <w:ind w:firstLine="608"/>
        <w:rPr>
          <w:rStyle w:val="19"/>
          <w:rFonts w:ascii="仿宋_GB2312" w:hAnsi="仿宋_GB2312" w:eastAsia="仿宋_GB2312" w:cs="仿宋_GB2312"/>
          <w:b w:val="0"/>
          <w:color w:val="000000" w:themeColor="text1"/>
          <w:spacing w:val="-4"/>
          <w:sz w:val="32"/>
          <w:szCs w:val="32"/>
          <w14:textFill>
            <w14:solidFill>
              <w14:schemeClr w14:val="tx1"/>
            </w14:solidFill>
          </w14:textFill>
        </w:rPr>
      </w:pPr>
      <w:r>
        <w:rPr>
          <w:rStyle w:val="19"/>
          <w:rFonts w:hint="eastAsia" w:ascii="仿宋_GB2312" w:hAnsi="仿宋_GB2312" w:eastAsia="仿宋_GB2312" w:cs="仿宋_GB2312"/>
          <w:b w:val="0"/>
          <w:color w:val="000000" w:themeColor="text1"/>
          <w:spacing w:val="-4"/>
          <w:sz w:val="32"/>
          <w:szCs w:val="32"/>
          <w14:textFill>
            <w14:solidFill>
              <w14:schemeClr w14:val="tx1"/>
            </w14:solidFill>
          </w14:textFill>
        </w:rPr>
        <w:t>根据自治区财政厅有关要求，</w:t>
      </w:r>
      <w:r>
        <w:rPr>
          <w:rFonts w:hint="eastAsia" w:ascii="仿宋_GB2312" w:hAnsi="仿宋_GB2312" w:eastAsia="仿宋_GB2312" w:cs="仿宋_GB2312"/>
          <w:color w:val="000000" w:themeColor="text1"/>
          <w:sz w:val="32"/>
          <w:szCs w:val="32"/>
          <w14:textFill>
            <w14:solidFill>
              <w14:schemeClr w14:val="tx1"/>
            </w14:solidFill>
          </w14:textFill>
        </w:rPr>
        <w:t>我厅对</w:t>
      </w:r>
      <w:r>
        <w:rPr>
          <w:rFonts w:hint="eastAsia" w:ascii="仿宋_GB2312" w:hAnsi="仿宋_GB2312" w:eastAsia="仿宋_GB2312" w:cs="仿宋_GB2312"/>
          <w:color w:val="000000" w:themeColor="text1"/>
          <w:spacing w:val="-4"/>
          <w:sz w:val="32"/>
          <w:szCs w:val="32"/>
          <w14:textFill>
            <w14:solidFill>
              <w14:schemeClr w14:val="tx1"/>
            </w14:solidFill>
          </w14:textFill>
        </w:rPr>
        <w:t>2018年自治区财政专项资金</w:t>
      </w:r>
      <w:r>
        <w:rPr>
          <w:rStyle w:val="19"/>
          <w:rFonts w:hint="eastAsia" w:ascii="仿宋_GB2312" w:hAnsi="仿宋_GB2312" w:eastAsia="仿宋_GB2312" w:cs="仿宋_GB2312"/>
          <w:b w:val="0"/>
          <w:color w:val="000000" w:themeColor="text1"/>
          <w:spacing w:val="-4"/>
          <w:sz w:val="32"/>
          <w:szCs w:val="32"/>
          <w14:textFill>
            <w14:solidFill>
              <w14:schemeClr w14:val="tx1"/>
            </w14:solidFill>
          </w14:textFill>
        </w:rPr>
        <w:t>《民办非营利养老机构资助》</w:t>
      </w:r>
      <w:r>
        <w:rPr>
          <w:rFonts w:hint="eastAsia" w:ascii="仿宋_GB2312" w:hAnsi="仿宋_GB2312" w:eastAsia="仿宋_GB2312" w:cs="仿宋_GB2312"/>
          <w:color w:val="000000" w:themeColor="text1"/>
          <w:spacing w:val="-4"/>
          <w:sz w:val="32"/>
          <w:szCs w:val="32"/>
          <w14:textFill>
            <w14:solidFill>
              <w14:schemeClr w14:val="tx1"/>
            </w14:solidFill>
          </w14:textFill>
        </w:rPr>
        <w:t>项目</w:t>
      </w:r>
      <w:r>
        <w:rPr>
          <w:rFonts w:hint="eastAsia" w:ascii="仿宋_GB2312" w:hAnsi="仿宋_GB2312" w:eastAsia="仿宋_GB2312" w:cs="仿宋_GB2312"/>
          <w:color w:val="000000" w:themeColor="text1"/>
          <w:sz w:val="32"/>
          <w:szCs w:val="32"/>
          <w14:textFill>
            <w14:solidFill>
              <w14:schemeClr w14:val="tx1"/>
            </w14:solidFill>
          </w14:textFill>
        </w:rPr>
        <w:t>绩效进行了认真评价，</w:t>
      </w:r>
      <w:r>
        <w:rPr>
          <w:rStyle w:val="19"/>
          <w:rFonts w:hint="eastAsia" w:ascii="仿宋_GB2312" w:hAnsi="仿宋_GB2312" w:eastAsia="仿宋_GB2312" w:cs="仿宋_GB2312"/>
          <w:b w:val="0"/>
          <w:color w:val="000000" w:themeColor="text1"/>
          <w:spacing w:val="-4"/>
          <w:sz w:val="32"/>
          <w:szCs w:val="32"/>
          <w14:textFill>
            <w14:solidFill>
              <w14:schemeClr w14:val="tx1"/>
            </w14:solidFill>
          </w14:textFill>
        </w:rPr>
        <w:t>经研究，</w:t>
      </w:r>
      <w:r>
        <w:rPr>
          <w:rFonts w:hint="eastAsia" w:ascii="仿宋_GB2312" w:hAnsi="仿宋_GB2312" w:eastAsia="仿宋_GB2312" w:cs="仿宋_GB2312"/>
          <w:color w:val="000000" w:themeColor="text1"/>
          <w:sz w:val="32"/>
          <w:szCs w:val="32"/>
          <w14:textFill>
            <w14:solidFill>
              <w14:schemeClr w14:val="tx1"/>
            </w14:solidFill>
          </w14:textFill>
        </w:rPr>
        <w:t>现将自评情况报告如下</w:t>
      </w:r>
    </w:p>
    <w:p>
      <w:pPr>
        <w:spacing w:line="560" w:lineRule="exact"/>
        <w:rPr>
          <w:rStyle w:val="19"/>
          <w:rFonts w:ascii="黑体" w:hAnsi="黑体" w:eastAsia="黑体" w:cs="黑体"/>
          <w:b w:val="0"/>
          <w:color w:val="000000" w:themeColor="text1"/>
          <w:spacing w:val="-4"/>
          <w:sz w:val="32"/>
          <w:szCs w:val="32"/>
          <w14:textFill>
            <w14:solidFill>
              <w14:schemeClr w14:val="tx1"/>
            </w14:solidFill>
          </w14:textFill>
        </w:rPr>
      </w:pPr>
      <w:r>
        <w:rPr>
          <w:rStyle w:val="19"/>
          <w:rFonts w:hint="eastAsia" w:ascii="黑体" w:hAnsi="黑体" w:eastAsia="黑体" w:cs="黑体"/>
          <w:b w:val="0"/>
          <w:color w:val="000000" w:themeColor="text1"/>
          <w:spacing w:val="-4"/>
          <w:sz w:val="32"/>
          <w:szCs w:val="32"/>
          <w14:textFill>
            <w14:solidFill>
              <w14:schemeClr w14:val="tx1"/>
            </w14:solidFill>
          </w14:textFill>
        </w:rPr>
        <w:t xml:space="preserve">     一、项目概况</w:t>
      </w:r>
    </w:p>
    <w:p>
      <w:pPr>
        <w:spacing w:line="560" w:lineRule="exact"/>
        <w:ind w:firstLine="640"/>
        <w:rPr>
          <w:rStyle w:val="19"/>
          <w:rFonts w:hint="eastAsia" w:ascii="楷体_GB2312" w:hAnsi="楷体_GB2312" w:eastAsia="楷体_GB2312" w:cs="楷体_GB2312"/>
          <w:b w:val="0"/>
          <w:color w:val="000000" w:themeColor="text1"/>
          <w:spacing w:val="-4"/>
          <w:sz w:val="32"/>
          <w:szCs w:val="32"/>
          <w:lang w:eastAsia="zh-CN"/>
          <w14:textFill>
            <w14:solidFill>
              <w14:schemeClr w14:val="tx1"/>
            </w14:solidFill>
          </w14:textFill>
        </w:rPr>
      </w:pPr>
      <w:r>
        <w:rPr>
          <w:rStyle w:val="19"/>
          <w:rFonts w:hint="eastAsia" w:ascii="楷体_GB2312" w:hAnsi="楷体_GB2312" w:eastAsia="楷体_GB2312" w:cs="楷体_GB2312"/>
          <w:color w:val="000000" w:themeColor="text1"/>
          <w:spacing w:val="-4"/>
          <w:sz w:val="32"/>
          <w:szCs w:val="32"/>
          <w14:textFill>
            <w14:solidFill>
              <w14:schemeClr w14:val="tx1"/>
            </w14:solidFill>
          </w14:textFill>
        </w:rPr>
        <w:t>（一）项目单位基本情况</w:t>
      </w:r>
      <w:r>
        <w:rPr>
          <w:rStyle w:val="19"/>
          <w:rFonts w:hint="eastAsia" w:ascii="楷体_GB2312" w:hAnsi="楷体_GB2312" w:eastAsia="楷体_GB2312" w:cs="楷体_GB2312"/>
          <w:color w:val="000000" w:themeColor="text1"/>
          <w:spacing w:val="-4"/>
          <w:sz w:val="32"/>
          <w:szCs w:val="32"/>
          <w:lang w:eastAsia="zh-CN"/>
          <w14:textFill>
            <w14:solidFill>
              <w14:schemeClr w14:val="tx1"/>
            </w14:solidFill>
          </w14:textFill>
        </w:rPr>
        <w:t>。</w:t>
      </w:r>
    </w:p>
    <w:p>
      <w:pPr>
        <w:spacing w:line="560" w:lineRule="exact"/>
        <w:ind w:firstLine="640"/>
        <w:rPr>
          <w:rStyle w:val="19"/>
          <w:rFonts w:hint="eastAsia" w:ascii="楷体_GB2312" w:hAnsi="楷体_GB2312" w:eastAsia="楷体_GB2312" w:cs="楷体_GB2312"/>
          <w:b w:val="0"/>
          <w:color w:val="000000" w:themeColor="text1"/>
          <w:spacing w:val="-4"/>
          <w:sz w:val="32"/>
          <w:szCs w:val="32"/>
          <w14:textFill>
            <w14:solidFill>
              <w14:schemeClr w14:val="tx1"/>
            </w14:solidFill>
          </w14:textFill>
        </w:rPr>
      </w:pPr>
      <w:r>
        <w:rPr>
          <w:rStyle w:val="19"/>
          <w:rFonts w:hint="eastAsia" w:ascii="仿宋" w:hAnsi="仿宋" w:eastAsia="仿宋" w:cs="仿宋"/>
          <w:b w:val="0"/>
          <w:color w:val="000000"/>
          <w:spacing w:val="-4"/>
          <w:sz w:val="32"/>
          <w:szCs w:val="32"/>
          <w:shd w:val="clear" w:color="FFFFFF" w:fill="FFFFFF"/>
        </w:rPr>
        <w:t>自治区民政厅设14个内设机构：办公室(政策法规宣传处)、社会救助局、优抚安置局、民间组织登记处、民间组织管理处、退伍军人协调处（自治区双拥领导小组办公室）、军队离退休干部安置处、救灾处、基层政权和社区建设处、区划地名处、社会福利和慈善事业促进处、社会事务处（救助管理处）、规划财务处、人事教育处（社会工作处）、机关党委、驻厅纪检监察组、离退休干部工作处。</w:t>
      </w:r>
    </w:p>
    <w:p>
      <w:pPr>
        <w:spacing w:line="560" w:lineRule="exact"/>
        <w:ind w:firstLine="640"/>
        <w:rPr>
          <w:rStyle w:val="19"/>
          <w:rFonts w:ascii="仿宋_GB2312" w:hAnsi="仿宋_GB2312" w:eastAsia="仿宋_GB2312" w:cs="仿宋_GB2312"/>
          <w:color w:val="000000" w:themeColor="text1"/>
          <w:spacing w:val="-4"/>
          <w:sz w:val="32"/>
          <w:szCs w:val="32"/>
          <w14:textFill>
            <w14:solidFill>
              <w14:schemeClr w14:val="tx1"/>
            </w14:solidFill>
          </w14:textFill>
        </w:rPr>
      </w:pPr>
      <w:r>
        <w:rPr>
          <w:rStyle w:val="19"/>
          <w:rFonts w:hint="eastAsia" w:ascii="仿宋_GB2312" w:hAnsi="仿宋_GB2312" w:eastAsia="仿宋_GB2312" w:cs="仿宋_GB2312"/>
          <w:b w:val="0"/>
          <w:color w:val="000000" w:themeColor="text1"/>
          <w:spacing w:val="-4"/>
          <w:sz w:val="32"/>
          <w:szCs w:val="32"/>
          <w14:textFill>
            <w14:solidFill>
              <w14:schemeClr w14:val="tx1"/>
            </w14:solidFill>
          </w14:textFill>
        </w:rPr>
        <w:t>根据自治区民政厅、财政厅联合印发《自治区民办养老服务机构资助办法》中关于“对符合条件的民办非营利养老机构（公建民营）养老机构进行一次性开办补助（每张床位5000元）和运营补贴（实际入住老人每人每月100元）资助工作”的要求，为促进民办养老机构健康发展，提升服务质量和管理水平，积极调动民间力量参与养老服务业发展的积极性，2018年自治区财政安排我区民办养老服务机构资助资金1084万元。</w:t>
      </w:r>
    </w:p>
    <w:p>
      <w:pPr>
        <w:spacing w:line="560" w:lineRule="exact"/>
        <w:ind w:firstLine="627" w:firstLineChars="200"/>
        <w:rPr>
          <w:rStyle w:val="19"/>
          <w:rFonts w:ascii="仿宋_GB2312" w:hAnsi="仿宋_GB2312" w:eastAsia="仿宋_GB2312" w:cs="仿宋_GB2312"/>
          <w:b w:val="0"/>
          <w:color w:val="000000" w:themeColor="text1"/>
          <w:spacing w:val="-4"/>
          <w:sz w:val="32"/>
          <w:szCs w:val="32"/>
          <w14:textFill>
            <w14:solidFill>
              <w14:schemeClr w14:val="tx1"/>
            </w14:solidFill>
          </w14:textFill>
        </w:rPr>
      </w:pPr>
      <w:r>
        <w:rPr>
          <w:rStyle w:val="19"/>
          <w:rFonts w:hint="eastAsia" w:ascii="楷体_GB2312" w:hAnsi="楷体_GB2312" w:eastAsia="楷体_GB2312" w:cs="楷体_GB2312"/>
          <w:color w:val="000000" w:themeColor="text1"/>
          <w:spacing w:val="-4"/>
          <w:sz w:val="32"/>
          <w:szCs w:val="32"/>
          <w14:textFill>
            <w14:solidFill>
              <w14:schemeClr w14:val="tx1"/>
            </w14:solidFill>
          </w14:textFill>
        </w:rPr>
        <w:t>（二）项目预算绩效目标设定情况。</w:t>
      </w:r>
      <w:r>
        <w:rPr>
          <w:rStyle w:val="19"/>
          <w:rFonts w:hint="eastAsia" w:ascii="仿宋_GB2312" w:hAnsi="仿宋_GB2312" w:eastAsia="仿宋_GB2312" w:cs="仿宋_GB2312"/>
          <w:b w:val="0"/>
          <w:color w:val="000000" w:themeColor="text1"/>
          <w:spacing w:val="-4"/>
          <w:sz w:val="32"/>
          <w:szCs w:val="32"/>
          <w14:textFill>
            <w14:solidFill>
              <w14:schemeClr w14:val="tx1"/>
            </w14:solidFill>
          </w14:textFill>
        </w:rPr>
        <w:t>按照《自治区民办养老服务机构资助办法》的有关规定，2018年度自治区民办非营利养老机构资助资金主要用于民办非营利养老服务机构一次性开办补贴和运营补贴，资助范围为符合《自治区民办养老服务机构资助办法》中资助条件的民办非营利养老服务机构。对于预算绩效目标设定值，我们依据往年项目实施情况，结合各地实际，从项目实施的数量、时效、成本指标、经济效益、社会效益、生态效益、可持续影响、满意度等6个方面，分100张床位以上的民办养老机构一次性建设补贴标准、民办养老机构运营补贴标准、对符合条件的民办养老机构发放情况、补助资金拨付时限、动态管理情况、市场环境、社会力量参与养老服务业的积极性、民办养老机构环保能力、养老服务质量、民办养老机构对资助工作的满意度等10个具体指标，对2018年度自治区民办养老服务机构资助工作实施情况整体评价。</w:t>
      </w:r>
    </w:p>
    <w:p>
      <w:pPr>
        <w:spacing w:line="560" w:lineRule="exact"/>
        <w:ind w:firstLine="640"/>
        <w:rPr>
          <w:rStyle w:val="19"/>
          <w:rFonts w:ascii="黑体" w:hAnsi="黑体" w:eastAsia="黑体" w:cs="黑体"/>
          <w:b w:val="0"/>
          <w:color w:val="000000" w:themeColor="text1"/>
          <w:spacing w:val="-4"/>
          <w:sz w:val="32"/>
          <w:szCs w:val="32"/>
          <w14:textFill>
            <w14:solidFill>
              <w14:schemeClr w14:val="tx1"/>
            </w14:solidFill>
          </w14:textFill>
        </w:rPr>
      </w:pPr>
      <w:r>
        <w:rPr>
          <w:rStyle w:val="19"/>
          <w:rFonts w:hint="eastAsia" w:ascii="黑体" w:hAnsi="黑体" w:eastAsia="黑体" w:cs="黑体"/>
          <w:b w:val="0"/>
          <w:color w:val="000000" w:themeColor="text1"/>
          <w:spacing w:val="-4"/>
          <w:sz w:val="32"/>
          <w:szCs w:val="32"/>
          <w14:textFill>
            <w14:solidFill>
              <w14:schemeClr w14:val="tx1"/>
            </w14:solidFill>
          </w14:textFill>
        </w:rPr>
        <w:t>二、项目资金使用及管理情况</w:t>
      </w:r>
    </w:p>
    <w:p>
      <w:pPr>
        <w:spacing w:line="560" w:lineRule="exact"/>
        <w:ind w:firstLine="610"/>
        <w:rPr>
          <w:rStyle w:val="19"/>
          <w:rFonts w:hint="eastAsia" w:ascii="仿宋_GB2312" w:hAnsi="仿宋_GB2312" w:eastAsia="仿宋_GB2312" w:cs="仿宋_GB2312"/>
          <w:b w:val="0"/>
          <w:color w:val="000000" w:themeColor="text1"/>
          <w:spacing w:val="-4"/>
          <w:sz w:val="32"/>
          <w:szCs w:val="32"/>
          <w14:textFill>
            <w14:solidFill>
              <w14:schemeClr w14:val="tx1"/>
            </w14:solidFill>
          </w14:textFill>
        </w:rPr>
      </w:pPr>
      <w:r>
        <w:rPr>
          <w:rStyle w:val="19"/>
          <w:rFonts w:hint="eastAsia" w:ascii="楷体_GB2312" w:hAnsi="楷体_GB2312" w:eastAsia="楷体_GB2312" w:cs="楷体_GB2312"/>
          <w:color w:val="000000" w:themeColor="text1"/>
          <w:spacing w:val="-4"/>
          <w:sz w:val="32"/>
          <w:szCs w:val="32"/>
          <w14:textFill>
            <w14:solidFill>
              <w14:schemeClr w14:val="tx1"/>
            </w14:solidFill>
          </w14:textFill>
        </w:rPr>
        <w:t>（一）项目资金安排落实、总投入等情况分析。</w:t>
      </w:r>
      <w:r>
        <w:rPr>
          <w:rStyle w:val="19"/>
          <w:rFonts w:hint="eastAsia" w:ascii="仿宋_GB2312" w:hAnsi="仿宋_GB2312" w:eastAsia="仿宋_GB2312" w:cs="仿宋_GB2312"/>
          <w:b w:val="0"/>
          <w:color w:val="000000" w:themeColor="text1"/>
          <w:spacing w:val="-4"/>
          <w:sz w:val="32"/>
          <w:szCs w:val="32"/>
          <w14:textFill>
            <w14:solidFill>
              <w14:schemeClr w14:val="tx1"/>
            </w14:solidFill>
          </w14:textFill>
        </w:rPr>
        <w:t>根据《自治区民办养老服务机构资助办法》中“2012年10月12日后审批设立，运营6个月以上，入住率达到50%的养老机构，核定床位100张以下的，由当地财政给予一次性开办补助(具体标准由各地自行确定)；核定床位100张(含)以上的，由自治区财政给予每张床位5000元的一次性开办补助。根据养老机构在院住满一个月(含)以上的老年人实际占用床位数，按照每人每月100元的标准给予运营补贴。由自治区财政和当地财政部门各承担50%。”等有关规定，2018年自治区财政共安排我区民办养老服务机构资助资金1084万元。其中乌鲁木齐市332.4万元，克拉玛依市150.3万元，伊犁州203.</w:t>
      </w:r>
      <w:r>
        <w:rPr>
          <w:rStyle w:val="19"/>
          <w:rFonts w:hint="eastAsia" w:ascii="仿宋_GB2312" w:hAnsi="仿宋_GB2312" w:eastAsia="仿宋_GB2312" w:cs="仿宋_GB2312"/>
          <w:b w:val="0"/>
          <w:color w:val="000000" w:themeColor="text1"/>
          <w:spacing w:val="-4"/>
          <w:sz w:val="32"/>
          <w:szCs w:val="32"/>
          <w:lang w:val="en-US" w:eastAsia="zh-CN"/>
          <w14:textFill>
            <w14:solidFill>
              <w14:schemeClr w14:val="tx1"/>
            </w14:solidFill>
          </w14:textFill>
        </w:rPr>
        <w:t>3</w:t>
      </w:r>
      <w:r>
        <w:rPr>
          <w:rStyle w:val="19"/>
          <w:rFonts w:hint="eastAsia" w:ascii="仿宋_GB2312" w:hAnsi="仿宋_GB2312" w:eastAsia="仿宋_GB2312" w:cs="仿宋_GB2312"/>
          <w:b w:val="0"/>
          <w:color w:val="000000" w:themeColor="text1"/>
          <w:spacing w:val="-4"/>
          <w:sz w:val="32"/>
          <w:szCs w:val="32"/>
          <w14:textFill>
            <w14:solidFill>
              <w14:schemeClr w14:val="tx1"/>
            </w14:solidFill>
          </w14:textFill>
        </w:rPr>
        <w:t>万元，塔城地区70.6万元，博州77.</w:t>
      </w:r>
      <w:r>
        <w:rPr>
          <w:rStyle w:val="19"/>
          <w:rFonts w:hint="eastAsia" w:ascii="仿宋_GB2312" w:hAnsi="仿宋_GB2312" w:eastAsia="仿宋_GB2312" w:cs="仿宋_GB2312"/>
          <w:b w:val="0"/>
          <w:color w:val="000000" w:themeColor="text1"/>
          <w:spacing w:val="-4"/>
          <w:sz w:val="32"/>
          <w:szCs w:val="32"/>
          <w:lang w:val="en-US" w:eastAsia="zh-CN"/>
          <w14:textFill>
            <w14:solidFill>
              <w14:schemeClr w14:val="tx1"/>
            </w14:solidFill>
          </w14:textFill>
        </w:rPr>
        <w:t>7</w:t>
      </w:r>
      <w:r>
        <w:rPr>
          <w:rStyle w:val="19"/>
          <w:rFonts w:hint="eastAsia" w:ascii="仿宋_GB2312" w:hAnsi="仿宋_GB2312" w:eastAsia="仿宋_GB2312" w:cs="仿宋_GB2312"/>
          <w:b w:val="0"/>
          <w:color w:val="000000" w:themeColor="text1"/>
          <w:spacing w:val="-4"/>
          <w:sz w:val="32"/>
          <w:szCs w:val="32"/>
          <w14:textFill>
            <w14:solidFill>
              <w14:schemeClr w14:val="tx1"/>
            </w14:solidFill>
          </w14:textFill>
        </w:rPr>
        <w:t>万元，昌吉州129.5万元，巴州59.</w:t>
      </w:r>
      <w:r>
        <w:rPr>
          <w:rStyle w:val="19"/>
          <w:rFonts w:hint="eastAsia" w:ascii="仿宋_GB2312" w:hAnsi="仿宋_GB2312" w:eastAsia="仿宋_GB2312" w:cs="仿宋_GB2312"/>
          <w:b w:val="0"/>
          <w:color w:val="000000" w:themeColor="text1"/>
          <w:spacing w:val="-4"/>
          <w:sz w:val="32"/>
          <w:szCs w:val="32"/>
          <w:lang w:val="en-US" w:eastAsia="zh-CN"/>
          <w14:textFill>
            <w14:solidFill>
              <w14:schemeClr w14:val="tx1"/>
            </w14:solidFill>
          </w14:textFill>
        </w:rPr>
        <w:t>9</w:t>
      </w:r>
      <w:r>
        <w:rPr>
          <w:rStyle w:val="19"/>
          <w:rFonts w:hint="eastAsia" w:ascii="仿宋_GB2312" w:hAnsi="仿宋_GB2312" w:eastAsia="仿宋_GB2312" w:cs="仿宋_GB2312"/>
          <w:b w:val="0"/>
          <w:color w:val="000000" w:themeColor="text1"/>
          <w:spacing w:val="-4"/>
          <w:sz w:val="32"/>
          <w:szCs w:val="32"/>
          <w14:textFill>
            <w14:solidFill>
              <w14:schemeClr w14:val="tx1"/>
            </w14:solidFill>
          </w14:textFill>
        </w:rPr>
        <w:t>万元，喀什地区45.</w:t>
      </w:r>
      <w:r>
        <w:rPr>
          <w:rStyle w:val="19"/>
          <w:rFonts w:hint="eastAsia" w:ascii="仿宋_GB2312" w:hAnsi="仿宋_GB2312" w:eastAsia="仿宋_GB2312" w:cs="仿宋_GB2312"/>
          <w:b w:val="0"/>
          <w:color w:val="000000" w:themeColor="text1"/>
          <w:spacing w:val="-4"/>
          <w:sz w:val="32"/>
          <w:szCs w:val="32"/>
          <w:lang w:val="en-US" w:eastAsia="zh-CN"/>
          <w14:textFill>
            <w14:solidFill>
              <w14:schemeClr w14:val="tx1"/>
            </w14:solidFill>
          </w14:textFill>
        </w:rPr>
        <w:t>2</w:t>
      </w:r>
      <w:r>
        <w:rPr>
          <w:rStyle w:val="19"/>
          <w:rFonts w:hint="eastAsia" w:ascii="仿宋_GB2312" w:hAnsi="仿宋_GB2312" w:eastAsia="仿宋_GB2312" w:cs="仿宋_GB2312"/>
          <w:b w:val="0"/>
          <w:color w:val="000000" w:themeColor="text1"/>
          <w:spacing w:val="-4"/>
          <w:sz w:val="32"/>
          <w:szCs w:val="32"/>
          <w14:textFill>
            <w14:solidFill>
              <w14:schemeClr w14:val="tx1"/>
            </w14:solidFill>
          </w14:textFill>
        </w:rPr>
        <w:t>万元，吐鲁番市6.3万元，哈密市9万元。</w:t>
      </w:r>
    </w:p>
    <w:p>
      <w:pPr>
        <w:spacing w:line="560" w:lineRule="exact"/>
        <w:ind w:firstLine="610"/>
        <w:rPr>
          <w:rStyle w:val="19"/>
          <w:rFonts w:hint="eastAsia" w:ascii="仿宋_GB2312" w:hAnsi="仿宋_GB2312" w:eastAsia="仿宋_GB2312" w:cs="仿宋_GB2312"/>
          <w:b w:val="0"/>
          <w:color w:val="000000" w:themeColor="text1"/>
          <w:spacing w:val="-4"/>
          <w:sz w:val="32"/>
          <w:szCs w:val="32"/>
          <w14:textFill>
            <w14:solidFill>
              <w14:schemeClr w14:val="tx1"/>
            </w14:solidFill>
          </w14:textFill>
        </w:rPr>
      </w:pPr>
      <w:r>
        <w:rPr>
          <w:rStyle w:val="19"/>
          <w:rFonts w:hint="eastAsia" w:ascii="楷体_GB2312" w:hAnsi="楷体_GB2312" w:eastAsia="楷体_GB2312" w:cs="楷体_GB2312"/>
          <w:color w:val="000000" w:themeColor="text1"/>
          <w:spacing w:val="-4"/>
          <w:sz w:val="32"/>
          <w:szCs w:val="32"/>
          <w14:textFill>
            <w14:solidFill>
              <w14:schemeClr w14:val="tx1"/>
            </w14:solidFill>
          </w14:textFill>
        </w:rPr>
        <w:t>（二）项目资金实际使用情况分析</w:t>
      </w:r>
      <w:r>
        <w:rPr>
          <w:rStyle w:val="19"/>
          <w:rFonts w:hint="eastAsia" w:ascii="仿宋_GB2312" w:hAnsi="仿宋_GB2312" w:eastAsia="仿宋_GB2312" w:cs="仿宋_GB2312"/>
          <w:b w:val="0"/>
          <w:color w:val="000000" w:themeColor="text1"/>
          <w:spacing w:val="-4"/>
          <w:sz w:val="32"/>
          <w:szCs w:val="32"/>
          <w14:textFill>
            <w14:solidFill>
              <w14:schemeClr w14:val="tx1"/>
            </w14:solidFill>
          </w14:textFill>
        </w:rPr>
        <w:t>根据预算法，预算上报后60天下达预算的要求，2018年自治区财政安排我区民办养老服务机构资助资金1084万元，并于5月下拨至各地财政。其中乌鲁木齐市332.4万元，克拉玛依市150.3万元，伊犁州203.</w:t>
      </w:r>
      <w:r>
        <w:rPr>
          <w:rStyle w:val="19"/>
          <w:rFonts w:hint="eastAsia" w:ascii="仿宋_GB2312" w:hAnsi="仿宋_GB2312" w:eastAsia="仿宋_GB2312" w:cs="仿宋_GB2312"/>
          <w:b w:val="0"/>
          <w:color w:val="000000" w:themeColor="text1"/>
          <w:spacing w:val="-4"/>
          <w:sz w:val="32"/>
          <w:szCs w:val="32"/>
          <w:lang w:val="en-US" w:eastAsia="zh-CN"/>
          <w14:textFill>
            <w14:solidFill>
              <w14:schemeClr w14:val="tx1"/>
            </w14:solidFill>
          </w14:textFill>
        </w:rPr>
        <w:t>3</w:t>
      </w:r>
      <w:r>
        <w:rPr>
          <w:rStyle w:val="19"/>
          <w:rFonts w:hint="eastAsia" w:ascii="仿宋_GB2312" w:hAnsi="仿宋_GB2312" w:eastAsia="仿宋_GB2312" w:cs="仿宋_GB2312"/>
          <w:b w:val="0"/>
          <w:color w:val="000000" w:themeColor="text1"/>
          <w:spacing w:val="-4"/>
          <w:sz w:val="32"/>
          <w:szCs w:val="32"/>
          <w14:textFill>
            <w14:solidFill>
              <w14:schemeClr w14:val="tx1"/>
            </w14:solidFill>
          </w14:textFill>
        </w:rPr>
        <w:t>万元，塔城地区70.6万元，博州77.</w:t>
      </w:r>
      <w:r>
        <w:rPr>
          <w:rStyle w:val="19"/>
          <w:rFonts w:hint="eastAsia" w:ascii="仿宋_GB2312" w:hAnsi="仿宋_GB2312" w:eastAsia="仿宋_GB2312" w:cs="仿宋_GB2312"/>
          <w:b w:val="0"/>
          <w:color w:val="000000" w:themeColor="text1"/>
          <w:spacing w:val="-4"/>
          <w:sz w:val="32"/>
          <w:szCs w:val="32"/>
          <w:lang w:val="en-US" w:eastAsia="zh-CN"/>
          <w14:textFill>
            <w14:solidFill>
              <w14:schemeClr w14:val="tx1"/>
            </w14:solidFill>
          </w14:textFill>
        </w:rPr>
        <w:t>7</w:t>
      </w:r>
      <w:r>
        <w:rPr>
          <w:rStyle w:val="19"/>
          <w:rFonts w:hint="eastAsia" w:ascii="仿宋_GB2312" w:hAnsi="仿宋_GB2312" w:eastAsia="仿宋_GB2312" w:cs="仿宋_GB2312"/>
          <w:b w:val="0"/>
          <w:color w:val="000000" w:themeColor="text1"/>
          <w:spacing w:val="-4"/>
          <w:sz w:val="32"/>
          <w:szCs w:val="32"/>
          <w14:textFill>
            <w14:solidFill>
              <w14:schemeClr w14:val="tx1"/>
            </w14:solidFill>
          </w14:textFill>
        </w:rPr>
        <w:t>万元，昌吉州129.5万元，巴州59.</w:t>
      </w:r>
      <w:r>
        <w:rPr>
          <w:rStyle w:val="19"/>
          <w:rFonts w:hint="eastAsia" w:ascii="仿宋_GB2312" w:hAnsi="仿宋_GB2312" w:eastAsia="仿宋_GB2312" w:cs="仿宋_GB2312"/>
          <w:b w:val="0"/>
          <w:color w:val="000000" w:themeColor="text1"/>
          <w:spacing w:val="-4"/>
          <w:sz w:val="32"/>
          <w:szCs w:val="32"/>
          <w:lang w:val="en-US" w:eastAsia="zh-CN"/>
          <w14:textFill>
            <w14:solidFill>
              <w14:schemeClr w14:val="tx1"/>
            </w14:solidFill>
          </w14:textFill>
        </w:rPr>
        <w:t>9</w:t>
      </w:r>
      <w:r>
        <w:rPr>
          <w:rStyle w:val="19"/>
          <w:rFonts w:hint="eastAsia" w:ascii="仿宋_GB2312" w:hAnsi="仿宋_GB2312" w:eastAsia="仿宋_GB2312" w:cs="仿宋_GB2312"/>
          <w:b w:val="0"/>
          <w:color w:val="000000" w:themeColor="text1"/>
          <w:spacing w:val="-4"/>
          <w:sz w:val="32"/>
          <w:szCs w:val="32"/>
          <w14:textFill>
            <w14:solidFill>
              <w14:schemeClr w14:val="tx1"/>
            </w14:solidFill>
          </w14:textFill>
        </w:rPr>
        <w:t>万元，喀什地区45.</w:t>
      </w:r>
      <w:r>
        <w:rPr>
          <w:rStyle w:val="19"/>
          <w:rFonts w:hint="eastAsia" w:ascii="仿宋_GB2312" w:hAnsi="仿宋_GB2312" w:eastAsia="仿宋_GB2312" w:cs="仿宋_GB2312"/>
          <w:b w:val="0"/>
          <w:color w:val="000000" w:themeColor="text1"/>
          <w:spacing w:val="-4"/>
          <w:sz w:val="32"/>
          <w:szCs w:val="32"/>
          <w:lang w:val="en-US" w:eastAsia="zh-CN"/>
          <w14:textFill>
            <w14:solidFill>
              <w14:schemeClr w14:val="tx1"/>
            </w14:solidFill>
          </w14:textFill>
        </w:rPr>
        <w:t>2</w:t>
      </w:r>
      <w:r>
        <w:rPr>
          <w:rStyle w:val="19"/>
          <w:rFonts w:hint="eastAsia" w:ascii="仿宋_GB2312" w:hAnsi="仿宋_GB2312" w:eastAsia="仿宋_GB2312" w:cs="仿宋_GB2312"/>
          <w:b w:val="0"/>
          <w:color w:val="000000" w:themeColor="text1"/>
          <w:spacing w:val="-4"/>
          <w:sz w:val="32"/>
          <w:szCs w:val="32"/>
          <w14:textFill>
            <w14:solidFill>
              <w14:schemeClr w14:val="tx1"/>
            </w14:solidFill>
          </w14:textFill>
        </w:rPr>
        <w:t>万元，吐鲁番市6.3万元，哈密市9万元。</w:t>
      </w:r>
    </w:p>
    <w:p>
      <w:pPr>
        <w:spacing w:line="560" w:lineRule="exact"/>
        <w:ind w:firstLine="610"/>
        <w:rPr>
          <w:rStyle w:val="19"/>
          <w:rFonts w:ascii="仿宋_GB2312" w:hAnsi="仿宋_GB2312" w:eastAsia="仿宋_GB2312" w:cs="仿宋_GB2312"/>
          <w:b w:val="0"/>
          <w:color w:val="000000" w:themeColor="text1"/>
          <w:spacing w:val="-4"/>
          <w:sz w:val="32"/>
          <w:szCs w:val="32"/>
          <w14:textFill>
            <w14:solidFill>
              <w14:schemeClr w14:val="tx1"/>
            </w14:solidFill>
          </w14:textFill>
        </w:rPr>
      </w:pPr>
      <w:r>
        <w:rPr>
          <w:rStyle w:val="19"/>
          <w:rFonts w:hint="eastAsia" w:ascii="仿宋_GB2312" w:hAnsi="仿宋_GB2312" w:eastAsia="仿宋_GB2312" w:cs="仿宋_GB2312"/>
          <w:b w:val="0"/>
          <w:color w:val="000000" w:themeColor="text1"/>
          <w:spacing w:val="-4"/>
          <w:sz w:val="32"/>
          <w:szCs w:val="32"/>
          <w14:textFill>
            <w14:solidFill>
              <w14:schemeClr w14:val="tx1"/>
            </w14:solidFill>
          </w14:textFill>
        </w:rPr>
        <w:t>该资金为符合条件的民办非营利养老机构进行资金资助，较好的发挥了资金杠杆作用，加快提升民办养老机构存量。各地统筹将资金用于民办养老服务机构房屋的新建、改扩建及维修，设施设备的购置以及其他有益于改善入住老人生活质量的项目。</w:t>
      </w:r>
    </w:p>
    <w:p>
      <w:pPr>
        <w:spacing w:line="560" w:lineRule="exact"/>
        <w:ind w:firstLine="610"/>
        <w:rPr>
          <w:rStyle w:val="19"/>
          <w:rFonts w:ascii="仿宋_GB2312" w:hAnsi="仿宋_GB2312" w:eastAsia="仿宋_GB2312" w:cs="仿宋_GB2312"/>
          <w:b w:val="0"/>
          <w:color w:val="000000" w:themeColor="text1"/>
          <w:spacing w:val="-4"/>
          <w:sz w:val="32"/>
          <w:szCs w:val="32"/>
          <w14:textFill>
            <w14:solidFill>
              <w14:schemeClr w14:val="tx1"/>
            </w14:solidFill>
          </w14:textFill>
        </w:rPr>
      </w:pPr>
      <w:r>
        <w:rPr>
          <w:rStyle w:val="19"/>
          <w:rFonts w:hint="eastAsia" w:ascii="楷体_GB2312" w:hAnsi="楷体_GB2312" w:eastAsia="楷体_GB2312" w:cs="楷体_GB2312"/>
          <w:color w:val="000000" w:themeColor="text1"/>
          <w:spacing w:val="-4"/>
          <w:sz w:val="32"/>
          <w:szCs w:val="32"/>
          <w14:textFill>
            <w14:solidFill>
              <w14:schemeClr w14:val="tx1"/>
            </w14:solidFill>
          </w14:textFill>
        </w:rPr>
        <w:t>（三）项目资金管理情况分析。</w:t>
      </w:r>
      <w:r>
        <w:rPr>
          <w:rStyle w:val="19"/>
          <w:rFonts w:hint="eastAsia" w:ascii="仿宋_GB2312" w:hAnsi="仿宋_GB2312" w:eastAsia="仿宋_GB2312" w:cs="仿宋_GB2312"/>
          <w:b w:val="0"/>
          <w:color w:val="000000" w:themeColor="text1"/>
          <w:spacing w:val="-4"/>
          <w:sz w:val="32"/>
          <w:szCs w:val="32"/>
          <w14:textFill>
            <w14:solidFill>
              <w14:schemeClr w14:val="tx1"/>
            </w14:solidFill>
          </w14:textFill>
        </w:rPr>
        <w:t>认真落实《自治区民办养老服务机构资助办法》有关规定，严格要求被资助机构必须与民政部门签订《自治区养老机构资助资金使用承诺书》，书面承诺至少要经营3年以上，不得擅自改变机构的社会福利性质，不得开展与老年人社会福利事业无关的业务，否则资助资金如数收回。进一步明确民办非营利养老机构资助资金由所在区域内的民政部门一次性拨付至民办养老机构，机构统筹用于房屋的新建、改扩建及维修，设施设备的购置以及其他有益于改善入住老人生活质量的项目，不得出现套取、截留、挤占、挪用和不按规定发放资金等现象。</w:t>
      </w:r>
    </w:p>
    <w:p>
      <w:pPr>
        <w:spacing w:line="560" w:lineRule="exact"/>
        <w:ind w:firstLine="624" w:firstLineChars="200"/>
        <w:rPr>
          <w:rFonts w:ascii="黑体" w:hAnsi="黑体" w:eastAsia="黑体" w:cs="黑体"/>
          <w:color w:val="000000" w:themeColor="text1"/>
          <w:sz w:val="32"/>
          <w:szCs w:val="32"/>
          <w14:textFill>
            <w14:solidFill>
              <w14:schemeClr w14:val="tx1"/>
            </w14:solidFill>
          </w14:textFill>
        </w:rPr>
      </w:pPr>
      <w:r>
        <w:rPr>
          <w:rStyle w:val="19"/>
          <w:rFonts w:hint="eastAsia" w:ascii="黑体" w:hAnsi="黑体" w:eastAsia="黑体" w:cs="黑体"/>
          <w:b w:val="0"/>
          <w:color w:val="000000" w:themeColor="text1"/>
          <w:spacing w:val="-4"/>
          <w:sz w:val="32"/>
          <w:szCs w:val="32"/>
          <w14:textFill>
            <w14:solidFill>
              <w14:schemeClr w14:val="tx1"/>
            </w14:solidFill>
          </w14:textFill>
        </w:rPr>
        <w:t>三、项目组织实施情况</w:t>
      </w:r>
    </w:p>
    <w:p>
      <w:pPr>
        <w:spacing w:line="560" w:lineRule="exact"/>
        <w:ind w:firstLine="627" w:firstLineChars="200"/>
        <w:rPr>
          <w:rStyle w:val="19"/>
          <w:rFonts w:ascii="仿宋_GB2312" w:hAnsi="仿宋_GB2312" w:eastAsia="仿宋_GB2312" w:cs="仿宋_GB2312"/>
          <w:b w:val="0"/>
          <w:color w:val="000000" w:themeColor="text1"/>
          <w:spacing w:val="-4"/>
          <w:sz w:val="32"/>
          <w:szCs w:val="32"/>
          <w14:textFill>
            <w14:solidFill>
              <w14:schemeClr w14:val="tx1"/>
            </w14:solidFill>
          </w14:textFill>
        </w:rPr>
      </w:pPr>
      <w:r>
        <w:rPr>
          <w:rStyle w:val="19"/>
          <w:rFonts w:hint="eastAsia" w:ascii="楷体_GB2312" w:hAnsi="楷体_GB2312" w:eastAsia="楷体_GB2312" w:cs="楷体_GB2312"/>
          <w:color w:val="000000" w:themeColor="text1"/>
          <w:spacing w:val="-4"/>
          <w:sz w:val="32"/>
          <w:szCs w:val="32"/>
          <w14:textFill>
            <w14:solidFill>
              <w14:schemeClr w14:val="tx1"/>
            </w14:solidFill>
          </w14:textFill>
        </w:rPr>
        <w:t>（一）项目组织情况分析。</w:t>
      </w:r>
      <w:r>
        <w:rPr>
          <w:rStyle w:val="19"/>
          <w:rFonts w:hint="eastAsia" w:ascii="仿宋_GB2312" w:hAnsi="仿宋_GB2312" w:eastAsia="仿宋_GB2312" w:cs="仿宋_GB2312"/>
          <w:b w:val="0"/>
          <w:color w:val="000000" w:themeColor="text1"/>
          <w:spacing w:val="-4"/>
          <w:sz w:val="32"/>
          <w:szCs w:val="32"/>
          <w14:textFill>
            <w14:solidFill>
              <w14:schemeClr w14:val="tx1"/>
            </w14:solidFill>
          </w14:textFill>
        </w:rPr>
        <w:t>积极组织开展2018年度全区民办非营利养老机构资助工作，根据各地工作开展情况，按照《自治区民办养老服务机构资助办法》，对符合条件民办非营利养老机构进行审核，研究形成《2018年度民办非营利养老机构自治区财政资助资金分配方案》，及时上报自治区财政厅审核。待审核通过，下拨2018年度民办非营利养老机构自治区财政资助资金后，积极督促各级民政部门按照政策规定落实配套资金，及时发放。</w:t>
      </w:r>
    </w:p>
    <w:p>
      <w:pPr>
        <w:spacing w:line="560" w:lineRule="exact"/>
        <w:ind w:firstLine="627" w:firstLineChars="200"/>
        <w:rPr>
          <w:rStyle w:val="19"/>
          <w:rFonts w:ascii="仿宋_GB2312" w:hAnsi="仿宋_GB2312" w:eastAsia="仿宋_GB2312" w:cs="仿宋_GB2312"/>
          <w:b w:val="0"/>
          <w:color w:val="000000" w:themeColor="text1"/>
          <w:spacing w:val="-4"/>
          <w:sz w:val="32"/>
          <w:szCs w:val="32"/>
          <w14:textFill>
            <w14:solidFill>
              <w14:schemeClr w14:val="tx1"/>
            </w14:solidFill>
          </w14:textFill>
        </w:rPr>
      </w:pPr>
      <w:r>
        <w:rPr>
          <w:rStyle w:val="19"/>
          <w:rFonts w:hint="eastAsia" w:ascii="楷体_GB2312" w:hAnsi="楷体_GB2312" w:eastAsia="楷体_GB2312" w:cs="楷体_GB2312"/>
          <w:color w:val="000000" w:themeColor="text1"/>
          <w:spacing w:val="-4"/>
          <w:sz w:val="32"/>
          <w:szCs w:val="32"/>
          <w14:textFill>
            <w14:solidFill>
              <w14:schemeClr w14:val="tx1"/>
            </w14:solidFill>
          </w14:textFill>
        </w:rPr>
        <w:t>（二）项目管理情况分析。</w:t>
      </w:r>
      <w:r>
        <w:rPr>
          <w:rStyle w:val="19"/>
          <w:rFonts w:hint="eastAsia" w:ascii="仿宋_GB2312" w:hAnsi="仿宋_GB2312" w:eastAsia="仿宋_GB2312" w:cs="仿宋_GB2312"/>
          <w:b w:val="0"/>
          <w:color w:val="000000" w:themeColor="text1"/>
          <w:spacing w:val="-4"/>
          <w:sz w:val="32"/>
          <w:szCs w:val="32"/>
          <w14:textFill>
            <w14:solidFill>
              <w14:schemeClr w14:val="tx1"/>
            </w14:solidFill>
          </w14:textFill>
        </w:rPr>
        <w:t>认真落实《自治区民办养老机构资助办法》，严格把控资助对象条件、项目标准、申报审核程序、资金使用管理、监督检查等重要环节，确保资助工作公平公正。同时，将资助工作与民办非营利养老机构年检和自治区养老院服务质量建设专项行动紧密结合，进一步强化资助工作的针对性，有效提高资助对象认定的精准度，确保资助科学有效。</w:t>
      </w:r>
    </w:p>
    <w:p>
      <w:pPr>
        <w:spacing w:line="560" w:lineRule="exact"/>
        <w:ind w:firstLine="640"/>
        <w:rPr>
          <w:rStyle w:val="19"/>
          <w:rFonts w:ascii="黑体" w:hAnsi="黑体" w:eastAsia="黑体" w:cs="黑体"/>
          <w:color w:val="000000" w:themeColor="text1"/>
          <w:sz w:val="32"/>
          <w:szCs w:val="32"/>
          <w14:textFill>
            <w14:solidFill>
              <w14:schemeClr w14:val="tx1"/>
            </w14:solidFill>
          </w14:textFill>
        </w:rPr>
      </w:pPr>
      <w:r>
        <w:rPr>
          <w:rStyle w:val="19"/>
          <w:rFonts w:hint="eastAsia" w:ascii="黑体" w:hAnsi="黑体" w:eastAsia="黑体" w:cs="黑体"/>
          <w:b w:val="0"/>
          <w:color w:val="000000" w:themeColor="text1"/>
          <w:spacing w:val="-4"/>
          <w:sz w:val="32"/>
          <w:szCs w:val="32"/>
          <w14:textFill>
            <w14:solidFill>
              <w14:schemeClr w14:val="tx1"/>
            </w14:solidFill>
          </w14:textFill>
        </w:rPr>
        <w:t xml:space="preserve"> 四、项目绩效情况</w:t>
      </w:r>
      <w:r>
        <w:rPr>
          <w:rStyle w:val="19"/>
          <w:rFonts w:hint="eastAsia" w:ascii="黑体" w:hAnsi="黑体" w:eastAsia="黑体" w:cs="黑体"/>
          <w:color w:val="000000" w:themeColor="text1"/>
          <w:sz w:val="32"/>
          <w:szCs w:val="32"/>
          <w14:textFill>
            <w14:solidFill>
              <w14:schemeClr w14:val="tx1"/>
            </w14:solidFill>
          </w14:textFill>
        </w:rPr>
        <w:t xml:space="preserve"> </w:t>
      </w:r>
    </w:p>
    <w:p>
      <w:pPr>
        <w:spacing w:line="560" w:lineRule="exact"/>
        <w:ind w:firstLine="627" w:firstLineChars="200"/>
        <w:rPr>
          <w:rStyle w:val="19"/>
          <w:rFonts w:ascii="仿宋_GB2312" w:hAnsi="仿宋_GB2312" w:eastAsia="仿宋_GB2312" w:cs="仿宋_GB2312"/>
          <w:b w:val="0"/>
          <w:color w:val="000000" w:themeColor="text1"/>
          <w:spacing w:val="-4"/>
          <w:sz w:val="32"/>
          <w:szCs w:val="32"/>
          <w14:textFill>
            <w14:solidFill>
              <w14:schemeClr w14:val="tx1"/>
            </w14:solidFill>
          </w14:textFill>
        </w:rPr>
      </w:pPr>
      <w:r>
        <w:rPr>
          <w:rFonts w:hint="eastAsia" w:ascii="楷体_GB2312" w:hAnsi="楷体_GB2312" w:eastAsia="楷体_GB2312" w:cs="楷体_GB2312"/>
          <w:b/>
          <w:bCs/>
          <w:color w:val="000000" w:themeColor="text1"/>
          <w:spacing w:val="-4"/>
          <w:sz w:val="32"/>
          <w:szCs w:val="32"/>
          <w14:textFill>
            <w14:solidFill>
              <w14:schemeClr w14:val="tx1"/>
            </w14:solidFill>
          </w14:textFill>
        </w:rPr>
        <w:t>（一）项目绩效目标完成情况分析。</w:t>
      </w:r>
      <w:r>
        <w:rPr>
          <w:rStyle w:val="19"/>
          <w:rFonts w:hint="eastAsia" w:ascii="仿宋_GB2312" w:hAnsi="仿宋_GB2312" w:eastAsia="仿宋_GB2312" w:cs="仿宋_GB2312"/>
          <w:b w:val="0"/>
          <w:color w:val="000000" w:themeColor="text1"/>
          <w:spacing w:val="-4"/>
          <w:sz w:val="32"/>
          <w:szCs w:val="32"/>
          <w14:textFill>
            <w14:solidFill>
              <w14:schemeClr w14:val="tx1"/>
            </w14:solidFill>
          </w14:textFill>
        </w:rPr>
        <w:t>民办非营利养老机构自治区资助资金按时拨付到位。各地州（市）民政部门结合各地实际，制定实施细则，落实配套资金，规范了管理、监督和发放程序，在确保老年人基本权益的前提下，有效提高了高龄老年人保障服务水平。</w:t>
      </w:r>
    </w:p>
    <w:p>
      <w:pPr>
        <w:spacing w:line="560" w:lineRule="exact"/>
        <w:ind w:firstLine="627" w:firstLineChars="200"/>
        <w:rPr>
          <w:rStyle w:val="19"/>
          <w:rFonts w:ascii="仿宋_GB2312" w:hAnsi="仿宋_GB2312" w:eastAsia="仿宋_GB2312" w:cs="仿宋_GB2312"/>
          <w:color w:val="000000" w:themeColor="text1"/>
          <w:spacing w:val="-4"/>
          <w:sz w:val="32"/>
          <w:szCs w:val="32"/>
          <w14:textFill>
            <w14:solidFill>
              <w14:schemeClr w14:val="tx1"/>
            </w14:solidFill>
          </w14:textFill>
        </w:rPr>
      </w:pPr>
      <w:r>
        <w:rPr>
          <w:rStyle w:val="19"/>
          <w:rFonts w:hint="eastAsia" w:ascii="仿宋_GB2312" w:hAnsi="仿宋_GB2312" w:eastAsia="仿宋_GB2312" w:cs="仿宋_GB2312"/>
          <w:color w:val="000000" w:themeColor="text1"/>
          <w:spacing w:val="-4"/>
          <w:sz w:val="32"/>
          <w:szCs w:val="32"/>
          <w14:textFill>
            <w14:solidFill>
              <w14:schemeClr w14:val="tx1"/>
            </w14:solidFill>
          </w14:textFill>
        </w:rPr>
        <w:t>1、产出指标完成情况分析：</w:t>
      </w:r>
    </w:p>
    <w:p>
      <w:pPr>
        <w:spacing w:line="560" w:lineRule="exact"/>
        <w:ind w:firstLine="627" w:firstLineChars="200"/>
        <w:rPr>
          <w:rStyle w:val="19"/>
          <w:rFonts w:hint="eastAsia" w:ascii="仿宋_GB2312" w:hAnsi="仿宋_GB2312" w:eastAsia="仿宋_GB2312" w:cs="仿宋_GB2312"/>
          <w:b w:val="0"/>
          <w:color w:val="000000" w:themeColor="text1"/>
          <w:spacing w:val="-4"/>
          <w:sz w:val="32"/>
          <w:szCs w:val="32"/>
          <w:highlight w:val="none"/>
          <w14:textFill>
            <w14:solidFill>
              <w14:schemeClr w14:val="tx1"/>
            </w14:solidFill>
          </w14:textFill>
        </w:rPr>
      </w:pPr>
      <w:r>
        <w:rPr>
          <w:rStyle w:val="19"/>
          <w:rFonts w:hint="eastAsia" w:ascii="仿宋_GB2312" w:hAnsi="仿宋_GB2312" w:eastAsia="仿宋_GB2312" w:cs="仿宋_GB2312"/>
          <w:color w:val="000000" w:themeColor="text1"/>
          <w:spacing w:val="-4"/>
          <w:sz w:val="32"/>
          <w:szCs w:val="32"/>
          <w14:textFill>
            <w14:solidFill>
              <w14:schemeClr w14:val="tx1"/>
            </w14:solidFill>
          </w14:textFill>
        </w:rPr>
        <w:t>（1）项目完成数量：</w:t>
      </w:r>
      <w:r>
        <w:rPr>
          <w:rStyle w:val="19"/>
          <w:rFonts w:hint="eastAsia" w:ascii="仿宋_GB2312" w:hAnsi="仿宋_GB2312" w:eastAsia="仿宋_GB2312" w:cs="仿宋_GB2312"/>
          <w:b w:val="0"/>
          <w:color w:val="000000" w:themeColor="text1"/>
          <w:spacing w:val="-4"/>
          <w:sz w:val="32"/>
          <w:szCs w:val="32"/>
          <w14:textFill>
            <w14:solidFill>
              <w14:schemeClr w14:val="tx1"/>
            </w14:solidFill>
          </w14:textFill>
        </w:rPr>
        <w:t>对符合条件的民办养老机构发放实现100%全覆盖。对运营6个月以上，100张床位以上，入住率达到50%的民办养老机构，按照一次性建设补贴每张床位5000元标准，给予开办补助；对于运养老机构在院住满一个月(含)以上的老年人实际占用床位数，每人每月100元的标准，给予营补贴。共计为全区民办养老服务机构资助资金1084</w:t>
      </w:r>
      <w:r>
        <w:rPr>
          <w:rStyle w:val="19"/>
          <w:rFonts w:hint="eastAsia" w:ascii="仿宋_GB2312" w:hAnsi="仿宋_GB2312" w:eastAsia="仿宋_GB2312" w:cs="仿宋_GB2312"/>
          <w:b w:val="0"/>
          <w:color w:val="000000" w:themeColor="text1"/>
          <w:spacing w:val="-4"/>
          <w:sz w:val="32"/>
          <w:szCs w:val="32"/>
          <w:lang w:val="en-US" w:eastAsia="zh-CN"/>
          <w14:textFill>
            <w14:solidFill>
              <w14:schemeClr w14:val="tx1"/>
            </w14:solidFill>
          </w14:textFill>
        </w:rPr>
        <w:t>.2</w:t>
      </w:r>
      <w:r>
        <w:rPr>
          <w:rStyle w:val="19"/>
          <w:rFonts w:hint="eastAsia" w:ascii="仿宋_GB2312" w:hAnsi="仿宋_GB2312" w:eastAsia="仿宋_GB2312" w:cs="仿宋_GB2312"/>
          <w:b w:val="0"/>
          <w:color w:val="000000" w:themeColor="text1"/>
          <w:spacing w:val="-4"/>
          <w:sz w:val="32"/>
          <w:szCs w:val="32"/>
          <w14:textFill>
            <w14:solidFill>
              <w14:schemeClr w14:val="tx1"/>
            </w14:solidFill>
          </w14:textFill>
        </w:rPr>
        <w:t>万元。</w:t>
      </w:r>
      <w:r>
        <w:rPr>
          <w:rStyle w:val="19"/>
          <w:rFonts w:hint="eastAsia" w:ascii="仿宋_GB2312" w:hAnsi="仿宋_GB2312" w:eastAsia="仿宋_GB2312" w:cs="仿宋_GB2312"/>
          <w:b w:val="0"/>
          <w:color w:val="000000" w:themeColor="text1"/>
          <w:spacing w:val="-4"/>
          <w:sz w:val="32"/>
          <w:szCs w:val="32"/>
          <w:highlight w:val="none"/>
          <w14:textFill>
            <w14:solidFill>
              <w14:schemeClr w14:val="tx1"/>
            </w14:solidFill>
          </w14:textFill>
        </w:rPr>
        <w:t>其中乌鲁木齐市332.4万元，克拉玛依市150.3万元，伊犁州203.</w:t>
      </w:r>
      <w:r>
        <w:rPr>
          <w:rStyle w:val="19"/>
          <w:rFonts w:hint="eastAsia" w:ascii="仿宋_GB2312" w:hAnsi="仿宋_GB2312" w:eastAsia="仿宋_GB2312" w:cs="仿宋_GB2312"/>
          <w:b w:val="0"/>
          <w:color w:val="000000" w:themeColor="text1"/>
          <w:spacing w:val="-4"/>
          <w:sz w:val="32"/>
          <w:szCs w:val="32"/>
          <w:highlight w:val="none"/>
          <w:lang w:val="en-US" w:eastAsia="zh-CN"/>
          <w14:textFill>
            <w14:solidFill>
              <w14:schemeClr w14:val="tx1"/>
            </w14:solidFill>
          </w14:textFill>
        </w:rPr>
        <w:t>3</w:t>
      </w:r>
      <w:r>
        <w:rPr>
          <w:rStyle w:val="19"/>
          <w:rFonts w:hint="eastAsia" w:ascii="仿宋_GB2312" w:hAnsi="仿宋_GB2312" w:eastAsia="仿宋_GB2312" w:cs="仿宋_GB2312"/>
          <w:b w:val="0"/>
          <w:color w:val="000000" w:themeColor="text1"/>
          <w:spacing w:val="-4"/>
          <w:sz w:val="32"/>
          <w:szCs w:val="32"/>
          <w:highlight w:val="none"/>
          <w14:textFill>
            <w14:solidFill>
              <w14:schemeClr w14:val="tx1"/>
            </w14:solidFill>
          </w14:textFill>
        </w:rPr>
        <w:t>万元，塔城地区70.6万元，博州77.</w:t>
      </w:r>
      <w:r>
        <w:rPr>
          <w:rStyle w:val="19"/>
          <w:rFonts w:hint="eastAsia" w:ascii="仿宋_GB2312" w:hAnsi="仿宋_GB2312" w:eastAsia="仿宋_GB2312" w:cs="仿宋_GB2312"/>
          <w:b w:val="0"/>
          <w:color w:val="000000" w:themeColor="text1"/>
          <w:spacing w:val="-4"/>
          <w:sz w:val="32"/>
          <w:szCs w:val="32"/>
          <w:highlight w:val="none"/>
          <w:lang w:val="en-US" w:eastAsia="zh-CN"/>
          <w14:textFill>
            <w14:solidFill>
              <w14:schemeClr w14:val="tx1"/>
            </w14:solidFill>
          </w14:textFill>
        </w:rPr>
        <w:t>7</w:t>
      </w:r>
      <w:r>
        <w:rPr>
          <w:rStyle w:val="19"/>
          <w:rFonts w:hint="eastAsia" w:ascii="仿宋_GB2312" w:hAnsi="仿宋_GB2312" w:eastAsia="仿宋_GB2312" w:cs="仿宋_GB2312"/>
          <w:b w:val="0"/>
          <w:color w:val="000000" w:themeColor="text1"/>
          <w:spacing w:val="-4"/>
          <w:sz w:val="32"/>
          <w:szCs w:val="32"/>
          <w:highlight w:val="none"/>
          <w14:textFill>
            <w14:solidFill>
              <w14:schemeClr w14:val="tx1"/>
            </w14:solidFill>
          </w14:textFill>
        </w:rPr>
        <w:t>万元，昌吉州129.5万元，巴州59.</w:t>
      </w:r>
      <w:r>
        <w:rPr>
          <w:rStyle w:val="19"/>
          <w:rFonts w:hint="eastAsia" w:ascii="仿宋_GB2312" w:hAnsi="仿宋_GB2312" w:eastAsia="仿宋_GB2312" w:cs="仿宋_GB2312"/>
          <w:b w:val="0"/>
          <w:color w:val="000000" w:themeColor="text1"/>
          <w:spacing w:val="-4"/>
          <w:sz w:val="32"/>
          <w:szCs w:val="32"/>
          <w:highlight w:val="none"/>
          <w:lang w:val="en-US" w:eastAsia="zh-CN"/>
          <w14:textFill>
            <w14:solidFill>
              <w14:schemeClr w14:val="tx1"/>
            </w14:solidFill>
          </w14:textFill>
        </w:rPr>
        <w:t>9</w:t>
      </w:r>
      <w:r>
        <w:rPr>
          <w:rStyle w:val="19"/>
          <w:rFonts w:hint="eastAsia" w:ascii="仿宋_GB2312" w:hAnsi="仿宋_GB2312" w:eastAsia="仿宋_GB2312" w:cs="仿宋_GB2312"/>
          <w:b w:val="0"/>
          <w:color w:val="000000" w:themeColor="text1"/>
          <w:spacing w:val="-4"/>
          <w:sz w:val="32"/>
          <w:szCs w:val="32"/>
          <w:highlight w:val="none"/>
          <w14:textFill>
            <w14:solidFill>
              <w14:schemeClr w14:val="tx1"/>
            </w14:solidFill>
          </w14:textFill>
        </w:rPr>
        <w:t>万元，喀什地区45.</w:t>
      </w:r>
      <w:r>
        <w:rPr>
          <w:rStyle w:val="19"/>
          <w:rFonts w:hint="eastAsia" w:ascii="仿宋_GB2312" w:hAnsi="仿宋_GB2312" w:eastAsia="仿宋_GB2312" w:cs="仿宋_GB2312"/>
          <w:b w:val="0"/>
          <w:color w:val="000000" w:themeColor="text1"/>
          <w:spacing w:val="-4"/>
          <w:sz w:val="32"/>
          <w:szCs w:val="32"/>
          <w:highlight w:val="none"/>
          <w:lang w:val="en-US" w:eastAsia="zh-CN"/>
          <w14:textFill>
            <w14:solidFill>
              <w14:schemeClr w14:val="tx1"/>
            </w14:solidFill>
          </w14:textFill>
        </w:rPr>
        <w:t>2</w:t>
      </w:r>
      <w:r>
        <w:rPr>
          <w:rStyle w:val="19"/>
          <w:rFonts w:hint="eastAsia" w:ascii="仿宋_GB2312" w:hAnsi="仿宋_GB2312" w:eastAsia="仿宋_GB2312" w:cs="仿宋_GB2312"/>
          <w:b w:val="0"/>
          <w:color w:val="000000" w:themeColor="text1"/>
          <w:spacing w:val="-4"/>
          <w:sz w:val="32"/>
          <w:szCs w:val="32"/>
          <w:highlight w:val="none"/>
          <w14:textFill>
            <w14:solidFill>
              <w14:schemeClr w14:val="tx1"/>
            </w14:solidFill>
          </w14:textFill>
        </w:rPr>
        <w:t>万元，吐鲁番市6.3万元，哈密市9万元。</w:t>
      </w:r>
    </w:p>
    <w:p>
      <w:pPr>
        <w:spacing w:line="560" w:lineRule="exact"/>
        <w:ind w:firstLine="627" w:firstLineChars="200"/>
        <w:rPr>
          <w:rStyle w:val="19"/>
          <w:rFonts w:hint="eastAsia" w:ascii="仿宋_GB2312" w:hAnsi="仿宋_GB2312" w:eastAsia="仿宋_GB2312" w:cs="仿宋_GB2312"/>
          <w:b w:val="0"/>
          <w:color w:val="000000" w:themeColor="text1"/>
          <w:spacing w:val="-4"/>
          <w:sz w:val="32"/>
          <w:szCs w:val="32"/>
          <w14:textFill>
            <w14:solidFill>
              <w14:schemeClr w14:val="tx1"/>
            </w14:solidFill>
          </w14:textFill>
        </w:rPr>
      </w:pPr>
      <w:r>
        <w:rPr>
          <w:rStyle w:val="19"/>
          <w:rFonts w:hint="eastAsia" w:ascii="仿宋_GB2312" w:hAnsi="仿宋_GB2312" w:eastAsia="仿宋_GB2312" w:cs="仿宋_GB2312"/>
          <w:color w:val="000000" w:themeColor="text1"/>
          <w:spacing w:val="-4"/>
          <w:sz w:val="32"/>
          <w:szCs w:val="32"/>
          <w14:textFill>
            <w14:solidFill>
              <w14:schemeClr w14:val="tx1"/>
            </w14:solidFill>
          </w14:textFill>
        </w:rPr>
        <w:t>（2）</w:t>
      </w:r>
      <w:r>
        <w:rPr>
          <w:rStyle w:val="19"/>
          <w:rFonts w:hint="eastAsia" w:ascii="仿宋_GB2312" w:hAnsi="仿宋_GB2312" w:eastAsia="仿宋_GB2312" w:cs="仿宋_GB2312"/>
          <w:color w:val="000000" w:themeColor="text1"/>
          <w:spacing w:val="-4"/>
          <w:sz w:val="32"/>
          <w:szCs w:val="32"/>
          <w:highlight w:val="none"/>
          <w14:textFill>
            <w14:solidFill>
              <w14:schemeClr w14:val="tx1"/>
            </w14:solidFill>
          </w14:textFill>
        </w:rPr>
        <w:t>项目完成质量：</w:t>
      </w:r>
      <w:r>
        <w:rPr>
          <w:rStyle w:val="19"/>
          <w:rFonts w:hint="eastAsia" w:ascii="仿宋_GB2312" w:hAnsi="仿宋_GB2312" w:eastAsia="仿宋_GB2312" w:cs="仿宋_GB2312"/>
          <w:b w:val="0"/>
          <w:color w:val="000000" w:themeColor="text1"/>
          <w:spacing w:val="-4"/>
          <w:sz w:val="32"/>
          <w:szCs w:val="32"/>
          <w14:textFill>
            <w14:solidFill>
              <w14:schemeClr w14:val="tx1"/>
            </w14:solidFill>
          </w14:textFill>
        </w:rPr>
        <w:t>结合自治区养老院服务质量专项行动，适时掌握民办养老机构各项情况，推动民办养老机构资助工作精准化，确保实效性。</w:t>
      </w:r>
    </w:p>
    <w:p>
      <w:pPr>
        <w:pStyle w:val="2"/>
        <w:ind w:left="0" w:leftChars="0" w:firstLine="624" w:firstLineChars="200"/>
        <w:rPr>
          <w:rFonts w:hint="default" w:eastAsia="仿宋_GB2312"/>
          <w:lang w:val="en-US" w:eastAsia="zh-CN"/>
        </w:rPr>
      </w:pPr>
      <w:r>
        <w:rPr>
          <w:rStyle w:val="19"/>
          <w:rFonts w:hint="eastAsia" w:ascii="仿宋_GB2312" w:hAnsi="仿宋_GB2312" w:eastAsia="仿宋_GB2312" w:cs="仿宋_GB2312"/>
          <w:b w:val="0"/>
          <w:color w:val="000000" w:themeColor="text1"/>
          <w:spacing w:val="-4"/>
          <w:sz w:val="32"/>
          <w:szCs w:val="32"/>
          <w:lang w:eastAsia="zh-CN"/>
          <w14:textFill>
            <w14:solidFill>
              <w14:schemeClr w14:val="tx1"/>
            </w14:solidFill>
          </w14:textFill>
        </w:rPr>
        <w:t>（</w:t>
      </w:r>
      <w:r>
        <w:rPr>
          <w:rStyle w:val="19"/>
          <w:rFonts w:hint="eastAsia" w:ascii="仿宋_GB2312" w:hAnsi="仿宋_GB2312" w:eastAsia="仿宋_GB2312" w:cs="仿宋_GB2312"/>
          <w:b w:val="0"/>
          <w:color w:val="000000" w:themeColor="text1"/>
          <w:spacing w:val="-4"/>
          <w:sz w:val="32"/>
          <w:szCs w:val="32"/>
          <w:lang w:val="en-US" w:eastAsia="zh-CN"/>
          <w14:textFill>
            <w14:solidFill>
              <w14:schemeClr w14:val="tx1"/>
            </w14:solidFill>
          </w14:textFill>
        </w:rPr>
        <w:t>3</w:t>
      </w:r>
      <w:r>
        <w:rPr>
          <w:rStyle w:val="19"/>
          <w:rFonts w:hint="eastAsia" w:ascii="仿宋_GB2312" w:hAnsi="仿宋_GB2312" w:eastAsia="仿宋_GB2312" w:cs="仿宋_GB2312"/>
          <w:b w:val="0"/>
          <w:color w:val="000000" w:themeColor="text1"/>
          <w:spacing w:val="-4"/>
          <w:sz w:val="32"/>
          <w:szCs w:val="32"/>
          <w:lang w:eastAsia="zh-CN"/>
          <w14:textFill>
            <w14:solidFill>
              <w14:schemeClr w14:val="tx1"/>
            </w14:solidFill>
          </w14:textFill>
        </w:rPr>
        <w:t>）项目资金于</w:t>
      </w:r>
      <w:r>
        <w:rPr>
          <w:rStyle w:val="19"/>
          <w:rFonts w:hint="eastAsia" w:ascii="仿宋_GB2312" w:hAnsi="仿宋_GB2312" w:eastAsia="仿宋_GB2312" w:cs="仿宋_GB2312"/>
          <w:b w:val="0"/>
          <w:color w:val="000000" w:themeColor="text1"/>
          <w:spacing w:val="-4"/>
          <w:sz w:val="32"/>
          <w:szCs w:val="32"/>
          <w:lang w:val="en-US" w:eastAsia="zh-CN"/>
          <w14:textFill>
            <w14:solidFill>
              <w14:schemeClr w14:val="tx1"/>
            </w14:solidFill>
          </w14:textFill>
        </w:rPr>
        <w:t>2018年12月底全部拨付完成。</w:t>
      </w:r>
    </w:p>
    <w:p>
      <w:pPr>
        <w:spacing w:line="560" w:lineRule="exact"/>
        <w:ind w:firstLine="567" w:firstLineChars="181"/>
        <w:rPr>
          <w:rFonts w:ascii="仿宋_GB2312" w:hAnsi="楷体_GB2312" w:eastAsia="仿宋_GB2312" w:cs="楷体_GB2312"/>
          <w:b/>
          <w:bCs/>
          <w:color w:val="000000" w:themeColor="text1"/>
          <w:spacing w:val="-4"/>
          <w:sz w:val="32"/>
          <w:szCs w:val="32"/>
          <w14:textFill>
            <w14:solidFill>
              <w14:schemeClr w14:val="tx1"/>
            </w14:solidFill>
          </w14:textFill>
        </w:rPr>
      </w:pPr>
      <w:r>
        <w:rPr>
          <w:rFonts w:hint="eastAsia" w:ascii="仿宋_GB2312" w:hAnsi="楷体_GB2312" w:eastAsia="仿宋_GB2312" w:cs="楷体_GB2312"/>
          <w:b/>
          <w:bCs/>
          <w:color w:val="000000" w:themeColor="text1"/>
          <w:spacing w:val="-4"/>
          <w:sz w:val="32"/>
          <w:szCs w:val="32"/>
          <w14:textFill>
            <w14:solidFill>
              <w14:schemeClr w14:val="tx1"/>
            </w14:solidFill>
          </w14:textFill>
        </w:rPr>
        <w:t>2、效益指标完成情况分析：</w:t>
      </w:r>
    </w:p>
    <w:p>
      <w:pPr>
        <w:spacing w:line="560" w:lineRule="exact"/>
        <w:ind w:firstLine="567" w:firstLineChars="181"/>
        <w:rPr>
          <w:rFonts w:ascii="仿宋_GB2312" w:hAnsi="楷体_GB2312" w:eastAsia="仿宋_GB2312" w:cs="楷体_GB2312"/>
          <w:bCs/>
          <w:color w:val="000000" w:themeColor="text1"/>
          <w:spacing w:val="-4"/>
          <w:sz w:val="32"/>
          <w:szCs w:val="32"/>
          <w14:textFill>
            <w14:solidFill>
              <w14:schemeClr w14:val="tx1"/>
            </w14:solidFill>
          </w14:textFill>
        </w:rPr>
      </w:pPr>
      <w:r>
        <w:rPr>
          <w:rFonts w:hint="eastAsia" w:ascii="仿宋_GB2312" w:hAnsi="楷体_GB2312" w:eastAsia="仿宋_GB2312" w:cs="楷体_GB2312"/>
          <w:b/>
          <w:bCs/>
          <w:color w:val="000000" w:themeColor="text1"/>
          <w:spacing w:val="-4"/>
          <w:sz w:val="32"/>
          <w:szCs w:val="32"/>
          <w14:textFill>
            <w14:solidFill>
              <w14:schemeClr w14:val="tx1"/>
            </w14:solidFill>
          </w14:textFill>
        </w:rPr>
        <w:t>（1）项目实施的经济效益分析：</w:t>
      </w:r>
      <w:r>
        <w:rPr>
          <w:rFonts w:hint="eastAsia" w:ascii="仿宋_GB2312" w:hAnsi="楷体_GB2312" w:eastAsia="仿宋_GB2312" w:cs="楷体_GB2312"/>
          <w:bCs/>
          <w:color w:val="000000" w:themeColor="text1"/>
          <w:spacing w:val="-4"/>
          <w:sz w:val="32"/>
          <w:szCs w:val="32"/>
          <w14:textFill>
            <w14:solidFill>
              <w14:schemeClr w14:val="tx1"/>
            </w14:solidFill>
          </w14:textFill>
        </w:rPr>
        <w:t>促进了民办养老机构健康发展，养老服务市场环境得到进一步繁荣。</w:t>
      </w:r>
    </w:p>
    <w:p>
      <w:pPr>
        <w:spacing w:line="560" w:lineRule="exact"/>
        <w:ind w:firstLine="567" w:firstLineChars="181"/>
        <w:rPr>
          <w:rFonts w:ascii="仿宋_GB2312" w:hAnsi="楷体_GB2312" w:eastAsia="仿宋_GB2312" w:cs="楷体_GB2312"/>
          <w:bCs/>
          <w:color w:val="000000" w:themeColor="text1"/>
          <w:spacing w:val="-4"/>
          <w:sz w:val="32"/>
          <w:szCs w:val="32"/>
          <w14:textFill>
            <w14:solidFill>
              <w14:schemeClr w14:val="tx1"/>
            </w14:solidFill>
          </w14:textFill>
        </w:rPr>
      </w:pPr>
      <w:r>
        <w:rPr>
          <w:rFonts w:hint="eastAsia" w:ascii="仿宋_GB2312" w:hAnsi="楷体_GB2312" w:eastAsia="仿宋_GB2312" w:cs="楷体_GB2312"/>
          <w:b/>
          <w:bCs/>
          <w:color w:val="000000" w:themeColor="text1"/>
          <w:spacing w:val="-4"/>
          <w:sz w:val="32"/>
          <w:szCs w:val="32"/>
          <w14:textFill>
            <w14:solidFill>
              <w14:schemeClr w14:val="tx1"/>
            </w14:solidFill>
          </w14:textFill>
        </w:rPr>
        <w:t>（2）项目实施的社会效益分析：</w:t>
      </w:r>
      <w:r>
        <w:rPr>
          <w:rFonts w:hint="eastAsia" w:ascii="仿宋_GB2312" w:hAnsi="楷体_GB2312" w:eastAsia="仿宋_GB2312" w:cs="楷体_GB2312"/>
          <w:bCs/>
          <w:color w:val="000000" w:themeColor="text1"/>
          <w:spacing w:val="-4"/>
          <w:sz w:val="32"/>
          <w:szCs w:val="32"/>
          <w14:textFill>
            <w14:solidFill>
              <w14:schemeClr w14:val="tx1"/>
            </w14:solidFill>
          </w14:textFill>
        </w:rPr>
        <w:t>社会力量参与养老服务业发展的积极性</w:t>
      </w:r>
      <w:r>
        <w:rPr>
          <w:rFonts w:hint="eastAsia" w:ascii="仿宋_GB2312" w:hAnsi="楷体_GB2312" w:eastAsia="仿宋_GB2312" w:cs="楷体_GB2312"/>
          <w:bCs/>
          <w:color w:val="000000" w:themeColor="text1"/>
          <w:spacing w:val="-4"/>
          <w:sz w:val="32"/>
          <w:szCs w:val="32"/>
          <w14:textFill>
            <w14:solidFill>
              <w14:schemeClr w14:val="tx1"/>
            </w14:solidFill>
          </w14:textFill>
        </w:rPr>
        <w:tab/>
      </w:r>
      <w:r>
        <w:rPr>
          <w:rFonts w:hint="eastAsia" w:ascii="仿宋_GB2312" w:hAnsi="楷体_GB2312" w:eastAsia="仿宋_GB2312" w:cs="楷体_GB2312"/>
          <w:bCs/>
          <w:color w:val="000000" w:themeColor="text1"/>
          <w:spacing w:val="-4"/>
          <w:sz w:val="32"/>
          <w:szCs w:val="32"/>
          <w14:textFill>
            <w14:solidFill>
              <w14:schemeClr w14:val="tx1"/>
            </w14:solidFill>
          </w14:textFill>
        </w:rPr>
        <w:t>不断提高。</w:t>
      </w:r>
    </w:p>
    <w:p>
      <w:pPr>
        <w:spacing w:line="560" w:lineRule="exact"/>
        <w:ind w:firstLine="567" w:firstLineChars="181"/>
        <w:rPr>
          <w:rFonts w:ascii="仿宋_GB2312" w:hAnsi="楷体_GB2312" w:eastAsia="仿宋_GB2312" w:cs="楷体_GB2312"/>
          <w:bCs/>
          <w:color w:val="000000" w:themeColor="text1"/>
          <w:spacing w:val="-4"/>
          <w:sz w:val="32"/>
          <w:szCs w:val="32"/>
          <w14:textFill>
            <w14:solidFill>
              <w14:schemeClr w14:val="tx1"/>
            </w14:solidFill>
          </w14:textFill>
        </w:rPr>
      </w:pPr>
      <w:r>
        <w:rPr>
          <w:rFonts w:hint="eastAsia" w:ascii="仿宋_GB2312" w:hAnsi="楷体_GB2312" w:eastAsia="仿宋_GB2312" w:cs="楷体_GB2312"/>
          <w:b/>
          <w:bCs/>
          <w:color w:val="000000" w:themeColor="text1"/>
          <w:spacing w:val="-4"/>
          <w:sz w:val="32"/>
          <w:szCs w:val="32"/>
          <w14:textFill>
            <w14:solidFill>
              <w14:schemeClr w14:val="tx1"/>
            </w14:solidFill>
          </w14:textFill>
        </w:rPr>
        <w:t>（3）项目实施的可持续性分析：</w:t>
      </w:r>
      <w:r>
        <w:rPr>
          <w:rFonts w:hint="eastAsia" w:ascii="仿宋_GB2312" w:hAnsi="楷体_GB2312" w:eastAsia="仿宋_GB2312" w:cs="楷体_GB2312"/>
          <w:bCs/>
          <w:color w:val="000000" w:themeColor="text1"/>
          <w:spacing w:val="-4"/>
          <w:sz w:val="32"/>
          <w:szCs w:val="32"/>
          <w14:textFill>
            <w14:solidFill>
              <w14:schemeClr w14:val="tx1"/>
            </w14:solidFill>
          </w14:textFill>
        </w:rPr>
        <w:t>养老服务质量和管理水平逐步提升</w:t>
      </w:r>
    </w:p>
    <w:p>
      <w:pPr>
        <w:spacing w:line="560" w:lineRule="exact"/>
        <w:ind w:firstLine="567" w:firstLineChars="181"/>
        <w:rPr>
          <w:rStyle w:val="19"/>
          <w:rFonts w:ascii="仿宋_GB2312" w:hAnsi="仿宋_GB2312" w:eastAsia="仿宋_GB2312" w:cs="仿宋_GB2312"/>
          <w:b w:val="0"/>
          <w:color w:val="000000" w:themeColor="text1"/>
          <w:spacing w:val="-4"/>
          <w:sz w:val="32"/>
          <w:szCs w:val="32"/>
          <w14:textFill>
            <w14:solidFill>
              <w14:schemeClr w14:val="tx1"/>
            </w14:solidFill>
          </w14:textFill>
        </w:rPr>
      </w:pPr>
      <w:r>
        <w:rPr>
          <w:rFonts w:hint="eastAsia" w:ascii="仿宋_GB2312" w:hAnsi="楷体_GB2312" w:eastAsia="仿宋_GB2312" w:cs="楷体_GB2312"/>
          <w:b/>
          <w:bCs/>
          <w:color w:val="000000" w:themeColor="text1"/>
          <w:spacing w:val="-4"/>
          <w:sz w:val="32"/>
          <w:szCs w:val="32"/>
          <w14:textFill>
            <w14:solidFill>
              <w14:schemeClr w14:val="tx1"/>
            </w14:solidFill>
          </w14:textFill>
        </w:rPr>
        <w:t>（二）项目绩效目标未完成原因分析。</w:t>
      </w:r>
      <w:r>
        <w:rPr>
          <w:rStyle w:val="19"/>
          <w:rFonts w:hint="eastAsia" w:ascii="仿宋_GB2312" w:hAnsi="仿宋_GB2312" w:eastAsia="仿宋_GB2312" w:cs="仿宋_GB2312"/>
          <w:b w:val="0"/>
          <w:color w:val="000000" w:themeColor="text1"/>
          <w:spacing w:val="-4"/>
          <w:sz w:val="32"/>
          <w:szCs w:val="32"/>
          <w14:textFill>
            <w14:solidFill>
              <w14:schemeClr w14:val="tx1"/>
            </w14:solidFill>
          </w14:textFill>
        </w:rPr>
        <w:t>项目绩效目标按季度有序完成。</w:t>
      </w:r>
    </w:p>
    <w:p>
      <w:pPr>
        <w:spacing w:line="560" w:lineRule="exact"/>
        <w:ind w:firstLine="640"/>
        <w:rPr>
          <w:rStyle w:val="19"/>
          <w:rFonts w:ascii="黑体" w:hAnsi="黑体" w:eastAsia="黑体" w:cs="黑体"/>
          <w:b w:val="0"/>
          <w:color w:val="000000" w:themeColor="text1"/>
          <w:spacing w:val="-4"/>
          <w:sz w:val="32"/>
          <w:szCs w:val="32"/>
          <w14:textFill>
            <w14:solidFill>
              <w14:schemeClr w14:val="tx1"/>
            </w14:solidFill>
          </w14:textFill>
        </w:rPr>
      </w:pPr>
      <w:r>
        <w:rPr>
          <w:rStyle w:val="19"/>
          <w:rFonts w:hint="eastAsia" w:ascii="黑体" w:hAnsi="黑体" w:eastAsia="黑体" w:cs="黑体"/>
          <w:b w:val="0"/>
          <w:color w:val="000000" w:themeColor="text1"/>
          <w:spacing w:val="-4"/>
          <w:sz w:val="32"/>
          <w:szCs w:val="32"/>
          <w14:textFill>
            <w14:solidFill>
              <w14:schemeClr w14:val="tx1"/>
            </w14:solidFill>
          </w14:textFill>
        </w:rPr>
        <w:t>五、其他需要说明的问题</w:t>
      </w:r>
    </w:p>
    <w:p>
      <w:pPr>
        <w:spacing w:line="560" w:lineRule="exact"/>
        <w:ind w:firstLine="627" w:firstLineChars="200"/>
        <w:rPr>
          <w:rStyle w:val="19"/>
          <w:rFonts w:ascii="仿宋_GB2312" w:hAnsi="仿宋_GB2312" w:eastAsia="仿宋_GB2312" w:cs="仿宋_GB2312"/>
          <w:b w:val="0"/>
          <w:color w:val="000000" w:themeColor="text1"/>
          <w:spacing w:val="-4"/>
          <w:sz w:val="32"/>
          <w:szCs w:val="32"/>
          <w14:textFill>
            <w14:solidFill>
              <w14:schemeClr w14:val="tx1"/>
            </w14:solidFill>
          </w14:textFill>
        </w:rPr>
      </w:pPr>
      <w:r>
        <w:rPr>
          <w:rFonts w:hint="eastAsia" w:ascii="楷体_GB2312" w:hAnsi="楷体_GB2312" w:eastAsia="楷体_GB2312" w:cs="楷体_GB2312"/>
          <w:b/>
          <w:bCs/>
          <w:color w:val="000000" w:themeColor="text1"/>
          <w:spacing w:val="-4"/>
          <w:sz w:val="32"/>
          <w:szCs w:val="32"/>
          <w14:textFill>
            <w14:solidFill>
              <w14:schemeClr w14:val="tx1"/>
            </w14:solidFill>
          </w14:textFill>
        </w:rPr>
        <w:t>（一）后续工作计划。</w:t>
      </w:r>
      <w:r>
        <w:rPr>
          <w:rStyle w:val="19"/>
          <w:rFonts w:hint="eastAsia" w:ascii="仿宋_GB2312" w:hAnsi="仿宋_GB2312" w:eastAsia="仿宋_GB2312" w:cs="仿宋_GB2312"/>
          <w:b w:val="0"/>
          <w:color w:val="000000" w:themeColor="text1"/>
          <w:spacing w:val="-4"/>
          <w:sz w:val="32"/>
          <w:szCs w:val="32"/>
          <w14:textFill>
            <w14:solidFill>
              <w14:schemeClr w14:val="tx1"/>
            </w14:solidFill>
          </w14:textFill>
        </w:rPr>
        <w:t>下一步我厅将结合自治区养老院服务质量专项行动，加大对民办养老机构年度资助工作的指导力度，精准核查补助对象，严格控制各地资金使用范围、途径。确保自治区补助资金发放及时、到位及时、资助有效。</w:t>
      </w:r>
    </w:p>
    <w:p>
      <w:pPr>
        <w:spacing w:line="560" w:lineRule="exact"/>
        <w:ind w:firstLine="642"/>
        <w:rPr>
          <w:rStyle w:val="19"/>
          <w:rFonts w:ascii="仿宋_GB2312" w:hAnsi="仿宋_GB2312" w:eastAsia="仿宋_GB2312" w:cs="仿宋_GB2312"/>
          <w:b w:val="0"/>
          <w:color w:val="000000" w:themeColor="text1"/>
          <w:spacing w:val="-4"/>
          <w:sz w:val="32"/>
          <w:szCs w:val="32"/>
          <w14:textFill>
            <w14:solidFill>
              <w14:schemeClr w14:val="tx1"/>
            </w14:solidFill>
          </w14:textFill>
        </w:rPr>
      </w:pPr>
      <w:r>
        <w:rPr>
          <w:rFonts w:hint="eastAsia" w:ascii="楷体_GB2312" w:hAnsi="楷体_GB2312" w:eastAsia="楷体_GB2312" w:cs="楷体_GB2312"/>
          <w:b/>
          <w:bCs/>
          <w:color w:val="000000" w:themeColor="text1"/>
          <w:spacing w:val="-4"/>
          <w:sz w:val="32"/>
          <w:szCs w:val="32"/>
          <w14:textFill>
            <w14:solidFill>
              <w14:schemeClr w14:val="tx1"/>
            </w14:solidFill>
          </w14:textFill>
        </w:rPr>
        <w:t>（二）主要经验及做法。</w:t>
      </w:r>
      <w:r>
        <w:rPr>
          <w:rFonts w:hint="eastAsia" w:ascii="仿宋_GB2312" w:hAnsi="仿宋_GB2312" w:eastAsia="仿宋_GB2312" w:cs="仿宋_GB2312"/>
          <w:b/>
          <w:bCs/>
          <w:color w:val="000000" w:themeColor="text1"/>
          <w:kern w:val="0"/>
          <w:sz w:val="32"/>
          <w:szCs w:val="32"/>
          <w14:textFill>
            <w14:solidFill>
              <w14:schemeClr w14:val="tx1"/>
            </w14:solidFill>
          </w14:textFill>
        </w:rPr>
        <w:t>一是领导重视，周密部署。</w:t>
      </w:r>
      <w:r>
        <w:rPr>
          <w:rStyle w:val="19"/>
          <w:rFonts w:hint="eastAsia" w:ascii="仿宋_GB2312" w:hAnsi="仿宋_GB2312" w:eastAsia="仿宋_GB2312" w:cs="仿宋_GB2312"/>
          <w:b w:val="0"/>
          <w:color w:val="000000" w:themeColor="text1"/>
          <w:spacing w:val="-4"/>
          <w:sz w:val="32"/>
          <w:szCs w:val="32"/>
          <w14:textFill>
            <w14:solidFill>
              <w14:schemeClr w14:val="tx1"/>
            </w14:solidFill>
          </w14:textFill>
        </w:rPr>
        <w:t>各级民政部门对民办养老机构资助工作高度重视，认真执行自治区党委、人民政府的有关要求，严格按照自治区《民办养老机构资助办法》，开展民办养老机构资助工作，取得了良好的社会效果。</w:t>
      </w:r>
      <w:r>
        <w:rPr>
          <w:rFonts w:hint="eastAsia" w:ascii="仿宋_GB2312" w:hAnsi="仿宋_GB2312" w:eastAsia="仿宋_GB2312" w:cs="仿宋_GB2312"/>
          <w:b/>
          <w:bCs/>
          <w:color w:val="000000" w:themeColor="text1"/>
          <w:sz w:val="32"/>
          <w:szCs w:val="32"/>
          <w14:textFill>
            <w14:solidFill>
              <w14:schemeClr w14:val="tx1"/>
            </w14:solidFill>
          </w14:textFill>
        </w:rPr>
        <w:t>二是聚焦质量建设，精准施策。</w:t>
      </w:r>
      <w:r>
        <w:rPr>
          <w:rFonts w:hint="eastAsia" w:ascii="仿宋_GB2312" w:hAnsi="仿宋_GB2312" w:eastAsia="仿宋_GB2312" w:cs="仿宋_GB2312"/>
          <w:color w:val="000000" w:themeColor="text1"/>
          <w:sz w:val="32"/>
          <w:szCs w:val="32"/>
          <w14:textFill>
            <w14:solidFill>
              <w14:schemeClr w14:val="tx1"/>
            </w14:solidFill>
          </w14:textFill>
        </w:rPr>
        <w:t>重点针对我区民办养老机构质量问题，不断加大对民办养老机构的质量建设指导力度和监管力度。连续两年从民办非营利养老服务机构年检资助工作入手，明确对质量不达标的民办非营利养老机构不予年度资助，确保营业的民办养老机构、质量达标、服务有保障。</w:t>
      </w:r>
    </w:p>
    <w:p>
      <w:pPr>
        <w:spacing w:line="560" w:lineRule="exact"/>
        <w:ind w:firstLine="643" w:firstLineChars="200"/>
        <w:rPr>
          <w:rStyle w:val="19"/>
          <w:rFonts w:ascii="仿宋_GB2312" w:hAnsi="仿宋_GB2312" w:eastAsia="仿宋_GB2312" w:cs="仿宋_GB2312"/>
          <w:b w:val="0"/>
          <w:color w:val="000000" w:themeColor="text1"/>
          <w:spacing w:val="-4"/>
          <w:sz w:val="32"/>
          <w:szCs w:val="32"/>
          <w14:textFill>
            <w14:solidFill>
              <w14:schemeClr w14:val="tx1"/>
            </w14:solidFill>
          </w14:textFill>
        </w:rPr>
      </w:pPr>
      <w:r>
        <w:rPr>
          <w:rFonts w:hint="eastAsia" w:ascii="楷体_GB2312" w:hAnsi="楷体_GB2312" w:eastAsia="楷体_GB2312" w:cs="楷体_GB2312"/>
          <w:b/>
          <w:bCs/>
          <w:color w:val="000000" w:themeColor="text1"/>
          <w:kern w:val="0"/>
          <w:sz w:val="32"/>
          <w:szCs w:val="32"/>
          <w14:textFill>
            <w14:solidFill>
              <w14:schemeClr w14:val="tx1"/>
            </w14:solidFill>
          </w14:textFill>
        </w:rPr>
        <w:t>(三)存在的问题。</w:t>
      </w:r>
      <w:r>
        <w:rPr>
          <w:rStyle w:val="19"/>
          <w:rFonts w:hint="eastAsia" w:ascii="仿宋_GB2312" w:hAnsi="仿宋_GB2312" w:eastAsia="仿宋_GB2312" w:cs="仿宋_GB2312"/>
          <w:b w:val="0"/>
          <w:color w:val="000000" w:themeColor="text1"/>
          <w:spacing w:val="-4"/>
          <w:sz w:val="32"/>
          <w:szCs w:val="32"/>
          <w14:textFill>
            <w14:solidFill>
              <w14:schemeClr w14:val="tx1"/>
            </w14:solidFill>
          </w14:textFill>
        </w:rPr>
        <w:t>随着养老需求刚性需求增加，国家对民办养老机构扶持力度加大，养老产业作为“朝阳产业”，发展前景向好，社会各界投入积极性空前高涨，各类民办养老机构迅速增加。但在发展过程中由于物价不断上涨、人工成本逐年增加，水、电、暖支出额度大。导致不少民办机构经费紧张，周转困难，有的甚至负债经营，可持续生存能力普遍较弱。5年未提标的民办非营利养老机构一次性开办补贴和运营补贴政策对激发社会力量投身养老服务业发展的激励作用正逐年减退。</w:t>
      </w:r>
    </w:p>
    <w:p>
      <w:pPr>
        <w:widowControl/>
        <w:spacing w:line="560" w:lineRule="exact"/>
        <w:ind w:firstLine="642"/>
        <w:rPr>
          <w:rFonts w:ascii="楷体_GB2312" w:hAnsi="楷体_GB2312" w:eastAsia="楷体_GB2312" w:cs="楷体_GB2312"/>
          <w:b/>
          <w:bCs/>
          <w:color w:val="000000" w:themeColor="text1"/>
          <w:sz w:val="32"/>
          <w:szCs w:val="32"/>
          <w14:textFill>
            <w14:solidFill>
              <w14:schemeClr w14:val="tx1"/>
            </w14:solidFill>
          </w14:textFill>
        </w:rPr>
      </w:pPr>
      <w:r>
        <w:rPr>
          <w:rFonts w:hint="eastAsia" w:ascii="楷体_GB2312" w:hAnsi="楷体_GB2312" w:eastAsia="楷体_GB2312" w:cs="楷体_GB2312"/>
          <w:b/>
          <w:bCs/>
          <w:color w:val="000000" w:themeColor="text1"/>
          <w:sz w:val="32"/>
          <w:szCs w:val="32"/>
          <w14:textFill>
            <w14:solidFill>
              <w14:schemeClr w14:val="tx1"/>
            </w14:solidFill>
          </w14:textFill>
        </w:rPr>
        <w:t>（四）其他。</w:t>
      </w:r>
    </w:p>
    <w:p>
      <w:pPr>
        <w:widowControl/>
        <w:spacing w:line="560" w:lineRule="exact"/>
        <w:ind w:firstLine="640"/>
        <w:rPr>
          <w:rFonts w:ascii="仿宋_GB2312" w:hAnsi="仿宋_GB2312" w:eastAsia="仿宋_GB2312" w:cs="仿宋_GB2312"/>
          <w:b/>
          <w:bCs/>
          <w:color w:val="000000" w:themeColor="text1"/>
          <w:sz w:val="32"/>
          <w:szCs w:val="32"/>
          <w14:textFill>
            <w14:solidFill>
              <w14:schemeClr w14:val="tx1"/>
            </w14:solidFill>
          </w14:textFill>
        </w:rPr>
      </w:pPr>
      <w:r>
        <w:rPr>
          <w:rFonts w:hint="eastAsia" w:ascii="仿宋_GB2312" w:hAnsi="仿宋_GB2312" w:eastAsia="仿宋_GB2312" w:cs="仿宋_GB2312"/>
          <w:b/>
          <w:bCs/>
          <w:color w:val="000000" w:themeColor="text1"/>
          <w:sz w:val="32"/>
          <w:szCs w:val="32"/>
          <w14:textFill>
            <w14:solidFill>
              <w14:schemeClr w14:val="tx1"/>
            </w14:solidFill>
          </w14:textFill>
        </w:rPr>
        <w:t xml:space="preserve"> 建议：</w:t>
      </w:r>
      <w:r>
        <w:rPr>
          <w:rFonts w:hint="eastAsia" w:ascii="仿宋_GB2312" w:hAnsi="仿宋_GB2312" w:eastAsia="仿宋_GB2312" w:cs="仿宋_GB2312"/>
          <w:color w:val="000000" w:themeColor="text1"/>
          <w:sz w:val="32"/>
          <w:szCs w:val="32"/>
          <w14:textFill>
            <w14:solidFill>
              <w14:schemeClr w14:val="tx1"/>
            </w14:solidFill>
          </w14:textFill>
        </w:rPr>
        <w:t>根据自治区经济社会发展步伐，适时调整民办养老机构资助补贴标准。</w:t>
      </w:r>
    </w:p>
    <w:p>
      <w:pPr>
        <w:spacing w:line="560" w:lineRule="exact"/>
        <w:ind w:firstLine="640"/>
        <w:rPr>
          <w:rStyle w:val="19"/>
          <w:rFonts w:ascii="黑体" w:hAnsi="黑体" w:eastAsia="黑体" w:cs="黑体"/>
          <w:b w:val="0"/>
          <w:color w:val="000000" w:themeColor="text1"/>
          <w:spacing w:val="-4"/>
          <w:sz w:val="32"/>
          <w:szCs w:val="32"/>
          <w14:textFill>
            <w14:solidFill>
              <w14:schemeClr w14:val="tx1"/>
            </w14:solidFill>
          </w14:textFill>
        </w:rPr>
      </w:pPr>
      <w:r>
        <w:rPr>
          <w:rStyle w:val="19"/>
          <w:rFonts w:hint="eastAsia" w:ascii="黑体" w:hAnsi="黑体" w:eastAsia="黑体" w:cs="黑体"/>
          <w:b w:val="0"/>
          <w:color w:val="000000" w:themeColor="text1"/>
          <w:spacing w:val="-4"/>
          <w:sz w:val="32"/>
          <w:szCs w:val="32"/>
          <w14:textFill>
            <w14:solidFill>
              <w14:schemeClr w14:val="tx1"/>
            </w14:solidFill>
          </w14:textFill>
        </w:rPr>
        <w:t>六、项目评价工作情况</w:t>
      </w:r>
    </w:p>
    <w:p>
      <w:pPr>
        <w:spacing w:line="560" w:lineRule="exact"/>
        <w:ind w:firstLine="624" w:firstLineChars="200"/>
        <w:rPr>
          <w:rStyle w:val="19"/>
          <w:rFonts w:ascii="仿宋_GB2312" w:hAnsi="仿宋_GB2312" w:eastAsia="仿宋_GB2312" w:cs="仿宋_GB2312"/>
          <w:b w:val="0"/>
          <w:color w:val="000000" w:themeColor="text1"/>
          <w:spacing w:val="-4"/>
          <w:sz w:val="32"/>
          <w:szCs w:val="32"/>
          <w14:textFill>
            <w14:solidFill>
              <w14:schemeClr w14:val="tx1"/>
            </w14:solidFill>
          </w14:textFill>
        </w:rPr>
      </w:pPr>
      <w:r>
        <w:rPr>
          <w:rStyle w:val="19"/>
          <w:rFonts w:hint="eastAsia" w:ascii="仿宋_GB2312" w:hAnsi="仿宋_GB2312" w:eastAsia="仿宋_GB2312" w:cs="仿宋_GB2312"/>
          <w:b w:val="0"/>
          <w:color w:val="000000" w:themeColor="text1"/>
          <w:spacing w:val="-4"/>
          <w:sz w:val="32"/>
          <w:szCs w:val="32"/>
          <w14:textFill>
            <w14:solidFill>
              <w14:schemeClr w14:val="tx1"/>
            </w14:solidFill>
          </w14:textFill>
        </w:rPr>
        <w:t>积极做好民办非营利养老机构年度资助工作，是激发市场活力，提升社会力量参与养老服务业发展积极性具有有力举措，对于推进养老服务业发展，积极应对人口老龄化具有重要意义。目前，2018年度民办非营利养老机构自治区资助工作基本达到了预期目标：资助资料真实、完整、及时，资助程序规范，符合相关规定。政策执行有力、资金落实到位、资金使用规范透明、对项目的监督及时准确，资金使用合理、效果显著。</w:t>
      </w:r>
    </w:p>
    <w:p>
      <w:pPr>
        <w:spacing w:line="560" w:lineRule="exact"/>
        <w:ind w:firstLine="640"/>
        <w:rPr>
          <w:rStyle w:val="19"/>
          <w:rFonts w:ascii="黑体" w:hAnsi="黑体" w:eastAsia="黑体" w:cs="黑体"/>
          <w:b w:val="0"/>
          <w:color w:val="000000" w:themeColor="text1"/>
          <w:spacing w:val="-4"/>
          <w:sz w:val="32"/>
          <w:szCs w:val="32"/>
          <w14:textFill>
            <w14:solidFill>
              <w14:schemeClr w14:val="tx1"/>
            </w14:solidFill>
          </w14:textFill>
        </w:rPr>
      </w:pPr>
      <w:r>
        <w:rPr>
          <w:rStyle w:val="19"/>
          <w:rFonts w:hint="eastAsia" w:ascii="黑体" w:hAnsi="黑体" w:eastAsia="黑体" w:cs="黑体"/>
          <w:b w:val="0"/>
          <w:color w:val="000000" w:themeColor="text1"/>
          <w:spacing w:val="-4"/>
          <w:sz w:val="32"/>
          <w:szCs w:val="32"/>
          <w14:textFill>
            <w14:solidFill>
              <w14:schemeClr w14:val="tx1"/>
            </w14:solidFill>
          </w14:textFill>
        </w:rPr>
        <w:t>七、附表</w:t>
      </w:r>
      <w:bookmarkStart w:id="0" w:name="_GoBack"/>
      <w:bookmarkEnd w:id="0"/>
    </w:p>
    <w:p>
      <w:pPr>
        <w:spacing w:line="560" w:lineRule="exact"/>
        <w:ind w:firstLine="567"/>
        <w:rPr>
          <w:rStyle w:val="19"/>
          <w:rFonts w:ascii="仿宋_GB2312" w:hAnsi="仿宋_GB2312" w:eastAsia="仿宋_GB2312" w:cs="仿宋_GB2312"/>
          <w:b w:val="0"/>
          <w:color w:val="000000" w:themeColor="text1"/>
          <w:spacing w:val="-4"/>
          <w:sz w:val="32"/>
          <w:szCs w:val="32"/>
          <w14:textFill>
            <w14:solidFill>
              <w14:schemeClr w14:val="tx1"/>
            </w14:solidFill>
          </w14:textFill>
        </w:rPr>
      </w:pPr>
      <w:r>
        <w:rPr>
          <w:rStyle w:val="19"/>
          <w:rFonts w:hint="eastAsia" w:ascii="仿宋_GB2312" w:hAnsi="仿宋_GB2312" w:eastAsia="仿宋_GB2312" w:cs="仿宋_GB2312"/>
          <w:b w:val="0"/>
          <w:color w:val="000000" w:themeColor="text1"/>
          <w:spacing w:val="-4"/>
          <w:sz w:val="32"/>
          <w:szCs w:val="32"/>
          <w14:textFill>
            <w14:solidFill>
              <w14:schemeClr w14:val="tx1"/>
            </w14:solidFill>
          </w14:textFill>
        </w:rPr>
        <w:t>《自治区财政项目支出绩效自评表》</w:t>
      </w:r>
    </w:p>
    <w:tbl>
      <w:tblPr>
        <w:tblStyle w:val="21"/>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color w:val="000000" w:themeColor="text1"/>
                <w:kern w:val="0"/>
                <w:sz w:val="32"/>
                <w:szCs w:val="32"/>
                <w14:textFill>
                  <w14:solidFill>
                    <w14:schemeClr w14:val="tx1"/>
                  </w14:solidFill>
                </w14:textFill>
              </w:rPr>
            </w:pPr>
          </w:p>
          <w:p>
            <w:pPr>
              <w:widowControl/>
              <w:jc w:val="center"/>
              <w:rPr>
                <w:rFonts w:ascii="宋体" w:hAnsi="宋体" w:cs="宋体"/>
                <w:b/>
                <w:bCs/>
                <w:color w:val="000000" w:themeColor="text1"/>
                <w:kern w:val="0"/>
                <w:sz w:val="32"/>
                <w:szCs w:val="32"/>
                <w14:textFill>
                  <w14:solidFill>
                    <w14:schemeClr w14:val="tx1"/>
                  </w14:solidFill>
                </w14:textFill>
              </w:rPr>
            </w:pPr>
          </w:p>
          <w:p>
            <w:pPr>
              <w:pStyle w:val="2"/>
              <w:rPr>
                <w:rFonts w:ascii="宋体" w:hAnsi="宋体" w:cs="宋体"/>
                <w:b/>
                <w:bCs/>
                <w:color w:val="000000" w:themeColor="text1"/>
                <w:kern w:val="0"/>
                <w:sz w:val="32"/>
                <w:szCs w:val="32"/>
                <w14:textFill>
                  <w14:solidFill>
                    <w14:schemeClr w14:val="tx1"/>
                  </w14:solidFill>
                </w14:textFill>
              </w:rPr>
            </w:pPr>
          </w:p>
          <w:p>
            <w:pPr>
              <w:pStyle w:val="2"/>
              <w:rPr>
                <w:rFonts w:ascii="宋体" w:hAnsi="宋体" w:cs="宋体"/>
                <w:b/>
                <w:bCs/>
                <w:color w:val="000000" w:themeColor="text1"/>
                <w:kern w:val="0"/>
                <w:sz w:val="32"/>
                <w:szCs w:val="32"/>
                <w14:textFill>
                  <w14:solidFill>
                    <w14:schemeClr w14:val="tx1"/>
                  </w14:solidFill>
                </w14:textFill>
              </w:rPr>
            </w:pPr>
          </w:p>
          <w:p>
            <w:pPr>
              <w:pStyle w:val="2"/>
              <w:rPr>
                <w:rFonts w:ascii="宋体" w:hAnsi="宋体" w:cs="宋体"/>
                <w:b/>
                <w:bCs/>
                <w:color w:val="000000" w:themeColor="text1"/>
                <w:kern w:val="0"/>
                <w:sz w:val="32"/>
                <w:szCs w:val="32"/>
                <w14:textFill>
                  <w14:solidFill>
                    <w14:schemeClr w14:val="tx1"/>
                  </w14:solidFill>
                </w14:textFill>
              </w:rPr>
            </w:pPr>
          </w:p>
          <w:p>
            <w:pPr>
              <w:pStyle w:val="2"/>
              <w:rPr>
                <w:rFonts w:ascii="宋体" w:hAnsi="宋体" w:cs="宋体"/>
                <w:b/>
                <w:bCs/>
                <w:color w:val="000000" w:themeColor="text1"/>
                <w:kern w:val="0"/>
                <w:sz w:val="32"/>
                <w:szCs w:val="32"/>
                <w14:textFill>
                  <w14:solidFill>
                    <w14:schemeClr w14:val="tx1"/>
                  </w14:solidFill>
                </w14:textFill>
              </w:rPr>
            </w:pPr>
          </w:p>
          <w:p>
            <w:pPr>
              <w:pStyle w:val="2"/>
              <w:rPr>
                <w:rFonts w:ascii="宋体" w:hAnsi="宋体" w:cs="宋体"/>
                <w:b/>
                <w:bCs/>
                <w:color w:val="000000" w:themeColor="text1"/>
                <w:kern w:val="0"/>
                <w:sz w:val="32"/>
                <w:szCs w:val="32"/>
                <w14:textFill>
                  <w14:solidFill>
                    <w14:schemeClr w14:val="tx1"/>
                  </w14:solidFill>
                </w14:textFill>
              </w:rPr>
            </w:pPr>
          </w:p>
          <w:p>
            <w:pPr>
              <w:pStyle w:val="2"/>
              <w:rPr>
                <w:rFonts w:ascii="宋体" w:hAnsi="宋体" w:cs="宋体"/>
                <w:b/>
                <w:bCs/>
                <w:color w:val="000000" w:themeColor="text1"/>
                <w:kern w:val="0"/>
                <w:sz w:val="32"/>
                <w:szCs w:val="32"/>
                <w14:textFill>
                  <w14:solidFill>
                    <w14:schemeClr w14:val="tx1"/>
                  </w14:solidFill>
                </w14:textFill>
              </w:rPr>
            </w:pPr>
          </w:p>
          <w:p>
            <w:pPr>
              <w:pStyle w:val="2"/>
              <w:rPr>
                <w:rFonts w:ascii="宋体" w:hAnsi="宋体" w:cs="宋体"/>
                <w:b/>
                <w:bCs/>
                <w:color w:val="000000" w:themeColor="text1"/>
                <w:kern w:val="0"/>
                <w:sz w:val="32"/>
                <w:szCs w:val="32"/>
                <w14:textFill>
                  <w14:solidFill>
                    <w14:schemeClr w14:val="tx1"/>
                  </w14:solidFill>
                </w14:textFill>
              </w:rPr>
            </w:pPr>
          </w:p>
          <w:p>
            <w:pPr>
              <w:pStyle w:val="2"/>
              <w:rPr>
                <w:rFonts w:ascii="宋体" w:hAnsi="宋体" w:cs="宋体"/>
                <w:b/>
                <w:bCs/>
                <w:color w:val="000000" w:themeColor="text1"/>
                <w:kern w:val="0"/>
                <w:sz w:val="32"/>
                <w:szCs w:val="32"/>
                <w14:textFill>
                  <w14:solidFill>
                    <w14:schemeClr w14:val="tx1"/>
                  </w14:solidFill>
                </w14:textFill>
              </w:rPr>
            </w:pPr>
          </w:p>
          <w:p>
            <w:pPr>
              <w:widowControl/>
              <w:jc w:val="center"/>
              <w:rPr>
                <w:rFonts w:ascii="宋体" w:hAnsi="宋体" w:cs="宋体"/>
                <w:b/>
                <w:bCs/>
                <w:color w:val="000000" w:themeColor="text1"/>
                <w:kern w:val="0"/>
                <w:sz w:val="32"/>
                <w:szCs w:val="32"/>
                <w14:textFill>
                  <w14:solidFill>
                    <w14:schemeClr w14:val="tx1"/>
                  </w14:solidFill>
                </w14:textFill>
              </w:rPr>
            </w:pPr>
            <w:r>
              <w:rPr>
                <w:rFonts w:hint="eastAsia" w:ascii="宋体" w:hAnsi="宋体" w:cs="宋体"/>
                <w:b/>
                <w:bCs/>
                <w:color w:val="000000" w:themeColor="text1"/>
                <w:kern w:val="0"/>
                <w:sz w:val="32"/>
                <w:szCs w:val="32"/>
                <w14:textFill>
                  <w14:solidFill>
                    <w14:schemeClr w14:val="tx1"/>
                  </w14:solidFill>
                </w14:textFill>
              </w:rPr>
              <w:t>自治区财政项目支出绩效自评表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w:t>
            </w:r>
            <w:r>
              <w:rPr>
                <w:color w:val="000000" w:themeColor="text1"/>
                <w:kern w:val="0"/>
                <w:sz w:val="24"/>
                <w14:textFill>
                  <w14:solidFill>
                    <w14:schemeClr w14:val="tx1"/>
                  </w14:solidFill>
                </w14:textFill>
              </w:rPr>
              <w:t xml:space="preserve"> </w:t>
            </w:r>
            <w:r>
              <w:rPr>
                <w:rFonts w:hint="eastAsia"/>
                <w:color w:val="000000" w:themeColor="text1"/>
                <w:kern w:val="0"/>
                <w:sz w:val="24"/>
                <w14:textFill>
                  <w14:solidFill>
                    <w14:schemeClr w14:val="tx1"/>
                  </w14:solidFill>
                </w14:textFill>
              </w:rPr>
              <w:t>2018</w:t>
            </w:r>
            <w:r>
              <w:rPr>
                <w:color w:val="000000" w:themeColor="text1"/>
                <w:kern w:val="0"/>
                <w:sz w:val="24"/>
                <w14:textFill>
                  <w14:solidFill>
                    <w14:schemeClr w14:val="tx1"/>
                  </w14:solidFill>
                </w14:textFill>
              </w:rPr>
              <w:t xml:space="preserve">  </w:t>
            </w:r>
            <w:r>
              <w:rPr>
                <w:rFonts w:hint="eastAsia" w:ascii="宋体" w:hAnsi="宋体" w:cs="宋体"/>
                <w:color w:val="000000" w:themeColor="text1"/>
                <w:kern w:val="0"/>
                <w:sz w:val="24"/>
                <w14:textFill>
                  <w14:solidFill>
                    <w14:schemeClr w14:val="tx1"/>
                  </w14:solidFill>
                </w14:textFill>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color w:val="000000" w:themeColor="text1"/>
                <w:kern w:val="0"/>
                <w:sz w:val="24"/>
                <w14:textFill>
                  <w14:solidFill>
                    <w14:schemeClr w14:val="tx1"/>
                  </w14:solidFill>
                </w14:textFill>
              </w:rPr>
            </w:pPr>
          </w:p>
        </w:tc>
        <w:tc>
          <w:tcPr>
            <w:tcW w:w="1140" w:type="dxa"/>
            <w:tcBorders>
              <w:top w:val="nil"/>
              <w:left w:val="nil"/>
              <w:bottom w:val="nil"/>
              <w:right w:val="nil"/>
            </w:tcBorders>
            <w:shd w:val="clear" w:color="auto" w:fill="auto"/>
            <w:vAlign w:val="center"/>
          </w:tcPr>
          <w:p>
            <w:pPr>
              <w:widowControl/>
              <w:jc w:val="center"/>
              <w:rPr>
                <w:rFonts w:ascii="宋体" w:hAnsi="宋体" w:cs="宋体"/>
                <w:color w:val="000000" w:themeColor="text1"/>
                <w:kern w:val="0"/>
                <w:sz w:val="24"/>
                <w14:textFill>
                  <w14:solidFill>
                    <w14:schemeClr w14:val="tx1"/>
                  </w14:solidFill>
                </w14:textFill>
              </w:rPr>
            </w:pPr>
          </w:p>
        </w:tc>
        <w:tc>
          <w:tcPr>
            <w:tcW w:w="1360" w:type="dxa"/>
            <w:tcBorders>
              <w:top w:val="nil"/>
              <w:left w:val="nil"/>
              <w:bottom w:val="nil"/>
              <w:right w:val="nil"/>
            </w:tcBorders>
            <w:shd w:val="clear" w:color="auto" w:fill="auto"/>
            <w:vAlign w:val="center"/>
          </w:tcPr>
          <w:p>
            <w:pPr>
              <w:widowControl/>
              <w:jc w:val="center"/>
              <w:rPr>
                <w:rFonts w:ascii="宋体" w:hAnsi="宋体" w:cs="宋体"/>
                <w:color w:val="000000" w:themeColor="text1"/>
                <w:kern w:val="0"/>
                <w:sz w:val="24"/>
                <w14:textFill>
                  <w14:solidFill>
                    <w14:schemeClr w14:val="tx1"/>
                  </w14:solidFill>
                </w14:textFill>
              </w:rPr>
            </w:pPr>
          </w:p>
        </w:tc>
        <w:tc>
          <w:tcPr>
            <w:tcW w:w="1080" w:type="dxa"/>
            <w:tcBorders>
              <w:top w:val="nil"/>
              <w:left w:val="nil"/>
              <w:bottom w:val="nil"/>
              <w:right w:val="nil"/>
            </w:tcBorders>
            <w:shd w:val="clear" w:color="auto" w:fill="auto"/>
            <w:vAlign w:val="center"/>
          </w:tcPr>
          <w:p>
            <w:pPr>
              <w:widowControl/>
              <w:jc w:val="center"/>
              <w:rPr>
                <w:rFonts w:ascii="宋体" w:hAnsi="宋体" w:cs="宋体"/>
                <w:color w:val="000000" w:themeColor="text1"/>
                <w:kern w:val="0"/>
                <w:sz w:val="24"/>
                <w14:textFill>
                  <w14:solidFill>
                    <w14:schemeClr w14:val="tx1"/>
                  </w14:solidFill>
                </w14:textFill>
              </w:rPr>
            </w:pPr>
          </w:p>
        </w:tc>
        <w:tc>
          <w:tcPr>
            <w:tcW w:w="880" w:type="dxa"/>
            <w:tcBorders>
              <w:top w:val="nil"/>
              <w:left w:val="nil"/>
              <w:bottom w:val="nil"/>
              <w:right w:val="nil"/>
            </w:tcBorders>
            <w:shd w:val="clear" w:color="auto" w:fill="auto"/>
            <w:vAlign w:val="center"/>
          </w:tcPr>
          <w:p>
            <w:pPr>
              <w:widowControl/>
              <w:jc w:val="center"/>
              <w:rPr>
                <w:rFonts w:ascii="宋体" w:hAnsi="宋体" w:cs="宋体"/>
                <w:color w:val="000000" w:themeColor="text1"/>
                <w:kern w:val="0"/>
                <w:sz w:val="24"/>
                <w14:textFill>
                  <w14:solidFill>
                    <w14:schemeClr w14:val="tx1"/>
                  </w14:solidFill>
                </w14:textFill>
              </w:rPr>
            </w:pPr>
          </w:p>
        </w:tc>
        <w:tc>
          <w:tcPr>
            <w:tcW w:w="2060" w:type="dxa"/>
            <w:tcBorders>
              <w:top w:val="nil"/>
              <w:left w:val="nil"/>
              <w:bottom w:val="nil"/>
              <w:right w:val="nil"/>
            </w:tcBorders>
            <w:shd w:val="clear" w:color="auto" w:fill="auto"/>
            <w:vAlign w:val="center"/>
          </w:tcPr>
          <w:p>
            <w:pPr>
              <w:widowControl/>
              <w:jc w:val="center"/>
              <w:rPr>
                <w:rFonts w:ascii="宋体" w:hAnsi="宋体" w:cs="宋体"/>
                <w:color w:val="000000" w:themeColor="text1"/>
                <w:kern w:val="0"/>
                <w:sz w:val="24"/>
                <w14:textFill>
                  <w14:solidFill>
                    <w14:schemeClr w14:val="tx1"/>
                  </w14:solidFill>
                </w14:textFill>
              </w:rPr>
            </w:pPr>
          </w:p>
        </w:tc>
        <w:tc>
          <w:tcPr>
            <w:tcW w:w="1780" w:type="dxa"/>
            <w:tcBorders>
              <w:top w:val="nil"/>
              <w:left w:val="nil"/>
              <w:bottom w:val="nil"/>
              <w:right w:val="nil"/>
            </w:tcBorders>
            <w:shd w:val="clear" w:color="auto" w:fill="auto"/>
            <w:vAlign w:val="center"/>
          </w:tcPr>
          <w:p>
            <w:pPr>
              <w:widowControl/>
              <w:jc w:val="center"/>
              <w:rPr>
                <w:rFonts w:ascii="宋体" w:hAnsi="宋体" w:cs="宋体"/>
                <w:color w:val="000000" w:themeColor="text1"/>
                <w:kern w:val="0"/>
                <w:sz w:val="24"/>
                <w14:textFill>
                  <w14:solidFill>
                    <w14:schemeClr w14:val="tx1"/>
                  </w14:solidFill>
                </w14:textFill>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民办非营利养老机构资助自治区补助资金</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自治区民政厅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预算</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执行</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情况</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1084</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20"/>
                <w:szCs w:val="20"/>
                <w14:textFill>
                  <w14:solidFill>
                    <w14:schemeClr w14:val="tx1"/>
                  </w14:solidFill>
                </w14:textFill>
              </w:rPr>
            </w:pPr>
            <w:r>
              <w:rPr>
                <w:rFonts w:hint="eastAsia"/>
                <w:color w:val="000000" w:themeColor="text1"/>
                <w14:textFill>
                  <w14:solidFill>
                    <w14:schemeClr w14:val="tx1"/>
                  </w14:solidFill>
                </w14:textFill>
              </w:rPr>
              <w:t>1084</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1084</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1084</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年度</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目标</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完成</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实际完成目标</w:t>
            </w:r>
          </w:p>
        </w:tc>
      </w:tr>
      <w:tr>
        <w:tblPrEx>
          <w:tblLayout w:type="fixed"/>
          <w:tblCellMar>
            <w:top w:w="0" w:type="dxa"/>
            <w:left w:w="108" w:type="dxa"/>
            <w:bottom w:w="0" w:type="dxa"/>
            <w:right w:w="108" w:type="dxa"/>
          </w:tblCellMar>
        </w:tblPrEx>
        <w:trPr>
          <w:trHeight w:val="94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ind w:firstLine="400" w:firstLineChars="200"/>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为促进民办养老机构健康发展，提升服务质量和管理水平，积极调动民间力量参与养老服务业发展的积极性，</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ind w:firstLine="400" w:firstLineChars="200"/>
              <w:jc w:val="left"/>
              <w:rPr>
                <w:rFonts w:hint="eastAsia" w:ascii="宋体" w:hAnsi="宋体" w:eastAsia="宋体" w:cs="宋体"/>
                <w:color w:val="000000" w:themeColor="text1"/>
                <w:kern w:val="0"/>
                <w:sz w:val="20"/>
                <w:szCs w:val="20"/>
                <w:lang w:eastAsia="zh-CN"/>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通过</w:t>
            </w:r>
            <w:r>
              <w:rPr>
                <w:rFonts w:hint="eastAsia" w:ascii="宋体" w:hAnsi="宋体" w:cs="宋体"/>
                <w:color w:val="000000" w:themeColor="text1"/>
                <w:kern w:val="0"/>
                <w:sz w:val="20"/>
                <w:szCs w:val="20"/>
                <w:lang w:eastAsia="zh-CN"/>
                <w14:textFill>
                  <w14:solidFill>
                    <w14:schemeClr w14:val="tx1"/>
                  </w14:solidFill>
                </w14:textFill>
              </w:rPr>
              <w:t>对民办非营利养老机构的资助，更好的提高民办养老机构的服务质量。</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年度</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绩效</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指标</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完成</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xml:space="preserve"> 100张床位以上的民办养老机构一次性建设补贴标准</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每张床位5000元</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5000元</w:t>
            </w:r>
          </w:p>
        </w:tc>
      </w:tr>
      <w:tr>
        <w:tblPrEx>
          <w:tblLayout w:type="fixed"/>
          <w:tblCellMar>
            <w:top w:w="0" w:type="dxa"/>
            <w:left w:w="108" w:type="dxa"/>
            <w:bottom w:w="0" w:type="dxa"/>
            <w:right w:w="108" w:type="dxa"/>
          </w:tblCellMar>
        </w:tblPrEx>
        <w:trPr>
          <w:trHeight w:val="444"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xml:space="preserve"> 民办养老机构运营补贴标准</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每人每月100元</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100元</w:t>
            </w:r>
          </w:p>
        </w:tc>
      </w:tr>
      <w:tr>
        <w:tblPrEx>
          <w:tblLayout w:type="fixed"/>
          <w:tblCellMar>
            <w:top w:w="0" w:type="dxa"/>
            <w:left w:w="108" w:type="dxa"/>
            <w:bottom w:w="0" w:type="dxa"/>
            <w:right w:w="108" w:type="dxa"/>
          </w:tblCellMar>
        </w:tblPrEx>
        <w:trPr>
          <w:trHeight w:val="369"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对符合条件的民办养老机构发放情况</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实现全覆盖</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xml:space="preserve"> 补助资金拨付时限</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2018年12月底</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100%</w:t>
            </w:r>
          </w:p>
        </w:tc>
      </w:tr>
      <w:tr>
        <w:tblPrEx>
          <w:tblLayout w:type="fixed"/>
          <w:tblCellMar>
            <w:top w:w="0" w:type="dxa"/>
            <w:left w:w="108" w:type="dxa"/>
            <w:bottom w:w="0" w:type="dxa"/>
            <w:right w:w="108" w:type="dxa"/>
          </w:tblCellMar>
        </w:tblPrEx>
        <w:trPr>
          <w:trHeight w:val="564"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动态管理情况</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对民办养老机构资助工作实行动态管理</w:t>
            </w:r>
          </w:p>
        </w:tc>
        <w:tc>
          <w:tcPr>
            <w:tcW w:w="1780" w:type="dxa"/>
            <w:tcBorders>
              <w:top w:val="nil"/>
              <w:left w:val="nil"/>
              <w:bottom w:val="single" w:color="auto" w:sz="4" w:space="0"/>
              <w:right w:val="single" w:color="auto" w:sz="4" w:space="0"/>
            </w:tcBorders>
            <w:shd w:val="clear" w:color="auto" w:fill="auto"/>
            <w:vAlign w:val="center"/>
          </w:tcPr>
          <w:p>
            <w:pPr>
              <w:widowControl/>
              <w:ind w:firstLine="400" w:firstLineChars="200"/>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结合自治区养老院服务质量专项行动，开展2018年度民办养老机构资助工作，适时掌握民办养老机构各项情况，推动民办养老机构资助工作精准化，确保实效性。</w:t>
            </w:r>
          </w:p>
        </w:tc>
      </w:tr>
      <w:tr>
        <w:tblPrEx>
          <w:tblLayout w:type="fixed"/>
          <w:tblCellMar>
            <w:top w:w="0" w:type="dxa"/>
            <w:left w:w="108" w:type="dxa"/>
            <w:bottom w:w="0" w:type="dxa"/>
            <w:right w:w="108" w:type="dxa"/>
          </w:tblCellMar>
        </w:tblPrEx>
        <w:trPr>
          <w:trHeight w:val="504"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项目效果指标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经济效益</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市场环境</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不断繁荣</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得到进一步繁荣</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社会效益</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400" w:firstLineChars="200"/>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社会力量参与养老服务业的积极性</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不断提高</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≥50%</w:t>
            </w:r>
          </w:p>
        </w:tc>
      </w:tr>
      <w:tr>
        <w:tblPrEx>
          <w:tblLayout w:type="fixed"/>
          <w:tblCellMar>
            <w:top w:w="0" w:type="dxa"/>
            <w:left w:w="108" w:type="dxa"/>
            <w:bottom w:w="0" w:type="dxa"/>
            <w:right w:w="108" w:type="dxa"/>
          </w:tblCellMar>
        </w:tblPrEx>
        <w:trPr>
          <w:trHeight w:val="801"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生态效益</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民办养老机构环保能力</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xml:space="preserve">      不断强化</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可持续影响</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ind w:firstLine="200" w:firstLineChars="100"/>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养老服务质量</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逐步提升</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逐步提升</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themeColor="text1"/>
                <w:kern w:val="0"/>
                <w:sz w:val="20"/>
                <w:szCs w:val="20"/>
                <w14:textFill>
                  <w14:solidFill>
                    <w14:schemeClr w14:val="tx1"/>
                  </w14:solidFill>
                </w14:textFill>
              </w:rPr>
            </w:pPr>
          </w:p>
        </w:tc>
        <w:tc>
          <w:tcPr>
            <w:tcW w:w="114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满意度</w:t>
            </w:r>
            <w:r>
              <w:rPr>
                <w:rFonts w:hint="eastAsia" w:ascii="宋体" w:hAnsi="宋体" w:cs="宋体"/>
                <w:color w:val="000000" w:themeColor="text1"/>
                <w:kern w:val="0"/>
                <w:sz w:val="20"/>
                <w:szCs w:val="20"/>
                <w14:textFill>
                  <w14:solidFill>
                    <w14:schemeClr w14:val="tx1"/>
                  </w14:solidFill>
                </w14:textFill>
              </w:rPr>
              <w:br w:type="textWrapping"/>
            </w:r>
            <w:r>
              <w:rPr>
                <w:rFonts w:hint="eastAsia" w:ascii="宋体" w:hAnsi="宋体" w:cs="宋体"/>
                <w:color w:val="000000" w:themeColor="text1"/>
                <w:kern w:val="0"/>
                <w:sz w:val="20"/>
                <w:szCs w:val="20"/>
                <w14:textFill>
                  <w14:solidFill>
                    <w14:schemeClr w14:val="tx1"/>
                  </w14:solidFill>
                </w14:textFill>
              </w:rPr>
              <w:t>指标</w:t>
            </w:r>
          </w:p>
        </w:tc>
        <w:tc>
          <w:tcPr>
            <w:tcW w:w="1360" w:type="dxa"/>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 xml:space="preserve"> 民办养老机构对资助工作的满意度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ascii="Arial" w:hAnsi="Arial" w:cs="Arial"/>
                <w:color w:val="000000" w:themeColor="text1"/>
                <w:kern w:val="0"/>
                <w:sz w:val="20"/>
                <w:szCs w:val="20"/>
                <w14:textFill>
                  <w14:solidFill>
                    <w14:schemeClr w14:val="tx1"/>
                  </w14:solidFill>
                </w14:textFill>
              </w:rPr>
              <w:t>≥</w:t>
            </w:r>
            <w:r>
              <w:rPr>
                <w:rFonts w:hint="eastAsia" w:ascii="Arial" w:hAnsi="Arial" w:cs="Arial"/>
                <w:color w:val="000000" w:themeColor="text1"/>
                <w:kern w:val="0"/>
                <w:sz w:val="20"/>
                <w:szCs w:val="20"/>
                <w14:textFill>
                  <w14:solidFill>
                    <w14:schemeClr w14:val="tx1"/>
                  </w14:solidFill>
                </w14:textFill>
              </w:rPr>
              <w:t>80%</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themeColor="text1"/>
                <w:kern w:val="0"/>
                <w:sz w:val="20"/>
                <w:szCs w:val="20"/>
                <w14:textFill>
                  <w14:solidFill>
                    <w14:schemeClr w14:val="tx1"/>
                  </w14:solidFill>
                </w14:textFill>
              </w:rPr>
            </w:pPr>
            <w:r>
              <w:rPr>
                <w:rFonts w:ascii="Arial" w:hAnsi="Arial" w:cs="Arial"/>
                <w:color w:val="000000" w:themeColor="text1"/>
                <w:kern w:val="0"/>
                <w:sz w:val="20"/>
                <w:szCs w:val="20"/>
                <w14:textFill>
                  <w14:solidFill>
                    <w14:schemeClr w14:val="tx1"/>
                  </w14:solidFill>
                </w14:textFill>
              </w:rPr>
              <w:t>≥</w:t>
            </w:r>
            <w:r>
              <w:rPr>
                <w:rFonts w:hint="eastAsia" w:ascii="Arial" w:hAnsi="Arial" w:cs="Arial"/>
                <w:color w:val="000000" w:themeColor="text1"/>
                <w:kern w:val="0"/>
                <w:sz w:val="20"/>
                <w:szCs w:val="20"/>
                <w14:textFill>
                  <w14:solidFill>
                    <w14:schemeClr w14:val="tx1"/>
                  </w14:solidFill>
                </w14:textFill>
              </w:rPr>
              <w:t>80%</w:t>
            </w:r>
          </w:p>
        </w:tc>
      </w:tr>
    </w:tbl>
    <w:p>
      <w:pPr>
        <w:spacing w:line="540" w:lineRule="exact"/>
        <w:ind w:firstLine="567"/>
        <w:rPr>
          <w:rStyle w:val="19"/>
          <w:rFonts w:ascii="仿宋" w:hAnsi="仿宋" w:eastAsia="仿宋"/>
          <w:b w:val="0"/>
          <w:color w:val="000000" w:themeColor="text1"/>
          <w:spacing w:val="-4"/>
          <w:sz w:val="32"/>
          <w:szCs w:val="32"/>
          <w14:textFill>
            <w14:solidFill>
              <w14:schemeClr w14:val="tx1"/>
            </w14:solidFill>
          </w14:textFill>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仿宋">
    <w:panose1 w:val="02010609060101010101"/>
    <w:charset w:val="86"/>
    <w:family w:val="decorative"/>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2010609030101010101"/>
    <w:charset w:val="86"/>
    <w:family w:val="swiss"/>
    <w:pitch w:val="default"/>
    <w:sig w:usb0="00000000" w:usb1="00000000" w:usb2="00000010" w:usb3="00000000" w:csb0="00040000" w:csb1="00000000"/>
  </w:font>
  <w:font w:name="楷体">
    <w:panose1 w:val="02010609060101010101"/>
    <w:charset w:val="86"/>
    <w:family w:val="decorative"/>
    <w:pitch w:val="default"/>
    <w:sig w:usb0="800002BF" w:usb1="38CF7CFA" w:usb2="00000016" w:usb3="00000000" w:csb0="00040001" w:csb1="00000000"/>
  </w:font>
  <w:font w:name="楷体_GB2312">
    <w:altName w:val="楷体"/>
    <w:panose1 w:val="02010609030101010101"/>
    <w:charset w:val="86"/>
    <w:family w:val="swiss"/>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script"/>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swiss"/>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2003363"/>
    </w:sdtPr>
    <w:sdtContent>
      <w:p>
        <w:pPr>
          <w:pStyle w:val="14"/>
          <w:jc w:val="center"/>
        </w:pPr>
        <w:r>
          <w:fldChar w:fldCharType="begin"/>
        </w:r>
        <w:r>
          <w:instrText xml:space="preserve">PAGE   \* MERGEFORMAT</w:instrText>
        </w:r>
        <w:r>
          <w:fldChar w:fldCharType="separate"/>
        </w:r>
        <w:r>
          <w:rPr>
            <w:lang w:val="zh-CN"/>
          </w:rPr>
          <w:t>1</w:t>
        </w:r>
        <w:r>
          <w:fldChar w:fldCharType="end"/>
        </w:r>
      </w:p>
    </w:sdtContent>
  </w:sdt>
  <w:p>
    <w:pPr>
      <w:pStyle w:val="1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328B8"/>
    <w:rsid w:val="00054461"/>
    <w:rsid w:val="00056465"/>
    <w:rsid w:val="000B5485"/>
    <w:rsid w:val="00120997"/>
    <w:rsid w:val="00121AE4"/>
    <w:rsid w:val="00146AAD"/>
    <w:rsid w:val="0018066E"/>
    <w:rsid w:val="001B3A40"/>
    <w:rsid w:val="00205530"/>
    <w:rsid w:val="002355B2"/>
    <w:rsid w:val="00237EB8"/>
    <w:rsid w:val="00323EEA"/>
    <w:rsid w:val="003472C2"/>
    <w:rsid w:val="00352F0B"/>
    <w:rsid w:val="00382DA2"/>
    <w:rsid w:val="00386CDD"/>
    <w:rsid w:val="003C4116"/>
    <w:rsid w:val="003D07E6"/>
    <w:rsid w:val="003F348C"/>
    <w:rsid w:val="004366A8"/>
    <w:rsid w:val="004A44D4"/>
    <w:rsid w:val="004E6E97"/>
    <w:rsid w:val="005012F5"/>
    <w:rsid w:val="00502BA7"/>
    <w:rsid w:val="005162F1"/>
    <w:rsid w:val="00527249"/>
    <w:rsid w:val="00535153"/>
    <w:rsid w:val="00554F82"/>
    <w:rsid w:val="0056390D"/>
    <w:rsid w:val="005719B0"/>
    <w:rsid w:val="005860A2"/>
    <w:rsid w:val="00596356"/>
    <w:rsid w:val="005D10D6"/>
    <w:rsid w:val="00636096"/>
    <w:rsid w:val="006579A9"/>
    <w:rsid w:val="00677CA8"/>
    <w:rsid w:val="006C6413"/>
    <w:rsid w:val="007371BC"/>
    <w:rsid w:val="0075631B"/>
    <w:rsid w:val="007A59EF"/>
    <w:rsid w:val="008327EE"/>
    <w:rsid w:val="00855E3A"/>
    <w:rsid w:val="00891328"/>
    <w:rsid w:val="00922CB9"/>
    <w:rsid w:val="0095318D"/>
    <w:rsid w:val="009E5CD9"/>
    <w:rsid w:val="00A02A1B"/>
    <w:rsid w:val="00A26421"/>
    <w:rsid w:val="00A4293B"/>
    <w:rsid w:val="00A67D50"/>
    <w:rsid w:val="00A8691A"/>
    <w:rsid w:val="00AC1946"/>
    <w:rsid w:val="00AD7C58"/>
    <w:rsid w:val="00B40063"/>
    <w:rsid w:val="00B41F61"/>
    <w:rsid w:val="00B47721"/>
    <w:rsid w:val="00BA46E6"/>
    <w:rsid w:val="00BD3A9A"/>
    <w:rsid w:val="00BE35FA"/>
    <w:rsid w:val="00C46A56"/>
    <w:rsid w:val="00C56C72"/>
    <w:rsid w:val="00CA6457"/>
    <w:rsid w:val="00CB45A6"/>
    <w:rsid w:val="00D1387B"/>
    <w:rsid w:val="00D17F2E"/>
    <w:rsid w:val="00D20237"/>
    <w:rsid w:val="00D30354"/>
    <w:rsid w:val="00D57903"/>
    <w:rsid w:val="00D86242"/>
    <w:rsid w:val="00DF1CC1"/>
    <w:rsid w:val="00DF42A0"/>
    <w:rsid w:val="00E03A89"/>
    <w:rsid w:val="00E358C6"/>
    <w:rsid w:val="00E769FE"/>
    <w:rsid w:val="00E77A35"/>
    <w:rsid w:val="00EA2CBE"/>
    <w:rsid w:val="00EB091C"/>
    <w:rsid w:val="00F32FEE"/>
    <w:rsid w:val="00FA0FEF"/>
    <w:rsid w:val="00FB10BB"/>
    <w:rsid w:val="05831998"/>
    <w:rsid w:val="06C32324"/>
    <w:rsid w:val="09806D25"/>
    <w:rsid w:val="0CEC47C3"/>
    <w:rsid w:val="0F5C764C"/>
    <w:rsid w:val="17450415"/>
    <w:rsid w:val="1B3E4C43"/>
    <w:rsid w:val="1D170C45"/>
    <w:rsid w:val="1FE9387E"/>
    <w:rsid w:val="20E33285"/>
    <w:rsid w:val="219E39B8"/>
    <w:rsid w:val="22850432"/>
    <w:rsid w:val="295142D9"/>
    <w:rsid w:val="2CC27D21"/>
    <w:rsid w:val="32C168DD"/>
    <w:rsid w:val="32E73C49"/>
    <w:rsid w:val="33E162AB"/>
    <w:rsid w:val="35C423B0"/>
    <w:rsid w:val="360E55BB"/>
    <w:rsid w:val="39B31F3A"/>
    <w:rsid w:val="41476F0B"/>
    <w:rsid w:val="41905C1D"/>
    <w:rsid w:val="41926BA2"/>
    <w:rsid w:val="419C56B4"/>
    <w:rsid w:val="465B6AFA"/>
    <w:rsid w:val="4803677E"/>
    <w:rsid w:val="4815134F"/>
    <w:rsid w:val="48FA6149"/>
    <w:rsid w:val="4A3600D0"/>
    <w:rsid w:val="4A562B83"/>
    <w:rsid w:val="4C54044A"/>
    <w:rsid w:val="4F275969"/>
    <w:rsid w:val="5A001035"/>
    <w:rsid w:val="5D2508DD"/>
    <w:rsid w:val="60E32902"/>
    <w:rsid w:val="63BD6F75"/>
    <w:rsid w:val="663911C6"/>
    <w:rsid w:val="68E069CF"/>
    <w:rsid w:val="6A1B2B82"/>
    <w:rsid w:val="6C325524"/>
    <w:rsid w:val="6C470F67"/>
    <w:rsid w:val="71365D4B"/>
    <w:rsid w:val="72A42AFC"/>
    <w:rsid w:val="75C54845"/>
    <w:rsid w:val="76381F5D"/>
    <w:rsid w:val="7762336C"/>
    <w:rsid w:val="7983686A"/>
    <w:rsid w:val="7B01255E"/>
    <w:rsid w:val="7B9030C7"/>
    <w:rsid w:val="7FB57F93"/>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2"/>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5">
    <w:name w:val="heading 2"/>
    <w:basedOn w:val="1"/>
    <w:next w:val="1"/>
    <w:link w:val="23"/>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6">
    <w:name w:val="heading 3"/>
    <w:basedOn w:val="1"/>
    <w:next w:val="1"/>
    <w:link w:val="24"/>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7">
    <w:name w:val="heading 4"/>
    <w:basedOn w:val="1"/>
    <w:next w:val="1"/>
    <w:link w:val="25"/>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8">
    <w:name w:val="heading 5"/>
    <w:basedOn w:val="1"/>
    <w:next w:val="1"/>
    <w:link w:val="26"/>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9">
    <w:name w:val="heading 6"/>
    <w:basedOn w:val="1"/>
    <w:next w:val="1"/>
    <w:link w:val="27"/>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10">
    <w:name w:val="heading 7"/>
    <w:basedOn w:val="1"/>
    <w:next w:val="1"/>
    <w:link w:val="28"/>
    <w:unhideWhenUsed/>
    <w:qFormat/>
    <w:uiPriority w:val="9"/>
    <w:pPr>
      <w:widowControl/>
      <w:spacing w:before="240" w:after="60"/>
      <w:jc w:val="left"/>
      <w:outlineLvl w:val="6"/>
    </w:pPr>
    <w:rPr>
      <w:rFonts w:asciiTheme="minorHAnsi" w:hAnsiTheme="minorHAnsi" w:eastAsiaTheme="minorEastAsia"/>
      <w:kern w:val="0"/>
      <w:sz w:val="24"/>
    </w:rPr>
  </w:style>
  <w:style w:type="paragraph" w:styleId="11">
    <w:name w:val="heading 8"/>
    <w:basedOn w:val="1"/>
    <w:next w:val="1"/>
    <w:link w:val="29"/>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2">
    <w:name w:val="heading 9"/>
    <w:basedOn w:val="1"/>
    <w:next w:val="1"/>
    <w:link w:val="30"/>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unhideWhenUsed/>
    <w:qFormat/>
    <w:uiPriority w:val="1"/>
  </w:style>
  <w:style w:type="table" w:default="1" w:styleId="21">
    <w:name w:val="Normal Table"/>
    <w:unhideWhenUsed/>
    <w:qFormat/>
    <w:uiPriority w:val="99"/>
    <w:tblPr>
      <w:tblLayout w:type="fixed"/>
      <w:tblCellMar>
        <w:top w:w="0" w:type="dxa"/>
        <w:left w:w="108" w:type="dxa"/>
        <w:bottom w:w="0" w:type="dxa"/>
        <w:right w:w="108" w:type="dxa"/>
      </w:tblCellMar>
    </w:tblPr>
  </w:style>
  <w:style w:type="paragraph" w:styleId="2">
    <w:name w:val="Body Text First Indent 2"/>
    <w:basedOn w:val="3"/>
    <w:unhideWhenUsed/>
    <w:qFormat/>
    <w:uiPriority w:val="99"/>
    <w:pPr>
      <w:ind w:firstLine="420" w:firstLineChars="200"/>
    </w:pPr>
  </w:style>
  <w:style w:type="paragraph" w:styleId="3">
    <w:name w:val="Body Text Indent"/>
    <w:basedOn w:val="1"/>
    <w:unhideWhenUsed/>
    <w:qFormat/>
    <w:uiPriority w:val="99"/>
    <w:pPr>
      <w:spacing w:after="120" w:afterLines="0" w:afterAutospacing="0"/>
      <w:ind w:left="420" w:leftChars="200"/>
    </w:pPr>
  </w:style>
  <w:style w:type="paragraph" w:styleId="13">
    <w:name w:val="Balloon Text"/>
    <w:basedOn w:val="1"/>
    <w:link w:val="47"/>
    <w:unhideWhenUsed/>
    <w:qFormat/>
    <w:uiPriority w:val="99"/>
    <w:rPr>
      <w:sz w:val="18"/>
      <w:szCs w:val="18"/>
    </w:rPr>
  </w:style>
  <w:style w:type="paragraph" w:styleId="14">
    <w:name w:val="footer"/>
    <w:basedOn w:val="1"/>
    <w:link w:val="46"/>
    <w:unhideWhenUsed/>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45"/>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Subtitle"/>
    <w:basedOn w:val="1"/>
    <w:next w:val="1"/>
    <w:link w:val="32"/>
    <w:qFormat/>
    <w:uiPriority w:val="11"/>
    <w:pPr>
      <w:widowControl/>
      <w:spacing w:after="60"/>
      <w:jc w:val="center"/>
      <w:outlineLvl w:val="1"/>
    </w:pPr>
    <w:rPr>
      <w:rFonts w:asciiTheme="majorHAnsi" w:hAnsiTheme="majorHAnsi" w:eastAsiaTheme="majorEastAsia"/>
      <w:kern w:val="0"/>
      <w:sz w:val="24"/>
    </w:rPr>
  </w:style>
  <w:style w:type="paragraph" w:styleId="17">
    <w:name w:val="Title"/>
    <w:basedOn w:val="1"/>
    <w:next w:val="1"/>
    <w:link w:val="31"/>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2">
    <w:name w:val="标题 1 Char"/>
    <w:basedOn w:val="18"/>
    <w:link w:val="4"/>
    <w:qFormat/>
    <w:uiPriority w:val="9"/>
    <w:rPr>
      <w:rFonts w:asciiTheme="majorHAnsi" w:hAnsiTheme="majorHAnsi" w:eastAsiaTheme="majorEastAsia"/>
      <w:b/>
      <w:bCs/>
      <w:kern w:val="32"/>
      <w:sz w:val="32"/>
      <w:szCs w:val="32"/>
    </w:rPr>
  </w:style>
  <w:style w:type="character" w:customStyle="1" w:styleId="23">
    <w:name w:val="标题 2 Char"/>
    <w:basedOn w:val="18"/>
    <w:link w:val="5"/>
    <w:semiHidden/>
    <w:qFormat/>
    <w:uiPriority w:val="9"/>
    <w:rPr>
      <w:rFonts w:asciiTheme="majorHAnsi" w:hAnsiTheme="majorHAnsi" w:eastAsiaTheme="majorEastAsia"/>
      <w:b/>
      <w:bCs/>
      <w:i/>
      <w:iCs/>
      <w:sz w:val="28"/>
      <w:szCs w:val="28"/>
    </w:rPr>
  </w:style>
  <w:style w:type="character" w:customStyle="1" w:styleId="24">
    <w:name w:val="标题 3 Char"/>
    <w:basedOn w:val="18"/>
    <w:link w:val="6"/>
    <w:semiHidden/>
    <w:qFormat/>
    <w:uiPriority w:val="9"/>
    <w:rPr>
      <w:rFonts w:asciiTheme="majorHAnsi" w:hAnsiTheme="majorHAnsi" w:eastAsiaTheme="majorEastAsia"/>
      <w:b/>
      <w:bCs/>
      <w:sz w:val="26"/>
      <w:szCs w:val="26"/>
    </w:rPr>
  </w:style>
  <w:style w:type="character" w:customStyle="1" w:styleId="25">
    <w:name w:val="标题 4 Char"/>
    <w:basedOn w:val="18"/>
    <w:link w:val="7"/>
    <w:semiHidden/>
    <w:qFormat/>
    <w:uiPriority w:val="9"/>
    <w:rPr>
      <w:b/>
      <w:bCs/>
      <w:sz w:val="28"/>
      <w:szCs w:val="28"/>
    </w:rPr>
  </w:style>
  <w:style w:type="character" w:customStyle="1" w:styleId="26">
    <w:name w:val="标题 5 Char"/>
    <w:basedOn w:val="18"/>
    <w:link w:val="8"/>
    <w:semiHidden/>
    <w:qFormat/>
    <w:uiPriority w:val="9"/>
    <w:rPr>
      <w:b/>
      <w:bCs/>
      <w:i/>
      <w:iCs/>
      <w:sz w:val="26"/>
      <w:szCs w:val="26"/>
    </w:rPr>
  </w:style>
  <w:style w:type="character" w:customStyle="1" w:styleId="27">
    <w:name w:val="标题 6 Char"/>
    <w:basedOn w:val="18"/>
    <w:link w:val="9"/>
    <w:semiHidden/>
    <w:qFormat/>
    <w:uiPriority w:val="9"/>
    <w:rPr>
      <w:b/>
      <w:bCs/>
    </w:rPr>
  </w:style>
  <w:style w:type="character" w:customStyle="1" w:styleId="28">
    <w:name w:val="标题 7 Char"/>
    <w:basedOn w:val="18"/>
    <w:link w:val="10"/>
    <w:semiHidden/>
    <w:qFormat/>
    <w:uiPriority w:val="9"/>
    <w:rPr>
      <w:sz w:val="24"/>
      <w:szCs w:val="24"/>
    </w:rPr>
  </w:style>
  <w:style w:type="character" w:customStyle="1" w:styleId="29">
    <w:name w:val="标题 8 Char"/>
    <w:basedOn w:val="18"/>
    <w:link w:val="11"/>
    <w:semiHidden/>
    <w:qFormat/>
    <w:uiPriority w:val="9"/>
    <w:rPr>
      <w:i/>
      <w:iCs/>
      <w:sz w:val="24"/>
      <w:szCs w:val="24"/>
    </w:rPr>
  </w:style>
  <w:style w:type="character" w:customStyle="1" w:styleId="30">
    <w:name w:val="标题 9 Char"/>
    <w:basedOn w:val="18"/>
    <w:link w:val="12"/>
    <w:semiHidden/>
    <w:qFormat/>
    <w:uiPriority w:val="9"/>
    <w:rPr>
      <w:rFonts w:asciiTheme="majorHAnsi" w:hAnsiTheme="majorHAnsi" w:eastAsiaTheme="majorEastAsia"/>
    </w:rPr>
  </w:style>
  <w:style w:type="character" w:customStyle="1" w:styleId="31">
    <w:name w:val="标题 Char"/>
    <w:basedOn w:val="18"/>
    <w:link w:val="17"/>
    <w:qFormat/>
    <w:uiPriority w:val="10"/>
    <w:rPr>
      <w:rFonts w:asciiTheme="majorHAnsi" w:hAnsiTheme="majorHAnsi" w:eastAsiaTheme="majorEastAsia"/>
      <w:b/>
      <w:bCs/>
      <w:kern w:val="28"/>
      <w:sz w:val="32"/>
      <w:szCs w:val="32"/>
    </w:rPr>
  </w:style>
  <w:style w:type="character" w:customStyle="1" w:styleId="32">
    <w:name w:val="副标题 Char"/>
    <w:basedOn w:val="18"/>
    <w:link w:val="16"/>
    <w:qFormat/>
    <w:uiPriority w:val="11"/>
    <w:rPr>
      <w:rFonts w:asciiTheme="majorHAnsi" w:hAnsiTheme="majorHAnsi" w:eastAsiaTheme="majorEastAsia"/>
      <w:sz w:val="24"/>
      <w:szCs w:val="24"/>
    </w:rPr>
  </w:style>
  <w:style w:type="paragraph" w:customStyle="1" w:styleId="33">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4">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5">
    <w:name w:val="引用1"/>
    <w:basedOn w:val="1"/>
    <w:next w:val="1"/>
    <w:link w:val="36"/>
    <w:qFormat/>
    <w:uiPriority w:val="29"/>
    <w:pPr>
      <w:widowControl/>
      <w:jc w:val="left"/>
    </w:pPr>
    <w:rPr>
      <w:rFonts w:asciiTheme="minorHAnsi" w:hAnsiTheme="minorHAnsi" w:eastAsiaTheme="minorEastAsia"/>
      <w:i/>
      <w:kern w:val="0"/>
      <w:sz w:val="24"/>
    </w:rPr>
  </w:style>
  <w:style w:type="character" w:customStyle="1" w:styleId="36">
    <w:name w:val="引用 Char"/>
    <w:basedOn w:val="18"/>
    <w:link w:val="35"/>
    <w:qFormat/>
    <w:uiPriority w:val="29"/>
    <w:rPr>
      <w:i/>
      <w:sz w:val="24"/>
      <w:szCs w:val="24"/>
    </w:rPr>
  </w:style>
  <w:style w:type="paragraph" w:customStyle="1" w:styleId="37">
    <w:name w:val="明显引用1"/>
    <w:basedOn w:val="1"/>
    <w:next w:val="1"/>
    <w:link w:val="38"/>
    <w:qFormat/>
    <w:uiPriority w:val="30"/>
    <w:pPr>
      <w:widowControl/>
      <w:ind w:left="720" w:right="720"/>
      <w:jc w:val="left"/>
    </w:pPr>
    <w:rPr>
      <w:rFonts w:asciiTheme="minorHAnsi" w:hAnsiTheme="minorHAnsi" w:eastAsiaTheme="minorEastAsia"/>
      <w:b/>
      <w:i/>
      <w:kern w:val="0"/>
      <w:sz w:val="24"/>
      <w:szCs w:val="22"/>
    </w:rPr>
  </w:style>
  <w:style w:type="character" w:customStyle="1" w:styleId="38">
    <w:name w:val="明显引用 Char"/>
    <w:basedOn w:val="18"/>
    <w:link w:val="37"/>
    <w:qFormat/>
    <w:uiPriority w:val="30"/>
    <w:rPr>
      <w:b/>
      <w:i/>
      <w:sz w:val="24"/>
    </w:rPr>
  </w:style>
  <w:style w:type="character" w:customStyle="1" w:styleId="39">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0">
    <w:name w:val="明显强调1"/>
    <w:basedOn w:val="18"/>
    <w:qFormat/>
    <w:uiPriority w:val="21"/>
    <w:rPr>
      <w:b/>
      <w:i/>
      <w:sz w:val="24"/>
      <w:szCs w:val="24"/>
      <w:u w:val="single"/>
    </w:rPr>
  </w:style>
  <w:style w:type="character" w:customStyle="1" w:styleId="41">
    <w:name w:val="不明显参考1"/>
    <w:basedOn w:val="18"/>
    <w:qFormat/>
    <w:uiPriority w:val="31"/>
    <w:rPr>
      <w:sz w:val="24"/>
      <w:szCs w:val="24"/>
      <w:u w:val="single"/>
    </w:rPr>
  </w:style>
  <w:style w:type="character" w:customStyle="1" w:styleId="42">
    <w:name w:val="明显参考1"/>
    <w:basedOn w:val="18"/>
    <w:qFormat/>
    <w:uiPriority w:val="32"/>
    <w:rPr>
      <w:b/>
      <w:sz w:val="24"/>
      <w:u w:val="single"/>
    </w:rPr>
  </w:style>
  <w:style w:type="character" w:customStyle="1" w:styleId="43">
    <w:name w:val="书籍标题1"/>
    <w:basedOn w:val="18"/>
    <w:qFormat/>
    <w:uiPriority w:val="33"/>
    <w:rPr>
      <w:rFonts w:asciiTheme="majorHAnsi" w:hAnsiTheme="majorHAnsi" w:eastAsiaTheme="majorEastAsia"/>
      <w:b/>
      <w:i/>
      <w:sz w:val="24"/>
      <w:szCs w:val="24"/>
    </w:rPr>
  </w:style>
  <w:style w:type="paragraph" w:customStyle="1" w:styleId="44">
    <w:name w:val="TOC 标题1"/>
    <w:basedOn w:val="4"/>
    <w:next w:val="1"/>
    <w:unhideWhenUsed/>
    <w:qFormat/>
    <w:uiPriority w:val="39"/>
    <w:pPr>
      <w:outlineLvl w:val="9"/>
    </w:pPr>
    <w:rPr>
      <w:lang w:eastAsia="en-US" w:bidi="en-US"/>
    </w:rPr>
  </w:style>
  <w:style w:type="character" w:customStyle="1" w:styleId="45">
    <w:name w:val="页眉 Char"/>
    <w:basedOn w:val="18"/>
    <w:link w:val="15"/>
    <w:qFormat/>
    <w:uiPriority w:val="99"/>
    <w:rPr>
      <w:rFonts w:ascii="Calibri" w:hAnsi="Calibri" w:eastAsia="宋体"/>
      <w:kern w:val="2"/>
      <w:sz w:val="18"/>
      <w:szCs w:val="18"/>
    </w:rPr>
  </w:style>
  <w:style w:type="character" w:customStyle="1" w:styleId="46">
    <w:name w:val="页脚 Char"/>
    <w:basedOn w:val="18"/>
    <w:link w:val="14"/>
    <w:qFormat/>
    <w:uiPriority w:val="99"/>
    <w:rPr>
      <w:rFonts w:ascii="Calibri" w:hAnsi="Calibri" w:eastAsia="宋体"/>
      <w:kern w:val="2"/>
      <w:sz w:val="18"/>
      <w:szCs w:val="18"/>
    </w:rPr>
  </w:style>
  <w:style w:type="character" w:customStyle="1" w:styleId="47">
    <w:name w:val="批注框文本 Char"/>
    <w:basedOn w:val="18"/>
    <w:link w:val="13"/>
    <w:semiHidden/>
    <w:qFormat/>
    <w:uiPriority w:val="99"/>
    <w:rPr>
      <w:rFonts w:ascii="Times New Roman" w:hAnsi="Times New Roman" w:eastAsia="宋体"/>
      <w:kern w:val="2"/>
      <w:sz w:val="18"/>
      <w:szCs w:val="18"/>
    </w:rPr>
  </w:style>
  <w:style w:type="paragraph" w:customStyle="1" w:styleId="48">
    <w:name w:val="p0"/>
    <w:basedOn w:val="1"/>
    <w:qFormat/>
    <w:uiPriority w:val="0"/>
    <w:rPr>
      <w:rFonts w:ascii="Calibri" w:hAnsi="Calibri" w:cs="宋体"/>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651</Words>
  <Characters>3714</Characters>
  <Lines>30</Lines>
  <Paragraphs>8</Paragraphs>
  <TotalTime>0</TotalTime>
  <ScaleCrop>false</ScaleCrop>
  <LinksUpToDate>false</LinksUpToDate>
  <CharactersWithSpaces>4357</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JHCWC</cp:lastModifiedBy>
  <cp:lastPrinted>2019-01-29T10:22:00Z</cp:lastPrinted>
  <dcterms:modified xsi:type="dcterms:W3CDTF">2019-08-20T08:37:22Z</dcterms:modifi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