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 w:hAnsi="仿宋" w:eastAsia="仿宋" w:cs="仿宋"/>
          <w:kern w:val="0"/>
          <w:sz w:val="32"/>
          <w:szCs w:val="32"/>
          <w:lang w:eastAsia="zh-CN"/>
        </w:rPr>
      </w:pPr>
      <w:r>
        <w:rPr>
          <w:rFonts w:hint="eastAsia" w:hAnsi="宋体" w:eastAsia="仿宋_GB2312" w:cs="宋体"/>
          <w:kern w:val="0"/>
          <w:sz w:val="36"/>
          <w:szCs w:val="36"/>
        </w:rPr>
        <w:t xml:space="preserve">     </w:t>
      </w:r>
      <w:r>
        <w:rPr>
          <w:rFonts w:hint="eastAsia" w:ascii="仿宋" w:hAnsi="仿宋" w:eastAsia="仿宋" w:cs="仿宋"/>
          <w:kern w:val="0"/>
          <w:sz w:val="32"/>
          <w:szCs w:val="32"/>
        </w:rPr>
        <w:t>项目名称：</w:t>
      </w:r>
      <w:r>
        <w:rPr>
          <w:rFonts w:hint="eastAsia" w:ascii="仿宋" w:hAnsi="仿宋" w:eastAsia="仿宋" w:cs="仿宋"/>
          <w:kern w:val="0"/>
          <w:sz w:val="32"/>
          <w:szCs w:val="32"/>
          <w:lang w:eastAsia="zh-CN"/>
        </w:rPr>
        <w:t>自治区本级福利彩票公益金资助殡葬服务　</w:t>
      </w:r>
    </w:p>
    <w:p>
      <w:pPr>
        <w:spacing w:line="700" w:lineRule="exact"/>
        <w:jc w:val="left"/>
        <w:rPr>
          <w:rFonts w:hint="eastAsia" w:ascii="仿宋" w:hAnsi="仿宋" w:eastAsia="仿宋" w:cs="仿宋"/>
          <w:b w:val="0"/>
          <w:bCs w:val="0"/>
          <w:kern w:val="0"/>
          <w:sz w:val="32"/>
          <w:szCs w:val="32"/>
        </w:rPr>
      </w:pPr>
      <w:r>
        <w:rPr>
          <w:rFonts w:hint="eastAsia" w:ascii="仿宋" w:hAnsi="仿宋" w:eastAsia="仿宋" w:cs="仿宋"/>
          <w:kern w:val="0"/>
          <w:sz w:val="32"/>
          <w:szCs w:val="32"/>
          <w:lang w:eastAsia="zh-CN"/>
        </w:rPr>
        <w:t>　　　　　　　　设施建设项目</w:t>
      </w:r>
    </w:p>
    <w:p>
      <w:pPr>
        <w:spacing w:line="700" w:lineRule="exact"/>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实施单位（公章）：</w:t>
      </w:r>
      <w:r>
        <w:rPr>
          <w:rFonts w:hint="eastAsia" w:ascii="仿宋" w:hAnsi="仿宋" w:eastAsia="仿宋" w:cs="仿宋"/>
          <w:kern w:val="0"/>
          <w:sz w:val="32"/>
          <w:szCs w:val="32"/>
          <w:lang w:eastAsia="zh-CN"/>
        </w:rPr>
        <w:t>社会事务处</w:t>
      </w:r>
    </w:p>
    <w:p>
      <w:pPr>
        <w:spacing w:line="700" w:lineRule="exact"/>
        <w:ind w:firstLine="755" w:firstLineChars="236"/>
        <w:jc w:val="left"/>
        <w:rPr>
          <w:rFonts w:hint="eastAsia" w:ascii="仿宋" w:hAnsi="仿宋" w:eastAsia="仿宋" w:cs="仿宋"/>
          <w:kern w:val="0"/>
          <w:sz w:val="32"/>
          <w:szCs w:val="32"/>
        </w:rPr>
      </w:pPr>
      <w:r>
        <w:rPr>
          <w:rFonts w:hint="eastAsia" w:ascii="仿宋" w:hAnsi="仿宋" w:eastAsia="仿宋" w:cs="仿宋"/>
          <w:kern w:val="0"/>
          <w:sz w:val="32"/>
          <w:szCs w:val="32"/>
        </w:rPr>
        <w:t>自治区主管部门（公章）：</w:t>
      </w:r>
      <w:r>
        <w:rPr>
          <w:rFonts w:hint="eastAsia" w:ascii="仿宋" w:hAnsi="仿宋" w:eastAsia="仿宋" w:cs="仿宋"/>
          <w:kern w:val="0"/>
          <w:sz w:val="32"/>
          <w:szCs w:val="32"/>
          <w:lang w:eastAsia="zh-CN"/>
        </w:rPr>
        <w:t>自治区民政厅</w:t>
      </w:r>
    </w:p>
    <w:p>
      <w:pPr>
        <w:spacing w:line="700" w:lineRule="exact"/>
        <w:ind w:firstLine="755" w:firstLineChars="236"/>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项目负责人（签章）：</w:t>
      </w:r>
      <w:r>
        <w:rPr>
          <w:rFonts w:hint="eastAsia" w:ascii="仿宋" w:hAnsi="仿宋" w:eastAsia="仿宋" w:cs="仿宋"/>
          <w:kern w:val="0"/>
          <w:sz w:val="32"/>
          <w:szCs w:val="32"/>
          <w:lang w:eastAsia="zh-CN"/>
        </w:rPr>
        <w:t>伊沙克</w:t>
      </w:r>
      <w:r>
        <w:rPr>
          <w:rFonts w:hint="eastAsia" w:ascii="仿宋" w:hAnsi="仿宋" w:eastAsia="仿宋" w:cs="仿宋"/>
          <w:kern w:val="0"/>
          <w:sz w:val="32"/>
          <w:szCs w:val="32"/>
          <w:lang w:val="en-US" w:eastAsia="zh-CN"/>
        </w:rPr>
        <w:t>·依不拉音</w:t>
      </w:r>
    </w:p>
    <w:p>
      <w:pPr>
        <w:spacing w:line="700" w:lineRule="exact"/>
        <w:ind w:firstLine="755" w:firstLineChars="236"/>
        <w:jc w:val="left"/>
        <w:rPr>
          <w:rFonts w:hint="eastAsia" w:ascii="仿宋" w:hAnsi="仿宋" w:eastAsia="仿宋" w:cs="仿宋"/>
          <w:kern w:val="0"/>
          <w:sz w:val="32"/>
          <w:szCs w:val="32"/>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2019</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7</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29</w:t>
      </w:r>
      <w:r>
        <w:rPr>
          <w:rFonts w:hint="eastAsia" w:ascii="仿宋" w:hAnsi="仿宋" w:eastAsia="仿宋" w:cs="仿宋"/>
          <w:kern w:val="0"/>
          <w:sz w:val="32"/>
          <w:szCs w:val="32"/>
        </w:rPr>
        <w:t>日</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ind w:firstLine="640"/>
        <w:rPr>
          <w:rStyle w:val="19"/>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hint="eastAsia" w:ascii="仿宋" w:hAnsi="仿宋" w:eastAsia="仿宋"/>
          <w:b w:val="0"/>
          <w:color w:val="auto"/>
          <w:spacing w:val="0"/>
          <w:sz w:val="32"/>
          <w:szCs w:val="32"/>
          <w:lang w:eastAsia="zh-CN"/>
        </w:rPr>
      </w:pPr>
      <w:r>
        <w:rPr>
          <w:rStyle w:val="19"/>
          <w:rFonts w:hint="eastAsia" w:ascii="仿宋" w:hAnsi="仿宋" w:eastAsia="仿宋"/>
          <w:b w:val="0"/>
          <w:color w:val="auto"/>
          <w:spacing w:val="0"/>
          <w:sz w:val="32"/>
          <w:szCs w:val="32"/>
          <w:lang w:eastAsia="zh-CN"/>
        </w:rPr>
        <w:t>新疆维吾尔自治区民政厅，是新疆维吾尔自治区政府职能部门，担负行政区域内社会救助、养老服务、儿童福利、区划地名、社会事务等工作。单位地址:新疆乌鲁木齐新华南路53</w:t>
      </w:r>
      <w:r>
        <w:rPr>
          <w:rStyle w:val="19"/>
          <w:rFonts w:hint="eastAsia" w:ascii="仿宋" w:hAnsi="仿宋" w:eastAsia="仿宋"/>
          <w:b w:val="0"/>
          <w:color w:val="auto"/>
          <w:spacing w:val="0"/>
          <w:sz w:val="32"/>
          <w:szCs w:val="32"/>
          <w:lang w:val="en-US" w:eastAsia="zh-CN"/>
        </w:rPr>
        <w:t>8</w:t>
      </w:r>
      <w:r>
        <w:rPr>
          <w:rStyle w:val="19"/>
          <w:rFonts w:hint="eastAsia" w:ascii="仿宋" w:hAnsi="仿宋" w:eastAsia="仿宋"/>
          <w:b w:val="0"/>
          <w:color w:val="auto"/>
          <w:spacing w:val="0"/>
          <w:sz w:val="32"/>
          <w:szCs w:val="32"/>
          <w:lang w:eastAsia="zh-CN"/>
        </w:rPr>
        <w:t>号。</w:t>
      </w:r>
      <w:bookmarkStart w:id="0" w:name="_GoBack"/>
      <w:bookmarkEnd w:id="0"/>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lang w:eastAsia="zh-CN"/>
        </w:rPr>
        <w:t>　　</w:t>
      </w: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keepNext w:val="0"/>
        <w:keepLines w:val="0"/>
        <w:pageBreakBefore w:val="0"/>
        <w:numPr>
          <w:ilvl w:val="0"/>
          <w:numId w:val="1"/>
        </w:numPr>
        <w:kinsoku/>
        <w:wordWrap/>
        <w:overflowPunct/>
        <w:topLinePunct w:val="0"/>
        <w:autoSpaceDE/>
        <w:autoSpaceDN/>
        <w:bidi w:val="0"/>
        <w:adjustRightInd/>
        <w:snapToGrid/>
        <w:spacing w:after="0" w:line="560" w:lineRule="exact"/>
        <w:ind w:left="0" w:leftChars="0" w:right="0" w:rightChars="0" w:firstLine="627" w:firstLineChars="200"/>
        <w:textAlignment w:val="auto"/>
        <w:outlineLvl w:val="9"/>
        <w:rPr>
          <w:rStyle w:val="19"/>
          <w:rFonts w:hint="eastAsia" w:ascii="仿宋" w:hAnsi="仿宋" w:eastAsia="仿宋"/>
          <w:b/>
          <w:bCs w:val="0"/>
          <w:spacing w:val="-4"/>
          <w:sz w:val="32"/>
          <w:szCs w:val="32"/>
          <w:lang w:val="en-US" w:eastAsia="zh-CN"/>
        </w:rPr>
      </w:pPr>
      <w:r>
        <w:rPr>
          <w:rStyle w:val="19"/>
          <w:rFonts w:hint="eastAsia" w:ascii="仿宋" w:hAnsi="仿宋" w:eastAsia="仿宋"/>
          <w:b/>
          <w:bCs w:val="0"/>
          <w:spacing w:val="-4"/>
          <w:sz w:val="32"/>
          <w:szCs w:val="32"/>
          <w:lang w:val="en-US" w:eastAsia="zh-CN"/>
        </w:rPr>
        <w:t>项目预期目标</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640" w:firstLineChars="200"/>
        <w:jc w:val="left"/>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殡葬救助是城乡社会救助体系的重要组成部分。殡葬救助工作坚持家庭自救为主，政府和社会给予适当救助的工作方针，以切实减轻困难群众负担，推进殡葬基本服务均等化，进一步深化殡葬改革，促进社会主义精神文明建设与和谐社会建设。</w:t>
      </w:r>
    </w:p>
    <w:p>
      <w:pPr>
        <w:keepNext w:val="0"/>
        <w:keepLines w:val="0"/>
        <w:pageBreakBefore w:val="0"/>
        <w:widowControl/>
        <w:numPr>
          <w:ilvl w:val="0"/>
          <w:numId w:val="1"/>
        </w:numPr>
        <w:kinsoku/>
        <w:wordWrap/>
        <w:overflowPunct/>
        <w:topLinePunct w:val="0"/>
        <w:autoSpaceDE/>
        <w:autoSpaceDN/>
        <w:bidi w:val="0"/>
        <w:adjustRightInd/>
        <w:snapToGrid/>
        <w:spacing w:after="0" w:line="560" w:lineRule="exact"/>
        <w:ind w:left="0" w:leftChars="0" w:right="0" w:rightChars="0" w:firstLine="643" w:firstLineChars="200"/>
        <w:jc w:val="left"/>
        <w:textAlignment w:val="auto"/>
        <w:outlineLvl w:val="9"/>
        <w:rPr>
          <w:rFonts w:hint="eastAsia" w:ascii="仿宋_GB2312" w:hAnsi="宋体" w:eastAsia="仿宋_GB2312" w:cs="宋体"/>
          <w:b/>
          <w:bCs/>
          <w:color w:val="000000"/>
          <w:kern w:val="0"/>
          <w:sz w:val="32"/>
          <w:szCs w:val="32"/>
          <w:lang w:val="en-US" w:eastAsia="zh-CN"/>
        </w:rPr>
      </w:pPr>
      <w:r>
        <w:rPr>
          <w:rFonts w:hint="eastAsia" w:ascii="仿宋_GB2312" w:hAnsi="宋体" w:eastAsia="仿宋_GB2312" w:cs="宋体"/>
          <w:b/>
          <w:bCs/>
          <w:color w:val="000000"/>
          <w:kern w:val="0"/>
          <w:sz w:val="32"/>
          <w:szCs w:val="32"/>
          <w:lang w:val="en-US" w:eastAsia="zh-CN"/>
        </w:rPr>
        <w:t>项目阶段性目标</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Fonts w:hint="eastAsia" w:ascii="仿宋_GB2312" w:hAnsi="仿宋" w:eastAsia="仿宋_GB2312"/>
          <w:color w:val="000000"/>
          <w:kern w:val="0"/>
          <w:sz w:val="32"/>
          <w:szCs w:val="32"/>
        </w:rPr>
      </w:pPr>
      <w:r>
        <w:rPr>
          <w:rFonts w:hint="eastAsia" w:ascii="仿宋_GB2312" w:hAnsi="宋体" w:eastAsia="仿宋_GB2312" w:cs="宋体"/>
          <w:color w:val="000000"/>
          <w:kern w:val="0"/>
          <w:sz w:val="32"/>
          <w:szCs w:val="32"/>
          <w:lang w:val="en-US" w:eastAsia="zh-CN"/>
        </w:rPr>
        <w:t>　</w:t>
      </w:r>
      <w:r>
        <w:rPr>
          <w:rFonts w:hint="eastAsia" w:ascii="仿宋_GB2312" w:hAnsi="仿宋" w:eastAsia="仿宋_GB2312"/>
          <w:sz w:val="32"/>
          <w:szCs w:val="32"/>
        </w:rPr>
        <w:t xml:space="preserve"> 保障特殊困难群众去逝后得到较好安葬，实现基本殡葬服务均等化</w:t>
      </w:r>
      <w:r>
        <w:rPr>
          <w:rFonts w:hint="eastAsia" w:ascii="仿宋_GB2312" w:hAnsi="仿宋" w:eastAsia="仿宋_GB2312"/>
          <w:color w:val="000000"/>
          <w:kern w:val="0"/>
          <w:sz w:val="32"/>
          <w:szCs w:val="32"/>
        </w:rPr>
        <w:t>。</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Fonts w:hint="eastAsia" w:ascii="仿宋_GB2312" w:hAnsi="仿宋" w:eastAsia="仿宋_GB2312"/>
          <w:color w:val="000000"/>
          <w:kern w:val="0"/>
          <w:sz w:val="32"/>
          <w:szCs w:val="32"/>
          <w:lang w:eastAsia="zh-CN"/>
        </w:rPr>
      </w:pPr>
      <w:r>
        <w:rPr>
          <w:rFonts w:hint="eastAsia" w:ascii="仿宋_GB2312" w:hAnsi="仿宋" w:eastAsia="仿宋_GB2312"/>
          <w:color w:val="000000"/>
          <w:kern w:val="0"/>
          <w:sz w:val="32"/>
          <w:szCs w:val="32"/>
          <w:lang w:eastAsia="zh-CN"/>
        </w:rPr>
        <w:t>　　</w:t>
      </w:r>
      <w:r>
        <w:rPr>
          <w:rFonts w:hint="eastAsia" w:ascii="仿宋_GB2312" w:hAnsi="仿宋" w:eastAsia="仿宋_GB2312"/>
          <w:b/>
          <w:bCs/>
          <w:color w:val="000000"/>
          <w:kern w:val="0"/>
          <w:sz w:val="32"/>
          <w:szCs w:val="32"/>
          <w:lang w:val="en-US" w:eastAsia="zh-CN"/>
        </w:rPr>
        <w:t>3、项目基本性质、用途和主要内容、涉及范围</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640" w:firstLineChars="200"/>
        <w:jc w:val="left"/>
        <w:textAlignment w:val="auto"/>
        <w:outlineLvl w:val="9"/>
        <w:rPr>
          <w:rFonts w:hint="eastAsia" w:ascii="仿宋_GB2312" w:hAnsi="仿宋" w:eastAsia="仿宋_GB2312"/>
          <w:sz w:val="32"/>
          <w:szCs w:val="32"/>
        </w:rPr>
      </w:pPr>
      <w:r>
        <w:rPr>
          <w:rFonts w:hint="eastAsia" w:ascii="仿宋_GB2312" w:hAnsi="宋体" w:eastAsia="仿宋_GB2312" w:cs="宋体"/>
          <w:color w:val="000000"/>
          <w:kern w:val="0"/>
          <w:sz w:val="32"/>
          <w:szCs w:val="32"/>
          <w:lang w:eastAsia="zh-CN"/>
        </w:rPr>
        <w:t>殡葬服务设施是社会公益服务设施</w:t>
      </w:r>
      <w:r>
        <w:rPr>
          <w:rFonts w:hint="eastAsia" w:ascii="仿宋_GB2312" w:hAnsi="宋体" w:eastAsia="仿宋_GB2312" w:cs="宋体"/>
          <w:color w:val="000000"/>
          <w:kern w:val="0"/>
          <w:sz w:val="32"/>
          <w:szCs w:val="32"/>
        </w:rPr>
        <w:t>的重要组成部分。</w:t>
      </w:r>
      <w:r>
        <w:rPr>
          <w:rFonts w:hint="eastAsia" w:ascii="仿宋_GB2312" w:hAnsi="宋体" w:eastAsia="仿宋_GB2312" w:cs="宋体"/>
          <w:color w:val="000000"/>
          <w:kern w:val="0"/>
          <w:sz w:val="32"/>
          <w:szCs w:val="32"/>
          <w:lang w:eastAsia="zh-CN"/>
        </w:rPr>
        <w:t>根据自治区民政厅、财政厅有关文件精神，加强殡葬服务设施建设，进一步满足各族群众的殡葬服务需求，</w:t>
      </w:r>
      <w:r>
        <w:rPr>
          <w:rFonts w:hint="eastAsia" w:ascii="仿宋_GB2312" w:hAnsi="宋体" w:eastAsia="仿宋_GB2312" w:cs="宋体"/>
          <w:color w:val="000000"/>
          <w:kern w:val="0"/>
          <w:sz w:val="32"/>
          <w:szCs w:val="32"/>
        </w:rPr>
        <w:t>推进殡葬基本服务均等化，进一步深化殡葬改革，促进社会主义精神文明建设与和谐社会建设</w:t>
      </w:r>
      <w:r>
        <w:rPr>
          <w:rFonts w:hint="eastAsia" w:ascii="仿宋_GB2312" w:hAnsi="宋体" w:eastAsia="仿宋_GB2312" w:cs="宋体"/>
          <w:color w:val="000000"/>
          <w:kern w:val="0"/>
          <w:sz w:val="32"/>
          <w:szCs w:val="32"/>
          <w:lang w:eastAsia="zh-CN"/>
        </w:rPr>
        <w:t>，维护社会稳定和长治久安总目标</w:t>
      </w:r>
      <w:r>
        <w:rPr>
          <w:rFonts w:hint="eastAsia" w:ascii="仿宋_GB2312" w:hAnsi="宋体" w:eastAsia="仿宋_GB2312" w:cs="宋体"/>
          <w:color w:val="000000"/>
          <w:kern w:val="0"/>
          <w:sz w:val="32"/>
          <w:szCs w:val="32"/>
        </w:rPr>
        <w:t>。</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　　</w:t>
      </w:r>
      <w:r>
        <w:rPr>
          <w:rStyle w:val="19"/>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lang w:eastAsia="zh-CN"/>
        </w:rPr>
        <w:t>　　</w:t>
      </w:r>
      <w:r>
        <w:rPr>
          <w:rStyle w:val="19"/>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Style w:val="19"/>
          <w:rFonts w:hint="eastAsia" w:ascii="楷体" w:hAnsi="楷体" w:eastAsia="楷体"/>
          <w:spacing w:val="-4"/>
          <w:sz w:val="32"/>
          <w:szCs w:val="32"/>
        </w:rPr>
      </w:pPr>
      <w:r>
        <w:rPr>
          <w:rFonts w:hint="eastAsia" w:ascii="仿宋_GB2312" w:eastAsia="仿宋_GB2312"/>
          <w:sz w:val="32"/>
          <w:szCs w:val="32"/>
          <w:lang w:eastAsia="zh-CN"/>
        </w:rPr>
        <w:t>　　</w:t>
      </w:r>
      <w:r>
        <w:rPr>
          <w:rFonts w:hint="eastAsia" w:ascii="仿宋_GB2312" w:eastAsia="仿宋_GB2312"/>
          <w:sz w:val="32"/>
          <w:szCs w:val="32"/>
          <w:lang w:val="en-US" w:eastAsia="zh-CN"/>
        </w:rPr>
        <w:t>2018年自治区拨付以奖代补资金1200万元，</w:t>
      </w:r>
      <w:r>
        <w:rPr>
          <w:rFonts w:hint="eastAsia" w:ascii="仿宋_GB2312" w:hAnsi="仿宋" w:eastAsia="仿宋_GB2312" w:cs="宋体"/>
          <w:kern w:val="0"/>
          <w:sz w:val="32"/>
          <w:szCs w:val="32"/>
          <w:lang w:val="en-US" w:eastAsia="zh-CN"/>
        </w:rPr>
        <w:t>。</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lang w:eastAsia="zh-CN"/>
        </w:rPr>
        <w:t>　　</w:t>
      </w:r>
      <w:r>
        <w:rPr>
          <w:rStyle w:val="19"/>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9"/>
        <w:rPr>
          <w:rStyle w:val="19"/>
          <w:rFonts w:ascii="楷体" w:hAnsi="楷体" w:eastAsia="楷体"/>
          <w:spacing w:val="-4"/>
          <w:sz w:val="32"/>
          <w:szCs w:val="32"/>
        </w:rPr>
      </w:pPr>
      <w:r>
        <w:rPr>
          <w:rFonts w:hint="eastAsia" w:ascii="仿宋_GB2312" w:eastAsia="仿宋_GB2312"/>
          <w:sz w:val="32"/>
          <w:szCs w:val="32"/>
          <w:lang w:val="en-US" w:eastAsia="zh-CN"/>
        </w:rPr>
        <w:t>拨付2019年自治区本级福利彩票公益金1200万元，专项用于11个地州市16个县市区少数民族殡葬服务设施建设。</w:t>
      </w:r>
      <w:r>
        <w:rPr>
          <w:rStyle w:val="19"/>
          <w:rFonts w:hint="eastAsia" w:ascii="楷体" w:hAnsi="楷体" w:eastAsia="楷体"/>
          <w:spacing w:val="-4"/>
          <w:sz w:val="32"/>
          <w:szCs w:val="32"/>
          <w:lang w:eastAsia="zh-CN"/>
        </w:rPr>
        <w:t>　　</w:t>
      </w:r>
      <w:r>
        <w:rPr>
          <w:rStyle w:val="19"/>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5"/>
        <w:textAlignment w:val="auto"/>
        <w:outlineLvl w:val="9"/>
        <w:rPr>
          <w:rFonts w:hint="eastAsia" w:ascii="仿宋_GB2312" w:hAnsi="仿宋" w:eastAsia="仿宋_GB2312"/>
          <w:sz w:val="32"/>
          <w:szCs w:val="32"/>
        </w:rPr>
      </w:pPr>
      <w:r>
        <w:rPr>
          <w:rFonts w:hint="eastAsia" w:ascii="仿宋_GB2312" w:hAnsi="仿宋" w:eastAsia="仿宋_GB2312"/>
          <w:color w:val="000000"/>
          <w:kern w:val="0"/>
          <w:sz w:val="32"/>
          <w:szCs w:val="32"/>
        </w:rPr>
        <w:t>殡葬救助费专款专用，严禁挤占挪用。</w:t>
      </w:r>
      <w:r>
        <w:rPr>
          <w:rFonts w:hint="eastAsia" w:ascii="仿宋_GB2312" w:hAnsi="仿宋" w:eastAsia="仿宋_GB2312"/>
          <w:sz w:val="32"/>
          <w:szCs w:val="32"/>
        </w:rPr>
        <w:t>各地民政部门协调纪检监察、审计等部门定期检查、审计殡葬救助费的发放和管理情况，确保资金高效、安全使用。对套取、截留、挤占、挪用和不按规定发放的，按有关规定严肃查处。充分发挥新闻媒体的监督、宣传作用，加大相关政策的宣传力度，向社会公布殡葬救助费的发放范围、标准和程序，增加工作的透明度。通过设立举报电话和信访接待平台，接受群众监督和舆论监督。</w:t>
      </w:r>
    </w:p>
    <w:p>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　　</w:t>
      </w:r>
      <w:r>
        <w:rPr>
          <w:rStyle w:val="19"/>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61" w:firstLineChars="243"/>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snapToGrid/>
        <w:spacing w:line="580" w:lineRule="exact"/>
        <w:ind w:left="0" w:leftChars="0" w:right="0" w:rightChars="0" w:firstLine="624" w:firstLineChars="200"/>
        <w:jc w:val="both"/>
        <w:textAlignment w:val="auto"/>
        <w:rPr>
          <w:rStyle w:val="19"/>
          <w:rFonts w:ascii="仿宋_GB2312" w:hAnsi="仿宋_GB2312" w:eastAsia="仿宋_GB2312" w:cs="仿宋_GB2312"/>
          <w:b w:val="0"/>
          <w:color w:val="000000"/>
          <w:spacing w:val="-4"/>
          <w:sz w:val="32"/>
          <w:szCs w:val="32"/>
        </w:rPr>
      </w:pPr>
      <w:r>
        <w:rPr>
          <w:rStyle w:val="19"/>
          <w:rFonts w:hint="eastAsia" w:ascii="仿宋_GB2312" w:hAnsi="仿宋_GB2312" w:eastAsia="仿宋_GB2312" w:cs="仿宋_GB2312"/>
          <w:b w:val="0"/>
          <w:color w:val="000000"/>
          <w:spacing w:val="-4"/>
          <w:sz w:val="32"/>
          <w:szCs w:val="32"/>
        </w:rPr>
        <w:t>积极组织开展2018年度全区</w:t>
      </w:r>
      <w:r>
        <w:rPr>
          <w:rStyle w:val="19"/>
          <w:rFonts w:hint="eastAsia" w:ascii="仿宋_GB2312" w:hAnsi="仿宋_GB2312" w:eastAsia="仿宋_GB2312" w:cs="仿宋_GB2312"/>
          <w:b w:val="0"/>
          <w:color w:val="000000"/>
          <w:spacing w:val="-4"/>
          <w:sz w:val="32"/>
          <w:szCs w:val="32"/>
          <w:lang w:eastAsia="zh-CN"/>
        </w:rPr>
        <w:t>殡葬服务</w:t>
      </w:r>
      <w:r>
        <w:rPr>
          <w:rStyle w:val="19"/>
          <w:rFonts w:hint="eastAsia" w:ascii="仿宋_GB2312" w:hAnsi="仿宋_GB2312" w:eastAsia="仿宋_GB2312" w:cs="仿宋_GB2312"/>
          <w:b w:val="0"/>
          <w:color w:val="000000"/>
          <w:spacing w:val="-4"/>
          <w:sz w:val="32"/>
          <w:szCs w:val="32"/>
        </w:rPr>
        <w:t>机构资助工作，根据各地工作开展情况，按照《</w:t>
      </w:r>
      <w:r>
        <w:rPr>
          <w:rStyle w:val="19"/>
          <w:rFonts w:hint="eastAsia" w:ascii="仿宋_GB2312" w:hAnsi="仿宋_GB2312" w:eastAsia="仿宋_GB2312" w:cs="仿宋_GB2312"/>
          <w:b w:val="0"/>
          <w:color w:val="000000"/>
          <w:spacing w:val="-4"/>
          <w:sz w:val="32"/>
          <w:szCs w:val="32"/>
          <w:lang w:eastAsia="zh-CN"/>
        </w:rPr>
        <w:t>自治区殡葬服务设施规划</w:t>
      </w:r>
      <w:r>
        <w:rPr>
          <w:rStyle w:val="19"/>
          <w:rFonts w:hint="eastAsia" w:ascii="仿宋_GB2312" w:hAnsi="仿宋_GB2312" w:eastAsia="仿宋_GB2312" w:cs="仿宋_GB2312"/>
          <w:b w:val="0"/>
          <w:color w:val="000000"/>
          <w:spacing w:val="-4"/>
          <w:sz w:val="32"/>
          <w:szCs w:val="32"/>
        </w:rPr>
        <w:t>》</w:t>
      </w:r>
      <w:r>
        <w:rPr>
          <w:rStyle w:val="19"/>
          <w:rFonts w:hint="eastAsia" w:ascii="仿宋_GB2312" w:hAnsi="仿宋_GB2312" w:eastAsia="仿宋_GB2312" w:cs="仿宋_GB2312"/>
          <w:b w:val="0"/>
          <w:color w:val="000000"/>
          <w:spacing w:val="-4"/>
          <w:sz w:val="32"/>
          <w:szCs w:val="32"/>
          <w:lang w:eastAsia="zh-CN"/>
        </w:rPr>
        <w:t>和全区殡葬服务设施建设分布情况</w:t>
      </w:r>
      <w:r>
        <w:rPr>
          <w:rStyle w:val="19"/>
          <w:rFonts w:hint="eastAsia" w:ascii="仿宋_GB2312" w:hAnsi="仿宋_GB2312" w:eastAsia="仿宋_GB2312" w:cs="仿宋_GB2312"/>
          <w:b w:val="0"/>
          <w:color w:val="000000"/>
          <w:spacing w:val="-4"/>
          <w:sz w:val="32"/>
          <w:szCs w:val="32"/>
        </w:rPr>
        <w:t>，对符合条件</w:t>
      </w:r>
      <w:r>
        <w:rPr>
          <w:rStyle w:val="19"/>
          <w:rFonts w:hint="eastAsia" w:ascii="仿宋_GB2312" w:hAnsi="仿宋_GB2312" w:eastAsia="仿宋_GB2312" w:cs="仿宋_GB2312"/>
          <w:b w:val="0"/>
          <w:color w:val="000000"/>
          <w:spacing w:val="-4"/>
          <w:sz w:val="32"/>
          <w:szCs w:val="32"/>
          <w:lang w:eastAsia="zh-CN"/>
        </w:rPr>
        <w:t>殡葬服务设施建设情况</w:t>
      </w:r>
      <w:r>
        <w:rPr>
          <w:rStyle w:val="19"/>
          <w:rFonts w:hint="eastAsia" w:ascii="仿宋_GB2312" w:hAnsi="仿宋_GB2312" w:eastAsia="仿宋_GB2312" w:cs="仿宋_GB2312"/>
          <w:b w:val="0"/>
          <w:color w:val="000000"/>
          <w:spacing w:val="-4"/>
          <w:sz w:val="32"/>
          <w:szCs w:val="32"/>
        </w:rPr>
        <w:t>进行审核，研究形成《2018年度</w:t>
      </w:r>
      <w:r>
        <w:rPr>
          <w:rStyle w:val="19"/>
          <w:rFonts w:hint="eastAsia" w:ascii="仿宋_GB2312" w:hAnsi="仿宋_GB2312" w:eastAsia="仿宋_GB2312" w:cs="仿宋_GB2312"/>
          <w:b w:val="0"/>
          <w:color w:val="000000"/>
          <w:spacing w:val="-4"/>
          <w:sz w:val="32"/>
          <w:szCs w:val="32"/>
          <w:lang w:eastAsia="zh-CN"/>
        </w:rPr>
        <w:t>殡葬服务设施建设</w:t>
      </w:r>
      <w:r>
        <w:rPr>
          <w:rStyle w:val="19"/>
          <w:rFonts w:hint="eastAsia" w:ascii="仿宋_GB2312" w:hAnsi="仿宋_GB2312" w:eastAsia="仿宋_GB2312" w:cs="仿宋_GB2312"/>
          <w:b w:val="0"/>
          <w:color w:val="000000"/>
          <w:spacing w:val="-4"/>
          <w:sz w:val="32"/>
          <w:szCs w:val="32"/>
        </w:rPr>
        <w:t>自治区财政资助资金分配方案》，及时上报自治区财政厅审核</w:t>
      </w:r>
      <w:r>
        <w:rPr>
          <w:rStyle w:val="19"/>
          <w:rFonts w:hint="eastAsia" w:ascii="仿宋_GB2312" w:hAnsi="仿宋_GB2312" w:eastAsia="仿宋_GB2312" w:cs="仿宋_GB2312"/>
          <w:b w:val="0"/>
          <w:color w:val="000000"/>
          <w:spacing w:val="-4"/>
          <w:sz w:val="32"/>
          <w:szCs w:val="32"/>
          <w:lang w:eastAsia="zh-CN"/>
        </w:rPr>
        <w:t>，并</w:t>
      </w:r>
      <w:r>
        <w:rPr>
          <w:rStyle w:val="19"/>
          <w:rFonts w:hint="eastAsia" w:ascii="仿宋_GB2312" w:hAnsi="仿宋_GB2312" w:eastAsia="仿宋_GB2312" w:cs="仿宋_GB2312"/>
          <w:b w:val="0"/>
          <w:color w:val="000000"/>
          <w:spacing w:val="-4"/>
          <w:sz w:val="32"/>
          <w:szCs w:val="32"/>
        </w:rPr>
        <w:t>通过</w:t>
      </w:r>
      <w:r>
        <w:rPr>
          <w:rStyle w:val="19"/>
          <w:rFonts w:hint="eastAsia" w:ascii="仿宋_GB2312" w:hAnsi="仿宋_GB2312" w:eastAsia="仿宋_GB2312" w:cs="仿宋_GB2312"/>
          <w:b w:val="0"/>
          <w:color w:val="000000"/>
          <w:spacing w:val="-4"/>
          <w:sz w:val="32"/>
          <w:szCs w:val="32"/>
          <w:lang w:eastAsia="zh-CN"/>
        </w:rPr>
        <w:t>自治区财政厅</w:t>
      </w:r>
      <w:r>
        <w:rPr>
          <w:rStyle w:val="19"/>
          <w:rFonts w:hint="eastAsia" w:ascii="仿宋_GB2312" w:hAnsi="仿宋_GB2312" w:eastAsia="仿宋_GB2312" w:cs="仿宋_GB2312"/>
          <w:b w:val="0"/>
          <w:color w:val="000000"/>
          <w:spacing w:val="-4"/>
          <w:sz w:val="32"/>
          <w:szCs w:val="32"/>
        </w:rPr>
        <w:t>审核，</w:t>
      </w:r>
      <w:r>
        <w:rPr>
          <w:rStyle w:val="19"/>
          <w:rFonts w:hint="eastAsia" w:ascii="仿宋_GB2312" w:hAnsi="仿宋_GB2312" w:eastAsia="仿宋_GB2312" w:cs="仿宋_GB2312"/>
          <w:b w:val="0"/>
          <w:color w:val="000000"/>
          <w:spacing w:val="-4"/>
          <w:sz w:val="32"/>
          <w:szCs w:val="32"/>
          <w:lang w:eastAsia="zh-CN"/>
        </w:rPr>
        <w:t>由自治区财政厅</w:t>
      </w:r>
      <w:r>
        <w:rPr>
          <w:rStyle w:val="19"/>
          <w:rFonts w:hint="eastAsia" w:ascii="仿宋_GB2312" w:hAnsi="仿宋_GB2312" w:eastAsia="仿宋_GB2312" w:cs="仿宋_GB2312"/>
          <w:b w:val="0"/>
          <w:color w:val="000000"/>
          <w:spacing w:val="-4"/>
          <w:sz w:val="32"/>
          <w:szCs w:val="32"/>
        </w:rPr>
        <w:t>下拨2018年度</w:t>
      </w:r>
      <w:r>
        <w:rPr>
          <w:rStyle w:val="19"/>
          <w:rFonts w:hint="eastAsia" w:ascii="仿宋_GB2312" w:hAnsi="仿宋_GB2312" w:eastAsia="仿宋_GB2312" w:cs="仿宋_GB2312"/>
          <w:b w:val="0"/>
          <w:color w:val="000000"/>
          <w:spacing w:val="-4"/>
          <w:sz w:val="32"/>
          <w:szCs w:val="32"/>
          <w:lang w:eastAsia="zh-CN"/>
        </w:rPr>
        <w:t>殡葬服务</w:t>
      </w:r>
      <w:r>
        <w:rPr>
          <w:rStyle w:val="19"/>
          <w:rFonts w:hint="eastAsia" w:ascii="仿宋_GB2312" w:hAnsi="仿宋_GB2312" w:eastAsia="仿宋_GB2312" w:cs="仿宋_GB2312"/>
          <w:b w:val="0"/>
          <w:color w:val="000000"/>
          <w:spacing w:val="-4"/>
          <w:sz w:val="32"/>
          <w:szCs w:val="32"/>
        </w:rPr>
        <w:t>机构自治区财政资助资金，</w:t>
      </w:r>
      <w:r>
        <w:rPr>
          <w:rStyle w:val="19"/>
          <w:rFonts w:hint="eastAsia" w:ascii="仿宋_GB2312" w:hAnsi="仿宋_GB2312" w:eastAsia="仿宋_GB2312" w:cs="仿宋_GB2312"/>
          <w:b w:val="0"/>
          <w:color w:val="000000"/>
          <w:spacing w:val="-4"/>
          <w:sz w:val="32"/>
          <w:szCs w:val="32"/>
          <w:lang w:eastAsia="zh-CN"/>
        </w:rPr>
        <w:t>自治区民政厅</w:t>
      </w:r>
      <w:r>
        <w:rPr>
          <w:rStyle w:val="19"/>
          <w:rFonts w:hint="eastAsia" w:ascii="仿宋_GB2312" w:hAnsi="仿宋_GB2312" w:eastAsia="仿宋_GB2312" w:cs="仿宋_GB2312"/>
          <w:b w:val="0"/>
          <w:color w:val="000000"/>
          <w:spacing w:val="-4"/>
          <w:sz w:val="32"/>
          <w:szCs w:val="32"/>
        </w:rPr>
        <w:t>积极</w:t>
      </w:r>
      <w:r>
        <w:rPr>
          <w:rStyle w:val="19"/>
          <w:rFonts w:hint="eastAsia" w:ascii="仿宋_GB2312" w:hAnsi="仿宋_GB2312" w:eastAsia="仿宋_GB2312" w:cs="仿宋_GB2312"/>
          <w:b w:val="0"/>
          <w:color w:val="000000"/>
          <w:spacing w:val="-4"/>
          <w:sz w:val="32"/>
          <w:szCs w:val="32"/>
          <w:lang w:eastAsia="zh-CN"/>
        </w:rPr>
        <w:t>配合财政厅，</w:t>
      </w:r>
      <w:r>
        <w:rPr>
          <w:rStyle w:val="19"/>
          <w:rFonts w:hint="eastAsia" w:ascii="仿宋_GB2312" w:hAnsi="仿宋_GB2312" w:eastAsia="仿宋_GB2312" w:cs="仿宋_GB2312"/>
          <w:b w:val="0"/>
          <w:color w:val="000000"/>
          <w:spacing w:val="-4"/>
          <w:sz w:val="32"/>
          <w:szCs w:val="32"/>
        </w:rPr>
        <w:t>督促各级民政部门按照政策规定落实配套资金，</w:t>
      </w:r>
      <w:r>
        <w:rPr>
          <w:rStyle w:val="19"/>
          <w:rFonts w:hint="eastAsia" w:ascii="仿宋_GB2312" w:hAnsi="仿宋_GB2312" w:eastAsia="仿宋_GB2312" w:cs="仿宋_GB2312"/>
          <w:b w:val="0"/>
          <w:color w:val="000000"/>
          <w:spacing w:val="-4"/>
          <w:sz w:val="32"/>
          <w:szCs w:val="32"/>
          <w:lang w:eastAsia="zh-CN"/>
        </w:rPr>
        <w:t>及时开展项目施工</w:t>
      </w:r>
      <w:r>
        <w:rPr>
          <w:rStyle w:val="19"/>
          <w:rFonts w:hint="eastAsia" w:ascii="仿宋_GB2312" w:hAnsi="仿宋_GB2312" w:eastAsia="仿宋_GB2312" w:cs="仿宋_GB2312"/>
          <w:b w:val="0"/>
          <w:color w:val="000000"/>
          <w:spacing w:val="-4"/>
          <w:sz w:val="32"/>
          <w:szCs w:val="32"/>
        </w:rPr>
        <w:t>。</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61" w:firstLineChars="243"/>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keepNext w:val="0"/>
        <w:keepLines w:val="0"/>
        <w:pageBreakBefore w:val="0"/>
        <w:kinsoku/>
        <w:wordWrap/>
        <w:overflowPunct/>
        <w:topLinePunct w:val="0"/>
        <w:autoSpaceDE/>
        <w:autoSpaceDN/>
        <w:bidi w:val="0"/>
        <w:snapToGrid/>
        <w:spacing w:line="580" w:lineRule="exact"/>
        <w:ind w:left="0" w:leftChars="0" w:right="0" w:rightChars="0" w:firstLine="624" w:firstLineChars="200"/>
        <w:jc w:val="both"/>
        <w:textAlignment w:val="auto"/>
        <w:rPr>
          <w:rFonts w:hint="eastAsia" w:ascii="仿宋_GB2312" w:hAnsi="仿宋" w:eastAsia="仿宋_GB2312" w:cs="宋体"/>
          <w:kern w:val="0"/>
          <w:sz w:val="32"/>
          <w:szCs w:val="32"/>
        </w:rPr>
      </w:pPr>
      <w:r>
        <w:rPr>
          <w:rStyle w:val="19"/>
          <w:rFonts w:hint="eastAsia" w:ascii="仿宋_GB2312" w:hAnsi="仿宋_GB2312" w:eastAsia="仿宋_GB2312" w:cs="仿宋_GB2312"/>
          <w:b w:val="0"/>
          <w:color w:val="000000"/>
          <w:spacing w:val="-4"/>
          <w:sz w:val="32"/>
          <w:szCs w:val="32"/>
        </w:rPr>
        <w:t>认真落实《自治区</w:t>
      </w:r>
      <w:r>
        <w:rPr>
          <w:rStyle w:val="19"/>
          <w:rFonts w:hint="eastAsia" w:ascii="仿宋_GB2312" w:hAnsi="仿宋_GB2312" w:eastAsia="仿宋_GB2312" w:cs="仿宋_GB2312"/>
          <w:b w:val="0"/>
          <w:color w:val="000000"/>
          <w:spacing w:val="-4"/>
          <w:sz w:val="32"/>
          <w:szCs w:val="32"/>
          <w:lang w:eastAsia="zh-CN"/>
        </w:rPr>
        <w:t>殡葬服务设施建设规划</w:t>
      </w:r>
      <w:r>
        <w:rPr>
          <w:rStyle w:val="19"/>
          <w:rFonts w:hint="eastAsia" w:ascii="仿宋_GB2312" w:hAnsi="仿宋_GB2312" w:eastAsia="仿宋_GB2312" w:cs="仿宋_GB2312"/>
          <w:b w:val="0"/>
          <w:color w:val="000000"/>
          <w:spacing w:val="-4"/>
          <w:sz w:val="32"/>
          <w:szCs w:val="32"/>
        </w:rPr>
        <w:t>》，严格把控资助对象条件、项目标准、申报审核程序、资金使用管理、监督检查等重要环节，确保资助工作公平公正。同时，将资助工作与</w:t>
      </w:r>
      <w:r>
        <w:rPr>
          <w:rStyle w:val="19"/>
          <w:rFonts w:hint="eastAsia" w:ascii="仿宋_GB2312" w:hAnsi="仿宋_GB2312" w:eastAsia="仿宋_GB2312" w:cs="仿宋_GB2312"/>
          <w:b w:val="0"/>
          <w:color w:val="000000"/>
          <w:spacing w:val="-4"/>
          <w:sz w:val="32"/>
          <w:szCs w:val="32"/>
          <w:lang w:eastAsia="zh-CN"/>
        </w:rPr>
        <w:t>殡葬服务设施</w:t>
      </w:r>
      <w:r>
        <w:rPr>
          <w:rStyle w:val="19"/>
          <w:rFonts w:hint="eastAsia" w:ascii="仿宋_GB2312" w:hAnsi="仿宋_GB2312" w:eastAsia="仿宋_GB2312" w:cs="仿宋_GB2312"/>
          <w:b w:val="0"/>
          <w:color w:val="000000"/>
          <w:spacing w:val="-4"/>
          <w:sz w:val="32"/>
          <w:szCs w:val="32"/>
        </w:rPr>
        <w:t>年检和自治区</w:t>
      </w:r>
      <w:r>
        <w:rPr>
          <w:rStyle w:val="19"/>
          <w:rFonts w:hint="eastAsia" w:ascii="仿宋_GB2312" w:hAnsi="仿宋_GB2312" w:eastAsia="仿宋_GB2312" w:cs="仿宋_GB2312"/>
          <w:b w:val="0"/>
          <w:color w:val="000000"/>
          <w:spacing w:val="-4"/>
          <w:sz w:val="32"/>
          <w:szCs w:val="32"/>
          <w:lang w:eastAsia="zh-CN"/>
        </w:rPr>
        <w:t>殡葬服务设施</w:t>
      </w:r>
      <w:r>
        <w:rPr>
          <w:rStyle w:val="19"/>
          <w:rFonts w:hint="eastAsia" w:ascii="仿宋_GB2312" w:hAnsi="仿宋_GB2312" w:eastAsia="仿宋_GB2312" w:cs="仿宋_GB2312"/>
          <w:b w:val="0"/>
          <w:color w:val="000000"/>
          <w:spacing w:val="-4"/>
          <w:sz w:val="32"/>
          <w:szCs w:val="32"/>
        </w:rPr>
        <w:t>服务质量建设专项行动紧密结合，进一步强化资助工作的针对性，有效提高资助对象认定的精准度，确保资助科学有</w:t>
      </w:r>
      <w:r>
        <w:rPr>
          <w:rStyle w:val="19"/>
          <w:rFonts w:hint="eastAsia" w:ascii="仿宋_GB2312" w:hAnsi="仿宋_GB2312" w:eastAsia="仿宋_GB2312" w:cs="仿宋_GB2312"/>
          <w:b w:val="0"/>
          <w:color w:val="000000"/>
          <w:spacing w:val="-4"/>
          <w:sz w:val="32"/>
          <w:szCs w:val="32"/>
          <w:lang w:eastAsia="zh-CN"/>
        </w:rPr>
        <w:t>效。</w:t>
      </w:r>
    </w:p>
    <w:p>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9"/>
        <w:rPr>
          <w:rStyle w:val="19"/>
          <w:rFonts w:ascii="黑体" w:hAnsi="黑体" w:eastAsia="黑体"/>
        </w:rPr>
      </w:pPr>
      <w:r>
        <w:rPr>
          <w:rStyle w:val="19"/>
          <w:rFonts w:hint="eastAsia" w:ascii="黑体" w:hAnsi="黑体" w:eastAsia="黑体"/>
          <w:b w:val="0"/>
          <w:spacing w:val="-4"/>
          <w:sz w:val="32"/>
          <w:szCs w:val="32"/>
          <w:lang w:eastAsia="zh-CN"/>
        </w:rPr>
        <w:t>　　</w:t>
      </w: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61" w:firstLineChars="243"/>
        <w:textAlignment w:val="auto"/>
        <w:outlineLvl w:val="9"/>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61" w:firstLineChars="243"/>
        <w:textAlignment w:val="auto"/>
        <w:outlineLvl w:val="9"/>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1、项目效率性分析</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5"/>
        <w:textAlignment w:val="auto"/>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2018年</w:t>
      </w:r>
      <w:r>
        <w:rPr>
          <w:rFonts w:hint="eastAsia" w:ascii="仿宋_GB2312" w:hAnsi="仿宋" w:eastAsia="仿宋_GB2312"/>
          <w:sz w:val="32"/>
          <w:szCs w:val="32"/>
        </w:rPr>
        <w:t>殡葬</w:t>
      </w:r>
      <w:r>
        <w:rPr>
          <w:rFonts w:hint="eastAsia" w:ascii="仿宋_GB2312" w:hAnsi="仿宋" w:eastAsia="仿宋_GB2312"/>
          <w:sz w:val="32"/>
          <w:szCs w:val="32"/>
          <w:lang w:eastAsia="zh-CN"/>
        </w:rPr>
        <w:t>以奖代补资金</w:t>
      </w:r>
      <w:r>
        <w:rPr>
          <w:rFonts w:hint="eastAsia" w:ascii="仿宋_GB2312" w:hAnsi="仿宋" w:eastAsia="仿宋_GB2312"/>
          <w:sz w:val="32"/>
          <w:szCs w:val="32"/>
        </w:rPr>
        <w:t>已经发放。殡葬</w:t>
      </w:r>
      <w:r>
        <w:rPr>
          <w:rFonts w:hint="eastAsia" w:ascii="仿宋_GB2312" w:hAnsi="仿宋" w:eastAsia="仿宋_GB2312"/>
          <w:sz w:val="32"/>
          <w:szCs w:val="32"/>
          <w:lang w:eastAsia="zh-CN"/>
        </w:rPr>
        <w:t>以奖代补资金</w:t>
      </w:r>
      <w:r>
        <w:rPr>
          <w:rFonts w:hint="eastAsia" w:ascii="仿宋_GB2312" w:hAnsi="仿宋" w:eastAsia="仿宋_GB2312"/>
          <w:color w:val="000000"/>
          <w:sz w:val="32"/>
          <w:szCs w:val="32"/>
        </w:rPr>
        <w:t>通过</w:t>
      </w:r>
      <w:r>
        <w:rPr>
          <w:rFonts w:hint="eastAsia" w:ascii="仿宋_GB2312" w:hAnsi="仿宋" w:eastAsia="仿宋_GB2312"/>
          <w:color w:val="000000"/>
          <w:sz w:val="32"/>
          <w:szCs w:val="32"/>
          <w:lang w:eastAsia="zh-CN"/>
        </w:rPr>
        <w:t>各地民政部门申报，自治区民政厅进行综合审核，报自治区财政厅进行拨付，</w:t>
      </w:r>
      <w:r>
        <w:rPr>
          <w:rFonts w:hint="eastAsia" w:ascii="仿宋_GB2312" w:hAnsi="仿宋" w:eastAsia="仿宋_GB2312"/>
          <w:color w:val="000000"/>
          <w:sz w:val="32"/>
          <w:szCs w:val="32"/>
        </w:rPr>
        <w:t>资金发放及时到位。</w:t>
      </w:r>
    </w:p>
    <w:p>
      <w:pPr>
        <w:keepNext w:val="0"/>
        <w:keepLines w:val="0"/>
        <w:pageBreakBefore w:val="0"/>
        <w:numPr>
          <w:ilvl w:val="0"/>
          <w:numId w:val="2"/>
        </w:numPr>
        <w:kinsoku/>
        <w:wordWrap/>
        <w:overflowPunct/>
        <w:topLinePunct w:val="0"/>
        <w:autoSpaceDE/>
        <w:autoSpaceDN/>
        <w:bidi w:val="0"/>
        <w:adjustRightInd/>
        <w:snapToGrid/>
        <w:spacing w:after="0" w:line="560" w:lineRule="exact"/>
        <w:ind w:left="0" w:leftChars="0" w:right="0" w:rightChars="0" w:firstLine="761" w:firstLineChars="243"/>
        <w:textAlignment w:val="auto"/>
        <w:outlineLvl w:val="9"/>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项目的有益性和持续性分析</w:t>
      </w:r>
    </w:p>
    <w:p>
      <w:pPr>
        <w:ind w:firstLine="645"/>
        <w:rPr>
          <w:rFonts w:hint="eastAsia" w:ascii="仿宋_GB2312" w:hAnsi="仿宋" w:eastAsia="仿宋_GB2312"/>
          <w:sz w:val="32"/>
          <w:szCs w:val="32"/>
        </w:rPr>
      </w:pPr>
      <w:r>
        <w:rPr>
          <w:rFonts w:hint="eastAsia" w:ascii="仿宋_GB2312" w:hAnsi="仿宋" w:eastAsia="仿宋_GB2312"/>
          <w:color w:val="000000"/>
          <w:kern w:val="0"/>
          <w:sz w:val="32"/>
          <w:szCs w:val="32"/>
        </w:rPr>
        <w:t>殡葬</w:t>
      </w:r>
      <w:r>
        <w:rPr>
          <w:rFonts w:hint="eastAsia" w:ascii="仿宋_GB2312" w:hAnsi="仿宋" w:eastAsia="仿宋_GB2312"/>
          <w:color w:val="000000"/>
          <w:kern w:val="0"/>
          <w:sz w:val="32"/>
          <w:szCs w:val="32"/>
          <w:lang w:eastAsia="zh-CN"/>
        </w:rPr>
        <w:t>补助经费</w:t>
      </w:r>
      <w:r>
        <w:rPr>
          <w:rFonts w:hint="eastAsia" w:ascii="仿宋_GB2312" w:hAnsi="仿宋" w:eastAsia="仿宋_GB2312"/>
          <w:color w:val="000000"/>
          <w:kern w:val="0"/>
          <w:sz w:val="32"/>
          <w:szCs w:val="32"/>
        </w:rPr>
        <w:t>专款专用，严禁挤占挪用。</w:t>
      </w:r>
      <w:r>
        <w:rPr>
          <w:rFonts w:hint="eastAsia" w:ascii="仿宋_GB2312" w:hAnsi="仿宋" w:eastAsia="仿宋_GB2312"/>
          <w:sz w:val="32"/>
          <w:szCs w:val="32"/>
        </w:rPr>
        <w:t>各地民政部门协调纪检监察、审计等部门定期检查、审计殡葬</w:t>
      </w:r>
      <w:r>
        <w:rPr>
          <w:rFonts w:hint="eastAsia" w:ascii="仿宋_GB2312" w:hAnsi="仿宋" w:eastAsia="仿宋_GB2312"/>
          <w:sz w:val="32"/>
          <w:szCs w:val="32"/>
          <w:lang w:eastAsia="zh-CN"/>
        </w:rPr>
        <w:t>补助经费</w:t>
      </w:r>
      <w:r>
        <w:rPr>
          <w:rFonts w:hint="eastAsia" w:ascii="仿宋_GB2312" w:hAnsi="仿宋" w:eastAsia="仿宋_GB2312"/>
          <w:sz w:val="32"/>
          <w:szCs w:val="32"/>
        </w:rPr>
        <w:t>的发放和管理情况，确保资金高效、安全使用。对套取、截留、挤占、挪用和不按规定发放的，按有关规定严肃查处。充分发挥新闻媒体的监督、宣传作用，加大相关政策的宣传力度，向社会公布殡葬</w:t>
      </w:r>
      <w:r>
        <w:rPr>
          <w:rFonts w:hint="eastAsia" w:ascii="仿宋_GB2312" w:hAnsi="仿宋" w:eastAsia="仿宋_GB2312"/>
          <w:sz w:val="32"/>
          <w:szCs w:val="32"/>
          <w:lang w:eastAsia="zh-CN"/>
        </w:rPr>
        <w:t>补助经费</w:t>
      </w:r>
      <w:r>
        <w:rPr>
          <w:rFonts w:hint="eastAsia" w:ascii="仿宋_GB2312" w:hAnsi="仿宋" w:eastAsia="仿宋_GB2312"/>
          <w:sz w:val="32"/>
          <w:szCs w:val="32"/>
        </w:rPr>
        <w:t>的</w:t>
      </w:r>
      <w:r>
        <w:rPr>
          <w:rFonts w:hint="eastAsia" w:ascii="仿宋_GB2312" w:hAnsi="仿宋" w:eastAsia="仿宋_GB2312"/>
          <w:sz w:val="32"/>
          <w:szCs w:val="32"/>
          <w:lang w:eastAsia="zh-CN"/>
        </w:rPr>
        <w:t>使用范围</w:t>
      </w:r>
      <w:r>
        <w:rPr>
          <w:rFonts w:hint="eastAsia" w:ascii="仿宋_GB2312" w:hAnsi="仿宋" w:eastAsia="仿宋_GB2312"/>
          <w:sz w:val="32"/>
          <w:szCs w:val="32"/>
        </w:rPr>
        <w:t>、标准和程序，增加工作的透明度。通过设立举报电话和信访接待平台，接受群众监督和舆论监督。</w:t>
      </w:r>
    </w:p>
    <w:p>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9"/>
        <w:rPr>
          <w:rFonts w:ascii="楷体" w:hAnsi="楷体" w:eastAsia="楷体"/>
          <w:b/>
          <w:spacing w:val="-4"/>
          <w:sz w:val="32"/>
          <w:szCs w:val="32"/>
        </w:rPr>
      </w:pPr>
      <w:r>
        <w:rPr>
          <w:rFonts w:hint="eastAsia" w:ascii="楷体" w:hAnsi="楷体" w:eastAsia="楷体"/>
          <w:b/>
          <w:spacing w:val="-4"/>
          <w:sz w:val="32"/>
          <w:szCs w:val="32"/>
          <w:lang w:eastAsia="zh-CN"/>
        </w:rPr>
        <w:t>　　</w:t>
      </w: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55" w:firstLineChars="242"/>
        <w:textAlignment w:val="auto"/>
        <w:outlineLvl w:val="9"/>
        <w:rPr>
          <w:rFonts w:hint="eastAsia" w:ascii="仿宋" w:hAnsi="仿宋" w:eastAsia="仿宋"/>
          <w:spacing w:val="-4"/>
          <w:sz w:val="32"/>
          <w:szCs w:val="32"/>
          <w:lang w:eastAsia="zh-CN"/>
        </w:rPr>
      </w:pPr>
      <w:r>
        <w:rPr>
          <w:rFonts w:hint="eastAsia" w:ascii="仿宋" w:hAnsi="仿宋" w:eastAsia="仿宋"/>
          <w:spacing w:val="-4"/>
          <w:sz w:val="32"/>
          <w:szCs w:val="32"/>
          <w:lang w:eastAsia="zh-CN"/>
        </w:rPr>
        <w:t>（如项目绩效目标已完成，可不用填写该部分）</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58" w:firstLineChars="242"/>
        <w:textAlignment w:val="auto"/>
        <w:outlineLvl w:val="9"/>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55" w:firstLineChars="242"/>
        <w:textAlignment w:val="auto"/>
        <w:outlineLvl w:val="9"/>
        <w:rPr>
          <w:rFonts w:hint="eastAsia" w:ascii="仿宋_GB2312" w:eastAsia="仿宋_GB2312"/>
          <w:spacing w:val="-4"/>
          <w:sz w:val="32"/>
          <w:szCs w:val="32"/>
          <w:lang w:eastAsia="zh-CN"/>
        </w:rPr>
      </w:pPr>
      <w:r>
        <w:rPr>
          <w:rFonts w:hint="eastAsia" w:ascii="仿宋_GB2312" w:eastAsia="仿宋_GB2312"/>
          <w:spacing w:val="-4"/>
          <w:sz w:val="32"/>
          <w:szCs w:val="32"/>
          <w:lang w:val="en-US" w:eastAsia="zh-CN"/>
        </w:rPr>
        <w:t>2019年年，申请拨付以奖代补资金1500万元，进一步完善殡葬服务设施建设，满足各族群众殡葬服务需求，促进殡葬事业健康有序发展，维护社会稳定和长治久安总目标。</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58" w:firstLineChars="242"/>
        <w:textAlignment w:val="auto"/>
        <w:outlineLvl w:val="9"/>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58" w:firstLineChars="242"/>
        <w:textAlignment w:val="auto"/>
        <w:outlineLvl w:val="9"/>
        <w:rPr>
          <w:rFonts w:hint="eastAsia" w:ascii="仿宋_GB2312" w:eastAsia="仿宋_GB2312"/>
          <w:b/>
          <w:bCs/>
          <w:spacing w:val="-4"/>
          <w:sz w:val="32"/>
          <w:szCs w:val="32"/>
          <w:lang w:val="en-US" w:eastAsia="zh-CN"/>
        </w:rPr>
      </w:pPr>
      <w:r>
        <w:rPr>
          <w:rFonts w:hint="eastAsia" w:ascii="仿宋_GB2312" w:eastAsia="仿宋_GB2312"/>
          <w:b/>
          <w:bCs/>
          <w:spacing w:val="-4"/>
          <w:sz w:val="32"/>
          <w:szCs w:val="32"/>
          <w:lang w:val="en-US" w:eastAsia="zh-CN"/>
        </w:rPr>
        <w:t>1、主要经验和做法</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803" w:firstLineChars="250"/>
        <w:textAlignment w:val="auto"/>
        <w:outlineLvl w:val="9"/>
        <w:rPr>
          <w:rFonts w:hint="eastAsia" w:ascii="仿宋_GB2312" w:hAnsi="仿宋" w:eastAsia="仿宋_GB2312"/>
          <w:color w:val="000000"/>
          <w:kern w:val="0"/>
          <w:sz w:val="32"/>
          <w:szCs w:val="32"/>
        </w:rPr>
      </w:pPr>
      <w:r>
        <w:rPr>
          <w:rFonts w:hint="eastAsia" w:ascii="仿宋_GB2312" w:hAnsi="仿宋" w:eastAsia="仿宋_GB2312"/>
          <w:b/>
          <w:color w:val="000000"/>
          <w:kern w:val="0"/>
          <w:sz w:val="32"/>
          <w:szCs w:val="32"/>
          <w:lang w:eastAsia="zh-CN"/>
        </w:rPr>
        <w:t>（</w:t>
      </w:r>
      <w:r>
        <w:rPr>
          <w:rFonts w:hint="eastAsia" w:ascii="仿宋_GB2312" w:hAnsi="仿宋" w:eastAsia="仿宋_GB2312"/>
          <w:b/>
          <w:color w:val="000000"/>
          <w:kern w:val="0"/>
          <w:sz w:val="32"/>
          <w:szCs w:val="32"/>
        </w:rPr>
        <w:t>1</w:t>
      </w:r>
      <w:r>
        <w:rPr>
          <w:rFonts w:hint="eastAsia" w:ascii="仿宋_GB2312" w:hAnsi="仿宋" w:eastAsia="仿宋_GB2312"/>
          <w:b/>
          <w:color w:val="000000"/>
          <w:kern w:val="0"/>
          <w:sz w:val="32"/>
          <w:szCs w:val="32"/>
          <w:lang w:eastAsia="zh-CN"/>
        </w:rPr>
        <w:t>）</w:t>
      </w:r>
      <w:r>
        <w:rPr>
          <w:rFonts w:hint="eastAsia" w:ascii="仿宋_GB2312" w:hAnsi="仿宋" w:eastAsia="仿宋_GB2312"/>
          <w:b/>
          <w:color w:val="000000"/>
          <w:kern w:val="0"/>
          <w:sz w:val="32"/>
          <w:szCs w:val="32"/>
        </w:rPr>
        <w:t>领导重视，周密部署。</w:t>
      </w:r>
      <w:r>
        <w:rPr>
          <w:rFonts w:hint="eastAsia" w:ascii="仿宋_GB2312" w:hAnsi="仿宋" w:eastAsia="仿宋_GB2312"/>
          <w:sz w:val="32"/>
          <w:szCs w:val="32"/>
        </w:rPr>
        <w:t>各级民政部门对发放殡葬救助工作较为重视，能够认真执行自治区的有关要求，部分地州将发放工作纳入本地区年终考核指标并制定了督察工作方案。有的地州举行了地区和县市领导参加的发放仪式，扩大了政策的社会知晓度和影响力，取得了良好的社会效果。</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803" w:firstLineChars="250"/>
        <w:textAlignment w:val="auto"/>
        <w:outlineLvl w:val="9"/>
        <w:rPr>
          <w:rFonts w:hint="eastAsia" w:ascii="仿宋_GB2312" w:hAnsi="仿宋" w:eastAsia="仿宋_GB2312"/>
          <w:color w:val="000000"/>
          <w:kern w:val="0"/>
          <w:sz w:val="32"/>
          <w:szCs w:val="32"/>
        </w:rPr>
      </w:pPr>
      <w:r>
        <w:rPr>
          <w:rFonts w:hint="eastAsia" w:ascii="仿宋_GB2312" w:hAnsi="仿宋" w:eastAsia="仿宋_GB2312"/>
          <w:b/>
          <w:color w:val="000000"/>
          <w:kern w:val="0"/>
          <w:sz w:val="32"/>
          <w:szCs w:val="32"/>
          <w:lang w:eastAsia="zh-CN"/>
        </w:rPr>
        <w:t>（</w:t>
      </w:r>
      <w:r>
        <w:rPr>
          <w:rFonts w:hint="eastAsia" w:ascii="仿宋_GB2312" w:hAnsi="仿宋" w:eastAsia="仿宋_GB2312"/>
          <w:b/>
          <w:color w:val="000000"/>
          <w:kern w:val="0"/>
          <w:sz w:val="32"/>
          <w:szCs w:val="32"/>
        </w:rPr>
        <w:t>2</w:t>
      </w:r>
      <w:r>
        <w:rPr>
          <w:rFonts w:hint="eastAsia" w:ascii="仿宋_GB2312" w:hAnsi="仿宋" w:eastAsia="仿宋_GB2312"/>
          <w:b/>
          <w:color w:val="000000"/>
          <w:kern w:val="0"/>
          <w:sz w:val="32"/>
          <w:szCs w:val="32"/>
          <w:lang w:eastAsia="zh-CN"/>
        </w:rPr>
        <w:t>）</w:t>
      </w:r>
      <w:r>
        <w:rPr>
          <w:rFonts w:hint="eastAsia" w:ascii="仿宋_GB2312" w:hAnsi="仿宋" w:eastAsia="仿宋_GB2312"/>
          <w:b/>
          <w:color w:val="000000"/>
          <w:kern w:val="0"/>
          <w:sz w:val="32"/>
          <w:szCs w:val="32"/>
        </w:rPr>
        <w:t>严格规范，科学管理。</w:t>
      </w:r>
      <w:r>
        <w:rPr>
          <w:rFonts w:hint="eastAsia" w:ascii="仿宋_GB2312" w:hAnsi="仿宋" w:eastAsia="仿宋_GB2312"/>
          <w:color w:val="000000"/>
          <w:kern w:val="0"/>
          <w:sz w:val="32"/>
          <w:szCs w:val="32"/>
        </w:rPr>
        <w:t>为进一步规范发放工作，各地对发放工作进行科学化、规范化的管理。同时，</w:t>
      </w:r>
      <w:r>
        <w:rPr>
          <w:rFonts w:hint="eastAsia" w:ascii="仿宋_GB2312" w:hAnsi="仿宋" w:eastAsia="仿宋_GB2312"/>
          <w:sz w:val="32"/>
          <w:szCs w:val="32"/>
        </w:rPr>
        <w:t>充分发挥新闻媒体的监督、宣传作用，加大相关政策的宣传力度，主动向社会公布殡葬救助费的发放范围、标准和程序，增加工作的透明度。部分地、州通过设立举报电话和信访接待平台，接受群众监督和舆论监督。</w:t>
      </w:r>
      <w:r>
        <w:rPr>
          <w:rFonts w:hint="eastAsia" w:ascii="仿宋_GB2312" w:hAnsi="仿宋" w:eastAsia="仿宋_GB2312"/>
          <w:color w:val="000000"/>
          <w:kern w:val="0"/>
          <w:sz w:val="32"/>
          <w:szCs w:val="32"/>
        </w:rPr>
        <w:t xml:space="preserve"> </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3" w:firstLineChars="200"/>
        <w:textAlignment w:val="auto"/>
        <w:outlineLvl w:val="9"/>
        <w:rPr>
          <w:rFonts w:hint="eastAsia" w:ascii="仿宋_GB2312" w:hAnsi="仿宋" w:eastAsia="仿宋_GB2312"/>
          <w:color w:val="000000"/>
          <w:kern w:val="0"/>
          <w:sz w:val="32"/>
          <w:szCs w:val="32"/>
        </w:rPr>
      </w:pPr>
      <w:r>
        <w:rPr>
          <w:rFonts w:hint="eastAsia" w:ascii="仿宋_GB2312" w:hAnsi="仿宋" w:eastAsia="仿宋_GB2312"/>
          <w:b/>
          <w:color w:val="000000"/>
          <w:kern w:val="0"/>
          <w:sz w:val="32"/>
          <w:szCs w:val="32"/>
          <w:lang w:eastAsia="zh-CN"/>
        </w:rPr>
        <w:t>（</w:t>
      </w:r>
      <w:r>
        <w:rPr>
          <w:rFonts w:hint="eastAsia" w:ascii="仿宋_GB2312" w:hAnsi="仿宋" w:eastAsia="仿宋_GB2312"/>
          <w:b/>
          <w:color w:val="000000"/>
          <w:kern w:val="0"/>
          <w:sz w:val="32"/>
          <w:szCs w:val="32"/>
        </w:rPr>
        <w:t>3</w:t>
      </w:r>
      <w:r>
        <w:rPr>
          <w:rFonts w:hint="eastAsia" w:ascii="仿宋_GB2312" w:hAnsi="仿宋" w:eastAsia="仿宋_GB2312"/>
          <w:b/>
          <w:color w:val="000000"/>
          <w:kern w:val="0"/>
          <w:sz w:val="32"/>
          <w:szCs w:val="32"/>
          <w:lang w:eastAsia="zh-CN"/>
        </w:rPr>
        <w:t>）</w:t>
      </w:r>
      <w:r>
        <w:rPr>
          <w:rFonts w:hint="eastAsia" w:ascii="仿宋_GB2312" w:hAnsi="仿宋" w:eastAsia="仿宋_GB2312"/>
          <w:b/>
          <w:color w:val="000000"/>
          <w:kern w:val="0"/>
          <w:sz w:val="32"/>
          <w:szCs w:val="32"/>
        </w:rPr>
        <w:t>加大宣传力度，扩大影响力。</w:t>
      </w:r>
      <w:r>
        <w:rPr>
          <w:rFonts w:hint="eastAsia" w:ascii="仿宋_GB2312" w:hAnsi="仿宋" w:eastAsia="仿宋_GB2312"/>
          <w:color w:val="000000"/>
          <w:kern w:val="0"/>
          <w:sz w:val="32"/>
          <w:szCs w:val="32"/>
        </w:rPr>
        <w:t>在抓好资金发放和管理工作的同时，紧紧围绕殡葬救助保障制度，大力进行全方位、多层次的宣传，利用网站、广播电视等媒体宣传，在全社会营造了殡葬救助的社会氛围，营造了社会各界支持、关心殡葬事业发展的新局面。</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758" w:firstLineChars="242"/>
        <w:textAlignment w:val="auto"/>
        <w:outlineLvl w:val="9"/>
        <w:rPr>
          <w:rFonts w:hint="eastAsia" w:ascii="仿宋_GB2312" w:eastAsia="仿宋_GB2312"/>
          <w:b/>
          <w:bCs/>
          <w:spacing w:val="-4"/>
          <w:sz w:val="32"/>
          <w:szCs w:val="32"/>
          <w:lang w:val="en-US" w:eastAsia="zh-CN"/>
        </w:rPr>
      </w:pPr>
      <w:r>
        <w:rPr>
          <w:rFonts w:hint="eastAsia" w:ascii="仿宋_GB2312" w:eastAsia="仿宋_GB2312"/>
          <w:b/>
          <w:bCs/>
          <w:spacing w:val="-4"/>
          <w:sz w:val="32"/>
          <w:szCs w:val="32"/>
          <w:lang w:val="en-US" w:eastAsia="zh-CN"/>
        </w:rPr>
        <w:t>2、存在的问题和建议</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Fonts w:hint="eastAsia" w:ascii="楷体" w:hAnsi="楷体" w:eastAsia="楷体"/>
          <w:b w:val="0"/>
          <w:bCs/>
          <w:spacing w:val="-4"/>
          <w:sz w:val="32"/>
          <w:szCs w:val="32"/>
          <w:lang w:eastAsia="zh-CN"/>
        </w:rPr>
      </w:pPr>
      <w:r>
        <w:rPr>
          <w:rFonts w:hint="eastAsia" w:ascii="楷体" w:hAnsi="楷体" w:eastAsia="楷体"/>
          <w:b/>
          <w:spacing w:val="-4"/>
          <w:sz w:val="32"/>
          <w:szCs w:val="32"/>
          <w:lang w:eastAsia="zh-CN"/>
        </w:rPr>
        <w:t>　　</w:t>
      </w:r>
      <w:r>
        <w:rPr>
          <w:rFonts w:hint="eastAsia" w:ascii="楷体" w:hAnsi="楷体" w:eastAsia="楷体"/>
          <w:b w:val="0"/>
          <w:bCs/>
          <w:spacing w:val="-4"/>
          <w:sz w:val="32"/>
          <w:szCs w:val="32"/>
          <w:lang w:eastAsia="zh-CN"/>
        </w:rPr>
        <w:t>由于以奖代补资金量比较少，地方财政比较困难，各地殡葬基础设施建设难以满足各族群众治丧需求，有些民族群众不得在家里或在清真寺进行殡葬活动，影响社会稳定和长治久安总目标，建议加大殡葬服务设施建设投入力度，每年投入殡葬服务设施建设资金不少于</w:t>
      </w:r>
      <w:r>
        <w:rPr>
          <w:rFonts w:hint="eastAsia" w:ascii="楷体" w:hAnsi="楷体" w:eastAsia="楷体"/>
          <w:b w:val="0"/>
          <w:bCs/>
          <w:spacing w:val="-4"/>
          <w:sz w:val="32"/>
          <w:szCs w:val="32"/>
          <w:lang w:val="en-US" w:eastAsia="zh-CN"/>
        </w:rPr>
        <w:t>5000万。</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textAlignment w:val="auto"/>
        <w:outlineLvl w:val="9"/>
        <w:rPr>
          <w:rFonts w:ascii="楷体" w:hAnsi="楷体" w:eastAsia="楷体"/>
          <w:b/>
          <w:spacing w:val="-4"/>
          <w:sz w:val="32"/>
          <w:szCs w:val="32"/>
        </w:rPr>
      </w:pPr>
      <w:r>
        <w:rPr>
          <w:rFonts w:hint="eastAsia" w:ascii="楷体" w:hAnsi="楷体" w:eastAsia="楷体"/>
          <w:b/>
          <w:spacing w:val="-4"/>
          <w:sz w:val="32"/>
          <w:szCs w:val="32"/>
          <w:lang w:eastAsia="zh-CN"/>
        </w:rPr>
        <w:t>　　</w:t>
      </w:r>
      <w:r>
        <w:rPr>
          <w:rFonts w:hint="eastAsia" w:ascii="楷体" w:hAnsi="楷体" w:eastAsia="楷体"/>
          <w:b/>
          <w:spacing w:val="-4"/>
          <w:sz w:val="32"/>
          <w:szCs w:val="32"/>
        </w:rPr>
        <w:t>（三）其他</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40" w:firstLineChars="200"/>
        <w:rPr>
          <w:rFonts w:hint="eastAsia" w:ascii="仿宋_GB2312" w:hAnsi="仿宋" w:eastAsia="仿宋_GB2312"/>
          <w:color w:val="000000"/>
          <w:kern w:val="0"/>
          <w:sz w:val="32"/>
          <w:szCs w:val="32"/>
        </w:rPr>
      </w:pPr>
      <w:r>
        <w:rPr>
          <w:rFonts w:hint="eastAsia" w:ascii="仿宋_GB2312" w:hAnsi="仿宋" w:eastAsia="仿宋_GB2312"/>
          <w:color w:val="000000"/>
          <w:kern w:val="0"/>
          <w:sz w:val="32"/>
          <w:szCs w:val="32"/>
        </w:rPr>
        <w:t>资金实行专项核算，用款程序规范，符合自治区民政厅财政厅《</w:t>
      </w:r>
      <w:r>
        <w:rPr>
          <w:rFonts w:hint="eastAsia" w:ascii="仿宋_GB2312" w:hAnsi="仿宋" w:eastAsia="仿宋_GB2312"/>
          <w:color w:val="000000"/>
          <w:kern w:val="0"/>
          <w:sz w:val="32"/>
          <w:szCs w:val="32"/>
          <w:lang w:eastAsia="zh-CN"/>
        </w:rPr>
        <w:t>自治区穆斯林殡葬服务设施建设以奖代补资金管理暂行办法</w:t>
      </w:r>
      <w:r>
        <w:rPr>
          <w:rFonts w:hint="eastAsia" w:ascii="仿宋_GB2312" w:hAnsi="仿宋" w:eastAsia="仿宋_GB2312"/>
          <w:color w:val="000000"/>
          <w:kern w:val="0"/>
          <w:sz w:val="32"/>
          <w:szCs w:val="32"/>
        </w:rPr>
        <w:t>》相关规定。殡葬</w:t>
      </w:r>
      <w:r>
        <w:rPr>
          <w:rFonts w:hint="eastAsia" w:ascii="仿宋_GB2312" w:hAnsi="仿宋" w:eastAsia="仿宋_GB2312"/>
          <w:color w:val="000000"/>
          <w:kern w:val="0"/>
          <w:sz w:val="32"/>
          <w:szCs w:val="32"/>
          <w:lang w:eastAsia="zh-CN"/>
        </w:rPr>
        <w:t>补助经费</w:t>
      </w:r>
      <w:r>
        <w:rPr>
          <w:rFonts w:hint="eastAsia" w:ascii="仿宋_GB2312" w:hAnsi="仿宋" w:eastAsia="仿宋_GB2312"/>
          <w:color w:val="000000"/>
          <w:kern w:val="0"/>
          <w:sz w:val="32"/>
          <w:szCs w:val="32"/>
        </w:rPr>
        <w:t>落实到位、资金使用规范透明、对项目的监督及时准确，资金使用合理、社会效益显著。</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after="0" w:line="560" w:lineRule="exact"/>
        <w:ind w:right="0" w:rightChars="0"/>
        <w:textAlignment w:val="auto"/>
        <w:outlineLvl w:val="9"/>
        <w:rPr>
          <w:rStyle w:val="19"/>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hint="eastAsia" w:ascii="仿宋" w:hAnsi="仿宋" w:eastAsia="仿宋"/>
          <w:b w:val="0"/>
          <w:spacing w:val="-4"/>
          <w:sz w:val="32"/>
          <w:szCs w:val="32"/>
        </w:rPr>
      </w:pPr>
    </w:p>
    <w:tbl>
      <w:tblPr>
        <w:tblStyle w:val="17"/>
        <w:tblW w:w="9081" w:type="dxa"/>
        <w:tblInd w:w="0" w:type="dxa"/>
        <w:shd w:val="clear" w:color="auto" w:fill="auto"/>
        <w:tblLayout w:type="fixed"/>
        <w:tblCellMar>
          <w:top w:w="0" w:type="dxa"/>
          <w:left w:w="0" w:type="dxa"/>
          <w:bottom w:w="0" w:type="dxa"/>
          <w:right w:w="0" w:type="dxa"/>
        </w:tblCellMar>
      </w:tblPr>
      <w:tblGrid>
        <w:gridCol w:w="925"/>
        <w:gridCol w:w="1181"/>
        <w:gridCol w:w="1144"/>
        <w:gridCol w:w="2053"/>
        <w:gridCol w:w="240"/>
        <w:gridCol w:w="1633"/>
        <w:gridCol w:w="1905"/>
      </w:tblGrid>
      <w:tr>
        <w:tblPrEx>
          <w:shd w:val="clear" w:color="auto" w:fill="auto"/>
          <w:tblLayout w:type="fixed"/>
          <w:tblCellMar>
            <w:top w:w="0" w:type="dxa"/>
            <w:left w:w="0" w:type="dxa"/>
            <w:bottom w:w="0" w:type="dxa"/>
            <w:right w:w="0" w:type="dxa"/>
          </w:tblCellMar>
        </w:tblPrEx>
        <w:trPr>
          <w:trHeight w:val="532" w:hRule="atLeast"/>
        </w:trPr>
        <w:tc>
          <w:tcPr>
            <w:tcW w:w="9081"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项目支出绩效目标自评表</w:t>
            </w:r>
          </w:p>
        </w:tc>
      </w:tr>
      <w:tr>
        <w:tblPrEx>
          <w:tblLayout w:type="fixed"/>
          <w:tblCellMar>
            <w:top w:w="0" w:type="dxa"/>
            <w:left w:w="0" w:type="dxa"/>
            <w:bottom w:w="0" w:type="dxa"/>
            <w:right w:w="0" w:type="dxa"/>
          </w:tblCellMar>
        </w:tblPrEx>
        <w:trPr>
          <w:trHeight w:val="273" w:hRule="atLeast"/>
        </w:trPr>
        <w:tc>
          <w:tcPr>
            <w:tcW w:w="9081"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（2018年度）</w:t>
            </w:r>
          </w:p>
        </w:tc>
      </w:tr>
      <w:tr>
        <w:tblPrEx>
          <w:tblLayout w:type="fixed"/>
          <w:tblCellMar>
            <w:top w:w="0" w:type="dxa"/>
            <w:left w:w="0" w:type="dxa"/>
            <w:bottom w:w="0" w:type="dxa"/>
            <w:right w:w="0" w:type="dxa"/>
          </w:tblCellMar>
        </w:tblPrEx>
        <w:trPr>
          <w:trHeight w:val="273" w:hRule="atLeast"/>
        </w:trPr>
        <w:tc>
          <w:tcPr>
            <w:tcW w:w="925"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53"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40"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633"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05"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541" w:hRule="atLeast"/>
        </w:trPr>
        <w:tc>
          <w:tcPr>
            <w:tcW w:w="3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w:t>
            </w:r>
          </w:p>
        </w:tc>
        <w:tc>
          <w:tcPr>
            <w:tcW w:w="58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自治区本级福利彩票公益金补助殡葬服务设施建设项目</w:t>
            </w:r>
          </w:p>
        </w:tc>
      </w:tr>
      <w:tr>
        <w:tblPrEx>
          <w:tblLayout w:type="fixed"/>
          <w:tblCellMar>
            <w:top w:w="0" w:type="dxa"/>
            <w:left w:w="0" w:type="dxa"/>
            <w:bottom w:w="0" w:type="dxa"/>
            <w:right w:w="0" w:type="dxa"/>
          </w:tblCellMar>
        </w:tblPrEx>
        <w:trPr>
          <w:trHeight w:val="281" w:hRule="atLeast"/>
        </w:trPr>
        <w:tc>
          <w:tcPr>
            <w:tcW w:w="32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预算单位</w:t>
            </w:r>
          </w:p>
        </w:tc>
        <w:tc>
          <w:tcPr>
            <w:tcW w:w="58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社会事务处</w:t>
            </w:r>
          </w:p>
        </w:tc>
      </w:tr>
      <w:tr>
        <w:tblPrEx>
          <w:tblLayout w:type="fixed"/>
          <w:tblCellMar>
            <w:top w:w="0" w:type="dxa"/>
            <w:left w:w="0" w:type="dxa"/>
            <w:bottom w:w="0" w:type="dxa"/>
            <w:right w:w="0" w:type="dxa"/>
          </w:tblCellMar>
        </w:tblPrEx>
        <w:trPr>
          <w:trHeight w:val="281" w:hRule="atLeast"/>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执行</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（万元）</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预算数：</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1200</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执行数：</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1200</w:t>
            </w:r>
          </w:p>
        </w:tc>
      </w:tr>
      <w:tr>
        <w:tblPrEx>
          <w:tblLayout w:type="fixed"/>
          <w:tblCellMar>
            <w:top w:w="0" w:type="dxa"/>
            <w:left w:w="0" w:type="dxa"/>
            <w:bottom w:w="0" w:type="dxa"/>
            <w:right w:w="0" w:type="dxa"/>
          </w:tblCellMar>
        </w:tblPrEx>
        <w:trPr>
          <w:trHeight w:val="671"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其中：财政拨款</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1200</w:t>
            </w:r>
          </w:p>
        </w:tc>
        <w:tc>
          <w:tcPr>
            <w:tcW w:w="1633" w:type="dxa"/>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其中：财政拨款</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1200</w:t>
            </w:r>
          </w:p>
        </w:tc>
      </w:tr>
      <w:tr>
        <w:tblPrEx>
          <w:tblLayout w:type="fixed"/>
          <w:tblCellMar>
            <w:top w:w="0" w:type="dxa"/>
            <w:left w:w="0" w:type="dxa"/>
            <w:bottom w:w="0" w:type="dxa"/>
            <w:right w:w="0" w:type="dxa"/>
          </w:tblCellMar>
        </w:tblPrEx>
        <w:trPr>
          <w:trHeight w:val="671"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其他资金</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3" w:type="dxa"/>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其他资金</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683" w:hRule="atLeast"/>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目标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完成</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情况</w:t>
            </w:r>
          </w:p>
        </w:tc>
        <w:tc>
          <w:tcPr>
            <w:tcW w:w="461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预期目标</w:t>
            </w:r>
          </w:p>
        </w:tc>
        <w:tc>
          <w:tcPr>
            <w:tcW w:w="3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实际完成目标</w:t>
            </w:r>
          </w:p>
        </w:tc>
      </w:tr>
      <w:tr>
        <w:tblPrEx>
          <w:tblLayout w:type="fixed"/>
          <w:tblCellMar>
            <w:top w:w="0" w:type="dxa"/>
            <w:left w:w="0" w:type="dxa"/>
            <w:bottom w:w="0" w:type="dxa"/>
            <w:right w:w="0" w:type="dxa"/>
          </w:tblCellMar>
        </w:tblPrEx>
        <w:trPr>
          <w:trHeight w:val="2878"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61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1"/>
                <w:szCs w:val="21"/>
                <w:u w:val="none"/>
                <w:lang w:val="en-US" w:eastAsia="zh-CN" w:bidi="ar"/>
              </w:rPr>
              <w:t>少数民族殡葬服务设施建设是基本公共服务设施建设的重要组成部分，坚持以当地政府投入为主、自治区补助为辅的原则，切实解决少数民族群众殡葬服务问题，推进殡葬基本服务均等化，进一步深化殡葬改革，促进社会主义精神文明建设与和谐社会建设。</w:t>
            </w:r>
          </w:p>
        </w:tc>
        <w:tc>
          <w:tcPr>
            <w:tcW w:w="3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数民族殡葬服务设施建设是公共服务设施建设的组织部分，具有很强的公益性，最需要党和政府及全社会的关爱。少数民族殡葬服务设施建设，是保障和改善民生的基本要求，对维护社会稳定和长治久安具有重要意义。目前，我区殡葬补助经费使用基本达到了预期目标：资金实行专项核算；各级核算真实、完整、及时，用款程序规范。殡葬补助经费投入合理、政策执行有力、资金落实到位、资金使用规范透明、对项目的监督及时准确，资金使用合理、效果显著</w:t>
            </w:r>
            <w:r>
              <w:rPr>
                <w:rFonts w:hint="eastAsia" w:ascii="宋体" w:hAnsi="宋体" w:eastAsia="宋体" w:cs="宋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trHeight w:val="541" w:hRule="atLeast"/>
        </w:trPr>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绩效</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完成</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情况</w:t>
            </w:r>
          </w:p>
        </w:tc>
        <w:tc>
          <w:tcPr>
            <w:tcW w:w="11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预期指标值（包含数字及文字描述）</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实际完成指标值（包含数字及文字描述）</w:t>
            </w:r>
          </w:p>
        </w:tc>
      </w:tr>
      <w:tr>
        <w:tblPrEx>
          <w:tblLayout w:type="fixed"/>
          <w:tblCellMar>
            <w:top w:w="0" w:type="dxa"/>
            <w:left w:w="0" w:type="dxa"/>
            <w:bottom w:w="0" w:type="dxa"/>
            <w:right w:w="0" w:type="dxa"/>
          </w:tblCellMar>
        </w:tblPrEx>
        <w:trPr>
          <w:trHeight w:val="587"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项目完成指标</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指标1：资助金额</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Arial" w:hAnsi="Arial" w:eastAsia="宋体" w:cs="Arial"/>
                <w:i w:val="0"/>
                <w:color w:val="000000"/>
                <w:sz w:val="24"/>
                <w:szCs w:val="24"/>
                <w:u w:val="none"/>
              </w:rPr>
            </w:pPr>
            <w:r>
              <w:rPr>
                <w:rFonts w:hint="default" w:ascii="Arial" w:hAnsi="Arial" w:eastAsia="宋体" w:cs="Arial"/>
                <w:i w:val="0"/>
                <w:color w:val="000000"/>
                <w:kern w:val="0"/>
                <w:sz w:val="24"/>
                <w:szCs w:val="24"/>
                <w:u w:val="none"/>
                <w:lang w:val="en-US" w:eastAsia="zh-CN" w:bidi="ar"/>
              </w:rPr>
              <w:t>≥1200</w:t>
            </w:r>
            <w:r>
              <w:rPr>
                <w:rFonts w:hint="eastAsia" w:ascii="宋体" w:hAnsi="宋体" w:eastAsia="宋体" w:cs="宋体"/>
                <w:i w:val="0"/>
                <w:color w:val="000000"/>
                <w:kern w:val="0"/>
                <w:sz w:val="24"/>
                <w:szCs w:val="24"/>
                <w:u w:val="none"/>
                <w:lang w:val="en-US" w:eastAsia="zh-CN" w:bidi="ar"/>
              </w:rPr>
              <w:t>万元</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1200万元</w:t>
            </w:r>
          </w:p>
        </w:tc>
      </w:tr>
      <w:tr>
        <w:tblPrEx>
          <w:tblLayout w:type="fixed"/>
          <w:tblCellMar>
            <w:top w:w="0" w:type="dxa"/>
            <w:left w:w="0" w:type="dxa"/>
            <w:bottom w:w="0" w:type="dxa"/>
            <w:right w:w="0" w:type="dxa"/>
          </w:tblCellMar>
        </w:tblPrEx>
        <w:trPr>
          <w:trHeight w:val="604"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指标2：资助县市　数量</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≥15个</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16个</w:t>
            </w:r>
          </w:p>
        </w:tc>
      </w:tr>
      <w:tr>
        <w:tblPrEx>
          <w:tblLayout w:type="fixed"/>
          <w:tblCellMar>
            <w:top w:w="0" w:type="dxa"/>
            <w:left w:w="0" w:type="dxa"/>
            <w:bottom w:w="0" w:type="dxa"/>
            <w:right w:w="0" w:type="dxa"/>
          </w:tblCellMar>
        </w:tblPrEx>
        <w:trPr>
          <w:trHeight w:val="554"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指标1：项目完成率</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75%</w:t>
            </w:r>
          </w:p>
        </w:tc>
      </w:tr>
      <w:tr>
        <w:tblPrEx>
          <w:tblLayout w:type="fixed"/>
          <w:tblCellMar>
            <w:top w:w="0" w:type="dxa"/>
            <w:left w:w="0" w:type="dxa"/>
            <w:bottom w:w="0" w:type="dxa"/>
            <w:right w:w="0" w:type="dxa"/>
          </w:tblCellMar>
        </w:tblPrEx>
        <w:trPr>
          <w:trHeight w:val="587"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指标2：评估合格率</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95.00%</w:t>
            </w:r>
          </w:p>
        </w:tc>
      </w:tr>
      <w:tr>
        <w:tblPrEx>
          <w:tblLayout w:type="fixed"/>
          <w:tblCellMar>
            <w:top w:w="0" w:type="dxa"/>
            <w:left w:w="0" w:type="dxa"/>
            <w:bottom w:w="0" w:type="dxa"/>
            <w:right w:w="0" w:type="dxa"/>
          </w:tblCellMar>
        </w:tblPrEx>
        <w:trPr>
          <w:trHeight w:val="587"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指标1：项目按期完成率</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≥85%</w:t>
            </w:r>
          </w:p>
        </w:tc>
      </w:tr>
      <w:tr>
        <w:tblPrEx>
          <w:tblLayout w:type="fixed"/>
          <w:tblCellMar>
            <w:top w:w="0" w:type="dxa"/>
            <w:left w:w="0" w:type="dxa"/>
            <w:bottom w:w="0" w:type="dxa"/>
            <w:right w:w="0" w:type="dxa"/>
          </w:tblCellMar>
        </w:tblPrEx>
        <w:trPr>
          <w:trHeight w:val="554"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指标1：满足殡葬服务需求</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r>
      <w:tr>
        <w:tblPrEx>
          <w:tblLayout w:type="fixed"/>
          <w:tblCellMar>
            <w:top w:w="0" w:type="dxa"/>
            <w:left w:w="0" w:type="dxa"/>
            <w:bottom w:w="0" w:type="dxa"/>
            <w:right w:w="0" w:type="dxa"/>
          </w:tblCellMar>
        </w:tblPrEx>
        <w:trPr>
          <w:trHeight w:val="541"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指标2：促进总目标</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r>
      <w:tr>
        <w:tblPrEx>
          <w:tblLayout w:type="fixed"/>
          <w:tblCellMar>
            <w:top w:w="0" w:type="dxa"/>
            <w:left w:w="0" w:type="dxa"/>
            <w:bottom w:w="0" w:type="dxa"/>
            <w:right w:w="0" w:type="dxa"/>
          </w:tblCellMar>
        </w:tblPrEx>
        <w:trPr>
          <w:trHeight w:val="421"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571"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指标1：优化生态环境</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效果明显</w:t>
            </w:r>
          </w:p>
        </w:tc>
      </w:tr>
      <w:tr>
        <w:tblPrEx>
          <w:tblLayout w:type="fixed"/>
          <w:tblCellMar>
            <w:top w:w="0" w:type="dxa"/>
            <w:left w:w="0" w:type="dxa"/>
            <w:bottom w:w="0" w:type="dxa"/>
            <w:right w:w="0" w:type="dxa"/>
          </w:tblCellMar>
        </w:tblPrEx>
        <w:trPr>
          <w:trHeight w:val="541" w:hRule="atLeast"/>
        </w:trPr>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2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指标1：群众满意度</w:t>
            </w:r>
          </w:p>
        </w:tc>
        <w:tc>
          <w:tcPr>
            <w:tcW w:w="1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≥85%</w:t>
            </w:r>
          </w:p>
        </w:tc>
        <w:tc>
          <w:tcPr>
            <w:tcW w:w="1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bl>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outlineLvl w:val="9"/>
        <w:rPr>
          <w:rStyle w:val="19"/>
          <w:rFonts w:hint="eastAsia" w:ascii="仿宋" w:hAnsi="仿宋" w:eastAsia="仿宋"/>
          <w:b w:val="0"/>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F3384"/>
    <w:multiLevelType w:val="singleLevel"/>
    <w:tmpl w:val="5BAF3384"/>
    <w:lvl w:ilvl="0" w:tentative="0">
      <w:start w:val="1"/>
      <w:numFmt w:val="decimal"/>
      <w:suff w:val="nothing"/>
      <w:lvlText w:val="%1、"/>
      <w:lvlJc w:val="left"/>
    </w:lvl>
  </w:abstractNum>
  <w:abstractNum w:abstractNumId="1">
    <w:nsid w:val="5BB02E09"/>
    <w:multiLevelType w:val="singleLevel"/>
    <w:tmpl w:val="5BB02E09"/>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5162F1"/>
    <w:rsid w:val="00535153"/>
    <w:rsid w:val="00855E3A"/>
    <w:rsid w:val="00922CB9"/>
    <w:rsid w:val="00A26421"/>
    <w:rsid w:val="00A4293B"/>
    <w:rsid w:val="00B41F61"/>
    <w:rsid w:val="00C56C72"/>
    <w:rsid w:val="00CA6457"/>
    <w:rsid w:val="00D17F2E"/>
    <w:rsid w:val="00E769FE"/>
    <w:rsid w:val="00EA2CBE"/>
    <w:rsid w:val="00F32FEE"/>
    <w:rsid w:val="124433AD"/>
    <w:rsid w:val="17A97922"/>
    <w:rsid w:val="26740A99"/>
    <w:rsid w:val="29525DC3"/>
    <w:rsid w:val="2BC46983"/>
    <w:rsid w:val="2FC66818"/>
    <w:rsid w:val="37CE5B3D"/>
    <w:rsid w:val="45771C96"/>
    <w:rsid w:val="50970E20"/>
    <w:rsid w:val="5D3B1F78"/>
    <w:rsid w:val="614148B7"/>
    <w:rsid w:val="74C51C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style>
  <w:style w:type="paragraph" w:styleId="12">
    <w:name w:val="annotation text"/>
    <w:basedOn w:val="1"/>
    <w:semiHidden/>
    <w:unhideWhenUsed/>
    <w:qFormat/>
    <w:uiPriority w:val="99"/>
    <w:pPr>
      <w:jc w:val="left"/>
    </w:p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4"/>
    <w:semiHidden/>
    <w:qFormat/>
    <w:uiPriority w:val="9"/>
    <w:rPr>
      <w:rFonts w:asciiTheme="majorHAnsi" w:hAnsiTheme="majorHAnsi" w:eastAsiaTheme="majorEastAsia"/>
      <w:b/>
      <w:bCs/>
      <w:i/>
      <w:iCs/>
      <w:sz w:val="28"/>
      <w:szCs w:val="28"/>
    </w:rPr>
  </w:style>
  <w:style w:type="character" w:customStyle="1" w:styleId="23">
    <w:name w:val="标题 3 Char"/>
    <w:basedOn w:val="18"/>
    <w:link w:val="5"/>
    <w:semiHidden/>
    <w:qFormat/>
    <w:uiPriority w:val="9"/>
    <w:rPr>
      <w:rFonts w:asciiTheme="majorHAnsi" w:hAnsiTheme="majorHAnsi" w:eastAsiaTheme="majorEastAsia"/>
      <w:b/>
      <w:bCs/>
      <w:sz w:val="26"/>
      <w:szCs w:val="26"/>
    </w:rPr>
  </w:style>
  <w:style w:type="character" w:customStyle="1" w:styleId="24">
    <w:name w:val="标题 4 Char"/>
    <w:basedOn w:val="18"/>
    <w:link w:val="6"/>
    <w:semiHidden/>
    <w:qFormat/>
    <w:uiPriority w:val="9"/>
    <w:rPr>
      <w:b/>
      <w:bCs/>
      <w:sz w:val="28"/>
      <w:szCs w:val="28"/>
    </w:rPr>
  </w:style>
  <w:style w:type="character" w:customStyle="1" w:styleId="25">
    <w:name w:val="标题 5 Char"/>
    <w:basedOn w:val="18"/>
    <w:link w:val="7"/>
    <w:semiHidden/>
    <w:qFormat/>
    <w:uiPriority w:val="9"/>
    <w:rPr>
      <w:b/>
      <w:bCs/>
      <w:i/>
      <w:iCs/>
      <w:sz w:val="26"/>
      <w:szCs w:val="26"/>
    </w:rPr>
  </w:style>
  <w:style w:type="character" w:customStyle="1" w:styleId="26">
    <w:name w:val="标题 6 Char"/>
    <w:basedOn w:val="18"/>
    <w:link w:val="8"/>
    <w:semiHidden/>
    <w:qFormat/>
    <w:uiPriority w:val="9"/>
    <w:rPr>
      <w:b/>
      <w:bCs/>
    </w:rPr>
  </w:style>
  <w:style w:type="character" w:customStyle="1" w:styleId="27">
    <w:name w:val="标题 7 Char"/>
    <w:basedOn w:val="18"/>
    <w:link w:val="9"/>
    <w:semiHidden/>
    <w:qFormat/>
    <w:uiPriority w:val="9"/>
    <w:rPr>
      <w:sz w:val="24"/>
      <w:szCs w:val="24"/>
    </w:rPr>
  </w:style>
  <w:style w:type="character" w:customStyle="1" w:styleId="28">
    <w:name w:val="标题 8 Char"/>
    <w:basedOn w:val="18"/>
    <w:link w:val="10"/>
    <w:semiHidden/>
    <w:qFormat/>
    <w:uiPriority w:val="9"/>
    <w:rPr>
      <w:i/>
      <w:iCs/>
      <w:sz w:val="24"/>
      <w:szCs w:val="24"/>
    </w:rPr>
  </w:style>
  <w:style w:type="character" w:customStyle="1" w:styleId="29">
    <w:name w:val="标题 9 Char"/>
    <w:basedOn w:val="18"/>
    <w:link w:val="11"/>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3"/>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font61"/>
    <w:basedOn w:val="18"/>
    <w:qFormat/>
    <w:uiPriority w:val="0"/>
    <w:rPr>
      <w:rFonts w:hint="eastAsia" w:ascii="宋体" w:hAnsi="宋体" w:eastAsia="宋体" w:cs="宋体"/>
      <w:color w:val="000000"/>
      <w:sz w:val="24"/>
      <w:szCs w:val="24"/>
      <w:u w:val="none"/>
    </w:rPr>
  </w:style>
  <w:style w:type="character" w:customStyle="1" w:styleId="47">
    <w:name w:val="font41"/>
    <w:basedOn w:val="18"/>
    <w:uiPriority w:val="0"/>
    <w:rPr>
      <w:rFonts w:hint="eastAsia" w:ascii="宋体" w:hAnsi="宋体" w:eastAsia="宋体" w:cs="宋体"/>
      <w:color w:val="000000"/>
      <w:sz w:val="16"/>
      <w:szCs w:val="16"/>
      <w:u w:val="none"/>
    </w:rPr>
  </w:style>
  <w:style w:type="character" w:customStyle="1" w:styleId="48">
    <w:name w:val="font31"/>
    <w:basedOn w:val="18"/>
    <w:qFormat/>
    <w:uiPriority w:val="0"/>
    <w:rPr>
      <w:rFonts w:hint="eastAsia" w:ascii="宋体" w:hAnsi="宋体" w:eastAsia="宋体" w:cs="宋体"/>
      <w:color w:val="000000"/>
      <w:sz w:val="20"/>
      <w:szCs w:val="20"/>
      <w:u w:val="none"/>
    </w:rPr>
  </w:style>
  <w:style w:type="character" w:customStyle="1" w:styleId="49">
    <w:name w:val="font21"/>
    <w:basedOn w:val="18"/>
    <w:qFormat/>
    <w:uiPriority w:val="0"/>
    <w:rPr>
      <w:rFonts w:hint="eastAsia" w:ascii="宋体" w:hAnsi="宋体" w:eastAsia="宋体" w:cs="宋体"/>
      <w:color w:val="000000"/>
      <w:sz w:val="22"/>
      <w:szCs w:val="22"/>
      <w:u w:val="none"/>
    </w:rPr>
  </w:style>
  <w:style w:type="character" w:customStyle="1" w:styleId="50">
    <w:name w:val="font91"/>
    <w:basedOn w:val="18"/>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100</Words>
  <Characters>575</Characters>
  <Lines>4</Lines>
  <Paragraphs>1</Paragraphs>
  <TotalTime>1</TotalTime>
  <ScaleCrop>false</ScaleCrop>
  <LinksUpToDate>false</LinksUpToDate>
  <CharactersWithSpaces>674</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没有人</cp:lastModifiedBy>
  <cp:lastPrinted>2019-07-30T02:56:00Z</cp:lastPrinted>
  <dcterms:modified xsi:type="dcterms:W3CDTF">2019-08-04T06:36:25Z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