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keepNext w:val="0"/>
        <w:keepLines w:val="0"/>
        <w:pageBreakBefore w:val="0"/>
        <w:kinsoku/>
        <w:wordWrap/>
        <w:overflowPunct/>
        <w:topLinePunct w:val="0"/>
        <w:autoSpaceDE/>
        <w:autoSpaceDN/>
        <w:bidi w:val="0"/>
        <w:spacing w:line="240" w:lineRule="auto"/>
        <w:ind w:left="0" w:leftChars="0" w:right="0" w:rightChars="0"/>
        <w:jc w:val="left"/>
        <w:rPr>
          <w:rFonts w:ascii="仿宋" w:hAnsi="仿宋" w:eastAsia="仿宋" w:cs="宋体"/>
          <w:color w:val="auto"/>
          <w:spacing w:val="0"/>
          <w:kern w:val="0"/>
          <w:sz w:val="32"/>
          <w:szCs w:val="32"/>
        </w:rPr>
      </w:pPr>
      <w:r>
        <w:rPr>
          <w:rFonts w:hint="eastAsia" w:ascii="仿宋" w:hAnsi="仿宋" w:eastAsia="仿宋" w:cs="宋体"/>
          <w:color w:val="auto"/>
          <w:spacing w:val="0"/>
          <w:kern w:val="0"/>
          <w:sz w:val="32"/>
          <w:szCs w:val="32"/>
        </w:rPr>
        <w:t>附件2：</w:t>
      </w:r>
    </w:p>
    <w:p>
      <w:pPr>
        <w:keepNext w:val="0"/>
        <w:keepLines w:val="0"/>
        <w:pageBreakBefore w:val="0"/>
        <w:kinsoku/>
        <w:wordWrap/>
        <w:overflowPunct/>
        <w:topLinePunct w:val="0"/>
        <w:autoSpaceDE/>
        <w:autoSpaceDN/>
        <w:bidi w:val="0"/>
        <w:spacing w:line="240" w:lineRule="auto"/>
        <w:ind w:left="0" w:leftChars="0" w:right="0" w:rightChars="0"/>
        <w:jc w:val="center"/>
        <w:rPr>
          <w:rFonts w:ascii="华文中宋" w:hAnsi="华文中宋" w:eastAsia="华文中宋" w:cs="宋体"/>
          <w:b/>
          <w:color w:val="auto"/>
          <w:spacing w:val="0"/>
          <w:kern w:val="0"/>
          <w:sz w:val="52"/>
          <w:szCs w:val="52"/>
        </w:rPr>
      </w:pPr>
    </w:p>
    <w:p>
      <w:pPr>
        <w:keepNext w:val="0"/>
        <w:keepLines w:val="0"/>
        <w:pageBreakBefore w:val="0"/>
        <w:kinsoku/>
        <w:wordWrap/>
        <w:overflowPunct/>
        <w:topLinePunct w:val="0"/>
        <w:autoSpaceDE/>
        <w:autoSpaceDN/>
        <w:bidi w:val="0"/>
        <w:spacing w:line="240" w:lineRule="auto"/>
        <w:ind w:left="0" w:leftChars="0" w:right="0" w:rightChars="0"/>
        <w:jc w:val="center"/>
        <w:rPr>
          <w:rFonts w:ascii="华文中宋" w:hAnsi="华文中宋" w:eastAsia="华文中宋" w:cs="宋体"/>
          <w:b/>
          <w:color w:val="auto"/>
          <w:spacing w:val="0"/>
          <w:kern w:val="0"/>
          <w:sz w:val="52"/>
          <w:szCs w:val="52"/>
        </w:rPr>
      </w:pPr>
    </w:p>
    <w:p>
      <w:pPr>
        <w:keepNext w:val="0"/>
        <w:keepLines w:val="0"/>
        <w:pageBreakBefore w:val="0"/>
        <w:kinsoku/>
        <w:wordWrap/>
        <w:overflowPunct/>
        <w:topLinePunct w:val="0"/>
        <w:autoSpaceDE/>
        <w:autoSpaceDN/>
        <w:bidi w:val="0"/>
        <w:spacing w:line="240" w:lineRule="auto"/>
        <w:ind w:left="0" w:leftChars="0" w:right="0" w:rightChars="0"/>
        <w:jc w:val="center"/>
        <w:rPr>
          <w:rFonts w:ascii="方正小标宋_GBK" w:hAnsi="华文中宋" w:eastAsia="方正小标宋_GBK" w:cs="宋体"/>
          <w:b/>
          <w:color w:val="auto"/>
          <w:spacing w:val="0"/>
          <w:kern w:val="0"/>
          <w:sz w:val="48"/>
          <w:szCs w:val="48"/>
        </w:rPr>
      </w:pPr>
      <w:r>
        <w:rPr>
          <w:rFonts w:hint="eastAsia" w:ascii="方正小标宋_GBK" w:hAnsi="华文中宋" w:eastAsia="方正小标宋_GBK" w:cs="宋体"/>
          <w:b/>
          <w:color w:val="auto"/>
          <w:spacing w:val="0"/>
          <w:kern w:val="0"/>
          <w:sz w:val="48"/>
          <w:szCs w:val="48"/>
        </w:rPr>
        <w:t>自治区财政项目支出绩效自评报告</w:t>
      </w:r>
    </w:p>
    <w:p>
      <w:pPr>
        <w:keepNext w:val="0"/>
        <w:keepLines w:val="0"/>
        <w:pageBreakBefore w:val="0"/>
        <w:kinsoku/>
        <w:wordWrap/>
        <w:overflowPunct/>
        <w:topLinePunct w:val="0"/>
        <w:autoSpaceDE/>
        <w:autoSpaceDN/>
        <w:bidi w:val="0"/>
        <w:spacing w:line="240" w:lineRule="auto"/>
        <w:ind w:left="0" w:leftChars="0" w:right="0" w:rightChars="0"/>
        <w:jc w:val="center"/>
        <w:rPr>
          <w:rFonts w:ascii="华文中宋" w:hAnsi="华文中宋" w:eastAsia="华文中宋" w:cs="宋体"/>
          <w:b/>
          <w:color w:val="auto"/>
          <w:spacing w:val="0"/>
          <w:kern w:val="0"/>
          <w:sz w:val="52"/>
          <w:szCs w:val="52"/>
        </w:rPr>
      </w:pPr>
    </w:p>
    <w:p>
      <w:pPr>
        <w:keepNext w:val="0"/>
        <w:keepLines w:val="0"/>
        <w:pageBreakBefore w:val="0"/>
        <w:kinsoku/>
        <w:wordWrap/>
        <w:overflowPunct/>
        <w:topLinePunct w:val="0"/>
        <w:autoSpaceDE/>
        <w:autoSpaceDN/>
        <w:bidi w:val="0"/>
        <w:spacing w:line="240" w:lineRule="auto"/>
        <w:ind w:left="0" w:leftChars="0" w:right="0" w:rightChars="0"/>
        <w:jc w:val="center"/>
        <w:rPr>
          <w:rFonts w:hAnsi="宋体" w:eastAsia="仿宋_GB2312" w:cs="宋体"/>
          <w:color w:val="auto"/>
          <w:spacing w:val="0"/>
          <w:kern w:val="0"/>
          <w:sz w:val="36"/>
          <w:szCs w:val="36"/>
        </w:rPr>
      </w:pPr>
      <w:r>
        <w:rPr>
          <w:rFonts w:hint="eastAsia" w:hAnsi="宋体" w:eastAsia="仿宋_GB2312" w:cs="宋体"/>
          <w:color w:val="auto"/>
          <w:spacing w:val="0"/>
          <w:kern w:val="0"/>
          <w:sz w:val="36"/>
          <w:szCs w:val="36"/>
        </w:rPr>
        <w:t xml:space="preserve">（ </w:t>
      </w:r>
      <w:r>
        <w:rPr>
          <w:rFonts w:hint="eastAsia" w:hAnsi="宋体" w:eastAsia="仿宋_GB2312" w:cs="宋体"/>
          <w:color w:val="auto"/>
          <w:spacing w:val="0"/>
          <w:kern w:val="0"/>
          <w:sz w:val="36"/>
          <w:szCs w:val="36"/>
          <w:lang w:val="en-US" w:eastAsia="zh-CN"/>
        </w:rPr>
        <w:t>2018</w:t>
      </w:r>
      <w:r>
        <w:rPr>
          <w:rFonts w:hint="eastAsia" w:hAnsi="宋体" w:eastAsia="仿宋_GB2312" w:cs="宋体"/>
          <w:color w:val="auto"/>
          <w:spacing w:val="0"/>
          <w:kern w:val="0"/>
          <w:sz w:val="36"/>
          <w:szCs w:val="36"/>
        </w:rPr>
        <w:t xml:space="preserve"> 年度）</w:t>
      </w:r>
    </w:p>
    <w:p>
      <w:pPr>
        <w:keepNext w:val="0"/>
        <w:keepLines w:val="0"/>
        <w:pageBreakBefore w:val="0"/>
        <w:kinsoku/>
        <w:wordWrap/>
        <w:overflowPunct/>
        <w:topLinePunct w:val="0"/>
        <w:autoSpaceDE/>
        <w:autoSpaceDN/>
        <w:bidi w:val="0"/>
        <w:spacing w:line="240" w:lineRule="auto"/>
        <w:ind w:left="0" w:leftChars="0" w:right="0" w:rightChars="0"/>
        <w:jc w:val="center"/>
        <w:rPr>
          <w:rFonts w:hAnsi="宋体" w:eastAsia="仿宋_GB2312" w:cs="宋体"/>
          <w:color w:val="auto"/>
          <w:spacing w:val="0"/>
          <w:kern w:val="0"/>
          <w:sz w:val="30"/>
          <w:szCs w:val="30"/>
        </w:rPr>
      </w:pPr>
    </w:p>
    <w:p>
      <w:pPr>
        <w:keepNext w:val="0"/>
        <w:keepLines w:val="0"/>
        <w:pageBreakBefore w:val="0"/>
        <w:kinsoku/>
        <w:wordWrap/>
        <w:overflowPunct/>
        <w:topLinePunct w:val="0"/>
        <w:autoSpaceDE/>
        <w:autoSpaceDN/>
        <w:bidi w:val="0"/>
        <w:spacing w:line="240" w:lineRule="auto"/>
        <w:ind w:left="0" w:leftChars="0" w:right="0" w:rightChars="0"/>
        <w:jc w:val="center"/>
        <w:rPr>
          <w:rFonts w:hAnsi="宋体" w:eastAsia="仿宋_GB2312" w:cs="宋体"/>
          <w:color w:val="auto"/>
          <w:spacing w:val="0"/>
          <w:kern w:val="0"/>
          <w:sz w:val="30"/>
          <w:szCs w:val="30"/>
        </w:rPr>
      </w:pPr>
    </w:p>
    <w:p>
      <w:pPr>
        <w:keepNext w:val="0"/>
        <w:keepLines w:val="0"/>
        <w:pageBreakBefore w:val="0"/>
        <w:kinsoku/>
        <w:wordWrap/>
        <w:overflowPunct/>
        <w:topLinePunct w:val="0"/>
        <w:autoSpaceDE/>
        <w:autoSpaceDN/>
        <w:bidi w:val="0"/>
        <w:spacing w:line="240" w:lineRule="auto"/>
        <w:ind w:left="0" w:leftChars="0" w:right="0" w:rightChars="0"/>
        <w:jc w:val="center"/>
        <w:rPr>
          <w:rFonts w:hAnsi="宋体" w:eastAsia="仿宋_GB2312" w:cs="宋体"/>
          <w:color w:val="auto"/>
          <w:spacing w:val="0"/>
          <w:kern w:val="0"/>
          <w:sz w:val="30"/>
          <w:szCs w:val="30"/>
        </w:rPr>
      </w:pPr>
    </w:p>
    <w:p>
      <w:pPr>
        <w:pStyle w:val="2"/>
        <w:keepNext w:val="0"/>
        <w:keepLines w:val="0"/>
        <w:pageBreakBefore w:val="0"/>
        <w:kinsoku/>
        <w:wordWrap/>
        <w:overflowPunct/>
        <w:topLinePunct w:val="0"/>
        <w:autoSpaceDE/>
        <w:autoSpaceDN/>
        <w:bidi w:val="0"/>
        <w:spacing w:line="240" w:lineRule="auto"/>
        <w:ind w:left="0" w:leftChars="0" w:right="0" w:rightChars="0"/>
        <w:rPr>
          <w:color w:val="auto"/>
          <w:spacing w:val="0"/>
        </w:rPr>
      </w:pPr>
    </w:p>
    <w:p>
      <w:pPr>
        <w:keepNext w:val="0"/>
        <w:keepLines w:val="0"/>
        <w:pageBreakBefore w:val="0"/>
        <w:kinsoku/>
        <w:wordWrap/>
        <w:overflowPunct/>
        <w:topLinePunct w:val="0"/>
        <w:autoSpaceDE/>
        <w:autoSpaceDN/>
        <w:bidi w:val="0"/>
        <w:spacing w:line="240" w:lineRule="auto"/>
        <w:ind w:left="0" w:leftChars="0" w:right="0" w:rightChars="0"/>
        <w:jc w:val="center"/>
        <w:rPr>
          <w:rFonts w:hAnsi="宋体" w:eastAsia="仿宋_GB2312" w:cs="宋体"/>
          <w:color w:val="auto"/>
          <w:spacing w:val="0"/>
          <w:kern w:val="0"/>
          <w:sz w:val="30"/>
          <w:szCs w:val="30"/>
        </w:rPr>
      </w:pPr>
    </w:p>
    <w:p>
      <w:pPr>
        <w:keepNext w:val="0"/>
        <w:keepLines w:val="0"/>
        <w:pageBreakBefore w:val="0"/>
        <w:kinsoku/>
        <w:wordWrap/>
        <w:overflowPunct/>
        <w:topLinePunct w:val="0"/>
        <w:autoSpaceDE/>
        <w:autoSpaceDN/>
        <w:bidi w:val="0"/>
        <w:spacing w:line="240" w:lineRule="auto"/>
        <w:ind w:left="0" w:leftChars="0" w:right="0" w:rightChars="0"/>
        <w:jc w:val="center"/>
        <w:rPr>
          <w:rFonts w:hAnsi="宋体" w:eastAsia="仿宋_GB2312" w:cs="宋体"/>
          <w:color w:val="auto"/>
          <w:spacing w:val="0"/>
          <w:kern w:val="0"/>
          <w:sz w:val="30"/>
          <w:szCs w:val="30"/>
        </w:rPr>
      </w:pPr>
    </w:p>
    <w:p>
      <w:pPr>
        <w:keepNext w:val="0"/>
        <w:keepLines w:val="0"/>
        <w:pageBreakBefore w:val="0"/>
        <w:kinsoku/>
        <w:wordWrap/>
        <w:overflowPunct/>
        <w:topLinePunct w:val="0"/>
        <w:autoSpaceDE/>
        <w:autoSpaceDN/>
        <w:bidi w:val="0"/>
        <w:spacing w:line="240" w:lineRule="auto"/>
        <w:ind w:left="0" w:leftChars="0" w:right="0" w:rightChars="0"/>
        <w:rPr>
          <w:rFonts w:hAnsi="宋体" w:eastAsia="仿宋_GB2312" w:cs="宋体"/>
          <w:color w:val="auto"/>
          <w:spacing w:val="0"/>
          <w:kern w:val="0"/>
          <w:sz w:val="30"/>
          <w:szCs w:val="30"/>
        </w:rPr>
      </w:pPr>
    </w:p>
    <w:p>
      <w:pPr>
        <w:keepNext w:val="0"/>
        <w:keepLines w:val="0"/>
        <w:pageBreakBefore w:val="0"/>
        <w:kinsoku/>
        <w:wordWrap/>
        <w:overflowPunct/>
        <w:topLinePunct w:val="0"/>
        <w:autoSpaceDE/>
        <w:autoSpaceDN/>
        <w:bidi w:val="0"/>
        <w:spacing w:line="240" w:lineRule="auto"/>
        <w:ind w:left="0" w:leftChars="0" w:right="0" w:rightChars="0"/>
        <w:jc w:val="left"/>
        <w:rPr>
          <w:rFonts w:hAnsi="宋体" w:eastAsia="仿宋_GB2312" w:cs="宋体"/>
          <w:color w:val="auto"/>
          <w:spacing w:val="0"/>
          <w:kern w:val="0"/>
          <w:sz w:val="36"/>
          <w:szCs w:val="36"/>
        </w:rPr>
      </w:pPr>
      <w:r>
        <w:rPr>
          <w:rFonts w:hint="eastAsia" w:hAnsi="宋体" w:eastAsia="仿宋_GB2312" w:cs="宋体"/>
          <w:color w:val="auto"/>
          <w:spacing w:val="0"/>
          <w:kern w:val="0"/>
          <w:sz w:val="36"/>
          <w:szCs w:val="36"/>
        </w:rPr>
        <w:t xml:space="preserve">     项目名称：</w:t>
      </w:r>
      <w:r>
        <w:rPr>
          <w:rFonts w:hint="eastAsia" w:hAnsi="宋体" w:eastAsia="仿宋_GB2312" w:cs="宋体"/>
          <w:color w:val="auto"/>
          <w:spacing w:val="0"/>
          <w:kern w:val="0"/>
          <w:sz w:val="36"/>
          <w:szCs w:val="36"/>
          <w:lang w:eastAsia="zh-CN"/>
        </w:rPr>
        <w:t>自治区资金资助“双集中”工作项目</w:t>
      </w:r>
    </w:p>
    <w:p>
      <w:pPr>
        <w:keepNext w:val="0"/>
        <w:keepLines w:val="0"/>
        <w:pageBreakBefore w:val="0"/>
        <w:kinsoku/>
        <w:wordWrap/>
        <w:overflowPunct/>
        <w:topLinePunct w:val="0"/>
        <w:autoSpaceDE/>
        <w:autoSpaceDN/>
        <w:bidi w:val="0"/>
        <w:spacing w:line="240" w:lineRule="auto"/>
        <w:ind w:left="0" w:leftChars="0" w:right="0" w:rightChars="0"/>
        <w:jc w:val="left"/>
        <w:rPr>
          <w:rFonts w:hAnsi="宋体" w:eastAsia="仿宋_GB2312" w:cs="宋体"/>
          <w:color w:val="auto"/>
          <w:spacing w:val="0"/>
          <w:kern w:val="0"/>
          <w:sz w:val="36"/>
          <w:szCs w:val="36"/>
        </w:rPr>
      </w:pPr>
      <w:r>
        <w:rPr>
          <w:rFonts w:hint="eastAsia" w:hAnsi="宋体" w:eastAsia="仿宋_GB2312" w:cs="宋体"/>
          <w:color w:val="auto"/>
          <w:spacing w:val="0"/>
          <w:kern w:val="0"/>
          <w:sz w:val="36"/>
          <w:szCs w:val="36"/>
        </w:rPr>
        <w:t xml:space="preserve">     实施单位（公章）：</w:t>
      </w:r>
      <w:r>
        <w:rPr>
          <w:rFonts w:hint="eastAsia" w:hAnsi="宋体" w:eastAsia="仿宋_GB2312" w:cs="宋体"/>
          <w:color w:val="auto"/>
          <w:spacing w:val="0"/>
          <w:kern w:val="0"/>
          <w:sz w:val="36"/>
          <w:szCs w:val="36"/>
          <w:lang w:eastAsia="zh-CN"/>
        </w:rPr>
        <w:t>自治区民政厅</w:t>
      </w:r>
    </w:p>
    <w:p>
      <w:pPr>
        <w:keepNext w:val="0"/>
        <w:keepLines w:val="0"/>
        <w:pageBreakBefore w:val="0"/>
        <w:kinsoku/>
        <w:wordWrap/>
        <w:overflowPunct/>
        <w:topLinePunct w:val="0"/>
        <w:autoSpaceDE/>
        <w:autoSpaceDN/>
        <w:bidi w:val="0"/>
        <w:spacing w:line="240" w:lineRule="auto"/>
        <w:ind w:left="0" w:leftChars="0" w:right="0" w:rightChars="0" w:firstLine="849" w:firstLineChars="236"/>
        <w:jc w:val="left"/>
        <w:rPr>
          <w:rFonts w:hAnsi="宋体" w:eastAsia="仿宋_GB2312" w:cs="宋体"/>
          <w:color w:val="auto"/>
          <w:spacing w:val="0"/>
          <w:kern w:val="0"/>
          <w:sz w:val="36"/>
          <w:szCs w:val="36"/>
        </w:rPr>
      </w:pPr>
      <w:r>
        <w:rPr>
          <w:rFonts w:hint="eastAsia" w:hAnsi="宋体" w:eastAsia="仿宋_GB2312" w:cs="宋体"/>
          <w:color w:val="auto"/>
          <w:spacing w:val="0"/>
          <w:kern w:val="0"/>
          <w:sz w:val="36"/>
          <w:szCs w:val="36"/>
        </w:rPr>
        <w:t>主管部门（公章）：</w:t>
      </w:r>
    </w:p>
    <w:p>
      <w:pPr>
        <w:keepNext w:val="0"/>
        <w:keepLines w:val="0"/>
        <w:pageBreakBefore w:val="0"/>
        <w:kinsoku/>
        <w:wordWrap/>
        <w:overflowPunct/>
        <w:topLinePunct w:val="0"/>
        <w:autoSpaceDE/>
        <w:autoSpaceDN/>
        <w:bidi w:val="0"/>
        <w:spacing w:line="240" w:lineRule="auto"/>
        <w:ind w:left="0" w:leftChars="0" w:right="0" w:rightChars="0" w:firstLine="849" w:firstLineChars="236"/>
        <w:jc w:val="left"/>
        <w:rPr>
          <w:rFonts w:hAnsi="宋体" w:eastAsia="仿宋_GB2312" w:cs="宋体"/>
          <w:color w:val="auto"/>
          <w:spacing w:val="0"/>
          <w:kern w:val="0"/>
          <w:sz w:val="36"/>
          <w:szCs w:val="36"/>
        </w:rPr>
      </w:pPr>
      <w:r>
        <w:rPr>
          <w:rFonts w:hint="eastAsia" w:hAnsi="宋体" w:eastAsia="仿宋_GB2312" w:cs="宋体"/>
          <w:color w:val="auto"/>
          <w:spacing w:val="0"/>
          <w:kern w:val="0"/>
          <w:sz w:val="36"/>
          <w:szCs w:val="36"/>
        </w:rPr>
        <w:t>项目负责人（签章）：</w:t>
      </w:r>
    </w:p>
    <w:p>
      <w:pPr>
        <w:keepNext w:val="0"/>
        <w:keepLines w:val="0"/>
        <w:pageBreakBefore w:val="0"/>
        <w:kinsoku/>
        <w:wordWrap/>
        <w:overflowPunct/>
        <w:topLinePunct w:val="0"/>
        <w:autoSpaceDE/>
        <w:autoSpaceDN/>
        <w:bidi w:val="0"/>
        <w:spacing w:line="240" w:lineRule="auto"/>
        <w:ind w:left="0" w:leftChars="0" w:right="0" w:rightChars="0" w:firstLine="849" w:firstLineChars="236"/>
        <w:jc w:val="left"/>
        <w:rPr>
          <w:rFonts w:hAnsi="宋体" w:eastAsia="仿宋_GB2312" w:cs="宋体"/>
          <w:color w:val="auto"/>
          <w:spacing w:val="0"/>
          <w:kern w:val="0"/>
          <w:sz w:val="36"/>
          <w:szCs w:val="36"/>
        </w:rPr>
      </w:pPr>
      <w:r>
        <w:rPr>
          <w:rFonts w:hint="eastAsia" w:hAnsi="宋体" w:eastAsia="仿宋_GB2312" w:cs="宋体"/>
          <w:color w:val="auto"/>
          <w:spacing w:val="0"/>
          <w:kern w:val="0"/>
          <w:sz w:val="36"/>
          <w:szCs w:val="36"/>
        </w:rPr>
        <w:t xml:space="preserve">填报时间： </w:t>
      </w:r>
      <w:r>
        <w:rPr>
          <w:rFonts w:hint="eastAsia" w:hAnsi="宋体" w:eastAsia="仿宋_GB2312" w:cs="宋体"/>
          <w:color w:val="auto"/>
          <w:spacing w:val="0"/>
          <w:kern w:val="0"/>
          <w:sz w:val="36"/>
          <w:szCs w:val="36"/>
          <w:lang w:val="en-US" w:eastAsia="zh-CN"/>
        </w:rPr>
        <w:t>2019</w:t>
      </w:r>
      <w:r>
        <w:rPr>
          <w:rFonts w:hint="eastAsia" w:hAnsi="宋体" w:eastAsia="仿宋_GB2312" w:cs="宋体"/>
          <w:color w:val="auto"/>
          <w:spacing w:val="0"/>
          <w:kern w:val="0"/>
          <w:sz w:val="36"/>
          <w:szCs w:val="36"/>
        </w:rPr>
        <w:t>年</w:t>
      </w:r>
      <w:r>
        <w:rPr>
          <w:rFonts w:hint="eastAsia" w:hAnsi="宋体" w:eastAsia="仿宋_GB2312" w:cs="宋体"/>
          <w:color w:val="auto"/>
          <w:spacing w:val="0"/>
          <w:kern w:val="0"/>
          <w:sz w:val="36"/>
          <w:szCs w:val="36"/>
          <w:lang w:val="en-US" w:eastAsia="zh-CN"/>
        </w:rPr>
        <w:t>1</w:t>
      </w:r>
      <w:r>
        <w:rPr>
          <w:rFonts w:hint="eastAsia" w:hAnsi="宋体" w:eastAsia="仿宋_GB2312" w:cs="宋体"/>
          <w:color w:val="auto"/>
          <w:spacing w:val="0"/>
          <w:kern w:val="0"/>
          <w:sz w:val="36"/>
          <w:szCs w:val="36"/>
        </w:rPr>
        <w:t>月</w:t>
      </w:r>
      <w:r>
        <w:rPr>
          <w:rFonts w:hint="eastAsia" w:hAnsi="宋体" w:eastAsia="仿宋_GB2312" w:cs="宋体"/>
          <w:color w:val="auto"/>
          <w:spacing w:val="0"/>
          <w:kern w:val="0"/>
          <w:sz w:val="36"/>
          <w:szCs w:val="36"/>
          <w:lang w:val="en-US" w:eastAsia="zh-CN"/>
        </w:rPr>
        <w:t>20</w:t>
      </w:r>
      <w:r>
        <w:rPr>
          <w:rFonts w:hint="eastAsia" w:hAnsi="宋体" w:eastAsia="仿宋_GB2312" w:cs="宋体"/>
          <w:color w:val="auto"/>
          <w:spacing w:val="0"/>
          <w:kern w:val="0"/>
          <w:sz w:val="36"/>
          <w:szCs w:val="36"/>
        </w:rPr>
        <w:t>日</w:t>
      </w:r>
    </w:p>
    <w:p>
      <w:pPr>
        <w:keepNext w:val="0"/>
        <w:keepLines w:val="0"/>
        <w:pageBreakBefore w:val="0"/>
        <w:kinsoku/>
        <w:wordWrap/>
        <w:overflowPunct/>
        <w:topLinePunct w:val="0"/>
        <w:autoSpaceDE/>
        <w:autoSpaceDN/>
        <w:bidi w:val="0"/>
        <w:spacing w:line="240" w:lineRule="auto"/>
        <w:ind w:left="0" w:leftChars="0" w:right="0" w:rightChars="0"/>
        <w:jc w:val="center"/>
        <w:rPr>
          <w:rFonts w:hAnsi="宋体" w:eastAsia="仿宋_GB2312" w:cs="宋体"/>
          <w:color w:val="auto"/>
          <w:spacing w:val="0"/>
          <w:kern w:val="0"/>
          <w:sz w:val="30"/>
          <w:szCs w:val="30"/>
        </w:rPr>
      </w:pPr>
    </w:p>
    <w:p>
      <w:pPr>
        <w:keepNext w:val="0"/>
        <w:keepLines w:val="0"/>
        <w:pageBreakBefore w:val="0"/>
        <w:kinsoku/>
        <w:wordWrap/>
        <w:overflowPunct/>
        <w:topLinePunct w:val="0"/>
        <w:autoSpaceDE/>
        <w:autoSpaceDN/>
        <w:bidi w:val="0"/>
        <w:spacing w:line="240" w:lineRule="auto"/>
        <w:ind w:left="0" w:leftChars="0" w:right="0" w:rightChars="0"/>
        <w:rPr>
          <w:rStyle w:val="19"/>
          <w:rFonts w:ascii="黑体" w:hAnsi="黑体" w:eastAsia="黑体"/>
          <w:b w:val="0"/>
          <w:color w:val="auto"/>
          <w:spacing w:val="0"/>
          <w:sz w:val="32"/>
          <w:szCs w:val="32"/>
        </w:rPr>
      </w:pPr>
    </w:p>
    <w:p>
      <w:pPr>
        <w:keepNext w:val="0"/>
        <w:keepLines w:val="0"/>
        <w:pageBreakBefore w:val="0"/>
        <w:kinsoku/>
        <w:wordWrap/>
        <w:overflowPunct/>
        <w:topLinePunct w:val="0"/>
        <w:autoSpaceDE/>
        <w:autoSpaceDN/>
        <w:bidi w:val="0"/>
        <w:spacing w:line="240" w:lineRule="auto"/>
        <w:ind w:left="0" w:leftChars="0" w:right="0" w:rightChars="0" w:firstLine="640"/>
        <w:rPr>
          <w:rStyle w:val="19"/>
          <w:rFonts w:hint="eastAsia" w:ascii="仿宋" w:hAnsi="仿宋" w:eastAsia="仿宋"/>
          <w:b w:val="0"/>
          <w:color w:val="auto"/>
          <w:spacing w:val="0"/>
          <w:sz w:val="32"/>
          <w:szCs w:val="32"/>
          <w:lang w:eastAsia="zh-CN"/>
        </w:rPr>
      </w:pPr>
      <w:r>
        <w:rPr>
          <w:rStyle w:val="19"/>
          <w:rFonts w:hint="eastAsia" w:ascii="黑体" w:hAnsi="黑体" w:eastAsia="黑体"/>
          <w:b w:val="0"/>
          <w:color w:val="auto"/>
          <w:spacing w:val="0"/>
          <w:sz w:val="32"/>
          <w:szCs w:val="32"/>
        </w:rPr>
        <w:t>一、项目概况</w:t>
      </w:r>
    </w:p>
    <w:p>
      <w:pPr>
        <w:keepNext w:val="0"/>
        <w:keepLines w:val="0"/>
        <w:pageBreakBefore w:val="0"/>
        <w:kinsoku/>
        <w:wordWrap/>
        <w:overflowPunct/>
        <w:topLinePunct w:val="0"/>
        <w:autoSpaceDE/>
        <w:autoSpaceDN/>
        <w:bidi w:val="0"/>
        <w:spacing w:line="240" w:lineRule="auto"/>
        <w:ind w:left="0" w:leftChars="0" w:right="0" w:rightChars="0" w:firstLine="640"/>
        <w:rPr>
          <w:rStyle w:val="19"/>
          <w:rFonts w:hint="eastAsia" w:ascii="仿宋" w:hAnsi="仿宋" w:eastAsia="仿宋"/>
          <w:b w:val="0"/>
          <w:color w:val="auto"/>
          <w:spacing w:val="0"/>
          <w:sz w:val="32"/>
          <w:szCs w:val="32"/>
          <w:lang w:eastAsia="zh-CN"/>
        </w:rPr>
      </w:pPr>
      <w:r>
        <w:rPr>
          <w:rStyle w:val="19"/>
          <w:rFonts w:hint="eastAsia" w:ascii="楷体" w:hAnsi="楷体" w:eastAsia="楷体"/>
          <w:color w:val="auto"/>
          <w:spacing w:val="0"/>
          <w:sz w:val="32"/>
          <w:szCs w:val="32"/>
        </w:rPr>
        <w:t>（一）项目单位基本情况</w:t>
      </w:r>
    </w:p>
    <w:p>
      <w:pPr>
        <w:keepNext w:val="0"/>
        <w:keepLines w:val="0"/>
        <w:pageBreakBefore w:val="0"/>
        <w:kinsoku/>
        <w:wordWrap/>
        <w:overflowPunct/>
        <w:topLinePunct w:val="0"/>
        <w:autoSpaceDE/>
        <w:autoSpaceDN/>
        <w:bidi w:val="0"/>
        <w:spacing w:line="240" w:lineRule="auto"/>
        <w:ind w:left="0" w:leftChars="0" w:right="0" w:rightChars="0" w:firstLine="640"/>
        <w:rPr>
          <w:rStyle w:val="19"/>
          <w:rFonts w:hint="eastAsia" w:ascii="仿宋" w:hAnsi="仿宋" w:eastAsia="仿宋"/>
          <w:b w:val="0"/>
          <w:color w:val="auto"/>
          <w:spacing w:val="0"/>
          <w:sz w:val="32"/>
          <w:szCs w:val="32"/>
          <w:lang w:eastAsia="zh-CN"/>
        </w:rPr>
      </w:pPr>
      <w:r>
        <w:rPr>
          <w:rStyle w:val="19"/>
          <w:rFonts w:hint="eastAsia" w:ascii="仿宋" w:hAnsi="仿宋" w:eastAsia="仿宋"/>
          <w:b w:val="0"/>
          <w:color w:val="auto"/>
          <w:spacing w:val="0"/>
          <w:sz w:val="32"/>
          <w:szCs w:val="32"/>
          <w:lang w:eastAsia="zh-CN"/>
        </w:rPr>
        <w:t>新疆维吾尔自治区民政厅，是新疆维吾尔自治区政府职能部门，担负行政区域内社会救助、养老服务、儿童福利、区划地名、社会事务等工作。单位地址:新疆乌鲁木齐新华南路53</w:t>
      </w:r>
      <w:r>
        <w:rPr>
          <w:rStyle w:val="19"/>
          <w:rFonts w:hint="eastAsia" w:ascii="仿宋" w:hAnsi="仿宋" w:eastAsia="仿宋"/>
          <w:b w:val="0"/>
          <w:color w:val="auto"/>
          <w:spacing w:val="0"/>
          <w:sz w:val="32"/>
          <w:szCs w:val="32"/>
          <w:lang w:val="en-US" w:eastAsia="zh-CN"/>
        </w:rPr>
        <w:t>8</w:t>
      </w:r>
      <w:r>
        <w:rPr>
          <w:rStyle w:val="19"/>
          <w:rFonts w:hint="eastAsia" w:ascii="仿宋" w:hAnsi="仿宋" w:eastAsia="仿宋"/>
          <w:b w:val="0"/>
          <w:color w:val="auto"/>
          <w:spacing w:val="0"/>
          <w:sz w:val="32"/>
          <w:szCs w:val="32"/>
          <w:lang w:eastAsia="zh-CN"/>
        </w:rPr>
        <w:t>号。</w:t>
      </w:r>
    </w:p>
    <w:p>
      <w:pPr>
        <w:keepNext w:val="0"/>
        <w:keepLines w:val="0"/>
        <w:pageBreakBefore w:val="0"/>
        <w:kinsoku/>
        <w:wordWrap/>
        <w:overflowPunct/>
        <w:topLinePunct w:val="0"/>
        <w:autoSpaceDE/>
        <w:autoSpaceDN/>
        <w:bidi w:val="0"/>
        <w:spacing w:line="240" w:lineRule="auto"/>
        <w:ind w:left="0" w:leftChars="0" w:right="0" w:rightChars="0" w:firstLine="581" w:firstLineChars="181"/>
        <w:rPr>
          <w:rStyle w:val="19"/>
          <w:rFonts w:ascii="楷体" w:hAnsi="楷体" w:eastAsia="楷体"/>
          <w:color w:val="auto"/>
          <w:spacing w:val="0"/>
          <w:sz w:val="32"/>
          <w:szCs w:val="32"/>
        </w:rPr>
      </w:pPr>
      <w:r>
        <w:rPr>
          <w:rStyle w:val="19"/>
          <w:rFonts w:hint="eastAsia" w:ascii="楷体" w:hAnsi="楷体" w:eastAsia="楷体"/>
          <w:color w:val="auto"/>
          <w:spacing w:val="0"/>
          <w:sz w:val="32"/>
          <w:szCs w:val="32"/>
        </w:rPr>
        <w:t>（二）项目预算</w:t>
      </w:r>
      <w:r>
        <w:rPr>
          <w:rStyle w:val="19"/>
          <w:rFonts w:ascii="楷体" w:hAnsi="楷体" w:eastAsia="楷体"/>
          <w:color w:val="auto"/>
          <w:spacing w:val="0"/>
          <w:sz w:val="32"/>
          <w:szCs w:val="32"/>
        </w:rPr>
        <w:t>绩效目标</w:t>
      </w:r>
      <w:r>
        <w:rPr>
          <w:rStyle w:val="19"/>
          <w:rFonts w:hint="eastAsia" w:ascii="楷体" w:hAnsi="楷体" w:eastAsia="楷体"/>
          <w:color w:val="auto"/>
          <w:spacing w:val="0"/>
          <w:sz w:val="32"/>
          <w:szCs w:val="32"/>
        </w:rPr>
        <w:t>设定情况</w:t>
      </w:r>
    </w:p>
    <w:p>
      <w:pPr>
        <w:keepNext w:val="0"/>
        <w:keepLines w:val="0"/>
        <w:pageBreakBefore w:val="0"/>
        <w:kinsoku/>
        <w:wordWrap/>
        <w:overflowPunct/>
        <w:topLinePunct w:val="0"/>
        <w:autoSpaceDE/>
        <w:autoSpaceDN/>
        <w:bidi w:val="0"/>
        <w:spacing w:line="240" w:lineRule="auto"/>
        <w:ind w:left="0" w:leftChars="0" w:right="0" w:rightChars="0" w:firstLine="579" w:firstLineChars="181"/>
        <w:rPr>
          <w:rStyle w:val="19"/>
          <w:rFonts w:hint="eastAsia" w:ascii="仿宋" w:hAnsi="仿宋" w:eastAsia="仿宋"/>
          <w:b w:val="0"/>
          <w:color w:val="auto"/>
          <w:spacing w:val="0"/>
          <w:sz w:val="32"/>
          <w:szCs w:val="32"/>
          <w:lang w:eastAsia="zh-CN"/>
        </w:rPr>
      </w:pPr>
      <w:r>
        <w:rPr>
          <w:rStyle w:val="19"/>
          <w:rFonts w:hint="eastAsia" w:ascii="仿宋" w:hAnsi="仿宋" w:eastAsia="仿宋"/>
          <w:b w:val="0"/>
          <w:color w:val="auto"/>
          <w:spacing w:val="0"/>
          <w:sz w:val="32"/>
          <w:szCs w:val="32"/>
          <w:lang w:eastAsia="zh-CN"/>
        </w:rPr>
        <w:t>“双集中”社会福利机构护理补贴</w:t>
      </w:r>
      <w:r>
        <w:rPr>
          <w:rStyle w:val="19"/>
          <w:rFonts w:hint="eastAsia" w:ascii="仿宋" w:hAnsi="仿宋" w:eastAsia="仿宋"/>
          <w:b w:val="0"/>
          <w:color w:val="auto"/>
          <w:spacing w:val="0"/>
          <w:sz w:val="32"/>
          <w:szCs w:val="32"/>
          <w:lang w:val="en-US" w:eastAsia="zh-CN"/>
        </w:rPr>
        <w:t>6000万元</w:t>
      </w:r>
      <w:r>
        <w:rPr>
          <w:rStyle w:val="19"/>
          <w:rFonts w:hint="eastAsia" w:ascii="仿宋" w:hAnsi="仿宋" w:eastAsia="仿宋"/>
          <w:b w:val="0"/>
          <w:color w:val="auto"/>
          <w:spacing w:val="0"/>
          <w:sz w:val="32"/>
          <w:szCs w:val="32"/>
          <w:lang w:eastAsia="zh-CN"/>
        </w:rPr>
        <w:t>，主要用于县级民政部门统一购买特困人员、孤儿照料护理服务</w:t>
      </w:r>
      <w:r>
        <w:rPr>
          <w:rStyle w:val="19"/>
          <w:rFonts w:hint="eastAsia" w:ascii="仿宋" w:hAnsi="仿宋" w:eastAsia="仿宋"/>
          <w:b w:val="0"/>
          <w:color w:val="auto"/>
          <w:spacing w:val="0"/>
          <w:sz w:val="32"/>
          <w:szCs w:val="32"/>
          <w:lang w:val="en-US" w:eastAsia="zh-CN"/>
        </w:rPr>
        <w:t>,提高护理人员管理服务水平，不断满足照料护理需求</w:t>
      </w:r>
      <w:r>
        <w:rPr>
          <w:rStyle w:val="19"/>
          <w:rFonts w:hint="eastAsia" w:ascii="仿宋" w:hAnsi="仿宋" w:eastAsia="仿宋"/>
          <w:b w:val="0"/>
          <w:color w:val="auto"/>
          <w:spacing w:val="0"/>
          <w:sz w:val="32"/>
          <w:szCs w:val="32"/>
          <w:lang w:eastAsia="zh-CN"/>
        </w:rPr>
        <w:t>。</w:t>
      </w:r>
    </w:p>
    <w:p>
      <w:pPr>
        <w:keepNext w:val="0"/>
        <w:keepLines w:val="0"/>
        <w:pageBreakBefore w:val="0"/>
        <w:kinsoku/>
        <w:wordWrap/>
        <w:overflowPunct/>
        <w:topLinePunct w:val="0"/>
        <w:autoSpaceDE/>
        <w:autoSpaceDN/>
        <w:bidi w:val="0"/>
        <w:spacing w:line="240" w:lineRule="auto"/>
        <w:ind w:left="0" w:leftChars="0" w:right="0" w:rightChars="0" w:firstLine="579" w:firstLineChars="181"/>
        <w:rPr>
          <w:rStyle w:val="19"/>
          <w:rFonts w:ascii="仿宋" w:hAnsi="仿宋" w:eastAsia="仿宋"/>
          <w:b w:val="0"/>
          <w:color w:val="auto"/>
          <w:spacing w:val="0"/>
          <w:sz w:val="32"/>
          <w:szCs w:val="32"/>
        </w:rPr>
      </w:pPr>
      <w:r>
        <w:rPr>
          <w:rStyle w:val="19"/>
          <w:rFonts w:hint="eastAsia" w:ascii="仿宋" w:hAnsi="仿宋" w:eastAsia="仿宋"/>
          <w:b w:val="0"/>
          <w:color w:val="auto"/>
          <w:spacing w:val="0"/>
          <w:sz w:val="32"/>
          <w:szCs w:val="32"/>
        </w:rPr>
        <w:t>“双集中”社会福利机构建设资金</w:t>
      </w:r>
      <w:r>
        <w:rPr>
          <w:rStyle w:val="19"/>
          <w:rFonts w:hint="eastAsia" w:ascii="仿宋" w:hAnsi="仿宋" w:eastAsia="仿宋"/>
          <w:b w:val="0"/>
          <w:color w:val="auto"/>
          <w:spacing w:val="0"/>
          <w:sz w:val="32"/>
          <w:szCs w:val="32"/>
          <w:lang w:val="en-US" w:eastAsia="zh-CN"/>
        </w:rPr>
        <w:t>13500万元，主要用于机构新建、改扩建、设施设备配备，提升机构建设质量，增加床位数，</w:t>
      </w:r>
      <w:r>
        <w:rPr>
          <w:rFonts w:hint="eastAsia" w:ascii="仿宋" w:hAnsi="仿宋" w:eastAsia="仿宋"/>
          <w:color w:val="auto"/>
          <w:spacing w:val="0"/>
          <w:sz w:val="32"/>
          <w:szCs w:val="32"/>
          <w:lang w:eastAsia="zh-CN"/>
        </w:rPr>
        <w:t>确保机构达到较高标准的供（收）养条件，满足有意愿“五保”老人集中供养和孤儿集中收养需要。</w:t>
      </w:r>
    </w:p>
    <w:p>
      <w:pPr>
        <w:keepNext w:val="0"/>
        <w:keepLines w:val="0"/>
        <w:pageBreakBefore w:val="0"/>
        <w:kinsoku/>
        <w:wordWrap/>
        <w:overflowPunct/>
        <w:topLinePunct w:val="0"/>
        <w:autoSpaceDE/>
        <w:autoSpaceDN/>
        <w:bidi w:val="0"/>
        <w:spacing w:line="240" w:lineRule="auto"/>
        <w:ind w:left="0" w:leftChars="0" w:right="0" w:rightChars="0" w:firstLine="640"/>
        <w:rPr>
          <w:rStyle w:val="19"/>
          <w:rFonts w:ascii="黑体" w:hAnsi="黑体" w:eastAsia="黑体"/>
          <w:b w:val="0"/>
          <w:color w:val="auto"/>
          <w:spacing w:val="0"/>
          <w:sz w:val="32"/>
          <w:szCs w:val="32"/>
        </w:rPr>
      </w:pPr>
      <w:r>
        <w:rPr>
          <w:rStyle w:val="19"/>
          <w:rFonts w:hint="eastAsia" w:ascii="黑体" w:hAnsi="黑体" w:eastAsia="黑体"/>
          <w:b w:val="0"/>
          <w:color w:val="auto"/>
          <w:spacing w:val="0"/>
          <w:sz w:val="32"/>
          <w:szCs w:val="32"/>
        </w:rPr>
        <w:t>二、项目资金使用及管理情况</w:t>
      </w:r>
    </w:p>
    <w:p>
      <w:pPr>
        <w:keepNext w:val="0"/>
        <w:keepLines w:val="0"/>
        <w:pageBreakBefore w:val="0"/>
        <w:kinsoku/>
        <w:wordWrap/>
        <w:overflowPunct/>
        <w:topLinePunct w:val="0"/>
        <w:autoSpaceDE/>
        <w:autoSpaceDN/>
        <w:bidi w:val="0"/>
        <w:spacing w:line="240" w:lineRule="auto"/>
        <w:ind w:left="0" w:leftChars="0" w:right="0" w:rightChars="0" w:firstLine="581" w:firstLineChars="181"/>
        <w:rPr>
          <w:rStyle w:val="19"/>
          <w:rFonts w:ascii="楷体" w:hAnsi="楷体" w:eastAsia="楷体"/>
          <w:color w:val="auto"/>
          <w:spacing w:val="0"/>
          <w:sz w:val="32"/>
          <w:szCs w:val="32"/>
        </w:rPr>
      </w:pPr>
      <w:r>
        <w:rPr>
          <w:rStyle w:val="19"/>
          <w:rFonts w:hint="eastAsia" w:ascii="楷体" w:hAnsi="楷体" w:eastAsia="楷体"/>
          <w:color w:val="auto"/>
          <w:spacing w:val="0"/>
          <w:sz w:val="32"/>
          <w:szCs w:val="32"/>
        </w:rPr>
        <w:t>（一）项目资金安排落实、总投入等情况分析</w:t>
      </w:r>
    </w:p>
    <w:p>
      <w:pPr>
        <w:keepNext w:val="0"/>
        <w:keepLines w:val="0"/>
        <w:pageBreakBefore w:val="0"/>
        <w:kinsoku/>
        <w:wordWrap/>
        <w:overflowPunct/>
        <w:topLinePunct w:val="0"/>
        <w:autoSpaceDE/>
        <w:autoSpaceDN/>
        <w:bidi w:val="0"/>
        <w:spacing w:line="240" w:lineRule="auto"/>
        <w:ind w:left="0" w:leftChars="0" w:right="0" w:rightChars="0" w:firstLine="579" w:firstLineChars="181"/>
        <w:rPr>
          <w:rStyle w:val="19"/>
          <w:rFonts w:hint="eastAsia" w:ascii="仿宋" w:hAnsi="仿宋" w:eastAsia="仿宋"/>
          <w:b w:val="0"/>
          <w:color w:val="auto"/>
          <w:spacing w:val="0"/>
          <w:sz w:val="32"/>
          <w:szCs w:val="32"/>
          <w:lang w:val="en-US" w:eastAsia="zh-CN"/>
        </w:rPr>
      </w:pPr>
      <w:r>
        <w:rPr>
          <w:rStyle w:val="19"/>
          <w:rFonts w:hint="eastAsia" w:ascii="仿宋" w:hAnsi="仿宋" w:eastAsia="仿宋"/>
          <w:b w:val="0"/>
          <w:color w:val="auto"/>
          <w:spacing w:val="0"/>
          <w:sz w:val="32"/>
          <w:szCs w:val="32"/>
          <w:lang w:val="en-US" w:eastAsia="zh-CN"/>
        </w:rPr>
        <w:t>2018年，自治区财政落实</w:t>
      </w:r>
      <w:r>
        <w:rPr>
          <w:rStyle w:val="19"/>
          <w:rFonts w:hint="eastAsia" w:ascii="仿宋" w:hAnsi="仿宋" w:eastAsia="仿宋"/>
          <w:b w:val="0"/>
          <w:color w:val="auto"/>
          <w:spacing w:val="0"/>
          <w:sz w:val="32"/>
          <w:szCs w:val="32"/>
          <w:lang w:eastAsia="zh-CN"/>
        </w:rPr>
        <w:t>“双集中”社会福利机构护理补贴</w:t>
      </w:r>
      <w:r>
        <w:rPr>
          <w:rStyle w:val="19"/>
          <w:rFonts w:hint="eastAsia" w:ascii="仿宋" w:hAnsi="仿宋" w:eastAsia="仿宋"/>
          <w:b w:val="0"/>
          <w:color w:val="auto"/>
          <w:spacing w:val="0"/>
          <w:sz w:val="32"/>
          <w:szCs w:val="32"/>
          <w:lang w:val="en-US" w:eastAsia="zh-CN"/>
        </w:rPr>
        <w:t>6000万元</w:t>
      </w:r>
      <w:r>
        <w:rPr>
          <w:rStyle w:val="19"/>
          <w:rFonts w:hint="eastAsia" w:ascii="仿宋" w:hAnsi="仿宋" w:eastAsia="仿宋"/>
          <w:b w:val="0"/>
          <w:color w:val="auto"/>
          <w:spacing w:val="0"/>
          <w:sz w:val="32"/>
          <w:szCs w:val="32"/>
          <w:lang w:eastAsia="zh-CN"/>
        </w:rPr>
        <w:t>，自治区财政落实</w:t>
      </w:r>
      <w:r>
        <w:rPr>
          <w:rStyle w:val="19"/>
          <w:rFonts w:hint="eastAsia" w:ascii="仿宋" w:hAnsi="仿宋" w:eastAsia="仿宋"/>
          <w:b w:val="0"/>
          <w:color w:val="auto"/>
          <w:spacing w:val="0"/>
          <w:sz w:val="32"/>
          <w:szCs w:val="32"/>
        </w:rPr>
        <w:t>“双集中”社会福利机构建设资金</w:t>
      </w:r>
      <w:r>
        <w:rPr>
          <w:rStyle w:val="19"/>
          <w:rFonts w:hint="eastAsia" w:ascii="仿宋" w:hAnsi="仿宋" w:eastAsia="仿宋"/>
          <w:b w:val="0"/>
          <w:color w:val="auto"/>
          <w:spacing w:val="0"/>
          <w:sz w:val="32"/>
          <w:szCs w:val="32"/>
          <w:lang w:val="en-US" w:eastAsia="zh-CN"/>
        </w:rPr>
        <w:t>13500万元。</w:t>
      </w:r>
    </w:p>
    <w:p>
      <w:pPr>
        <w:keepNext w:val="0"/>
        <w:keepLines w:val="0"/>
        <w:pageBreakBefore w:val="0"/>
        <w:kinsoku/>
        <w:wordWrap/>
        <w:overflowPunct/>
        <w:topLinePunct w:val="0"/>
        <w:autoSpaceDE/>
        <w:autoSpaceDN/>
        <w:bidi w:val="0"/>
        <w:spacing w:line="240" w:lineRule="auto"/>
        <w:ind w:left="0" w:leftChars="0" w:right="0" w:rightChars="0" w:firstLine="581" w:firstLineChars="181"/>
        <w:rPr>
          <w:rStyle w:val="19"/>
          <w:rFonts w:ascii="楷体" w:hAnsi="楷体" w:eastAsia="楷体"/>
          <w:color w:val="auto"/>
          <w:spacing w:val="0"/>
          <w:sz w:val="32"/>
          <w:szCs w:val="32"/>
        </w:rPr>
      </w:pPr>
      <w:r>
        <w:rPr>
          <w:rStyle w:val="19"/>
          <w:rFonts w:hint="eastAsia" w:ascii="楷体" w:hAnsi="楷体" w:eastAsia="楷体"/>
          <w:color w:val="auto"/>
          <w:spacing w:val="0"/>
          <w:sz w:val="32"/>
          <w:szCs w:val="32"/>
        </w:rPr>
        <w:t>（二）项目资金实际使用情况分析</w:t>
      </w:r>
    </w:p>
    <w:p>
      <w:pPr>
        <w:keepNext w:val="0"/>
        <w:keepLines w:val="0"/>
        <w:pageBreakBefore w:val="0"/>
        <w:kinsoku/>
        <w:wordWrap/>
        <w:overflowPunct/>
        <w:topLinePunct w:val="0"/>
        <w:autoSpaceDE/>
        <w:autoSpaceDN/>
        <w:bidi w:val="0"/>
        <w:spacing w:line="240" w:lineRule="auto"/>
        <w:ind w:left="0" w:leftChars="0" w:right="0" w:rightChars="0" w:firstLine="640" w:firstLineChars="200"/>
        <w:rPr>
          <w:rStyle w:val="19"/>
          <w:rFonts w:hint="eastAsia" w:ascii="仿宋" w:hAnsi="仿宋" w:eastAsia="仿宋"/>
          <w:b w:val="0"/>
          <w:color w:val="auto"/>
          <w:spacing w:val="0"/>
          <w:sz w:val="32"/>
          <w:szCs w:val="32"/>
          <w:lang w:eastAsia="zh-CN"/>
        </w:rPr>
      </w:pPr>
      <w:r>
        <w:rPr>
          <w:rStyle w:val="19"/>
          <w:rFonts w:hint="eastAsia" w:ascii="仿宋" w:hAnsi="仿宋" w:eastAsia="仿宋"/>
          <w:b w:val="0"/>
          <w:color w:val="auto"/>
          <w:spacing w:val="0"/>
          <w:sz w:val="32"/>
          <w:szCs w:val="32"/>
          <w:lang w:eastAsia="zh-CN"/>
        </w:rPr>
        <w:t>“双集中”社会福利机构护理补贴</w:t>
      </w:r>
      <w:r>
        <w:rPr>
          <w:rStyle w:val="19"/>
          <w:rFonts w:hint="eastAsia" w:ascii="仿宋" w:hAnsi="仿宋" w:eastAsia="仿宋"/>
          <w:b w:val="0"/>
          <w:color w:val="auto"/>
          <w:spacing w:val="0"/>
          <w:sz w:val="32"/>
          <w:szCs w:val="32"/>
          <w:lang w:val="en-US" w:eastAsia="zh-CN"/>
        </w:rPr>
        <w:t>6000万元</w:t>
      </w:r>
      <w:r>
        <w:rPr>
          <w:rStyle w:val="19"/>
          <w:rFonts w:hint="eastAsia" w:ascii="仿宋" w:hAnsi="仿宋" w:eastAsia="仿宋"/>
          <w:b w:val="0"/>
          <w:color w:val="auto"/>
          <w:spacing w:val="0"/>
          <w:sz w:val="32"/>
          <w:szCs w:val="32"/>
          <w:lang w:eastAsia="zh-CN"/>
        </w:rPr>
        <w:t>，其中，乌鲁木齐市</w:t>
      </w:r>
      <w:r>
        <w:rPr>
          <w:rStyle w:val="19"/>
          <w:rFonts w:hint="eastAsia" w:ascii="仿宋" w:hAnsi="仿宋" w:eastAsia="仿宋"/>
          <w:b w:val="0"/>
          <w:color w:val="auto"/>
          <w:spacing w:val="0"/>
          <w:sz w:val="32"/>
          <w:szCs w:val="32"/>
          <w:lang w:val="en-US" w:eastAsia="zh-CN"/>
        </w:rPr>
        <w:t>172万，克拉玛依市9万，伊犁州612万，塔城地区144万，阿勒泰地区79万，博州87万，昌吉州288万，巴州229万，阿克苏地区668万，克州196万，喀什地区2478万元，和田地区867万元，吐鲁番市85万元，哈密市86万元。资金到位率100%，照料护理资金</w:t>
      </w:r>
      <w:r>
        <w:rPr>
          <w:rStyle w:val="19"/>
          <w:rFonts w:hint="eastAsia" w:ascii="仿宋" w:hAnsi="仿宋" w:eastAsia="仿宋"/>
          <w:b w:val="0"/>
          <w:color w:val="auto"/>
          <w:spacing w:val="0"/>
          <w:sz w:val="32"/>
          <w:szCs w:val="32"/>
          <w:lang w:eastAsia="zh-CN"/>
        </w:rPr>
        <w:t>各县市区民政局统一购买照料护理服务。</w:t>
      </w:r>
    </w:p>
    <w:p>
      <w:pPr>
        <w:keepNext w:val="0"/>
        <w:keepLines w:val="0"/>
        <w:pageBreakBefore w:val="0"/>
        <w:kinsoku/>
        <w:wordWrap/>
        <w:overflowPunct/>
        <w:topLinePunct w:val="0"/>
        <w:autoSpaceDE/>
        <w:autoSpaceDN/>
        <w:bidi w:val="0"/>
        <w:spacing w:line="240" w:lineRule="auto"/>
        <w:ind w:left="0" w:leftChars="0" w:right="0" w:rightChars="0" w:firstLine="640" w:firstLineChars="200"/>
        <w:rPr>
          <w:rStyle w:val="19"/>
          <w:rFonts w:hint="eastAsia" w:ascii="仿宋" w:hAnsi="仿宋" w:eastAsia="仿宋"/>
          <w:b w:val="0"/>
          <w:color w:val="auto"/>
          <w:spacing w:val="0"/>
          <w:sz w:val="32"/>
          <w:szCs w:val="32"/>
          <w:lang w:eastAsia="zh-CN"/>
        </w:rPr>
      </w:pPr>
      <w:r>
        <w:rPr>
          <w:rStyle w:val="19"/>
          <w:rFonts w:hint="eastAsia" w:ascii="仿宋" w:hAnsi="仿宋" w:eastAsia="仿宋"/>
          <w:b w:val="0"/>
          <w:color w:val="auto"/>
          <w:spacing w:val="0"/>
          <w:sz w:val="32"/>
          <w:szCs w:val="32"/>
        </w:rPr>
        <w:t>“双集中”社会福利机构建设资金</w:t>
      </w:r>
      <w:r>
        <w:rPr>
          <w:rStyle w:val="19"/>
          <w:rFonts w:hint="eastAsia" w:ascii="仿宋" w:hAnsi="仿宋" w:eastAsia="仿宋"/>
          <w:b w:val="0"/>
          <w:color w:val="auto"/>
          <w:spacing w:val="0"/>
          <w:sz w:val="32"/>
          <w:szCs w:val="32"/>
          <w:lang w:val="en-US" w:eastAsia="zh-CN"/>
        </w:rPr>
        <w:t>13500万元，</w:t>
      </w:r>
      <w:r>
        <w:rPr>
          <w:rStyle w:val="19"/>
          <w:rFonts w:hint="eastAsia" w:ascii="仿宋" w:hAnsi="仿宋" w:eastAsia="仿宋"/>
          <w:b w:val="0"/>
          <w:color w:val="auto"/>
          <w:spacing w:val="0"/>
          <w:sz w:val="32"/>
          <w:szCs w:val="32"/>
          <w:lang w:eastAsia="zh-CN"/>
        </w:rPr>
        <w:t>其中，</w:t>
      </w:r>
      <w:r>
        <w:rPr>
          <w:rStyle w:val="19"/>
          <w:rFonts w:hint="eastAsia" w:ascii="仿宋" w:hAnsi="仿宋" w:eastAsia="仿宋"/>
          <w:b w:val="0"/>
          <w:color w:val="auto"/>
          <w:spacing w:val="0"/>
          <w:sz w:val="32"/>
          <w:szCs w:val="32"/>
          <w:lang w:val="en-US" w:eastAsia="zh-CN"/>
        </w:rPr>
        <w:t>伊犁州1419万，塔城地区426万，阿勒泰地区447万，博州230万，昌吉州717万，巴州872万，阿克苏地区1390万，克州681万，喀什地区3827万元，和田地区3031万元，吐鲁番市212万元，哈密市248万元。资金到位率100%，各地州市结合集中供（收）情况和机构建设管理现状，将资金用于具体项目上，相关建设工作正有序实施。</w:t>
      </w:r>
    </w:p>
    <w:p>
      <w:pPr>
        <w:keepNext w:val="0"/>
        <w:keepLines w:val="0"/>
        <w:pageBreakBefore w:val="0"/>
        <w:kinsoku/>
        <w:wordWrap/>
        <w:overflowPunct/>
        <w:topLinePunct w:val="0"/>
        <w:autoSpaceDE/>
        <w:autoSpaceDN/>
        <w:bidi w:val="0"/>
        <w:spacing w:line="240" w:lineRule="auto"/>
        <w:ind w:left="0" w:leftChars="0" w:right="0" w:rightChars="0" w:firstLine="581" w:firstLineChars="181"/>
        <w:rPr>
          <w:rStyle w:val="19"/>
          <w:rFonts w:ascii="楷体" w:hAnsi="楷体" w:eastAsia="楷体"/>
          <w:color w:val="auto"/>
          <w:spacing w:val="0"/>
          <w:sz w:val="32"/>
          <w:szCs w:val="32"/>
        </w:rPr>
      </w:pPr>
      <w:r>
        <w:rPr>
          <w:rStyle w:val="19"/>
          <w:rFonts w:hint="eastAsia" w:ascii="楷体" w:hAnsi="楷体" w:eastAsia="楷体"/>
          <w:color w:val="auto"/>
          <w:spacing w:val="0"/>
          <w:sz w:val="32"/>
          <w:szCs w:val="32"/>
        </w:rPr>
        <w:t>（三）项目资金管理情况分析</w:t>
      </w:r>
    </w:p>
    <w:p>
      <w:pPr>
        <w:keepNext w:val="0"/>
        <w:keepLines w:val="0"/>
        <w:pageBreakBefore w:val="0"/>
        <w:kinsoku/>
        <w:wordWrap/>
        <w:overflowPunct/>
        <w:topLinePunct w:val="0"/>
        <w:autoSpaceDE/>
        <w:autoSpaceDN/>
        <w:bidi w:val="0"/>
        <w:spacing w:line="240" w:lineRule="auto"/>
        <w:ind w:left="0" w:leftChars="0" w:right="0" w:rightChars="0" w:firstLine="640" w:firstLineChars="200"/>
        <w:rPr>
          <w:rStyle w:val="19"/>
          <w:rFonts w:hint="eastAsia" w:ascii="仿宋" w:hAnsi="仿宋" w:eastAsia="仿宋"/>
          <w:b w:val="0"/>
          <w:color w:val="auto"/>
          <w:spacing w:val="0"/>
          <w:sz w:val="32"/>
          <w:szCs w:val="32"/>
          <w:lang w:val="en-US" w:eastAsia="zh-CN"/>
        </w:rPr>
      </w:pPr>
      <w:r>
        <w:rPr>
          <w:rStyle w:val="19"/>
          <w:rFonts w:hint="eastAsia" w:ascii="仿宋" w:hAnsi="仿宋" w:eastAsia="仿宋"/>
          <w:b w:val="0"/>
          <w:color w:val="auto"/>
          <w:spacing w:val="0"/>
          <w:sz w:val="32"/>
          <w:szCs w:val="32"/>
          <w:lang w:val="en-US" w:eastAsia="zh-CN"/>
        </w:rPr>
        <w:t>1.严格资金筹措。自治区民政主管部门负责筹措政府性建设资金，地级民政主管部门负责筹措本级福利彩票公益金和计划投入的其他建设资金，县级民政主管部门负责筹措本级福利彩票公益金和计划投入的其他建设资金。</w:t>
      </w:r>
    </w:p>
    <w:p>
      <w:pPr>
        <w:keepNext w:val="0"/>
        <w:keepLines w:val="0"/>
        <w:pageBreakBefore w:val="0"/>
        <w:kinsoku/>
        <w:wordWrap/>
        <w:overflowPunct/>
        <w:topLinePunct w:val="0"/>
        <w:autoSpaceDE/>
        <w:autoSpaceDN/>
        <w:bidi w:val="0"/>
        <w:spacing w:line="240" w:lineRule="auto"/>
        <w:ind w:right="0" w:rightChars="0"/>
        <w:rPr>
          <w:rStyle w:val="19"/>
          <w:rFonts w:hint="eastAsia" w:ascii="仿宋" w:hAnsi="仿宋" w:eastAsia="仿宋"/>
          <w:b w:val="0"/>
          <w:color w:val="auto"/>
          <w:spacing w:val="0"/>
          <w:sz w:val="32"/>
          <w:szCs w:val="32"/>
          <w:lang w:val="en-US" w:eastAsia="zh-CN"/>
        </w:rPr>
      </w:pPr>
      <w:r>
        <w:rPr>
          <w:rStyle w:val="19"/>
          <w:rFonts w:hint="eastAsia" w:ascii="仿宋" w:hAnsi="仿宋" w:eastAsia="仿宋"/>
          <w:b w:val="0"/>
          <w:color w:val="auto"/>
          <w:spacing w:val="0"/>
          <w:sz w:val="32"/>
          <w:szCs w:val="32"/>
          <w:lang w:val="en-US" w:eastAsia="zh-CN"/>
        </w:rPr>
        <w:t xml:space="preserve">    2.严格资金管理。严格按国家资金管理有关规定执行。自治区福利彩票公益金及地、县各级福利彩票公益金的管理，按自治区有关规定执行。其他建设资金的管理，按对应的有关规定执行。项目法人按照国家、自治区资金管理有关规定，建立建设资金审核制度和项目建设财务管理制度，及时做好年度财务决算的编制报批工作和项目竣工财务决算工作。</w:t>
      </w:r>
    </w:p>
    <w:p>
      <w:pPr>
        <w:keepNext w:val="0"/>
        <w:keepLines w:val="0"/>
        <w:pageBreakBefore w:val="0"/>
        <w:kinsoku/>
        <w:wordWrap/>
        <w:overflowPunct/>
        <w:topLinePunct w:val="0"/>
        <w:autoSpaceDE/>
        <w:autoSpaceDN/>
        <w:bidi w:val="0"/>
        <w:spacing w:line="240" w:lineRule="auto"/>
        <w:ind w:left="0" w:leftChars="0" w:right="0" w:rightChars="0" w:firstLine="640" w:firstLineChars="200"/>
        <w:rPr>
          <w:rStyle w:val="19"/>
          <w:rFonts w:hint="eastAsia" w:ascii="仿宋" w:hAnsi="仿宋" w:eastAsia="仿宋"/>
          <w:b w:val="0"/>
          <w:color w:val="auto"/>
          <w:spacing w:val="0"/>
          <w:sz w:val="32"/>
          <w:szCs w:val="32"/>
          <w:lang w:val="en-US" w:eastAsia="zh-CN"/>
        </w:rPr>
      </w:pPr>
      <w:r>
        <w:rPr>
          <w:rStyle w:val="19"/>
          <w:rFonts w:hint="eastAsia" w:ascii="仿宋" w:hAnsi="仿宋" w:eastAsia="仿宋"/>
          <w:b w:val="0"/>
          <w:color w:val="auto"/>
          <w:spacing w:val="0"/>
          <w:sz w:val="32"/>
          <w:szCs w:val="32"/>
          <w:lang w:val="en-US" w:eastAsia="zh-CN"/>
        </w:rPr>
        <w:t>3.严格资金拨付。项目法人执行工程价款结算制度，按照财政支出预算管理有关规定和工程价款结算有关程序支付建设资金。建设资金的拨付额度主要是预付款（通常为总款项的10%以内）、进度款（按合同约定的工程建设进度拨付）、结算款（按实际结算款额扣除预付款和进度款的余额拨付）和质量保证金（通常是总款项的10%，保证金到期拨付）。建设资金的拨付以合同为依据。没有合同依据的小额资金拨付控制额度（通常每笔不得超过总款项的5%），并作出特别的财务审批程序规定。</w:t>
      </w:r>
    </w:p>
    <w:p>
      <w:pPr>
        <w:keepNext w:val="0"/>
        <w:keepLines w:val="0"/>
        <w:pageBreakBefore w:val="0"/>
        <w:kinsoku/>
        <w:wordWrap/>
        <w:overflowPunct/>
        <w:topLinePunct w:val="0"/>
        <w:autoSpaceDE/>
        <w:autoSpaceDN/>
        <w:bidi w:val="0"/>
        <w:spacing w:line="240" w:lineRule="auto"/>
        <w:ind w:left="0" w:leftChars="0" w:right="0" w:rightChars="0" w:firstLine="640" w:firstLineChars="200"/>
        <w:rPr>
          <w:rStyle w:val="19"/>
          <w:rFonts w:hint="eastAsia" w:ascii="仿宋" w:hAnsi="仿宋" w:eastAsia="仿宋"/>
          <w:b w:val="0"/>
          <w:color w:val="auto"/>
          <w:spacing w:val="0"/>
          <w:sz w:val="32"/>
          <w:szCs w:val="32"/>
          <w:lang w:val="en-US" w:eastAsia="zh-CN"/>
        </w:rPr>
      </w:pPr>
      <w:r>
        <w:rPr>
          <w:rStyle w:val="19"/>
          <w:rFonts w:hint="eastAsia" w:ascii="仿宋" w:hAnsi="仿宋" w:eastAsia="仿宋"/>
          <w:b w:val="0"/>
          <w:color w:val="auto"/>
          <w:spacing w:val="0"/>
          <w:sz w:val="32"/>
          <w:szCs w:val="32"/>
          <w:lang w:val="en-US" w:eastAsia="zh-CN"/>
        </w:rPr>
        <w:t>4.严格资金审计。各级民政主管部门及项目法人积极配合审计部门开展项目建设资金审计工作。上级民政主管部门主动关注审计部门开展的各级民政项目建设资金审计工作，并协调下级民政主管部门及项目法人积极配合工作。各级民政主管部门加强内部审计，按照管理职责及权限，对民政福利设施项目各类建设资金使用情况进行抽查。</w:t>
      </w:r>
    </w:p>
    <w:p>
      <w:pPr>
        <w:keepNext w:val="0"/>
        <w:keepLines w:val="0"/>
        <w:pageBreakBefore w:val="0"/>
        <w:kinsoku/>
        <w:wordWrap/>
        <w:overflowPunct/>
        <w:topLinePunct w:val="0"/>
        <w:autoSpaceDE/>
        <w:autoSpaceDN/>
        <w:bidi w:val="0"/>
        <w:spacing w:line="240" w:lineRule="auto"/>
        <w:ind w:left="0" w:leftChars="0" w:right="0" w:rightChars="0" w:firstLine="640"/>
        <w:rPr>
          <w:rStyle w:val="19"/>
          <w:rFonts w:ascii="黑体" w:hAnsi="黑体" w:eastAsia="黑体"/>
          <w:b w:val="0"/>
          <w:color w:val="auto"/>
          <w:spacing w:val="0"/>
          <w:sz w:val="32"/>
          <w:szCs w:val="32"/>
        </w:rPr>
      </w:pPr>
      <w:r>
        <w:rPr>
          <w:rStyle w:val="19"/>
          <w:rFonts w:hint="eastAsia" w:ascii="黑体" w:hAnsi="黑体" w:eastAsia="黑体"/>
          <w:b w:val="0"/>
          <w:color w:val="auto"/>
          <w:spacing w:val="0"/>
          <w:sz w:val="32"/>
          <w:szCs w:val="32"/>
        </w:rPr>
        <w:t>三、项目组织实施情况</w:t>
      </w:r>
    </w:p>
    <w:p>
      <w:pPr>
        <w:keepNext w:val="0"/>
        <w:keepLines w:val="0"/>
        <w:pageBreakBefore w:val="0"/>
        <w:kinsoku/>
        <w:wordWrap/>
        <w:overflowPunct/>
        <w:topLinePunct w:val="0"/>
        <w:autoSpaceDE/>
        <w:autoSpaceDN/>
        <w:bidi w:val="0"/>
        <w:spacing w:line="240" w:lineRule="auto"/>
        <w:ind w:left="0" w:leftChars="0" w:right="0" w:rightChars="0" w:firstLine="581" w:firstLineChars="181"/>
        <w:rPr>
          <w:rStyle w:val="19"/>
          <w:rFonts w:ascii="楷体" w:hAnsi="楷体" w:eastAsia="楷体"/>
          <w:color w:val="auto"/>
          <w:spacing w:val="0"/>
          <w:sz w:val="32"/>
          <w:szCs w:val="32"/>
        </w:rPr>
      </w:pPr>
      <w:r>
        <w:rPr>
          <w:rStyle w:val="19"/>
          <w:rFonts w:hint="eastAsia" w:ascii="楷体" w:hAnsi="楷体" w:eastAsia="楷体"/>
          <w:color w:val="auto"/>
          <w:spacing w:val="0"/>
          <w:sz w:val="32"/>
          <w:szCs w:val="32"/>
        </w:rPr>
        <w:t>（一）项目组织情况分析</w:t>
      </w:r>
    </w:p>
    <w:p>
      <w:pPr>
        <w:keepNext w:val="0"/>
        <w:keepLines w:val="0"/>
        <w:pageBreakBefore w:val="0"/>
        <w:kinsoku/>
        <w:wordWrap/>
        <w:overflowPunct/>
        <w:topLinePunct w:val="0"/>
        <w:autoSpaceDE/>
        <w:autoSpaceDN/>
        <w:bidi w:val="0"/>
        <w:spacing w:line="240" w:lineRule="auto"/>
        <w:ind w:left="0" w:leftChars="0" w:right="0" w:rightChars="0" w:firstLine="640" w:firstLineChars="200"/>
        <w:rPr>
          <w:rStyle w:val="19"/>
          <w:rFonts w:hint="eastAsia" w:ascii="仿宋" w:hAnsi="仿宋" w:eastAsia="仿宋"/>
          <w:b w:val="0"/>
          <w:color w:val="auto"/>
          <w:spacing w:val="0"/>
          <w:sz w:val="32"/>
          <w:szCs w:val="32"/>
          <w:lang w:val="en-US" w:eastAsia="zh-CN"/>
        </w:rPr>
      </w:pPr>
      <w:r>
        <w:rPr>
          <w:rStyle w:val="19"/>
          <w:rFonts w:hint="eastAsia" w:ascii="仿宋" w:hAnsi="仿宋" w:eastAsia="仿宋"/>
          <w:b w:val="0"/>
          <w:color w:val="auto"/>
          <w:spacing w:val="0"/>
          <w:sz w:val="32"/>
          <w:szCs w:val="32"/>
          <w:lang w:val="en-US" w:eastAsia="zh-CN"/>
        </w:rPr>
        <w:t>1.严格项目规划。所有民政福利设施项目符合自治区党委、自治区人民政府的战略布局和部署安排，符合自治区民政事业发展规划所提出的各地、各年度目标任务的要求，符合当地城乡规划和民政事业发展实际需要。</w:t>
      </w:r>
    </w:p>
    <w:p>
      <w:pPr>
        <w:keepNext w:val="0"/>
        <w:keepLines w:val="0"/>
        <w:pageBreakBefore w:val="0"/>
        <w:kinsoku/>
        <w:wordWrap/>
        <w:overflowPunct/>
        <w:topLinePunct w:val="0"/>
        <w:autoSpaceDE/>
        <w:autoSpaceDN/>
        <w:bidi w:val="0"/>
        <w:spacing w:line="240" w:lineRule="auto"/>
        <w:ind w:left="0" w:leftChars="0" w:right="0" w:rightChars="0" w:firstLine="640" w:firstLineChars="200"/>
        <w:rPr>
          <w:rStyle w:val="19"/>
          <w:rFonts w:hint="eastAsia" w:ascii="仿宋" w:hAnsi="仿宋" w:eastAsia="仿宋"/>
          <w:b w:val="0"/>
          <w:color w:val="auto"/>
          <w:spacing w:val="0"/>
          <w:sz w:val="32"/>
          <w:szCs w:val="32"/>
          <w:lang w:val="en-US" w:eastAsia="zh-CN"/>
        </w:rPr>
      </w:pPr>
      <w:r>
        <w:rPr>
          <w:rStyle w:val="19"/>
          <w:rFonts w:hint="eastAsia" w:ascii="仿宋" w:hAnsi="仿宋" w:eastAsia="仿宋"/>
          <w:b w:val="0"/>
          <w:color w:val="auto"/>
          <w:spacing w:val="0"/>
          <w:sz w:val="32"/>
          <w:szCs w:val="32"/>
          <w:lang w:val="en-US" w:eastAsia="zh-CN"/>
        </w:rPr>
        <w:t>2.严格项目提出。所有民政福利设施项目的提出依据当地民政事业发展规划。所提出的项目载明项目名称、建设类型、建设地点、建设规模、建设内容、项目总投资、年度计划投资、资金来源、项目法人、项目前期工作等项目要素。</w:t>
      </w:r>
    </w:p>
    <w:p>
      <w:pPr>
        <w:keepNext w:val="0"/>
        <w:keepLines w:val="0"/>
        <w:pageBreakBefore w:val="0"/>
        <w:kinsoku/>
        <w:wordWrap/>
        <w:overflowPunct/>
        <w:topLinePunct w:val="0"/>
        <w:autoSpaceDE/>
        <w:autoSpaceDN/>
        <w:bidi w:val="0"/>
        <w:spacing w:line="240" w:lineRule="auto"/>
        <w:ind w:left="0" w:leftChars="0" w:right="0" w:rightChars="0" w:firstLine="640" w:firstLineChars="200"/>
        <w:rPr>
          <w:rStyle w:val="19"/>
          <w:rFonts w:hint="eastAsia" w:ascii="仿宋" w:hAnsi="仿宋" w:eastAsia="仿宋"/>
          <w:b w:val="0"/>
          <w:color w:val="auto"/>
          <w:spacing w:val="0"/>
          <w:sz w:val="32"/>
          <w:szCs w:val="32"/>
          <w:lang w:val="en-US" w:eastAsia="zh-CN"/>
        </w:rPr>
      </w:pPr>
      <w:r>
        <w:rPr>
          <w:rStyle w:val="19"/>
          <w:rFonts w:hint="eastAsia" w:ascii="仿宋" w:hAnsi="仿宋" w:eastAsia="仿宋"/>
          <w:b w:val="0"/>
          <w:color w:val="auto"/>
          <w:spacing w:val="0"/>
          <w:sz w:val="32"/>
          <w:szCs w:val="32"/>
          <w:lang w:val="en-US" w:eastAsia="zh-CN"/>
        </w:rPr>
        <w:t>3.严格项目法人。民政福利设施项目建设管理实行项目法人责任制。各级民政部门在提出下年度项目建设投资建议计划前，自治区级民政部门明确每个项目的项目法人。已有法人组织的，由本级民政部门明确；没有法人组织的，由本级民政部门依法组建。项目法人对项目前期工作、项目实施中的三大控制（进度控制、质量控制和造价控制）、项目竣工验收及交付使用等全过程负终身责任。</w:t>
      </w:r>
    </w:p>
    <w:p>
      <w:pPr>
        <w:keepNext w:val="0"/>
        <w:keepLines w:val="0"/>
        <w:pageBreakBefore w:val="0"/>
        <w:kinsoku/>
        <w:wordWrap/>
        <w:overflowPunct/>
        <w:topLinePunct w:val="0"/>
        <w:autoSpaceDE/>
        <w:autoSpaceDN/>
        <w:bidi w:val="0"/>
        <w:spacing w:line="240" w:lineRule="auto"/>
        <w:ind w:left="0" w:leftChars="0" w:right="0" w:rightChars="0" w:firstLine="640" w:firstLineChars="200"/>
        <w:rPr>
          <w:rStyle w:val="19"/>
          <w:rFonts w:hint="eastAsia" w:ascii="仿宋" w:hAnsi="仿宋" w:eastAsia="仿宋"/>
          <w:b w:val="0"/>
          <w:color w:val="auto"/>
          <w:spacing w:val="0"/>
          <w:sz w:val="32"/>
          <w:szCs w:val="32"/>
          <w:lang w:val="en-US" w:eastAsia="zh-CN"/>
        </w:rPr>
      </w:pPr>
      <w:r>
        <w:rPr>
          <w:rStyle w:val="19"/>
          <w:rFonts w:hint="eastAsia" w:ascii="仿宋" w:hAnsi="仿宋" w:eastAsia="仿宋"/>
          <w:b w:val="0"/>
          <w:color w:val="auto"/>
          <w:spacing w:val="0"/>
          <w:sz w:val="32"/>
          <w:szCs w:val="32"/>
          <w:lang w:val="en-US" w:eastAsia="zh-CN"/>
        </w:rPr>
        <w:t>4.严格项目设计。项目法人按照国家及自治区有关法律法规，自治区民政福利设施项目设计规范和技术标准，组织实施项目设计。项目设计工作由有相应资质的专业设计单位承担。项目设计内容包括主体工程、附属工程、配套工程及服务于设计功能的设备采购等。项目设计单位最终提交的设计方案是功能完善、标准统一、布局合理、系统完备、安全可靠、经济适用的独立功能体。项目设计中，突出做好抗震设防、消防安全和环境保护（污水、污物处理）等涉及公众安全的主要环节，因地制宜，采用节能材料，降低建设成本。</w:t>
      </w:r>
    </w:p>
    <w:p>
      <w:pPr>
        <w:keepNext w:val="0"/>
        <w:keepLines w:val="0"/>
        <w:pageBreakBefore w:val="0"/>
        <w:kinsoku/>
        <w:wordWrap/>
        <w:overflowPunct/>
        <w:topLinePunct w:val="0"/>
        <w:autoSpaceDE/>
        <w:autoSpaceDN/>
        <w:bidi w:val="0"/>
        <w:spacing w:line="240" w:lineRule="auto"/>
        <w:ind w:left="0" w:leftChars="0" w:right="0" w:rightChars="0" w:firstLine="640" w:firstLineChars="200"/>
        <w:rPr>
          <w:rStyle w:val="19"/>
          <w:rFonts w:hint="eastAsia" w:ascii="仿宋" w:hAnsi="仿宋" w:eastAsia="仿宋"/>
          <w:b w:val="0"/>
          <w:color w:val="auto"/>
          <w:spacing w:val="0"/>
          <w:sz w:val="32"/>
          <w:szCs w:val="32"/>
          <w:lang w:val="en-US" w:eastAsia="zh-CN"/>
        </w:rPr>
      </w:pPr>
      <w:r>
        <w:rPr>
          <w:rStyle w:val="19"/>
          <w:rFonts w:hint="eastAsia" w:ascii="仿宋" w:hAnsi="仿宋" w:eastAsia="仿宋"/>
          <w:b w:val="0"/>
          <w:color w:val="auto"/>
          <w:spacing w:val="0"/>
          <w:sz w:val="32"/>
          <w:szCs w:val="32"/>
          <w:lang w:val="en-US" w:eastAsia="zh-CN"/>
        </w:rPr>
        <w:t>5.严格项目选址。项目法人按照《城乡规划法》、《自治区实施&lt;城乡规划法&gt;办法》及《自治区人民政府关于取消和调整行政审批事项的决定》（新政发〔2013〕82号）等相关规定，依程序申请核发建设项目选址意见书。自治区级项目由项目所在地县、市人民政府城市规划行政主管部门提出审查意见，按规定权限和程序报相应城市规划行政主管部门核发选址意见书。地州市级项目由本级城市规划部门核发项目选址意见书。县级项目由本级城市规划部门核发项目选址意见书。</w:t>
      </w:r>
    </w:p>
    <w:p>
      <w:pPr>
        <w:keepNext w:val="0"/>
        <w:keepLines w:val="0"/>
        <w:pageBreakBefore w:val="0"/>
        <w:kinsoku/>
        <w:wordWrap/>
        <w:overflowPunct/>
        <w:topLinePunct w:val="0"/>
        <w:autoSpaceDE/>
        <w:autoSpaceDN/>
        <w:bidi w:val="0"/>
        <w:spacing w:line="240" w:lineRule="auto"/>
        <w:ind w:left="0" w:leftChars="0" w:right="0" w:rightChars="0" w:firstLine="640" w:firstLineChars="200"/>
        <w:rPr>
          <w:rStyle w:val="19"/>
          <w:rFonts w:hint="eastAsia" w:ascii="仿宋" w:hAnsi="仿宋" w:eastAsia="仿宋"/>
          <w:b w:val="0"/>
          <w:color w:val="auto"/>
          <w:spacing w:val="0"/>
          <w:sz w:val="32"/>
          <w:szCs w:val="32"/>
          <w:lang w:val="en-US" w:eastAsia="zh-CN"/>
        </w:rPr>
      </w:pPr>
      <w:r>
        <w:rPr>
          <w:rStyle w:val="19"/>
          <w:rFonts w:hint="eastAsia" w:ascii="仿宋" w:hAnsi="仿宋" w:eastAsia="仿宋"/>
          <w:b w:val="0"/>
          <w:color w:val="auto"/>
          <w:spacing w:val="0"/>
          <w:sz w:val="32"/>
          <w:szCs w:val="32"/>
          <w:lang w:val="en-US" w:eastAsia="zh-CN"/>
        </w:rPr>
        <w:t>6.严格项目审批。项目法人按照国家及自治区有关项目审批的相关规定，将已完成设计的项目报审批部门，按规定程序实施项目审批。自治区民政福利设施项目的审批阶段按级别设定：自治区级项目由自治区发展和改革委员会按三个阶段进行（项目建议书、可行性研究和初步设计），如需要，也可以委托下一级发展与改革部门审批；地州市级项目由本级发展与改革部门审批可行性研究代项目建议书和初步设计；县级项目由本级发展与改革部门审批可行性研究后直接进入施工图设计。</w:t>
      </w:r>
    </w:p>
    <w:p>
      <w:pPr>
        <w:keepNext w:val="0"/>
        <w:keepLines w:val="0"/>
        <w:pageBreakBefore w:val="0"/>
        <w:kinsoku/>
        <w:wordWrap/>
        <w:overflowPunct/>
        <w:topLinePunct w:val="0"/>
        <w:autoSpaceDE/>
        <w:autoSpaceDN/>
        <w:bidi w:val="0"/>
        <w:spacing w:line="240" w:lineRule="auto"/>
        <w:ind w:left="0" w:leftChars="0" w:right="0" w:rightChars="0" w:firstLine="581" w:firstLineChars="181"/>
        <w:rPr>
          <w:rStyle w:val="19"/>
          <w:rFonts w:ascii="楷体" w:hAnsi="楷体" w:eastAsia="楷体"/>
          <w:color w:val="auto"/>
          <w:spacing w:val="0"/>
          <w:sz w:val="32"/>
          <w:szCs w:val="32"/>
        </w:rPr>
      </w:pPr>
      <w:r>
        <w:rPr>
          <w:rStyle w:val="19"/>
          <w:rFonts w:hint="eastAsia" w:ascii="楷体" w:hAnsi="楷体" w:eastAsia="楷体"/>
          <w:color w:val="auto"/>
          <w:spacing w:val="0"/>
          <w:sz w:val="32"/>
          <w:szCs w:val="32"/>
        </w:rPr>
        <w:t>（二）项目管理情况分析</w:t>
      </w:r>
    </w:p>
    <w:p>
      <w:pPr>
        <w:keepNext w:val="0"/>
        <w:keepLines w:val="0"/>
        <w:pageBreakBefore w:val="0"/>
        <w:kinsoku/>
        <w:wordWrap/>
        <w:overflowPunct/>
        <w:topLinePunct w:val="0"/>
        <w:autoSpaceDE/>
        <w:autoSpaceDN/>
        <w:bidi w:val="0"/>
        <w:spacing w:line="240" w:lineRule="auto"/>
        <w:ind w:left="0" w:leftChars="0" w:right="0" w:rightChars="0" w:firstLine="640" w:firstLineChars="200"/>
        <w:rPr>
          <w:rStyle w:val="19"/>
          <w:rFonts w:hint="eastAsia" w:ascii="仿宋" w:hAnsi="仿宋" w:eastAsia="仿宋"/>
          <w:b w:val="0"/>
          <w:color w:val="auto"/>
          <w:spacing w:val="0"/>
          <w:sz w:val="32"/>
          <w:szCs w:val="32"/>
          <w:lang w:val="en-US" w:eastAsia="zh-CN"/>
        </w:rPr>
      </w:pPr>
      <w:r>
        <w:rPr>
          <w:rStyle w:val="19"/>
          <w:rFonts w:hint="eastAsia" w:ascii="仿宋" w:hAnsi="仿宋" w:eastAsia="仿宋"/>
          <w:b w:val="0"/>
          <w:color w:val="auto"/>
          <w:spacing w:val="0"/>
          <w:sz w:val="32"/>
          <w:szCs w:val="32"/>
          <w:lang w:val="en-US" w:eastAsia="zh-CN"/>
        </w:rPr>
        <w:t>1.严格项目招投标。民政福利设施项目建设管理实行招标投标制。所有建设项目的勘察设计、监理、施工、设备材料采购等，都按照国家及自治区有关法律法规，进行公开招标投标。</w:t>
      </w:r>
    </w:p>
    <w:p>
      <w:pPr>
        <w:keepNext w:val="0"/>
        <w:keepLines w:val="0"/>
        <w:pageBreakBefore w:val="0"/>
        <w:kinsoku/>
        <w:wordWrap/>
        <w:overflowPunct/>
        <w:topLinePunct w:val="0"/>
        <w:autoSpaceDE/>
        <w:autoSpaceDN/>
        <w:bidi w:val="0"/>
        <w:spacing w:line="240" w:lineRule="auto"/>
        <w:ind w:left="0" w:leftChars="0" w:right="0" w:rightChars="0" w:firstLine="640" w:firstLineChars="200"/>
        <w:rPr>
          <w:rStyle w:val="19"/>
          <w:rFonts w:hint="eastAsia" w:ascii="仿宋" w:hAnsi="仿宋" w:eastAsia="仿宋"/>
          <w:b w:val="0"/>
          <w:color w:val="auto"/>
          <w:spacing w:val="0"/>
          <w:sz w:val="32"/>
          <w:szCs w:val="32"/>
          <w:lang w:val="en-US" w:eastAsia="zh-CN"/>
        </w:rPr>
      </w:pPr>
      <w:r>
        <w:rPr>
          <w:rStyle w:val="19"/>
          <w:rFonts w:hint="eastAsia" w:ascii="仿宋" w:hAnsi="仿宋" w:eastAsia="仿宋"/>
          <w:b w:val="0"/>
          <w:color w:val="auto"/>
          <w:spacing w:val="0"/>
          <w:sz w:val="32"/>
          <w:szCs w:val="32"/>
          <w:lang w:val="en-US" w:eastAsia="zh-CN"/>
        </w:rPr>
        <w:t>2.严格项目合同。民政福利设施项目建设管理实行合同管理制。所有建设项目的勘察设计、施工、设备材料采购、工程监理都依法订立合同。各类合同一般包括当事人的名称或者姓名和住所、标的、数量、质量、价款或者报酬、履行期限、地点和方式、违约责任、解决争议的方法等合同必备条款。</w:t>
      </w:r>
    </w:p>
    <w:p>
      <w:pPr>
        <w:keepNext w:val="0"/>
        <w:keepLines w:val="0"/>
        <w:pageBreakBefore w:val="0"/>
        <w:kinsoku/>
        <w:wordWrap/>
        <w:overflowPunct/>
        <w:topLinePunct w:val="0"/>
        <w:autoSpaceDE/>
        <w:autoSpaceDN/>
        <w:bidi w:val="0"/>
        <w:spacing w:line="240" w:lineRule="auto"/>
        <w:ind w:left="0" w:leftChars="0" w:right="0" w:rightChars="0" w:firstLine="640" w:firstLineChars="200"/>
        <w:rPr>
          <w:rStyle w:val="19"/>
          <w:rFonts w:hint="eastAsia" w:ascii="仿宋" w:hAnsi="仿宋" w:eastAsia="仿宋"/>
          <w:b w:val="0"/>
          <w:color w:val="auto"/>
          <w:spacing w:val="0"/>
          <w:sz w:val="32"/>
          <w:szCs w:val="32"/>
          <w:lang w:val="en-US" w:eastAsia="zh-CN"/>
        </w:rPr>
      </w:pPr>
      <w:r>
        <w:rPr>
          <w:rStyle w:val="19"/>
          <w:rFonts w:hint="eastAsia" w:ascii="仿宋" w:hAnsi="仿宋" w:eastAsia="仿宋"/>
          <w:b w:val="0"/>
          <w:color w:val="auto"/>
          <w:spacing w:val="0"/>
          <w:sz w:val="32"/>
          <w:szCs w:val="32"/>
          <w:lang w:val="en-US" w:eastAsia="zh-CN"/>
        </w:rPr>
        <w:t>3.严格工程监理。民政福利设施项目建设管理实行工程监理负责制。工程监理代表项目法人，对所有项目建设中的进度控制、投资控制和质量控制，设备材料采购质量，项目竣工验收及交付使用等实施全过程现场监理。</w:t>
      </w:r>
    </w:p>
    <w:p>
      <w:pPr>
        <w:keepNext w:val="0"/>
        <w:keepLines w:val="0"/>
        <w:pageBreakBefore w:val="0"/>
        <w:kinsoku/>
        <w:wordWrap/>
        <w:overflowPunct/>
        <w:topLinePunct w:val="0"/>
        <w:autoSpaceDE/>
        <w:autoSpaceDN/>
        <w:bidi w:val="0"/>
        <w:spacing w:line="240" w:lineRule="auto"/>
        <w:ind w:left="0" w:leftChars="0" w:right="0" w:rightChars="0" w:firstLine="640" w:firstLineChars="200"/>
        <w:rPr>
          <w:rStyle w:val="19"/>
          <w:rFonts w:hint="eastAsia" w:ascii="仿宋" w:hAnsi="仿宋" w:eastAsia="仿宋"/>
          <w:b w:val="0"/>
          <w:color w:val="auto"/>
          <w:spacing w:val="0"/>
          <w:sz w:val="32"/>
          <w:szCs w:val="32"/>
          <w:lang w:val="en-US" w:eastAsia="zh-CN"/>
        </w:rPr>
      </w:pPr>
      <w:r>
        <w:rPr>
          <w:rStyle w:val="19"/>
          <w:rFonts w:hint="eastAsia" w:ascii="仿宋" w:hAnsi="仿宋" w:eastAsia="仿宋"/>
          <w:b w:val="0"/>
          <w:color w:val="auto"/>
          <w:spacing w:val="0"/>
          <w:sz w:val="32"/>
          <w:szCs w:val="32"/>
          <w:lang w:val="en-US" w:eastAsia="zh-CN"/>
        </w:rPr>
        <w:t>4.严格项目四通一平。 所有民政福利设施建设项目在开工前，完成“四通一平”，即施工现场水通、电通、路通、通讯要通，施工现场要平整。</w:t>
      </w:r>
    </w:p>
    <w:p>
      <w:pPr>
        <w:keepNext w:val="0"/>
        <w:keepLines w:val="0"/>
        <w:pageBreakBefore w:val="0"/>
        <w:kinsoku/>
        <w:wordWrap/>
        <w:overflowPunct/>
        <w:topLinePunct w:val="0"/>
        <w:autoSpaceDE/>
        <w:autoSpaceDN/>
        <w:bidi w:val="0"/>
        <w:spacing w:line="240" w:lineRule="auto"/>
        <w:ind w:left="0" w:leftChars="0" w:right="0" w:rightChars="0" w:firstLine="640" w:firstLineChars="200"/>
        <w:rPr>
          <w:rStyle w:val="19"/>
          <w:rFonts w:hint="eastAsia" w:ascii="仿宋" w:hAnsi="仿宋" w:eastAsia="仿宋"/>
          <w:b w:val="0"/>
          <w:color w:val="auto"/>
          <w:spacing w:val="0"/>
          <w:sz w:val="32"/>
          <w:szCs w:val="32"/>
          <w:lang w:val="en-US" w:eastAsia="zh-CN"/>
        </w:rPr>
      </w:pPr>
      <w:r>
        <w:rPr>
          <w:rStyle w:val="19"/>
          <w:rFonts w:hint="eastAsia" w:ascii="仿宋" w:hAnsi="仿宋" w:eastAsia="仿宋"/>
          <w:b w:val="0"/>
          <w:color w:val="auto"/>
          <w:spacing w:val="0"/>
          <w:sz w:val="32"/>
          <w:szCs w:val="32"/>
          <w:lang w:val="en-US" w:eastAsia="zh-CN"/>
        </w:rPr>
        <w:t>5.严格项目施工。所有民政福利设施项目在开工前，同时具备下列条件：项目初步设计及总概算已经批复；项目资本金和其他建设资金已经落实；项目施工组织设计大纲已经编制完成；项目主体工程(或控制性工程)的施工单位已经通过招标选定且施工承包合同已经签订；施工图纸已经通过图审；项目施工监理单位已经通过招标选定；项目征地、拆迁和施工场地“四通一平” 工作已经完成。</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640" w:firstLineChars="200"/>
        <w:textAlignment w:val="auto"/>
        <w:outlineLvl w:val="0"/>
        <w:rPr>
          <w:rStyle w:val="19"/>
          <w:rFonts w:hint="eastAsia" w:ascii="黑体" w:hAnsi="黑体" w:eastAsia="黑体"/>
          <w:color w:val="auto"/>
          <w:spacing w:val="0"/>
        </w:rPr>
      </w:pPr>
      <w:r>
        <w:rPr>
          <w:rStyle w:val="19"/>
          <w:rFonts w:hint="eastAsia" w:ascii="黑体" w:hAnsi="黑体" w:eastAsia="黑体"/>
          <w:b w:val="0"/>
          <w:color w:val="auto"/>
          <w:spacing w:val="0"/>
          <w:sz w:val="32"/>
          <w:szCs w:val="32"/>
        </w:rPr>
        <w:t>四、项目绩效情况</w:t>
      </w:r>
      <w:r>
        <w:rPr>
          <w:rStyle w:val="19"/>
          <w:rFonts w:hint="eastAsia" w:ascii="黑体" w:hAnsi="黑体" w:eastAsia="黑体"/>
          <w:color w:val="auto"/>
          <w:spacing w:val="0"/>
        </w:rPr>
        <w:t xml:space="preserve"> </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643" w:firstLineChars="200"/>
        <w:textAlignment w:val="auto"/>
        <w:outlineLvl w:val="0"/>
        <w:rPr>
          <w:rFonts w:hint="eastAsia" w:ascii="楷体" w:hAnsi="楷体" w:eastAsia="楷体" w:cs="楷体"/>
          <w:b/>
          <w:bCs/>
          <w:color w:val="auto"/>
          <w:spacing w:val="0"/>
          <w:sz w:val="32"/>
          <w:szCs w:val="32"/>
        </w:rPr>
      </w:pPr>
      <w:r>
        <w:rPr>
          <w:rStyle w:val="19"/>
          <w:rFonts w:hint="eastAsia" w:ascii="楷体" w:hAnsi="楷体" w:eastAsia="楷体" w:cs="楷体"/>
          <w:color w:val="auto"/>
          <w:spacing w:val="0"/>
          <w:sz w:val="32"/>
          <w:szCs w:val="32"/>
          <w:lang w:eastAsia="zh-CN"/>
        </w:rPr>
        <w:t>（一）</w:t>
      </w:r>
      <w:r>
        <w:rPr>
          <w:rFonts w:hint="eastAsia" w:ascii="楷体" w:hAnsi="楷体" w:eastAsia="楷体" w:cs="楷体"/>
          <w:b/>
          <w:bCs/>
          <w:color w:val="auto"/>
          <w:spacing w:val="0"/>
          <w:sz w:val="32"/>
          <w:szCs w:val="32"/>
        </w:rPr>
        <w:t>项目绩效</w:t>
      </w:r>
      <w:r>
        <w:rPr>
          <w:rFonts w:hint="eastAsia" w:ascii="楷体" w:hAnsi="楷体" w:eastAsia="楷体" w:cs="楷体"/>
          <w:b/>
          <w:bCs/>
          <w:color w:val="auto"/>
          <w:spacing w:val="0"/>
          <w:sz w:val="32"/>
          <w:szCs w:val="32"/>
          <w:lang w:eastAsia="zh-CN"/>
        </w:rPr>
        <w:t>目标</w:t>
      </w:r>
      <w:r>
        <w:rPr>
          <w:rFonts w:hint="eastAsia" w:ascii="楷体" w:hAnsi="楷体" w:eastAsia="楷体" w:cs="楷体"/>
          <w:b/>
          <w:bCs/>
          <w:color w:val="auto"/>
          <w:spacing w:val="0"/>
          <w:sz w:val="32"/>
          <w:szCs w:val="32"/>
        </w:rPr>
        <w:t>完成情况分析。</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643" w:firstLineChars="200"/>
        <w:textAlignment w:val="auto"/>
        <w:rPr>
          <w:rFonts w:hint="eastAsia" w:ascii="仿宋" w:hAnsi="仿宋" w:eastAsia="仿宋" w:cs="仿宋"/>
          <w:b/>
          <w:bCs/>
          <w:color w:val="auto"/>
          <w:spacing w:val="0"/>
          <w:sz w:val="32"/>
          <w:szCs w:val="32"/>
          <w:lang w:eastAsia="zh-CN"/>
        </w:rPr>
      </w:pPr>
      <w:r>
        <w:rPr>
          <w:rFonts w:hint="eastAsia" w:ascii="仿宋" w:hAnsi="仿宋" w:eastAsia="仿宋" w:cs="仿宋"/>
          <w:b/>
          <w:bCs/>
          <w:color w:val="auto"/>
          <w:spacing w:val="0"/>
          <w:sz w:val="32"/>
          <w:szCs w:val="32"/>
          <w:lang w:eastAsia="zh-CN"/>
        </w:rPr>
        <w:t>1.产出指标完成情况分析。</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643" w:firstLineChars="200"/>
        <w:textAlignment w:val="auto"/>
        <w:rPr>
          <w:rFonts w:hint="eastAsia" w:ascii="仿宋" w:hAnsi="仿宋" w:eastAsia="仿宋" w:cs="仿宋"/>
          <w:b/>
          <w:bCs/>
          <w:color w:val="auto"/>
          <w:spacing w:val="0"/>
          <w:sz w:val="32"/>
          <w:szCs w:val="32"/>
          <w:lang w:val="en-US" w:eastAsia="zh-CN"/>
        </w:rPr>
      </w:pPr>
      <w:r>
        <w:rPr>
          <w:rFonts w:hint="eastAsia" w:ascii="仿宋" w:hAnsi="仿宋" w:eastAsia="仿宋" w:cs="仿宋"/>
          <w:b/>
          <w:bCs/>
          <w:color w:val="auto"/>
          <w:spacing w:val="0"/>
          <w:sz w:val="32"/>
          <w:szCs w:val="32"/>
          <w:lang w:val="en-US" w:eastAsia="zh-CN"/>
        </w:rPr>
        <w:t>（1）项目完成数量。</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640" w:firstLineChars="200"/>
        <w:textAlignment w:val="auto"/>
        <w:rPr>
          <w:rFonts w:hint="eastAsia" w:ascii="仿宋" w:hAnsi="仿宋" w:eastAsia="仿宋" w:cs="仿宋"/>
          <w:b w:val="0"/>
          <w:bCs w:val="0"/>
          <w:color w:val="auto"/>
          <w:spacing w:val="0"/>
          <w:sz w:val="32"/>
          <w:szCs w:val="32"/>
          <w:lang w:eastAsia="zh-CN"/>
        </w:rPr>
      </w:pPr>
      <w:r>
        <w:rPr>
          <w:rFonts w:hint="eastAsia" w:ascii="仿宋" w:hAnsi="仿宋" w:eastAsia="仿宋" w:cs="仿宋"/>
          <w:b w:val="0"/>
          <w:bCs w:val="0"/>
          <w:color w:val="auto"/>
          <w:spacing w:val="0"/>
          <w:sz w:val="32"/>
          <w:szCs w:val="32"/>
          <w:lang w:val="en-US" w:eastAsia="zh-CN"/>
        </w:rPr>
        <w:t>自治区资助12个地州市“双集中”</w:t>
      </w:r>
      <w:r>
        <w:rPr>
          <w:rFonts w:hint="eastAsia" w:ascii="仿宋" w:hAnsi="仿宋" w:eastAsia="仿宋" w:cs="仿宋"/>
          <w:i w:val="0"/>
          <w:caps w:val="0"/>
          <w:color w:val="auto"/>
          <w:spacing w:val="0"/>
          <w:sz w:val="32"/>
          <w:szCs w:val="32"/>
          <w:shd w:val="clear" w:fill="FFFFFF"/>
          <w:lang w:eastAsia="zh-CN"/>
        </w:rPr>
        <w:t>机构</w:t>
      </w:r>
      <w:r>
        <w:rPr>
          <w:rFonts w:hint="eastAsia" w:ascii="仿宋" w:hAnsi="仿宋" w:eastAsia="仿宋" w:cs="仿宋"/>
          <w:b w:val="0"/>
          <w:bCs w:val="0"/>
          <w:color w:val="auto"/>
          <w:spacing w:val="0"/>
          <w:sz w:val="32"/>
          <w:szCs w:val="32"/>
          <w:lang w:val="en-US" w:eastAsia="zh-CN"/>
        </w:rPr>
        <w:t>项目和14个地州市“双集中”照料护理补助，资金到位率为100%。各地结合“双集中”工作实际，将资金主要用于机构提升改造，正在按相关程序实施，阶段完成率为100%，预计2019年10月底全部完工。</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643" w:firstLineChars="200"/>
        <w:textAlignment w:val="auto"/>
        <w:rPr>
          <w:rFonts w:hint="eastAsia" w:ascii="仿宋" w:hAnsi="仿宋" w:eastAsia="仿宋" w:cs="仿宋"/>
          <w:b/>
          <w:bCs/>
          <w:color w:val="auto"/>
          <w:spacing w:val="0"/>
          <w:sz w:val="32"/>
          <w:szCs w:val="32"/>
          <w:lang w:val="en-US" w:eastAsia="zh-CN"/>
        </w:rPr>
      </w:pPr>
      <w:r>
        <w:rPr>
          <w:rFonts w:hint="eastAsia" w:ascii="仿宋" w:hAnsi="仿宋" w:eastAsia="仿宋" w:cs="仿宋"/>
          <w:b/>
          <w:bCs/>
          <w:color w:val="auto"/>
          <w:spacing w:val="0"/>
          <w:sz w:val="32"/>
          <w:szCs w:val="32"/>
          <w:lang w:val="en-US" w:eastAsia="zh-CN"/>
        </w:rPr>
        <w:t>（2）项目完成质量。</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640" w:firstLineChars="200"/>
        <w:textAlignment w:val="auto"/>
        <w:rPr>
          <w:rFonts w:hint="eastAsia" w:ascii="仿宋" w:hAnsi="仿宋" w:eastAsia="仿宋" w:cs="仿宋"/>
          <w:b w:val="0"/>
          <w:bCs w:val="0"/>
          <w:color w:val="auto"/>
          <w:spacing w:val="0"/>
          <w:sz w:val="32"/>
          <w:szCs w:val="32"/>
          <w:lang w:eastAsia="zh-CN"/>
        </w:rPr>
      </w:pPr>
      <w:r>
        <w:rPr>
          <w:rFonts w:hint="eastAsia" w:ascii="仿宋" w:hAnsi="仿宋" w:eastAsia="仿宋" w:cs="仿宋"/>
          <w:color w:val="auto"/>
          <w:spacing w:val="0"/>
          <w:sz w:val="32"/>
          <w:szCs w:val="32"/>
          <w:lang w:eastAsia="zh-CN"/>
        </w:rPr>
        <w:t>民政福利设施建设项目都必须</w:t>
      </w:r>
      <w:r>
        <w:rPr>
          <w:rFonts w:hint="eastAsia" w:ascii="仿宋" w:hAnsi="仿宋" w:eastAsia="仿宋" w:cs="仿宋"/>
          <w:color w:val="auto"/>
          <w:spacing w:val="0"/>
          <w:sz w:val="32"/>
          <w:szCs w:val="32"/>
        </w:rPr>
        <w:t>按照</w:t>
      </w:r>
      <w:r>
        <w:rPr>
          <w:rFonts w:hint="eastAsia" w:ascii="仿宋" w:hAnsi="仿宋" w:eastAsia="仿宋" w:cs="仿宋"/>
          <w:color w:val="auto"/>
          <w:spacing w:val="0"/>
          <w:sz w:val="32"/>
          <w:szCs w:val="32"/>
          <w:lang w:eastAsia="zh-CN"/>
        </w:rPr>
        <w:t>国家及自治区</w:t>
      </w:r>
      <w:r>
        <w:rPr>
          <w:rFonts w:hint="eastAsia" w:ascii="仿宋" w:hAnsi="仿宋" w:eastAsia="仿宋" w:cs="仿宋"/>
          <w:color w:val="auto"/>
          <w:spacing w:val="0"/>
          <w:sz w:val="32"/>
          <w:szCs w:val="32"/>
        </w:rPr>
        <w:t>有关法律法规，进行招标投标，并依法订立合同。</w:t>
      </w:r>
      <w:r>
        <w:rPr>
          <w:rFonts w:hint="eastAsia" w:ascii="仿宋" w:hAnsi="仿宋" w:eastAsia="仿宋" w:cs="仿宋"/>
          <w:color w:val="auto"/>
          <w:spacing w:val="0"/>
          <w:sz w:val="32"/>
          <w:szCs w:val="32"/>
          <w:lang w:eastAsia="zh-CN"/>
        </w:rPr>
        <w:t>严格项目合同管理，所有</w:t>
      </w:r>
      <w:r>
        <w:rPr>
          <w:rFonts w:hint="eastAsia" w:ascii="仿宋" w:hAnsi="仿宋" w:eastAsia="仿宋" w:cs="仿宋"/>
          <w:color w:val="auto"/>
          <w:spacing w:val="0"/>
          <w:sz w:val="32"/>
          <w:szCs w:val="32"/>
        </w:rPr>
        <w:t>项目的</w:t>
      </w:r>
      <w:r>
        <w:rPr>
          <w:rFonts w:hint="eastAsia" w:ascii="仿宋" w:hAnsi="仿宋" w:eastAsia="仿宋" w:cs="仿宋"/>
          <w:color w:val="auto"/>
          <w:spacing w:val="0"/>
          <w:sz w:val="32"/>
          <w:szCs w:val="32"/>
          <w:lang w:eastAsia="zh-CN"/>
        </w:rPr>
        <w:t>勘察设计、施工、设备材料采购、工程监理都必须依法订立合同。</w:t>
      </w:r>
      <w:r>
        <w:rPr>
          <w:rFonts w:hint="eastAsia" w:ascii="仿宋" w:hAnsi="仿宋" w:eastAsia="仿宋" w:cs="仿宋"/>
          <w:b w:val="0"/>
          <w:bCs w:val="0"/>
          <w:color w:val="auto"/>
          <w:spacing w:val="0"/>
          <w:sz w:val="32"/>
          <w:szCs w:val="32"/>
          <w:lang w:eastAsia="zh-CN"/>
        </w:rPr>
        <w:t>项目正在实施中，均按有关规定和全同确保各项目保质保量完成。</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643" w:firstLineChars="200"/>
        <w:textAlignment w:val="auto"/>
        <w:rPr>
          <w:rFonts w:hint="eastAsia" w:ascii="仿宋" w:hAnsi="仿宋" w:eastAsia="仿宋" w:cs="仿宋"/>
          <w:b w:val="0"/>
          <w:bCs w:val="0"/>
          <w:color w:val="auto"/>
          <w:spacing w:val="0"/>
          <w:sz w:val="32"/>
          <w:szCs w:val="32"/>
          <w:lang w:eastAsia="zh-CN"/>
        </w:rPr>
      </w:pPr>
      <w:r>
        <w:rPr>
          <w:rFonts w:hint="eastAsia" w:ascii="仿宋" w:hAnsi="仿宋" w:eastAsia="仿宋" w:cs="仿宋"/>
          <w:b/>
          <w:bCs/>
          <w:color w:val="auto"/>
          <w:spacing w:val="0"/>
          <w:sz w:val="32"/>
          <w:szCs w:val="32"/>
          <w:lang w:val="en-US" w:eastAsia="zh-CN"/>
        </w:rPr>
        <w:t>（3）项目实施进度。</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640" w:firstLineChars="200"/>
        <w:textAlignment w:val="auto"/>
        <w:rPr>
          <w:rFonts w:hint="eastAsia" w:ascii="仿宋" w:hAnsi="仿宋" w:eastAsia="仿宋" w:cs="仿宋"/>
          <w:b w:val="0"/>
          <w:bCs w:val="0"/>
          <w:color w:val="auto"/>
          <w:spacing w:val="0"/>
          <w:sz w:val="32"/>
          <w:szCs w:val="32"/>
          <w:lang w:val="en-US" w:eastAsia="zh-CN"/>
        </w:rPr>
      </w:pPr>
      <w:r>
        <w:rPr>
          <w:rFonts w:hint="eastAsia" w:ascii="仿宋" w:hAnsi="仿宋" w:eastAsia="仿宋" w:cs="仿宋"/>
          <w:b w:val="0"/>
          <w:bCs w:val="0"/>
          <w:color w:val="auto"/>
          <w:spacing w:val="0"/>
          <w:sz w:val="32"/>
          <w:szCs w:val="32"/>
          <w:lang w:eastAsia="zh-CN"/>
        </w:rPr>
        <w:t>“双集中”机构建设资金</w:t>
      </w:r>
      <w:r>
        <w:rPr>
          <w:rFonts w:hint="eastAsia" w:ascii="仿宋" w:hAnsi="仿宋" w:eastAsia="仿宋" w:cs="仿宋"/>
          <w:b w:val="0"/>
          <w:bCs w:val="0"/>
          <w:color w:val="auto"/>
          <w:spacing w:val="0"/>
          <w:sz w:val="32"/>
          <w:szCs w:val="32"/>
          <w:lang w:val="en-US" w:eastAsia="zh-CN"/>
        </w:rPr>
        <w:t>13500万元，</w:t>
      </w:r>
      <w:r>
        <w:rPr>
          <w:rFonts w:hint="eastAsia" w:ascii="仿宋" w:hAnsi="仿宋" w:eastAsia="仿宋" w:cs="仿宋"/>
          <w:b w:val="0"/>
          <w:bCs w:val="0"/>
          <w:color w:val="auto"/>
          <w:spacing w:val="0"/>
          <w:sz w:val="32"/>
          <w:szCs w:val="32"/>
          <w:lang w:eastAsia="zh-CN"/>
        </w:rPr>
        <w:t>于</w:t>
      </w:r>
      <w:r>
        <w:rPr>
          <w:rFonts w:hint="eastAsia" w:ascii="仿宋" w:hAnsi="仿宋" w:eastAsia="仿宋" w:cs="仿宋"/>
          <w:b w:val="0"/>
          <w:bCs w:val="0"/>
          <w:color w:val="auto"/>
          <w:spacing w:val="0"/>
          <w:sz w:val="32"/>
          <w:szCs w:val="32"/>
          <w:lang w:val="en-US" w:eastAsia="zh-CN"/>
        </w:rPr>
        <w:t>2018年4月9日拨付12个地州市用于机构提升改造，资金到位率为100%，自治区本级福利彩票公益金资助项目按期完成率不低于90%。照料护理补助资金6000万元，于2018年4月24日拨付14个地州市，由县级民政部门统一购买照料护理服务，“双集中”社会福利机构护理补贴拨付率达到100%。上述项将在2019年10月底完成。</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643" w:firstLineChars="200"/>
        <w:textAlignment w:val="auto"/>
        <w:rPr>
          <w:rFonts w:hint="eastAsia" w:ascii="仿宋" w:hAnsi="仿宋" w:eastAsia="仿宋" w:cs="仿宋"/>
          <w:b/>
          <w:bCs/>
          <w:color w:val="auto"/>
          <w:spacing w:val="0"/>
          <w:sz w:val="32"/>
          <w:szCs w:val="32"/>
          <w:lang w:eastAsia="zh-CN"/>
        </w:rPr>
      </w:pPr>
      <w:r>
        <w:rPr>
          <w:rFonts w:hint="eastAsia" w:ascii="仿宋" w:hAnsi="仿宋" w:eastAsia="仿宋" w:cs="仿宋"/>
          <w:b/>
          <w:bCs/>
          <w:color w:val="auto"/>
          <w:spacing w:val="0"/>
          <w:sz w:val="32"/>
          <w:szCs w:val="32"/>
          <w:lang w:eastAsia="zh-CN"/>
        </w:rPr>
        <w:t>2.效益指标完成情况分析。</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643" w:firstLineChars="200"/>
        <w:textAlignment w:val="auto"/>
        <w:rPr>
          <w:rFonts w:hint="eastAsia" w:ascii="仿宋" w:hAnsi="仿宋" w:eastAsia="仿宋" w:cs="仿宋"/>
          <w:b/>
          <w:bCs/>
          <w:color w:val="auto"/>
          <w:spacing w:val="0"/>
          <w:sz w:val="32"/>
          <w:szCs w:val="32"/>
          <w:lang w:val="en-US" w:eastAsia="zh-CN"/>
        </w:rPr>
      </w:pPr>
      <w:r>
        <w:rPr>
          <w:rFonts w:hint="eastAsia" w:ascii="仿宋" w:hAnsi="仿宋" w:eastAsia="仿宋" w:cs="仿宋"/>
          <w:b/>
          <w:bCs/>
          <w:color w:val="auto"/>
          <w:spacing w:val="0"/>
          <w:sz w:val="32"/>
          <w:szCs w:val="32"/>
          <w:lang w:val="en-US" w:eastAsia="zh-CN"/>
        </w:rPr>
        <w:t>（1）项目实施的经济效益分析。</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640" w:firstLineChars="200"/>
        <w:textAlignment w:val="auto"/>
        <w:rPr>
          <w:rFonts w:hint="eastAsia" w:ascii="仿宋" w:hAnsi="仿宋" w:eastAsia="仿宋" w:cs="仿宋"/>
          <w:b w:val="0"/>
          <w:bCs w:val="0"/>
          <w:color w:val="auto"/>
          <w:spacing w:val="0"/>
          <w:sz w:val="32"/>
          <w:szCs w:val="32"/>
          <w:lang w:eastAsia="zh-CN"/>
        </w:rPr>
      </w:pPr>
      <w:r>
        <w:rPr>
          <w:rFonts w:hint="eastAsia" w:ascii="仿宋" w:hAnsi="仿宋" w:eastAsia="仿宋" w:cs="仿宋"/>
          <w:b w:val="0"/>
          <w:bCs w:val="0"/>
          <w:color w:val="auto"/>
          <w:spacing w:val="0"/>
          <w:sz w:val="32"/>
          <w:szCs w:val="32"/>
          <w:lang w:eastAsia="zh-CN"/>
        </w:rPr>
        <w:t>福利机构提升改造，需要大量的水泥、沙石、瓷砖、五金、管材等，带动了当地建筑业、服务业消费，对于促进当地经济发展和消费具有一定影响。照料护理资金由民政部门统一购买服务，加强机构护理人员配备、满足集中供养和分散供养对象照料护理服务需求，带动了当地务工市场，提高了机构管理、服务、护理、照料水平。上述两项目资金的满足“双集中”工作需求，方便群众的日常生产生活，直接产生经济效益。</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643" w:firstLineChars="200"/>
        <w:textAlignment w:val="auto"/>
        <w:rPr>
          <w:rFonts w:hint="eastAsia" w:ascii="仿宋" w:hAnsi="仿宋" w:eastAsia="仿宋" w:cs="仿宋"/>
          <w:b/>
          <w:bCs/>
          <w:color w:val="auto"/>
          <w:spacing w:val="0"/>
          <w:sz w:val="32"/>
          <w:szCs w:val="32"/>
          <w:lang w:val="en-US" w:eastAsia="zh-CN"/>
        </w:rPr>
      </w:pPr>
      <w:r>
        <w:rPr>
          <w:rFonts w:hint="eastAsia" w:ascii="仿宋" w:hAnsi="仿宋" w:eastAsia="仿宋" w:cs="仿宋"/>
          <w:b/>
          <w:bCs/>
          <w:color w:val="auto"/>
          <w:spacing w:val="0"/>
          <w:sz w:val="32"/>
          <w:szCs w:val="32"/>
          <w:lang w:val="en-US" w:eastAsia="zh-CN"/>
        </w:rPr>
        <w:t>（2）项目实施的社会效益分析。</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640" w:firstLineChars="200"/>
        <w:textAlignment w:val="auto"/>
        <w:rPr>
          <w:rFonts w:hint="eastAsia" w:ascii="仿宋" w:hAnsi="仿宋" w:eastAsia="仿宋" w:cs="仿宋"/>
          <w:b w:val="0"/>
          <w:bCs w:val="0"/>
          <w:color w:val="auto"/>
          <w:spacing w:val="0"/>
          <w:sz w:val="32"/>
          <w:szCs w:val="32"/>
          <w:lang w:val="en-US" w:eastAsia="zh-CN"/>
        </w:rPr>
      </w:pPr>
      <w:r>
        <w:rPr>
          <w:rFonts w:hint="eastAsia" w:ascii="仿宋" w:hAnsi="仿宋" w:eastAsia="仿宋" w:cs="仿宋"/>
          <w:b w:val="0"/>
          <w:bCs w:val="0"/>
          <w:color w:val="auto"/>
          <w:spacing w:val="0"/>
          <w:sz w:val="32"/>
          <w:szCs w:val="32"/>
          <w:lang w:val="en-US" w:eastAsia="zh-CN"/>
        </w:rPr>
        <w:t>一是服务社会稳定和长治久安总目标。全面落实自治区党委决策部署，持续加强“双集中”工作，确保“双集中”工作任务全面完成。</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640" w:firstLineChars="200"/>
        <w:textAlignment w:val="auto"/>
        <w:rPr>
          <w:rFonts w:hint="eastAsia" w:ascii="仿宋" w:hAnsi="仿宋" w:eastAsia="仿宋" w:cs="仿宋"/>
          <w:b w:val="0"/>
          <w:bCs w:val="0"/>
          <w:color w:val="auto"/>
          <w:spacing w:val="0"/>
          <w:sz w:val="32"/>
          <w:szCs w:val="32"/>
          <w:lang w:val="en-US" w:eastAsia="zh-CN"/>
        </w:rPr>
      </w:pPr>
      <w:r>
        <w:rPr>
          <w:rFonts w:hint="eastAsia" w:ascii="仿宋" w:hAnsi="仿宋" w:eastAsia="仿宋" w:cs="仿宋"/>
          <w:b w:val="0"/>
          <w:bCs w:val="0"/>
          <w:color w:val="auto"/>
          <w:spacing w:val="0"/>
          <w:sz w:val="32"/>
          <w:szCs w:val="32"/>
          <w:lang w:val="en-US" w:eastAsia="zh-CN"/>
        </w:rPr>
        <w:t>二是助力打赢脱贫攻坚战。全面落实新党发[2018]5号文件精神，资助22个深度贫困县159所养老院建设，109所困境儿童保护中心建设。</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640" w:firstLineChars="200"/>
        <w:textAlignment w:val="auto"/>
        <w:rPr>
          <w:rFonts w:hint="eastAsia" w:ascii="仿宋" w:hAnsi="仿宋" w:eastAsia="仿宋" w:cs="仿宋"/>
          <w:b w:val="0"/>
          <w:bCs w:val="0"/>
          <w:color w:val="auto"/>
          <w:spacing w:val="0"/>
          <w:sz w:val="32"/>
          <w:szCs w:val="32"/>
          <w:lang w:val="en-US" w:eastAsia="zh-CN"/>
        </w:rPr>
      </w:pPr>
      <w:r>
        <w:rPr>
          <w:rFonts w:hint="eastAsia" w:ascii="仿宋" w:hAnsi="仿宋" w:eastAsia="仿宋" w:cs="仿宋"/>
          <w:b w:val="0"/>
          <w:bCs w:val="0"/>
          <w:color w:val="auto"/>
          <w:spacing w:val="0"/>
          <w:sz w:val="32"/>
          <w:szCs w:val="32"/>
          <w:lang w:val="en-US" w:eastAsia="zh-CN"/>
        </w:rPr>
        <w:t>三是健全完善民政福利设施建设体系。以南疆四地州为保障重点，精准实施民政福利设施建设，健全完善覆盖地、县、乡、村四级民政福利设施建设体系。</w:t>
      </w:r>
    </w:p>
    <w:p>
      <w:pPr>
        <w:keepNext w:val="0"/>
        <w:keepLines w:val="0"/>
        <w:pageBreakBefore w:val="0"/>
        <w:numPr>
          <w:ilvl w:val="0"/>
          <w:numId w:val="1"/>
        </w:numPr>
        <w:kinsoku/>
        <w:wordWrap/>
        <w:overflowPunct/>
        <w:topLinePunct w:val="0"/>
        <w:autoSpaceDE/>
        <w:autoSpaceDN/>
        <w:bidi w:val="0"/>
        <w:adjustRightInd/>
        <w:snapToGrid/>
        <w:spacing w:line="240" w:lineRule="auto"/>
        <w:ind w:left="0" w:leftChars="0" w:right="0" w:rightChars="0" w:firstLine="643" w:firstLineChars="200"/>
        <w:textAlignment w:val="auto"/>
        <w:rPr>
          <w:rFonts w:hint="eastAsia" w:ascii="仿宋" w:hAnsi="仿宋" w:eastAsia="仿宋" w:cs="仿宋"/>
          <w:b/>
          <w:bCs/>
          <w:color w:val="auto"/>
          <w:spacing w:val="0"/>
          <w:sz w:val="32"/>
          <w:szCs w:val="32"/>
          <w:lang w:val="en-US" w:eastAsia="zh-CN"/>
        </w:rPr>
      </w:pPr>
      <w:r>
        <w:rPr>
          <w:rFonts w:hint="eastAsia" w:ascii="仿宋" w:hAnsi="仿宋" w:eastAsia="仿宋" w:cs="仿宋"/>
          <w:b/>
          <w:bCs/>
          <w:color w:val="auto"/>
          <w:spacing w:val="0"/>
          <w:sz w:val="32"/>
          <w:szCs w:val="32"/>
          <w:lang w:val="en-US" w:eastAsia="zh-CN"/>
        </w:rPr>
        <w:t>项目实施的生态效益分析。</w:t>
      </w:r>
    </w:p>
    <w:p>
      <w:pPr>
        <w:keepNext w:val="0"/>
        <w:keepLines w:val="0"/>
        <w:pageBreakBefore w:val="0"/>
        <w:numPr>
          <w:ilvl w:val="0"/>
          <w:numId w:val="0"/>
        </w:numPr>
        <w:kinsoku/>
        <w:wordWrap/>
        <w:overflowPunct/>
        <w:topLinePunct w:val="0"/>
        <w:autoSpaceDE/>
        <w:autoSpaceDN/>
        <w:bidi w:val="0"/>
        <w:adjustRightInd/>
        <w:snapToGrid/>
        <w:spacing w:line="240" w:lineRule="auto"/>
        <w:ind w:left="0" w:leftChars="0" w:right="0" w:rightChars="0"/>
        <w:textAlignment w:val="auto"/>
        <w:rPr>
          <w:rFonts w:hint="eastAsia" w:ascii="仿宋" w:hAnsi="仿宋" w:eastAsia="仿宋" w:cs="仿宋"/>
          <w:b w:val="0"/>
          <w:bCs w:val="0"/>
          <w:color w:val="auto"/>
          <w:spacing w:val="0"/>
          <w:sz w:val="32"/>
          <w:szCs w:val="32"/>
          <w:lang w:eastAsia="zh-CN"/>
        </w:rPr>
      </w:pPr>
      <w:r>
        <w:rPr>
          <w:rFonts w:hint="eastAsia" w:ascii="仿宋" w:hAnsi="仿宋" w:eastAsia="仿宋" w:cs="仿宋"/>
          <w:b w:val="0"/>
          <w:bCs w:val="0"/>
          <w:color w:val="auto"/>
          <w:spacing w:val="0"/>
          <w:sz w:val="32"/>
          <w:szCs w:val="32"/>
          <w:lang w:val="en-US" w:eastAsia="zh-CN"/>
        </w:rPr>
        <w:t xml:space="preserve">    </w:t>
      </w:r>
      <w:r>
        <w:rPr>
          <w:rFonts w:hint="eastAsia" w:ascii="仿宋" w:hAnsi="仿宋" w:eastAsia="仿宋" w:cs="仿宋"/>
          <w:i w:val="0"/>
          <w:caps w:val="0"/>
          <w:color w:val="auto"/>
          <w:spacing w:val="0"/>
          <w:sz w:val="32"/>
          <w:szCs w:val="32"/>
          <w:shd w:val="clear" w:fill="FFFFFF"/>
          <w:lang w:eastAsia="zh-CN"/>
        </w:rPr>
        <w:t>特困机构、儿童福利机构</w:t>
      </w:r>
      <w:r>
        <w:rPr>
          <w:rFonts w:hint="eastAsia" w:ascii="仿宋" w:hAnsi="仿宋" w:eastAsia="仿宋" w:cs="仿宋"/>
          <w:b w:val="0"/>
          <w:bCs w:val="0"/>
          <w:color w:val="auto"/>
          <w:spacing w:val="0"/>
          <w:sz w:val="32"/>
          <w:szCs w:val="32"/>
          <w:lang w:eastAsia="zh-CN"/>
        </w:rPr>
        <w:t>项目</w:t>
      </w:r>
      <w:r>
        <w:rPr>
          <w:rFonts w:hint="eastAsia" w:ascii="仿宋" w:hAnsi="仿宋" w:eastAsia="仿宋" w:cs="仿宋"/>
          <w:color w:val="auto"/>
          <w:spacing w:val="0"/>
          <w:sz w:val="32"/>
          <w:szCs w:val="32"/>
        </w:rPr>
        <w:t>综合考虑本地经济社会发展水平、集中供养工作的实际需求和现有基础设施</w:t>
      </w:r>
      <w:r>
        <w:rPr>
          <w:rFonts w:hint="eastAsia" w:ascii="仿宋" w:hAnsi="仿宋" w:eastAsia="仿宋" w:cs="仿宋"/>
          <w:color w:val="auto"/>
          <w:spacing w:val="0"/>
          <w:sz w:val="32"/>
          <w:szCs w:val="32"/>
          <w:lang w:eastAsia="zh-CN"/>
        </w:rPr>
        <w:t>情况。项目</w:t>
      </w:r>
      <w:r>
        <w:rPr>
          <w:rFonts w:hint="eastAsia" w:ascii="仿宋" w:hAnsi="仿宋" w:eastAsia="仿宋" w:cs="仿宋"/>
          <w:color w:val="auto"/>
          <w:spacing w:val="0"/>
          <w:sz w:val="32"/>
          <w:szCs w:val="32"/>
        </w:rPr>
        <w:t>建设</w:t>
      </w:r>
      <w:r>
        <w:rPr>
          <w:rFonts w:hint="eastAsia" w:ascii="仿宋" w:hAnsi="仿宋" w:eastAsia="仿宋" w:cs="仿宋"/>
          <w:color w:val="auto"/>
          <w:spacing w:val="0"/>
          <w:sz w:val="32"/>
          <w:szCs w:val="32"/>
          <w:lang w:eastAsia="zh-CN"/>
        </w:rPr>
        <w:t>充分考虑</w:t>
      </w:r>
      <w:r>
        <w:rPr>
          <w:rFonts w:hint="eastAsia" w:ascii="仿宋" w:hAnsi="仿宋" w:eastAsia="仿宋" w:cs="仿宋"/>
          <w:color w:val="auto"/>
          <w:spacing w:val="0"/>
          <w:sz w:val="32"/>
          <w:szCs w:val="32"/>
        </w:rPr>
        <w:t>集中供养对象的基本生活权益、有利于改善办院条件和扩大办院规模、有利于节约管理成本和充分利用资源的原则，选择临近居民区，距医疗机构和学校较近，交通便利，公共服务设施和基础配套设施较好，环境安全卫生、远离自然灾害威胁的区域建设。</w:t>
      </w:r>
      <w:r>
        <w:rPr>
          <w:rFonts w:hint="eastAsia" w:ascii="仿宋" w:hAnsi="仿宋" w:eastAsia="仿宋" w:cs="仿宋"/>
          <w:color w:val="auto"/>
          <w:spacing w:val="0"/>
          <w:sz w:val="32"/>
          <w:szCs w:val="32"/>
          <w:lang w:eastAsia="zh-CN"/>
        </w:rPr>
        <w:t>项目建设过程中通过种植树木、花草，对于防风固沙、恢复生态环境起到不可估量的作用。</w:t>
      </w:r>
    </w:p>
    <w:p>
      <w:pPr>
        <w:keepNext w:val="0"/>
        <w:keepLines w:val="0"/>
        <w:pageBreakBefore w:val="0"/>
        <w:numPr>
          <w:ilvl w:val="0"/>
          <w:numId w:val="1"/>
        </w:numPr>
        <w:kinsoku/>
        <w:wordWrap/>
        <w:overflowPunct/>
        <w:topLinePunct w:val="0"/>
        <w:autoSpaceDE/>
        <w:autoSpaceDN/>
        <w:bidi w:val="0"/>
        <w:adjustRightInd/>
        <w:snapToGrid/>
        <w:spacing w:line="240" w:lineRule="auto"/>
        <w:ind w:left="0" w:leftChars="0" w:right="0" w:rightChars="0" w:firstLine="643" w:firstLineChars="200"/>
        <w:textAlignment w:val="auto"/>
        <w:rPr>
          <w:rFonts w:hint="eastAsia" w:ascii="仿宋" w:hAnsi="仿宋" w:eastAsia="仿宋" w:cs="仿宋"/>
          <w:b/>
          <w:bCs/>
          <w:color w:val="auto"/>
          <w:spacing w:val="0"/>
          <w:sz w:val="32"/>
          <w:szCs w:val="32"/>
          <w:lang w:val="en-US" w:eastAsia="zh-CN"/>
        </w:rPr>
      </w:pPr>
      <w:r>
        <w:rPr>
          <w:rFonts w:hint="eastAsia" w:ascii="仿宋" w:hAnsi="仿宋" w:eastAsia="仿宋" w:cs="仿宋"/>
          <w:b/>
          <w:bCs/>
          <w:color w:val="auto"/>
          <w:spacing w:val="0"/>
          <w:sz w:val="32"/>
          <w:szCs w:val="32"/>
          <w:lang w:val="en-US" w:eastAsia="zh-CN"/>
        </w:rPr>
        <w:t>项目实施的可持续影响分析。</w:t>
      </w:r>
    </w:p>
    <w:p>
      <w:pPr>
        <w:keepNext w:val="0"/>
        <w:keepLines w:val="0"/>
        <w:pageBreakBefore w:val="0"/>
        <w:numPr>
          <w:ilvl w:val="0"/>
          <w:numId w:val="0"/>
        </w:numPr>
        <w:kinsoku/>
        <w:wordWrap/>
        <w:overflowPunct/>
        <w:topLinePunct w:val="0"/>
        <w:autoSpaceDE/>
        <w:autoSpaceDN/>
        <w:bidi w:val="0"/>
        <w:adjustRightInd/>
        <w:snapToGrid/>
        <w:spacing w:line="240" w:lineRule="auto"/>
        <w:ind w:left="0" w:leftChars="0" w:right="0" w:rightChars="0"/>
        <w:textAlignment w:val="auto"/>
        <w:rPr>
          <w:rFonts w:hint="eastAsia" w:ascii="仿宋" w:hAnsi="仿宋" w:eastAsia="仿宋" w:cs="仿宋"/>
          <w:b w:val="0"/>
          <w:bCs w:val="0"/>
          <w:color w:val="auto"/>
          <w:spacing w:val="0"/>
          <w:sz w:val="32"/>
          <w:szCs w:val="32"/>
          <w:lang w:val="en-US" w:eastAsia="zh-CN"/>
        </w:rPr>
      </w:pPr>
      <w:r>
        <w:rPr>
          <w:rFonts w:hint="eastAsia" w:ascii="仿宋" w:hAnsi="仿宋" w:eastAsia="仿宋" w:cs="仿宋"/>
          <w:b w:val="0"/>
          <w:bCs w:val="0"/>
          <w:color w:val="auto"/>
          <w:spacing w:val="0"/>
          <w:sz w:val="32"/>
          <w:szCs w:val="32"/>
          <w:lang w:val="en-US" w:eastAsia="zh-CN"/>
        </w:rPr>
        <w:t xml:space="preserve">    实现可持续发展。一是机构建设可持续。全区福利机构建设进一步完善，为特困人员集中供养、社会化养老、孤儿集中供养提供了强有力的保障。二是政策和制度可持续。随着集中入住特困人员、社会老人、孤儿的增加，要求机构管理服务更加规范，护理人员管理服务的能力和水平显著提高。</w:t>
      </w:r>
    </w:p>
    <w:p>
      <w:pPr>
        <w:keepNext w:val="0"/>
        <w:keepLines w:val="0"/>
        <w:pageBreakBefore w:val="0"/>
        <w:numPr>
          <w:ilvl w:val="0"/>
          <w:numId w:val="2"/>
        </w:numPr>
        <w:kinsoku/>
        <w:wordWrap/>
        <w:overflowPunct/>
        <w:topLinePunct w:val="0"/>
        <w:autoSpaceDE/>
        <w:autoSpaceDN/>
        <w:bidi w:val="0"/>
        <w:adjustRightInd/>
        <w:snapToGrid/>
        <w:spacing w:line="240" w:lineRule="auto"/>
        <w:ind w:left="0" w:leftChars="0" w:right="0" w:rightChars="0" w:firstLine="643" w:firstLineChars="200"/>
        <w:textAlignment w:val="auto"/>
        <w:rPr>
          <w:rFonts w:hint="eastAsia" w:ascii="仿宋" w:hAnsi="仿宋" w:eastAsia="仿宋" w:cs="仿宋"/>
          <w:b/>
          <w:bCs/>
          <w:color w:val="auto"/>
          <w:spacing w:val="0"/>
          <w:sz w:val="32"/>
          <w:szCs w:val="32"/>
          <w:lang w:val="en-US" w:eastAsia="zh-CN"/>
        </w:rPr>
      </w:pPr>
      <w:r>
        <w:rPr>
          <w:rFonts w:hint="eastAsia" w:ascii="仿宋" w:hAnsi="仿宋" w:eastAsia="仿宋" w:cs="仿宋"/>
          <w:b/>
          <w:bCs/>
          <w:color w:val="auto"/>
          <w:spacing w:val="0"/>
          <w:sz w:val="32"/>
          <w:szCs w:val="32"/>
          <w:lang w:val="en-US" w:eastAsia="zh-CN"/>
        </w:rPr>
        <w:t>满意度指标完成情况分析。</w:t>
      </w:r>
    </w:p>
    <w:p>
      <w:pPr>
        <w:keepNext w:val="0"/>
        <w:keepLines w:val="0"/>
        <w:pageBreakBefore w:val="0"/>
        <w:numPr>
          <w:ilvl w:val="0"/>
          <w:numId w:val="0"/>
        </w:numPr>
        <w:kinsoku/>
        <w:wordWrap/>
        <w:overflowPunct/>
        <w:topLinePunct w:val="0"/>
        <w:autoSpaceDE/>
        <w:autoSpaceDN/>
        <w:bidi w:val="0"/>
        <w:adjustRightInd/>
        <w:snapToGrid/>
        <w:spacing w:line="240" w:lineRule="auto"/>
        <w:ind w:left="0" w:leftChars="0" w:right="0" w:rightChars="0"/>
        <w:textAlignment w:val="auto"/>
        <w:rPr>
          <w:rFonts w:hint="eastAsia" w:ascii="仿宋" w:hAnsi="仿宋" w:eastAsia="仿宋" w:cs="仿宋"/>
          <w:b w:val="0"/>
          <w:bCs w:val="0"/>
          <w:color w:val="auto"/>
          <w:spacing w:val="0"/>
          <w:sz w:val="32"/>
          <w:szCs w:val="32"/>
          <w:lang w:val="en-US" w:eastAsia="zh-CN"/>
        </w:rPr>
      </w:pPr>
      <w:r>
        <w:rPr>
          <w:rFonts w:hint="eastAsia" w:ascii="仿宋" w:hAnsi="仿宋" w:eastAsia="仿宋" w:cs="仿宋"/>
          <w:b w:val="0"/>
          <w:bCs w:val="0"/>
          <w:color w:val="auto"/>
          <w:spacing w:val="0"/>
          <w:sz w:val="32"/>
          <w:szCs w:val="32"/>
          <w:lang w:val="en-US" w:eastAsia="zh-CN"/>
        </w:rPr>
        <w:t xml:space="preserve">    通过一对一访谈、问卷调研，机构老人、儿童对环境、安全的满意度达到100%，对护理人员护理和服务态度满意度达到98%；对室内卫生、饮食保障满意度达到99%。</w:t>
      </w:r>
    </w:p>
    <w:p>
      <w:pPr>
        <w:keepNext w:val="0"/>
        <w:keepLines w:val="0"/>
        <w:pageBreakBefore w:val="0"/>
        <w:numPr>
          <w:ilvl w:val="0"/>
          <w:numId w:val="3"/>
        </w:numPr>
        <w:kinsoku/>
        <w:wordWrap/>
        <w:overflowPunct/>
        <w:topLinePunct w:val="0"/>
        <w:autoSpaceDE/>
        <w:autoSpaceDN/>
        <w:bidi w:val="0"/>
        <w:spacing w:line="240" w:lineRule="auto"/>
        <w:ind w:left="0" w:leftChars="0" w:right="0" w:rightChars="0" w:firstLine="581" w:firstLineChars="181"/>
        <w:rPr>
          <w:rFonts w:hint="eastAsia" w:ascii="楷体" w:hAnsi="楷体" w:eastAsia="楷体"/>
          <w:b/>
          <w:color w:val="auto"/>
          <w:spacing w:val="0"/>
          <w:sz w:val="32"/>
          <w:szCs w:val="32"/>
        </w:rPr>
      </w:pPr>
      <w:r>
        <w:rPr>
          <w:rFonts w:hint="eastAsia" w:ascii="楷体" w:hAnsi="楷体" w:eastAsia="楷体"/>
          <w:b/>
          <w:color w:val="auto"/>
          <w:spacing w:val="0"/>
          <w:sz w:val="32"/>
          <w:szCs w:val="32"/>
        </w:rPr>
        <w:t>项目绩效目标未完成原因分析</w:t>
      </w:r>
    </w:p>
    <w:p>
      <w:pPr>
        <w:rPr>
          <w:rFonts w:hint="eastAsia" w:ascii="仿宋" w:hAnsi="仿宋" w:eastAsia="仿宋" w:cs="仿宋"/>
          <w:sz w:val="32"/>
          <w:szCs w:val="32"/>
        </w:rPr>
      </w:pPr>
      <w:r>
        <w:rPr>
          <w:rFonts w:hint="eastAsia" w:ascii="仿宋" w:hAnsi="仿宋" w:eastAsia="仿宋" w:cs="仿宋"/>
          <w:b w:val="0"/>
          <w:bCs w:val="0"/>
          <w:color w:val="auto"/>
          <w:spacing w:val="0"/>
          <w:sz w:val="32"/>
          <w:szCs w:val="32"/>
          <w:lang w:val="en-US" w:eastAsia="zh-CN"/>
        </w:rPr>
        <w:t xml:space="preserve">    一是思想认识不到位。部分地县民政负责人对加快“双集中”资金执行进展不重视，导致项目实施慢。二是政策措施不健全。部分地县对“双集中”资金使用方向不清晰，尤其是照料护理资金按照护理需求设置相关政策执行有偏差。三是资金保障不充足。部分地县由于当地财政紧张，相关配套资金不能及时到位。四是</w:t>
      </w:r>
      <w:r>
        <w:rPr>
          <w:rFonts w:hint="eastAsia" w:ascii="仿宋" w:hAnsi="仿宋" w:eastAsia="仿宋" w:cs="仿宋"/>
          <w:sz w:val="32"/>
          <w:szCs w:val="32"/>
        </w:rPr>
        <w:t>基层经办能力不足</w:t>
      </w:r>
      <w:r>
        <w:rPr>
          <w:rFonts w:hint="eastAsia" w:ascii="仿宋" w:hAnsi="仿宋" w:eastAsia="仿宋" w:cs="仿宋"/>
          <w:sz w:val="32"/>
          <w:szCs w:val="32"/>
          <w:lang w:eastAsia="zh-CN"/>
        </w:rPr>
        <w:t>。</w:t>
      </w:r>
      <w:r>
        <w:rPr>
          <w:rFonts w:hint="eastAsia" w:ascii="仿宋" w:hAnsi="仿宋" w:eastAsia="仿宋" w:cs="仿宋"/>
          <w:sz w:val="32"/>
          <w:szCs w:val="32"/>
        </w:rPr>
        <w:t>大部分机构护理功能缺失，管理服务水平较低。</w:t>
      </w:r>
    </w:p>
    <w:p>
      <w:pPr>
        <w:keepNext w:val="0"/>
        <w:keepLines w:val="0"/>
        <w:pageBreakBefore w:val="0"/>
        <w:kinsoku/>
        <w:wordWrap/>
        <w:overflowPunct/>
        <w:topLinePunct w:val="0"/>
        <w:autoSpaceDE/>
        <w:autoSpaceDN/>
        <w:bidi w:val="0"/>
        <w:spacing w:line="240" w:lineRule="auto"/>
        <w:ind w:left="0" w:leftChars="0" w:right="0" w:rightChars="0" w:firstLine="640"/>
        <w:rPr>
          <w:rStyle w:val="19"/>
          <w:rFonts w:ascii="黑体" w:hAnsi="黑体" w:eastAsia="黑体"/>
          <w:b w:val="0"/>
          <w:color w:val="auto"/>
          <w:spacing w:val="0"/>
          <w:sz w:val="32"/>
          <w:szCs w:val="32"/>
        </w:rPr>
      </w:pPr>
      <w:r>
        <w:rPr>
          <w:rStyle w:val="19"/>
          <w:rFonts w:hint="eastAsia" w:ascii="黑体" w:hAnsi="黑体" w:eastAsia="黑体"/>
          <w:b w:val="0"/>
          <w:color w:val="auto"/>
          <w:spacing w:val="0"/>
          <w:sz w:val="32"/>
          <w:szCs w:val="32"/>
        </w:rPr>
        <w:t>五、其他需要说明的问题</w:t>
      </w:r>
    </w:p>
    <w:p>
      <w:pPr>
        <w:keepNext w:val="0"/>
        <w:keepLines w:val="0"/>
        <w:pageBreakBefore w:val="0"/>
        <w:kinsoku/>
        <w:wordWrap/>
        <w:overflowPunct/>
        <w:topLinePunct w:val="0"/>
        <w:autoSpaceDE/>
        <w:autoSpaceDN/>
        <w:bidi w:val="0"/>
        <w:spacing w:line="240" w:lineRule="auto"/>
        <w:ind w:left="0" w:leftChars="0" w:right="0" w:rightChars="0" w:firstLine="581" w:firstLineChars="181"/>
        <w:rPr>
          <w:rFonts w:ascii="楷体" w:hAnsi="楷体" w:eastAsia="楷体"/>
          <w:b/>
          <w:color w:val="auto"/>
          <w:spacing w:val="0"/>
          <w:sz w:val="32"/>
          <w:szCs w:val="32"/>
        </w:rPr>
      </w:pPr>
      <w:r>
        <w:rPr>
          <w:rFonts w:hint="eastAsia" w:ascii="楷体" w:hAnsi="楷体" w:eastAsia="楷体"/>
          <w:b/>
          <w:color w:val="auto"/>
          <w:spacing w:val="0"/>
          <w:sz w:val="32"/>
          <w:szCs w:val="32"/>
        </w:rPr>
        <w:t>（一）后续工作计划</w:t>
      </w:r>
    </w:p>
    <w:p>
      <w:pPr>
        <w:keepNext w:val="0"/>
        <w:keepLines w:val="0"/>
        <w:pageBreakBefore w:val="0"/>
        <w:kinsoku/>
        <w:wordWrap/>
        <w:overflowPunct/>
        <w:topLinePunct w:val="0"/>
        <w:autoSpaceDE/>
        <w:autoSpaceDN/>
        <w:bidi w:val="0"/>
        <w:spacing w:line="240" w:lineRule="auto"/>
        <w:ind w:left="0" w:leftChars="0" w:right="0" w:rightChars="0" w:firstLine="579" w:firstLineChars="181"/>
        <w:rPr>
          <w:rFonts w:ascii="楷体" w:hAnsi="楷体" w:eastAsia="楷体"/>
          <w:b/>
          <w:color w:val="auto"/>
          <w:spacing w:val="0"/>
          <w:sz w:val="32"/>
          <w:szCs w:val="32"/>
        </w:rPr>
      </w:pPr>
      <w:r>
        <w:rPr>
          <w:rFonts w:hint="eastAsia" w:ascii="仿宋" w:hAnsi="仿宋" w:eastAsia="仿宋" w:cs="仿宋"/>
          <w:i w:val="0"/>
          <w:caps w:val="0"/>
          <w:color w:val="auto"/>
          <w:spacing w:val="0"/>
          <w:sz w:val="32"/>
          <w:szCs w:val="32"/>
          <w:shd w:val="clear" w:fill="FFFFFF"/>
          <w:lang w:eastAsia="zh-CN"/>
        </w:rPr>
        <w:t>全程监督项目资金使用进程，及时督促各地按资金使用用途，加快机构建设进程。</w:t>
      </w:r>
      <w:r>
        <w:rPr>
          <w:rFonts w:hint="eastAsia" w:ascii="仿宋" w:hAnsi="仿宋" w:eastAsia="仿宋" w:cs="仿宋"/>
          <w:i w:val="0"/>
          <w:caps w:val="0"/>
          <w:color w:val="auto"/>
          <w:spacing w:val="0"/>
          <w:sz w:val="32"/>
          <w:szCs w:val="32"/>
          <w:shd w:val="clear" w:fill="FFFFFF"/>
        </w:rPr>
        <w:t>下一步</w:t>
      </w:r>
      <w:r>
        <w:rPr>
          <w:rFonts w:hint="eastAsia" w:ascii="仿宋" w:hAnsi="仿宋" w:eastAsia="仿宋" w:cs="仿宋"/>
          <w:i w:val="0"/>
          <w:caps w:val="0"/>
          <w:color w:val="auto"/>
          <w:spacing w:val="0"/>
          <w:sz w:val="32"/>
          <w:szCs w:val="32"/>
          <w:shd w:val="clear" w:fill="FFFFFF"/>
          <w:lang w:eastAsia="zh-CN"/>
        </w:rPr>
        <w:t>适时开展</w:t>
      </w:r>
      <w:r>
        <w:rPr>
          <w:rStyle w:val="19"/>
          <w:rFonts w:hint="eastAsia" w:ascii="仿宋" w:hAnsi="仿宋" w:eastAsia="仿宋"/>
          <w:b w:val="0"/>
          <w:color w:val="auto"/>
          <w:spacing w:val="0"/>
          <w:sz w:val="32"/>
          <w:szCs w:val="32"/>
          <w:lang w:eastAsia="zh-CN"/>
        </w:rPr>
        <w:t>“双集中”社会福利机构护理补贴和</w:t>
      </w:r>
      <w:r>
        <w:rPr>
          <w:rStyle w:val="19"/>
          <w:rFonts w:hint="eastAsia" w:ascii="仿宋" w:hAnsi="仿宋" w:eastAsia="仿宋"/>
          <w:b w:val="0"/>
          <w:color w:val="auto"/>
          <w:spacing w:val="0"/>
          <w:sz w:val="32"/>
          <w:szCs w:val="32"/>
        </w:rPr>
        <w:t>“双集中”社会福利机构建设资金</w:t>
      </w:r>
      <w:r>
        <w:rPr>
          <w:rStyle w:val="19"/>
          <w:rFonts w:hint="eastAsia" w:ascii="仿宋" w:hAnsi="仿宋" w:eastAsia="仿宋"/>
          <w:b w:val="0"/>
          <w:color w:val="auto"/>
          <w:spacing w:val="0"/>
          <w:sz w:val="32"/>
          <w:szCs w:val="32"/>
          <w:lang w:eastAsia="zh-CN"/>
        </w:rPr>
        <w:t>专项督查，确保资金专款专用，发挥效益</w:t>
      </w:r>
      <w:r>
        <w:rPr>
          <w:rFonts w:hint="eastAsia" w:ascii="仿宋" w:hAnsi="仿宋" w:eastAsia="仿宋" w:cs="仿宋"/>
          <w:i w:val="0"/>
          <w:caps w:val="0"/>
          <w:color w:val="auto"/>
          <w:spacing w:val="0"/>
          <w:sz w:val="32"/>
          <w:szCs w:val="32"/>
          <w:shd w:val="clear" w:fill="FFFFFF"/>
        </w:rPr>
        <w:t>。</w:t>
      </w:r>
    </w:p>
    <w:p>
      <w:pPr>
        <w:keepNext w:val="0"/>
        <w:keepLines w:val="0"/>
        <w:pageBreakBefore w:val="0"/>
        <w:kinsoku/>
        <w:wordWrap/>
        <w:overflowPunct/>
        <w:topLinePunct w:val="0"/>
        <w:autoSpaceDE/>
        <w:autoSpaceDN/>
        <w:bidi w:val="0"/>
        <w:spacing w:line="240" w:lineRule="auto"/>
        <w:ind w:left="0" w:leftChars="0" w:right="0" w:rightChars="0" w:firstLine="581" w:firstLineChars="181"/>
        <w:rPr>
          <w:rFonts w:ascii="楷体" w:hAnsi="楷体" w:eastAsia="楷体"/>
          <w:b/>
          <w:color w:val="auto"/>
          <w:spacing w:val="0"/>
          <w:sz w:val="32"/>
          <w:szCs w:val="32"/>
        </w:rPr>
      </w:pPr>
      <w:r>
        <w:rPr>
          <w:rFonts w:hint="eastAsia" w:ascii="楷体" w:hAnsi="楷体" w:eastAsia="楷体"/>
          <w:b/>
          <w:color w:val="auto"/>
          <w:spacing w:val="0"/>
          <w:sz w:val="32"/>
          <w:szCs w:val="32"/>
        </w:rPr>
        <w:t>（二）主要经验及做法、存在问题和建议</w:t>
      </w:r>
    </w:p>
    <w:p>
      <w:pPr>
        <w:keepNext w:val="0"/>
        <w:keepLines w:val="0"/>
        <w:pageBreakBefore w:val="0"/>
        <w:kinsoku/>
        <w:wordWrap/>
        <w:overflowPunct/>
        <w:topLinePunct w:val="0"/>
        <w:autoSpaceDE/>
        <w:autoSpaceDN/>
        <w:bidi w:val="0"/>
        <w:spacing w:line="240" w:lineRule="auto"/>
        <w:ind w:left="0" w:leftChars="0" w:right="0" w:rightChars="0" w:firstLine="643" w:firstLineChars="200"/>
        <w:rPr>
          <w:rFonts w:hint="eastAsia" w:ascii="仿宋" w:hAnsi="仿宋" w:eastAsia="仿宋" w:cs="仿宋"/>
          <w:i w:val="0"/>
          <w:caps w:val="0"/>
          <w:color w:val="auto"/>
          <w:spacing w:val="0"/>
          <w:sz w:val="32"/>
          <w:szCs w:val="32"/>
          <w:shd w:val="clear" w:fill="FFFFFF"/>
          <w:lang w:eastAsia="zh-CN"/>
        </w:rPr>
      </w:pPr>
      <w:r>
        <w:rPr>
          <w:rFonts w:hint="eastAsia" w:ascii="仿宋" w:hAnsi="仿宋" w:eastAsia="仿宋" w:cs="仿宋"/>
          <w:b/>
          <w:bCs/>
          <w:i w:val="0"/>
          <w:caps w:val="0"/>
          <w:color w:val="auto"/>
          <w:spacing w:val="0"/>
          <w:sz w:val="32"/>
          <w:szCs w:val="32"/>
          <w:shd w:val="clear" w:fill="FFFFFF"/>
          <w:lang w:val="en-US" w:eastAsia="zh-CN"/>
        </w:rPr>
        <w:t>1.</w:t>
      </w:r>
      <w:r>
        <w:rPr>
          <w:rFonts w:hint="eastAsia" w:ascii="仿宋" w:hAnsi="仿宋" w:eastAsia="仿宋" w:cs="仿宋"/>
          <w:b/>
          <w:bCs/>
          <w:i w:val="0"/>
          <w:caps w:val="0"/>
          <w:color w:val="auto"/>
          <w:spacing w:val="0"/>
          <w:sz w:val="32"/>
          <w:szCs w:val="32"/>
          <w:shd w:val="clear" w:fill="FFFFFF"/>
        </w:rPr>
        <w:t>主要经验：</w:t>
      </w:r>
      <w:r>
        <w:rPr>
          <w:rFonts w:hint="eastAsia" w:ascii="仿宋" w:hAnsi="仿宋" w:eastAsia="仿宋" w:cs="仿宋"/>
          <w:i w:val="0"/>
          <w:caps w:val="0"/>
          <w:color w:val="auto"/>
          <w:spacing w:val="0"/>
          <w:sz w:val="32"/>
          <w:szCs w:val="32"/>
          <w:shd w:val="clear" w:fill="FFFFFF"/>
        </w:rPr>
        <w:t>充分发挥项目</w:t>
      </w:r>
      <w:r>
        <w:rPr>
          <w:rFonts w:hint="eastAsia" w:ascii="仿宋" w:hAnsi="仿宋" w:eastAsia="仿宋" w:cs="仿宋"/>
          <w:i w:val="0"/>
          <w:caps w:val="0"/>
          <w:color w:val="auto"/>
          <w:spacing w:val="0"/>
          <w:sz w:val="32"/>
          <w:szCs w:val="32"/>
          <w:shd w:val="clear" w:fill="FFFFFF"/>
          <w:lang w:eastAsia="zh-CN"/>
        </w:rPr>
        <w:t>资金</w:t>
      </w:r>
      <w:r>
        <w:rPr>
          <w:rFonts w:hint="eastAsia" w:ascii="仿宋" w:hAnsi="仿宋" w:eastAsia="仿宋" w:cs="仿宋"/>
          <w:i w:val="0"/>
          <w:caps w:val="0"/>
          <w:color w:val="auto"/>
          <w:spacing w:val="0"/>
          <w:sz w:val="32"/>
          <w:szCs w:val="32"/>
          <w:shd w:val="clear" w:fill="FFFFFF"/>
        </w:rPr>
        <w:t>的保障作用，严格执行财务管理制度各项规定，</w:t>
      </w:r>
      <w:r>
        <w:rPr>
          <w:rFonts w:hint="eastAsia" w:ascii="仿宋" w:hAnsi="仿宋" w:eastAsia="仿宋" w:cs="仿宋"/>
          <w:i w:val="0"/>
          <w:caps w:val="0"/>
          <w:color w:val="auto"/>
          <w:spacing w:val="0"/>
          <w:sz w:val="32"/>
          <w:szCs w:val="32"/>
          <w:shd w:val="clear" w:fill="FFFFFF"/>
          <w:lang w:eastAsia="zh-CN"/>
        </w:rPr>
        <w:t>结实自治区民政福利设施体系建设三年行动方案，</w:t>
      </w:r>
      <w:r>
        <w:rPr>
          <w:rFonts w:hint="eastAsia" w:ascii="仿宋" w:hAnsi="仿宋" w:eastAsia="仿宋" w:cs="仿宋"/>
          <w:i w:val="0"/>
          <w:caps w:val="0"/>
          <w:color w:val="auto"/>
          <w:spacing w:val="0"/>
          <w:sz w:val="32"/>
          <w:szCs w:val="32"/>
          <w:shd w:val="clear" w:fill="FFFFFF"/>
        </w:rPr>
        <w:t>统筹谋划实施项目，确保项目经费都使用在刀刃上、落到实处，</w:t>
      </w:r>
      <w:r>
        <w:rPr>
          <w:rFonts w:hint="eastAsia" w:ascii="仿宋" w:hAnsi="仿宋" w:eastAsia="仿宋" w:cs="仿宋"/>
          <w:i w:val="0"/>
          <w:caps w:val="0"/>
          <w:color w:val="auto"/>
          <w:spacing w:val="0"/>
          <w:sz w:val="32"/>
          <w:szCs w:val="32"/>
          <w:shd w:val="clear" w:fill="FFFFFF"/>
          <w:lang w:eastAsia="zh-CN"/>
        </w:rPr>
        <w:t>提升机构建设质量，增加机构床位数，提高护理人员管理服务水平，满足有意愿“五保”老人集中供养和孤儿集中收养需要</w:t>
      </w:r>
      <w:r>
        <w:rPr>
          <w:rFonts w:hint="eastAsia" w:ascii="仿宋" w:hAnsi="仿宋" w:eastAsia="仿宋" w:cs="仿宋"/>
          <w:i w:val="0"/>
          <w:caps w:val="0"/>
          <w:color w:val="auto"/>
          <w:spacing w:val="0"/>
          <w:sz w:val="32"/>
          <w:szCs w:val="32"/>
          <w:shd w:val="clear" w:fill="FFFFFF"/>
        </w:rPr>
        <w:t>。</w:t>
      </w:r>
      <w:r>
        <w:rPr>
          <w:rFonts w:hint="eastAsia" w:ascii="仿宋" w:hAnsi="仿宋" w:eastAsia="仿宋" w:cs="仿宋"/>
          <w:i w:val="0"/>
          <w:caps w:val="0"/>
          <w:color w:val="auto"/>
          <w:spacing w:val="0"/>
          <w:sz w:val="32"/>
          <w:szCs w:val="32"/>
          <w:shd w:val="clear" w:fill="FFFFFF"/>
          <w:lang w:eastAsia="zh-CN"/>
        </w:rPr>
        <w:t>建议加大特困机构、儿童福利机构资金投入力度，</w:t>
      </w:r>
      <w:r>
        <w:rPr>
          <w:rFonts w:hint="eastAsia" w:ascii="仿宋" w:hAnsi="仿宋" w:eastAsia="仿宋"/>
          <w:color w:val="auto"/>
          <w:spacing w:val="0"/>
          <w:sz w:val="32"/>
          <w:szCs w:val="32"/>
        </w:rPr>
        <w:t>积极争取</w:t>
      </w:r>
      <w:r>
        <w:rPr>
          <w:rFonts w:hint="eastAsia" w:ascii="仿宋" w:hAnsi="仿宋" w:eastAsia="仿宋"/>
          <w:color w:val="auto"/>
          <w:spacing w:val="0"/>
          <w:sz w:val="32"/>
          <w:szCs w:val="32"/>
          <w:lang w:eastAsia="zh-CN"/>
        </w:rPr>
        <w:t>各类</w:t>
      </w:r>
      <w:r>
        <w:rPr>
          <w:rFonts w:hint="eastAsia" w:ascii="仿宋" w:hAnsi="仿宋" w:eastAsia="仿宋"/>
          <w:color w:val="auto"/>
          <w:spacing w:val="0"/>
          <w:sz w:val="32"/>
          <w:szCs w:val="32"/>
        </w:rPr>
        <w:t>资金投入</w:t>
      </w:r>
      <w:r>
        <w:rPr>
          <w:rFonts w:hint="eastAsia" w:ascii="仿宋" w:hAnsi="仿宋" w:eastAsia="仿宋"/>
          <w:color w:val="auto"/>
          <w:spacing w:val="0"/>
          <w:sz w:val="32"/>
          <w:szCs w:val="32"/>
          <w:lang w:eastAsia="zh-CN"/>
        </w:rPr>
        <w:t>机构</w:t>
      </w:r>
      <w:r>
        <w:rPr>
          <w:rFonts w:hint="eastAsia" w:ascii="仿宋" w:hAnsi="仿宋" w:eastAsia="仿宋"/>
          <w:color w:val="auto"/>
          <w:spacing w:val="0"/>
          <w:sz w:val="32"/>
          <w:szCs w:val="32"/>
        </w:rPr>
        <w:t>建设，</w:t>
      </w:r>
      <w:r>
        <w:rPr>
          <w:rFonts w:hint="eastAsia" w:ascii="仿宋" w:hAnsi="仿宋" w:eastAsia="仿宋"/>
          <w:color w:val="auto"/>
          <w:spacing w:val="0"/>
          <w:sz w:val="32"/>
          <w:szCs w:val="32"/>
          <w:lang w:eastAsia="zh-CN"/>
        </w:rPr>
        <w:t>提升机构建设质量，</w:t>
      </w:r>
      <w:r>
        <w:rPr>
          <w:rFonts w:hint="eastAsia" w:ascii="仿宋" w:hAnsi="仿宋" w:eastAsia="仿宋"/>
          <w:color w:val="auto"/>
          <w:spacing w:val="0"/>
          <w:sz w:val="32"/>
          <w:szCs w:val="32"/>
        </w:rPr>
        <w:t>促进设施设备优化整合。</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2" w:firstLineChars="0"/>
        <w:jc w:val="both"/>
        <w:textAlignment w:val="auto"/>
        <w:outlineLvl w:val="9"/>
        <w:rPr>
          <w:rFonts w:hint="eastAsia" w:ascii="仿宋" w:hAnsi="仿宋" w:eastAsia="仿宋" w:cs="仿宋"/>
          <w:color w:val="auto"/>
          <w:spacing w:val="0"/>
          <w:sz w:val="32"/>
          <w:szCs w:val="32"/>
          <w:lang w:val="en-US" w:eastAsia="zh-CN"/>
        </w:rPr>
      </w:pPr>
      <w:r>
        <w:rPr>
          <w:rFonts w:hint="eastAsia" w:ascii="仿宋" w:hAnsi="仿宋" w:eastAsia="仿宋" w:cs="仿宋"/>
          <w:b/>
          <w:bCs/>
          <w:i w:val="0"/>
          <w:caps w:val="0"/>
          <w:color w:val="auto"/>
          <w:spacing w:val="0"/>
          <w:sz w:val="32"/>
          <w:szCs w:val="32"/>
          <w:shd w:val="clear" w:fill="FFFFFF"/>
          <w:lang w:val="en-US" w:eastAsia="zh-CN"/>
        </w:rPr>
        <w:t>2.存在问题：</w:t>
      </w:r>
      <w:r>
        <w:rPr>
          <w:rFonts w:hint="eastAsia" w:ascii="仿宋" w:hAnsi="仿宋" w:eastAsia="仿宋" w:cs="仿宋"/>
          <w:i w:val="0"/>
          <w:caps w:val="0"/>
          <w:color w:val="auto"/>
          <w:spacing w:val="0"/>
          <w:sz w:val="32"/>
          <w:szCs w:val="32"/>
          <w:shd w:val="clear" w:fill="FFFFFF"/>
          <w:lang w:val="en-US" w:eastAsia="zh-CN"/>
        </w:rPr>
        <w:t>一是</w:t>
      </w:r>
      <w:r>
        <w:rPr>
          <w:rFonts w:hint="eastAsia" w:ascii="仿宋" w:hAnsi="仿宋" w:eastAsia="仿宋" w:cs="仿宋"/>
          <w:i w:val="0"/>
          <w:caps w:val="0"/>
          <w:color w:val="auto"/>
          <w:spacing w:val="0"/>
          <w:sz w:val="32"/>
          <w:szCs w:val="32"/>
          <w:shd w:val="clear" w:fill="FFFFFF"/>
          <w:lang w:eastAsia="zh-CN"/>
        </w:rPr>
        <w:t>部分地县存在机构空置率高、保障对象集中率低、可使用床位少的现象。</w:t>
      </w:r>
      <w:r>
        <w:rPr>
          <w:rFonts w:hint="eastAsia" w:ascii="仿宋" w:hAnsi="仿宋" w:eastAsia="仿宋" w:cs="仿宋"/>
          <w:i w:val="0"/>
          <w:caps w:val="0"/>
          <w:color w:val="auto"/>
          <w:spacing w:val="0"/>
          <w:sz w:val="32"/>
          <w:szCs w:val="32"/>
          <w:shd w:val="clear" w:fill="FFFFFF"/>
          <w:lang w:val="en-US" w:eastAsia="zh-CN"/>
        </w:rPr>
        <w:t>二是机构运转经费未有效落实。大部分县（市）没有专门安排机构运转经费，机构只有基本生活费和照料护理费两项专项经费，机构运转经费只能从基本生活费中解决。三是照料护理经费仍有缺口。部分县市除编制、公益性岗位人员由当地财政负担工资外，聘用人员工资基本从自治区补助资金中支出，当地没有配套，以拨付的补助资金数定聘用护理人员数，机构照料护理经费缺口较大。</w:t>
      </w:r>
    </w:p>
    <w:p>
      <w:pPr>
        <w:keepNext w:val="0"/>
        <w:keepLines w:val="0"/>
        <w:pageBreakBefore w:val="0"/>
        <w:kinsoku/>
        <w:wordWrap/>
        <w:overflowPunct/>
        <w:topLinePunct w:val="0"/>
        <w:autoSpaceDE/>
        <w:autoSpaceDN/>
        <w:bidi w:val="0"/>
        <w:spacing w:line="240" w:lineRule="auto"/>
        <w:ind w:left="0" w:leftChars="0" w:right="0" w:rightChars="0" w:firstLine="581" w:firstLineChars="181"/>
        <w:rPr>
          <w:rFonts w:hint="eastAsia" w:ascii="仿宋" w:hAnsi="仿宋" w:eastAsia="仿宋" w:cs="仿宋"/>
          <w:i w:val="0"/>
          <w:caps w:val="0"/>
          <w:color w:val="auto"/>
          <w:spacing w:val="0"/>
          <w:sz w:val="32"/>
          <w:szCs w:val="32"/>
          <w:shd w:val="clear" w:fill="FFFFFF"/>
          <w:lang w:val="en-US" w:eastAsia="zh-CN"/>
        </w:rPr>
      </w:pPr>
      <w:r>
        <w:rPr>
          <w:rFonts w:hint="eastAsia" w:ascii="仿宋" w:hAnsi="仿宋" w:eastAsia="仿宋" w:cs="仿宋"/>
          <w:b/>
          <w:bCs/>
          <w:i w:val="0"/>
          <w:caps w:val="0"/>
          <w:color w:val="auto"/>
          <w:spacing w:val="0"/>
          <w:sz w:val="32"/>
          <w:szCs w:val="32"/>
          <w:shd w:val="clear" w:fill="FFFFFF"/>
          <w:lang w:val="en-US" w:eastAsia="zh-CN"/>
        </w:rPr>
        <w:t xml:space="preserve"> 3.建议：</w:t>
      </w:r>
      <w:r>
        <w:rPr>
          <w:rFonts w:hint="eastAsia" w:ascii="仿宋" w:hAnsi="仿宋" w:eastAsia="仿宋" w:cs="仿宋"/>
          <w:i w:val="0"/>
          <w:caps w:val="0"/>
          <w:color w:val="auto"/>
          <w:spacing w:val="0"/>
          <w:sz w:val="32"/>
          <w:szCs w:val="32"/>
          <w:shd w:val="clear" w:fill="FFFFFF"/>
          <w:lang w:val="en-US" w:eastAsia="zh-CN"/>
        </w:rPr>
        <w:t>一是进一步明确要求。建议以自治区人民政府名义出台《关于进一步加强全区“双集中”工作的通知》，对推进“双集中”工作的政府主体责任，集中供（收）养率、法人登记率，机构运行、基本生活、照料护理经费落实，护理人员配备比例和薪酬等进行再动员、再明确、再部署。二是进一步压实责任。建议建立“双集中”工作季报和季通报制度，每季度对各地（州、市）集中供（收）养率、机构建设进行通报，并抄送当地人民政府（行署），有效传导工作责任。三是，进一步整改落实。建议会同财政、发改、编办、卫健等部门定期开展专项督查，及时发现问题、督促落实，确保“双集中”工作任务如期完成。</w:t>
      </w:r>
    </w:p>
    <w:p>
      <w:pPr>
        <w:keepNext w:val="0"/>
        <w:keepLines w:val="0"/>
        <w:pageBreakBefore w:val="0"/>
        <w:kinsoku/>
        <w:wordWrap/>
        <w:overflowPunct/>
        <w:topLinePunct w:val="0"/>
        <w:autoSpaceDE/>
        <w:autoSpaceDN/>
        <w:bidi w:val="0"/>
        <w:spacing w:line="240" w:lineRule="auto"/>
        <w:ind w:left="0" w:leftChars="0" w:right="0" w:rightChars="0" w:firstLine="581" w:firstLineChars="181"/>
        <w:rPr>
          <w:rFonts w:ascii="楷体" w:hAnsi="楷体" w:eastAsia="楷体"/>
          <w:b/>
          <w:color w:val="auto"/>
          <w:spacing w:val="0"/>
          <w:sz w:val="32"/>
          <w:szCs w:val="32"/>
        </w:rPr>
      </w:pPr>
      <w:r>
        <w:rPr>
          <w:rFonts w:hint="eastAsia" w:ascii="楷体" w:hAnsi="楷体" w:eastAsia="楷体"/>
          <w:b/>
          <w:color w:val="auto"/>
          <w:spacing w:val="0"/>
          <w:sz w:val="32"/>
          <w:szCs w:val="32"/>
        </w:rPr>
        <w:t>（三）其他</w:t>
      </w:r>
    </w:p>
    <w:p>
      <w:pPr>
        <w:keepNext w:val="0"/>
        <w:keepLines w:val="0"/>
        <w:pageBreakBefore w:val="0"/>
        <w:kinsoku/>
        <w:wordWrap/>
        <w:overflowPunct/>
        <w:topLinePunct w:val="0"/>
        <w:autoSpaceDE/>
        <w:autoSpaceDN/>
        <w:bidi w:val="0"/>
        <w:spacing w:line="240" w:lineRule="auto"/>
        <w:ind w:left="0" w:leftChars="0" w:right="0" w:rightChars="0" w:firstLine="579" w:firstLineChars="181"/>
        <w:rPr>
          <w:rFonts w:hint="eastAsia" w:ascii="楷体" w:hAnsi="楷体" w:eastAsia="楷体"/>
          <w:b/>
          <w:color w:val="auto"/>
          <w:spacing w:val="0"/>
          <w:sz w:val="32"/>
          <w:szCs w:val="32"/>
          <w:lang w:eastAsia="zh-CN"/>
        </w:rPr>
      </w:pPr>
      <w:r>
        <w:rPr>
          <w:rFonts w:hint="eastAsia" w:ascii="仿宋" w:hAnsi="仿宋" w:eastAsia="仿宋" w:cs="仿宋"/>
          <w:b w:val="0"/>
          <w:bCs/>
          <w:color w:val="auto"/>
          <w:spacing w:val="0"/>
          <w:sz w:val="32"/>
          <w:szCs w:val="32"/>
          <w:lang w:eastAsia="zh-CN"/>
        </w:rPr>
        <w:t>无</w:t>
      </w:r>
    </w:p>
    <w:p>
      <w:pPr>
        <w:keepNext w:val="0"/>
        <w:keepLines w:val="0"/>
        <w:pageBreakBefore w:val="0"/>
        <w:kinsoku/>
        <w:wordWrap/>
        <w:overflowPunct/>
        <w:topLinePunct w:val="0"/>
        <w:autoSpaceDE/>
        <w:autoSpaceDN/>
        <w:bidi w:val="0"/>
        <w:spacing w:line="240" w:lineRule="auto"/>
        <w:ind w:left="0" w:leftChars="0" w:right="0" w:rightChars="0" w:firstLine="640"/>
        <w:rPr>
          <w:rStyle w:val="19"/>
          <w:rFonts w:ascii="黑体" w:hAnsi="黑体" w:eastAsia="黑体"/>
          <w:b w:val="0"/>
          <w:color w:val="auto"/>
          <w:spacing w:val="0"/>
          <w:sz w:val="32"/>
          <w:szCs w:val="32"/>
        </w:rPr>
      </w:pPr>
      <w:r>
        <w:rPr>
          <w:rStyle w:val="19"/>
          <w:rFonts w:hint="eastAsia" w:ascii="黑体" w:hAnsi="黑体" w:eastAsia="黑体"/>
          <w:b w:val="0"/>
          <w:color w:val="auto"/>
          <w:spacing w:val="0"/>
          <w:sz w:val="32"/>
          <w:szCs w:val="32"/>
        </w:rPr>
        <w:t>六、项目评价工作情况</w:t>
      </w:r>
    </w:p>
    <w:p>
      <w:pPr>
        <w:keepNext w:val="0"/>
        <w:keepLines w:val="0"/>
        <w:pageBreakBefore w:val="0"/>
        <w:kinsoku/>
        <w:wordWrap/>
        <w:overflowPunct/>
        <w:topLinePunct w:val="0"/>
        <w:autoSpaceDE/>
        <w:autoSpaceDN/>
        <w:bidi w:val="0"/>
        <w:spacing w:line="240" w:lineRule="auto"/>
        <w:ind w:left="0" w:leftChars="0" w:right="0" w:rightChars="0" w:firstLine="640" w:firstLineChars="200"/>
        <w:rPr>
          <w:rFonts w:ascii="仿宋_GB2312" w:eastAsia="仿宋_GB2312"/>
          <w:color w:val="auto"/>
          <w:spacing w:val="0"/>
          <w:sz w:val="32"/>
          <w:szCs w:val="32"/>
        </w:rPr>
      </w:pPr>
      <w:r>
        <w:rPr>
          <w:rFonts w:hint="eastAsia" w:ascii="仿宋_GB2312" w:eastAsia="仿宋_GB2312"/>
          <w:color w:val="auto"/>
          <w:spacing w:val="0"/>
          <w:sz w:val="32"/>
          <w:szCs w:val="32"/>
          <w:lang w:val="en-US" w:eastAsia="zh-CN"/>
        </w:rPr>
        <w:t>2018年8月底-9月底，民政厅由主要领导带队分6个调研组深入14个地州市96个县市区，围绕保障对象数量、机构现状及未来需求深入开展了调研，全面掌握了机构建设管理现状，包括对2018年自治区本级福利彩票公益金1.35亿元资助各地提升改造和自治区财政6000万照料护理补贴使用情况进行了指导检查。对县级福利机构和三分之一的乡镇福利机构进行了现场勘验检查，基本掌握了项目实施情况。2019年1月，</w:t>
      </w:r>
      <w:r>
        <w:rPr>
          <w:rFonts w:hint="eastAsia" w:ascii="仿宋" w:hAnsi="仿宋" w:eastAsia="仿宋" w:cs="仿宋"/>
          <w:b w:val="0"/>
          <w:bCs w:val="0"/>
          <w:color w:val="auto"/>
          <w:spacing w:val="0"/>
          <w:kern w:val="2"/>
          <w:sz w:val="32"/>
          <w:szCs w:val="32"/>
          <w:lang w:val="en-US" w:eastAsia="zh-CN" w:bidi="ar-SA"/>
        </w:rPr>
        <w:t>经过县市区民政局单位自评，地州市民政局统一自评，民政厅对2018年中央财政专项转移支付资金绩效情况进行汇总评价，形成自评报告。</w:t>
      </w:r>
    </w:p>
    <w:p>
      <w:pPr>
        <w:keepNext w:val="0"/>
        <w:keepLines w:val="0"/>
        <w:pageBreakBefore w:val="0"/>
        <w:kinsoku/>
        <w:wordWrap/>
        <w:overflowPunct/>
        <w:topLinePunct w:val="0"/>
        <w:autoSpaceDE/>
        <w:autoSpaceDN/>
        <w:bidi w:val="0"/>
        <w:spacing w:line="240" w:lineRule="auto"/>
        <w:ind w:left="0" w:leftChars="0" w:right="0" w:rightChars="0" w:firstLine="640"/>
        <w:rPr>
          <w:rStyle w:val="19"/>
          <w:rFonts w:ascii="仿宋" w:hAnsi="仿宋" w:eastAsia="仿宋"/>
          <w:b w:val="0"/>
          <w:color w:val="auto"/>
          <w:spacing w:val="0"/>
          <w:sz w:val="32"/>
          <w:szCs w:val="32"/>
        </w:rPr>
      </w:pPr>
      <w:r>
        <w:rPr>
          <w:rStyle w:val="19"/>
          <w:rFonts w:hint="eastAsia" w:ascii="黑体" w:hAnsi="黑体" w:eastAsia="黑体"/>
          <w:b w:val="0"/>
          <w:color w:val="auto"/>
          <w:spacing w:val="0"/>
          <w:sz w:val="32"/>
          <w:szCs w:val="32"/>
        </w:rPr>
        <w:t>七、附表</w:t>
      </w:r>
      <w:r>
        <w:rPr>
          <w:rStyle w:val="19"/>
          <w:rFonts w:hint="eastAsia" w:ascii="黑体" w:hAnsi="黑体" w:eastAsia="黑体"/>
          <w:b w:val="0"/>
          <w:color w:val="auto"/>
          <w:spacing w:val="0"/>
          <w:sz w:val="32"/>
          <w:szCs w:val="32"/>
          <w:lang w:val="en-US" w:eastAsia="zh-CN"/>
        </w:rPr>
        <w:t xml:space="preserve"> </w:t>
      </w:r>
      <w:r>
        <w:rPr>
          <w:rStyle w:val="19"/>
          <w:rFonts w:hint="eastAsia" w:ascii="仿宋" w:hAnsi="仿宋" w:eastAsia="仿宋"/>
          <w:b w:val="0"/>
          <w:color w:val="auto"/>
          <w:spacing w:val="0"/>
          <w:sz w:val="32"/>
          <w:szCs w:val="32"/>
        </w:rPr>
        <w:t>《自治区财政项目支出绩效自评表》</w:t>
      </w:r>
    </w:p>
    <w:tbl>
      <w:tblPr>
        <w:tblStyle w:val="17"/>
        <w:tblW w:w="9080" w:type="dxa"/>
        <w:tblInd w:w="93" w:type="dxa"/>
        <w:tblLayout w:type="fixed"/>
        <w:tblCellMar>
          <w:top w:w="0" w:type="dxa"/>
          <w:left w:w="108" w:type="dxa"/>
          <w:bottom w:w="0" w:type="dxa"/>
          <w:right w:w="108" w:type="dxa"/>
        </w:tblCellMar>
      </w:tblPr>
      <w:tblGrid>
        <w:gridCol w:w="554"/>
        <w:gridCol w:w="914"/>
        <w:gridCol w:w="692"/>
        <w:gridCol w:w="1737"/>
        <w:gridCol w:w="1626"/>
        <w:gridCol w:w="1124"/>
        <w:gridCol w:w="1206"/>
        <w:gridCol w:w="1"/>
        <w:gridCol w:w="1226"/>
      </w:tblGrid>
      <w:tr>
        <w:tblPrEx>
          <w:tblLayout w:type="fixed"/>
          <w:tblCellMar>
            <w:top w:w="0" w:type="dxa"/>
            <w:left w:w="108" w:type="dxa"/>
            <w:bottom w:w="0" w:type="dxa"/>
            <w:right w:w="108" w:type="dxa"/>
          </w:tblCellMar>
        </w:tblPrEx>
        <w:trPr>
          <w:trHeight w:val="302" w:hRule="atLeast"/>
        </w:trPr>
        <w:tc>
          <w:tcPr>
            <w:tcW w:w="9080" w:type="dxa"/>
            <w:gridSpan w:val="9"/>
            <w:tcBorders>
              <w:top w:val="nil"/>
              <w:left w:val="nil"/>
              <w:bottom w:val="nil"/>
              <w:right w:val="nil"/>
            </w:tcBorders>
            <w:shd w:val="clear" w:color="auto" w:fill="auto"/>
            <w:noWrap w:val="0"/>
            <w:vAlign w:val="center"/>
          </w:tcPr>
          <w:p>
            <w:pPr>
              <w:widowControl/>
              <w:jc w:val="center"/>
              <w:rPr>
                <w:rFonts w:ascii="宋体" w:hAnsi="宋体" w:eastAsia="宋体" w:cs="宋体"/>
                <w:color w:val="000000"/>
                <w:kern w:val="0"/>
                <w:sz w:val="32"/>
                <w:szCs w:val="32"/>
              </w:rPr>
            </w:pPr>
            <w:r>
              <w:rPr>
                <w:rFonts w:hint="eastAsia" w:ascii="宋体" w:hAnsi="宋体" w:eastAsia="宋体" w:cs="宋体"/>
                <w:b/>
                <w:bCs/>
                <w:color w:val="000000"/>
                <w:kern w:val="0"/>
                <w:sz w:val="32"/>
                <w:szCs w:val="32"/>
              </w:rPr>
              <w:t>中央对地方专项转移支付绩效自评表</w:t>
            </w:r>
            <w:r>
              <w:rPr>
                <w:rFonts w:hint="eastAsia" w:ascii="宋体" w:hAnsi="宋体" w:eastAsia="宋体" w:cs="宋体"/>
                <w:color w:val="000000"/>
                <w:kern w:val="0"/>
                <w:sz w:val="32"/>
                <w:szCs w:val="32"/>
              </w:rPr>
              <w:t xml:space="preserve"> </w:t>
            </w:r>
          </w:p>
        </w:tc>
      </w:tr>
      <w:tr>
        <w:tblPrEx>
          <w:tblLayout w:type="fixed"/>
          <w:tblCellMar>
            <w:top w:w="0" w:type="dxa"/>
            <w:left w:w="108" w:type="dxa"/>
            <w:bottom w:w="0" w:type="dxa"/>
            <w:right w:w="108" w:type="dxa"/>
          </w:tblCellMar>
        </w:tblPrEx>
        <w:trPr>
          <w:trHeight w:val="207" w:hRule="atLeast"/>
        </w:trPr>
        <w:tc>
          <w:tcPr>
            <w:tcW w:w="9080" w:type="dxa"/>
            <w:gridSpan w:val="9"/>
            <w:tcBorders>
              <w:top w:val="nil"/>
              <w:left w:val="nil"/>
              <w:bottom w:val="single" w:color="auto" w:sz="4" w:space="0"/>
              <w:right w:val="nil"/>
            </w:tcBorders>
            <w:shd w:val="clear" w:color="auto" w:fill="auto"/>
            <w:noWrap w:val="0"/>
            <w:vAlign w:val="top"/>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w:t>
            </w:r>
            <w:r>
              <w:rPr>
                <w:rFonts w:hint="eastAsia" w:ascii="宋体" w:hAnsi="宋体" w:eastAsia="宋体" w:cs="宋体"/>
                <w:color w:val="000000"/>
                <w:kern w:val="0"/>
                <w:sz w:val="22"/>
                <w:szCs w:val="22"/>
                <w:lang w:val="en-US" w:eastAsia="zh-CN"/>
              </w:rPr>
              <w:t>2018</w:t>
            </w:r>
            <w:r>
              <w:rPr>
                <w:rFonts w:hint="eastAsia" w:ascii="宋体" w:hAnsi="宋体" w:eastAsia="宋体" w:cs="宋体"/>
                <w:color w:val="000000"/>
                <w:kern w:val="0"/>
                <w:sz w:val="22"/>
                <w:szCs w:val="22"/>
              </w:rPr>
              <w:t>年度）</w:t>
            </w:r>
          </w:p>
        </w:tc>
      </w:tr>
      <w:tr>
        <w:tblPrEx>
          <w:tblLayout w:type="fixed"/>
          <w:tblCellMar>
            <w:top w:w="0" w:type="dxa"/>
            <w:left w:w="108" w:type="dxa"/>
            <w:bottom w:w="0" w:type="dxa"/>
            <w:right w:w="108" w:type="dxa"/>
          </w:tblCellMar>
        </w:tblPrEx>
        <w:trPr>
          <w:trHeight w:val="163" w:hRule="atLeast"/>
        </w:trPr>
        <w:tc>
          <w:tcPr>
            <w:tcW w:w="2160" w:type="dxa"/>
            <w:gridSpan w:val="3"/>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专项名称</w:t>
            </w:r>
          </w:p>
        </w:tc>
        <w:tc>
          <w:tcPr>
            <w:tcW w:w="6920" w:type="dxa"/>
            <w:gridSpan w:val="6"/>
            <w:tcBorders>
              <w:top w:val="single" w:color="auto" w:sz="4" w:space="0"/>
              <w:left w:val="nil"/>
              <w:bottom w:val="single" w:color="auto" w:sz="4" w:space="0"/>
              <w:right w:val="single" w:color="auto" w:sz="4" w:space="0"/>
            </w:tcBorders>
            <w:shd w:val="clear" w:color="auto" w:fill="auto"/>
            <w:noWrap w:val="0"/>
            <w:vAlign w:val="center"/>
          </w:tcPr>
          <w:p>
            <w:pPr>
              <w:widowControl/>
              <w:jc w:val="center"/>
              <w:rPr>
                <w:rFonts w:ascii="宋体" w:hAnsi="宋体" w:eastAsia="宋体" w:cs="宋体"/>
                <w:color w:val="000000"/>
                <w:kern w:val="0"/>
                <w:sz w:val="20"/>
                <w:szCs w:val="20"/>
              </w:rPr>
            </w:pPr>
            <w:r>
              <w:rPr>
                <w:rFonts w:hint="eastAsia" w:ascii="仿宋" w:hAnsi="仿宋" w:eastAsia="仿宋" w:cs="仿宋"/>
                <w:i w:val="0"/>
                <w:color w:val="auto"/>
                <w:spacing w:val="0"/>
                <w:kern w:val="0"/>
                <w:sz w:val="24"/>
                <w:szCs w:val="24"/>
                <w:u w:val="none"/>
                <w:lang w:val="en-US" w:eastAsia="zh-CN" w:bidi="ar"/>
              </w:rPr>
              <w:t>自治区资金支持养老项目</w:t>
            </w:r>
            <w:r>
              <w:rPr>
                <w:rFonts w:hint="eastAsia" w:ascii="宋体" w:hAnsi="宋体" w:eastAsia="宋体" w:cs="宋体"/>
                <w:color w:val="000000"/>
                <w:kern w:val="0"/>
                <w:sz w:val="20"/>
                <w:szCs w:val="20"/>
              </w:rPr>
              <w:t>　</w:t>
            </w:r>
          </w:p>
        </w:tc>
      </w:tr>
      <w:tr>
        <w:tblPrEx>
          <w:tblLayout w:type="fixed"/>
          <w:tblCellMar>
            <w:top w:w="0" w:type="dxa"/>
            <w:left w:w="108" w:type="dxa"/>
            <w:bottom w:w="0" w:type="dxa"/>
            <w:right w:w="108" w:type="dxa"/>
          </w:tblCellMar>
        </w:tblPrEx>
        <w:trPr>
          <w:trHeight w:val="159" w:hRule="atLeast"/>
        </w:trPr>
        <w:tc>
          <w:tcPr>
            <w:tcW w:w="2160" w:type="dxa"/>
            <w:gridSpan w:val="3"/>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中央主管部门</w:t>
            </w:r>
          </w:p>
        </w:tc>
        <w:tc>
          <w:tcPr>
            <w:tcW w:w="6920" w:type="dxa"/>
            <w:gridSpan w:val="6"/>
            <w:tcBorders>
              <w:top w:val="single" w:color="auto" w:sz="4" w:space="0"/>
              <w:left w:val="nil"/>
              <w:bottom w:val="single" w:color="auto" w:sz="4" w:space="0"/>
              <w:right w:val="single" w:color="000000" w:sz="4" w:space="0"/>
            </w:tcBorders>
            <w:shd w:val="clear" w:color="auto" w:fill="auto"/>
            <w:noWrap w:val="0"/>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lang w:eastAsia="zh-CN"/>
              </w:rPr>
              <w:t>民政部</w:t>
            </w:r>
            <w:r>
              <w:rPr>
                <w:rFonts w:hint="eastAsia" w:ascii="宋体" w:hAnsi="宋体" w:eastAsia="宋体" w:cs="宋体"/>
                <w:color w:val="000000"/>
                <w:kern w:val="0"/>
                <w:sz w:val="20"/>
                <w:szCs w:val="20"/>
              </w:rPr>
              <w:t>　</w:t>
            </w:r>
          </w:p>
        </w:tc>
      </w:tr>
      <w:tr>
        <w:tblPrEx>
          <w:tblLayout w:type="fixed"/>
          <w:tblCellMar>
            <w:top w:w="0" w:type="dxa"/>
            <w:left w:w="108" w:type="dxa"/>
            <w:bottom w:w="0" w:type="dxa"/>
            <w:right w:w="108" w:type="dxa"/>
          </w:tblCellMar>
        </w:tblPrEx>
        <w:trPr>
          <w:trHeight w:val="163" w:hRule="atLeast"/>
        </w:trPr>
        <w:tc>
          <w:tcPr>
            <w:tcW w:w="2160" w:type="dxa"/>
            <w:gridSpan w:val="3"/>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地方主管部门</w:t>
            </w:r>
          </w:p>
        </w:tc>
        <w:tc>
          <w:tcPr>
            <w:tcW w:w="3363" w:type="dxa"/>
            <w:gridSpan w:val="2"/>
            <w:tcBorders>
              <w:top w:val="single" w:color="auto" w:sz="4" w:space="0"/>
              <w:left w:val="nil"/>
              <w:bottom w:val="single" w:color="auto" w:sz="4" w:space="0"/>
              <w:right w:val="single" w:color="auto" w:sz="4" w:space="0"/>
            </w:tcBorders>
            <w:shd w:val="clear" w:color="auto" w:fill="auto"/>
            <w:noWrap w:val="0"/>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r>
              <w:rPr>
                <w:rFonts w:hint="eastAsia" w:ascii="仿宋" w:hAnsi="仿宋" w:eastAsia="仿宋" w:cs="仿宋"/>
                <w:i w:val="0"/>
                <w:color w:val="auto"/>
                <w:spacing w:val="0"/>
                <w:kern w:val="0"/>
                <w:sz w:val="24"/>
                <w:szCs w:val="24"/>
                <w:u w:val="none"/>
                <w:lang w:val="en-US" w:eastAsia="zh-CN" w:bidi="ar"/>
              </w:rPr>
              <w:t>自治区民政厅</w:t>
            </w:r>
          </w:p>
        </w:tc>
        <w:tc>
          <w:tcPr>
            <w:tcW w:w="1124" w:type="dxa"/>
            <w:tcBorders>
              <w:top w:val="nil"/>
              <w:left w:val="nil"/>
              <w:bottom w:val="single" w:color="auto" w:sz="4" w:space="0"/>
              <w:right w:val="single" w:color="auto" w:sz="4" w:space="0"/>
            </w:tcBorders>
            <w:shd w:val="clear" w:color="auto" w:fill="auto"/>
            <w:noWrap w:val="0"/>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实施单位</w:t>
            </w:r>
          </w:p>
        </w:tc>
        <w:tc>
          <w:tcPr>
            <w:tcW w:w="2433" w:type="dxa"/>
            <w:gridSpan w:val="3"/>
            <w:tcBorders>
              <w:top w:val="single" w:color="auto" w:sz="4" w:space="0"/>
              <w:left w:val="nil"/>
              <w:bottom w:val="single" w:color="auto" w:sz="4" w:space="0"/>
              <w:right w:val="single" w:color="auto" w:sz="4" w:space="0"/>
            </w:tcBorders>
            <w:shd w:val="clear" w:color="auto" w:fill="auto"/>
            <w:noWrap w:val="0"/>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lang w:eastAsia="zh-CN"/>
              </w:rPr>
              <w:t>各地州民政局</w:t>
            </w:r>
            <w:r>
              <w:rPr>
                <w:rFonts w:hint="eastAsia" w:ascii="宋体" w:hAnsi="宋体" w:eastAsia="宋体" w:cs="宋体"/>
                <w:color w:val="000000"/>
                <w:kern w:val="0"/>
                <w:sz w:val="20"/>
                <w:szCs w:val="20"/>
              </w:rPr>
              <w:t>　</w:t>
            </w:r>
          </w:p>
        </w:tc>
      </w:tr>
      <w:tr>
        <w:tblPrEx>
          <w:tblLayout w:type="fixed"/>
          <w:tblCellMar>
            <w:top w:w="0" w:type="dxa"/>
            <w:left w:w="108" w:type="dxa"/>
            <w:bottom w:w="0" w:type="dxa"/>
            <w:right w:w="108" w:type="dxa"/>
          </w:tblCellMar>
        </w:tblPrEx>
        <w:trPr>
          <w:trHeight w:val="333" w:hRule="atLeast"/>
        </w:trPr>
        <w:tc>
          <w:tcPr>
            <w:tcW w:w="2160" w:type="dxa"/>
            <w:gridSpan w:val="3"/>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项目资金（万元）</w:t>
            </w:r>
          </w:p>
        </w:tc>
        <w:tc>
          <w:tcPr>
            <w:tcW w:w="1737" w:type="dxa"/>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c>
          <w:tcPr>
            <w:tcW w:w="1626" w:type="dxa"/>
            <w:tcBorders>
              <w:top w:val="nil"/>
              <w:left w:val="nil"/>
              <w:bottom w:val="single" w:color="auto" w:sz="4" w:space="0"/>
              <w:right w:val="single" w:color="auto" w:sz="4" w:space="0"/>
            </w:tcBorders>
            <w:shd w:val="clear" w:color="auto" w:fill="auto"/>
            <w:noWrap w:val="0"/>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全年预算数（A,含结余结转）</w:t>
            </w:r>
          </w:p>
        </w:tc>
        <w:tc>
          <w:tcPr>
            <w:tcW w:w="2330" w:type="dxa"/>
            <w:gridSpan w:val="2"/>
            <w:tcBorders>
              <w:top w:val="single" w:color="auto" w:sz="4" w:space="0"/>
              <w:left w:val="nil"/>
              <w:bottom w:val="single" w:color="auto" w:sz="4" w:space="0"/>
              <w:right w:val="single" w:color="auto" w:sz="4" w:space="0"/>
            </w:tcBorders>
            <w:shd w:val="clear" w:color="auto" w:fill="auto"/>
            <w:noWrap w:val="0"/>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全年执行数（B）</w:t>
            </w:r>
          </w:p>
        </w:tc>
        <w:tc>
          <w:tcPr>
            <w:tcW w:w="1227" w:type="dxa"/>
            <w:gridSpan w:val="2"/>
            <w:tcBorders>
              <w:top w:val="nil"/>
              <w:left w:val="nil"/>
              <w:bottom w:val="single" w:color="auto" w:sz="4" w:space="0"/>
              <w:right w:val="single" w:color="auto" w:sz="4" w:space="0"/>
            </w:tcBorders>
            <w:shd w:val="clear" w:color="auto" w:fill="auto"/>
            <w:noWrap w:val="0"/>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执行率（B/A)</w:t>
            </w:r>
          </w:p>
        </w:tc>
      </w:tr>
      <w:tr>
        <w:tblPrEx>
          <w:tblLayout w:type="fixed"/>
          <w:tblCellMar>
            <w:top w:w="0" w:type="dxa"/>
            <w:left w:w="108" w:type="dxa"/>
            <w:bottom w:w="0" w:type="dxa"/>
            <w:right w:w="108" w:type="dxa"/>
          </w:tblCellMar>
        </w:tblPrEx>
        <w:trPr>
          <w:trHeight w:val="159" w:hRule="atLeast"/>
        </w:trPr>
        <w:tc>
          <w:tcPr>
            <w:tcW w:w="2160" w:type="dxa"/>
            <w:gridSpan w:val="3"/>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eastAsia="宋体" w:cs="宋体"/>
                <w:color w:val="000000"/>
                <w:kern w:val="0"/>
                <w:sz w:val="20"/>
                <w:szCs w:val="20"/>
              </w:rPr>
            </w:pPr>
          </w:p>
        </w:tc>
        <w:tc>
          <w:tcPr>
            <w:tcW w:w="1737" w:type="dxa"/>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年度资金总额：</w:t>
            </w:r>
          </w:p>
        </w:tc>
        <w:tc>
          <w:tcPr>
            <w:tcW w:w="1626" w:type="dxa"/>
            <w:tcBorders>
              <w:top w:val="nil"/>
              <w:left w:val="nil"/>
              <w:bottom w:val="single" w:color="auto" w:sz="4" w:space="0"/>
              <w:right w:val="single" w:color="auto" w:sz="4" w:space="0"/>
            </w:tcBorders>
            <w:shd w:val="clear" w:color="auto" w:fill="auto"/>
            <w:noWrap w:val="0"/>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rPr>
              <w:t>19500</w:t>
            </w:r>
            <w:r>
              <w:rPr>
                <w:rFonts w:hint="eastAsia" w:ascii="宋体" w:hAnsi="宋体" w:eastAsia="宋体" w:cs="宋体"/>
                <w:color w:val="000000"/>
                <w:kern w:val="0"/>
                <w:sz w:val="20"/>
                <w:szCs w:val="20"/>
              </w:rPr>
              <w:t>　</w:t>
            </w:r>
          </w:p>
        </w:tc>
        <w:tc>
          <w:tcPr>
            <w:tcW w:w="2330" w:type="dxa"/>
            <w:gridSpan w:val="2"/>
            <w:tcBorders>
              <w:top w:val="single" w:color="auto" w:sz="4" w:space="0"/>
              <w:left w:val="nil"/>
              <w:bottom w:val="single" w:color="auto" w:sz="4" w:space="0"/>
              <w:right w:val="single" w:color="auto" w:sz="4" w:space="0"/>
            </w:tcBorders>
            <w:shd w:val="clear" w:color="auto" w:fill="auto"/>
            <w:noWrap w:val="0"/>
            <w:vAlign w:val="center"/>
          </w:tcPr>
          <w:p>
            <w:pPr>
              <w:widowControl/>
              <w:jc w:val="center"/>
              <w:rPr>
                <w:rFonts w:hint="default"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19500</w:t>
            </w:r>
          </w:p>
        </w:tc>
        <w:tc>
          <w:tcPr>
            <w:tcW w:w="1227" w:type="dxa"/>
            <w:gridSpan w:val="2"/>
            <w:tcBorders>
              <w:top w:val="nil"/>
              <w:left w:val="nil"/>
              <w:bottom w:val="single" w:color="auto" w:sz="4" w:space="0"/>
              <w:right w:val="single" w:color="auto" w:sz="4" w:space="0"/>
            </w:tcBorders>
            <w:shd w:val="clear" w:color="auto" w:fill="auto"/>
            <w:noWrap w:val="0"/>
            <w:vAlign w:val="center"/>
          </w:tcPr>
          <w:p>
            <w:pPr>
              <w:widowControl/>
              <w:jc w:val="center"/>
              <w:rPr>
                <w:rFonts w:hint="default"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100%</w:t>
            </w:r>
          </w:p>
        </w:tc>
      </w:tr>
      <w:tr>
        <w:tblPrEx>
          <w:tblLayout w:type="fixed"/>
          <w:tblCellMar>
            <w:top w:w="0" w:type="dxa"/>
            <w:left w:w="108" w:type="dxa"/>
            <w:bottom w:w="0" w:type="dxa"/>
            <w:right w:w="108" w:type="dxa"/>
          </w:tblCellMar>
        </w:tblPrEx>
        <w:trPr>
          <w:trHeight w:val="159" w:hRule="atLeast"/>
        </w:trPr>
        <w:tc>
          <w:tcPr>
            <w:tcW w:w="2160" w:type="dxa"/>
            <w:gridSpan w:val="3"/>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eastAsia="宋体" w:cs="宋体"/>
                <w:color w:val="000000"/>
                <w:kern w:val="0"/>
                <w:sz w:val="20"/>
                <w:szCs w:val="20"/>
              </w:rPr>
            </w:pPr>
          </w:p>
        </w:tc>
        <w:tc>
          <w:tcPr>
            <w:tcW w:w="1737" w:type="dxa"/>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 xml:space="preserve"> 其中：中央补助</w:t>
            </w:r>
          </w:p>
        </w:tc>
        <w:tc>
          <w:tcPr>
            <w:tcW w:w="1626" w:type="dxa"/>
            <w:tcBorders>
              <w:top w:val="nil"/>
              <w:left w:val="nil"/>
              <w:bottom w:val="single" w:color="auto" w:sz="4" w:space="0"/>
              <w:right w:val="single" w:color="auto" w:sz="4" w:space="0"/>
            </w:tcBorders>
            <w:shd w:val="clear" w:color="auto" w:fill="auto"/>
            <w:noWrap w:val="0"/>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rPr>
              <w:t>19500</w:t>
            </w:r>
            <w:r>
              <w:rPr>
                <w:rFonts w:hint="eastAsia" w:ascii="宋体" w:hAnsi="宋体" w:eastAsia="宋体" w:cs="宋体"/>
                <w:color w:val="000000"/>
                <w:kern w:val="0"/>
                <w:sz w:val="20"/>
                <w:szCs w:val="20"/>
              </w:rPr>
              <w:t>　</w:t>
            </w:r>
          </w:p>
        </w:tc>
        <w:tc>
          <w:tcPr>
            <w:tcW w:w="2330" w:type="dxa"/>
            <w:gridSpan w:val="2"/>
            <w:tcBorders>
              <w:top w:val="single" w:color="auto" w:sz="4" w:space="0"/>
              <w:left w:val="nil"/>
              <w:bottom w:val="single" w:color="auto" w:sz="4" w:space="0"/>
              <w:right w:val="single" w:color="auto" w:sz="4" w:space="0"/>
            </w:tcBorders>
            <w:shd w:val="clear" w:color="auto" w:fill="auto"/>
            <w:noWrap w:val="0"/>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rPr>
              <w:t>19500</w:t>
            </w:r>
          </w:p>
        </w:tc>
        <w:tc>
          <w:tcPr>
            <w:tcW w:w="1227" w:type="dxa"/>
            <w:gridSpan w:val="2"/>
            <w:tcBorders>
              <w:top w:val="nil"/>
              <w:left w:val="nil"/>
              <w:bottom w:val="single" w:color="auto" w:sz="4" w:space="0"/>
              <w:right w:val="single" w:color="auto" w:sz="4" w:space="0"/>
            </w:tcBorders>
            <w:shd w:val="clear" w:color="auto" w:fill="auto"/>
            <w:noWrap w:val="0"/>
            <w:vAlign w:val="center"/>
          </w:tcPr>
          <w:p>
            <w:pPr>
              <w:widowControl/>
              <w:jc w:val="center"/>
              <w:rPr>
                <w:rFonts w:hint="default"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100%</w:t>
            </w:r>
          </w:p>
        </w:tc>
      </w:tr>
      <w:tr>
        <w:tblPrEx>
          <w:tblLayout w:type="fixed"/>
          <w:tblCellMar>
            <w:top w:w="0" w:type="dxa"/>
            <w:left w:w="108" w:type="dxa"/>
            <w:bottom w:w="0" w:type="dxa"/>
            <w:right w:w="108" w:type="dxa"/>
          </w:tblCellMar>
        </w:tblPrEx>
        <w:trPr>
          <w:trHeight w:val="159" w:hRule="atLeast"/>
        </w:trPr>
        <w:tc>
          <w:tcPr>
            <w:tcW w:w="2160" w:type="dxa"/>
            <w:gridSpan w:val="3"/>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eastAsia="宋体" w:cs="宋体"/>
                <w:color w:val="000000"/>
                <w:kern w:val="0"/>
                <w:sz w:val="20"/>
                <w:szCs w:val="20"/>
              </w:rPr>
            </w:pPr>
          </w:p>
        </w:tc>
        <w:tc>
          <w:tcPr>
            <w:tcW w:w="1737" w:type="dxa"/>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 xml:space="preserve">       地方资金</w:t>
            </w:r>
          </w:p>
        </w:tc>
        <w:tc>
          <w:tcPr>
            <w:tcW w:w="1626" w:type="dxa"/>
            <w:tcBorders>
              <w:top w:val="nil"/>
              <w:left w:val="nil"/>
              <w:bottom w:val="single" w:color="auto" w:sz="4" w:space="0"/>
              <w:right w:val="single" w:color="auto" w:sz="4" w:space="0"/>
            </w:tcBorders>
            <w:shd w:val="clear" w:color="auto" w:fill="auto"/>
            <w:noWrap w:val="0"/>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c>
          <w:tcPr>
            <w:tcW w:w="2330" w:type="dxa"/>
            <w:gridSpan w:val="2"/>
            <w:tcBorders>
              <w:top w:val="single" w:color="auto" w:sz="4" w:space="0"/>
              <w:left w:val="nil"/>
              <w:bottom w:val="single" w:color="auto" w:sz="4" w:space="0"/>
              <w:right w:val="single" w:color="auto" w:sz="4" w:space="0"/>
            </w:tcBorders>
            <w:shd w:val="clear" w:color="auto" w:fill="auto"/>
            <w:noWrap w:val="0"/>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c>
          <w:tcPr>
            <w:tcW w:w="1227" w:type="dxa"/>
            <w:gridSpan w:val="2"/>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tblPrEx>
          <w:tblLayout w:type="fixed"/>
          <w:tblCellMar>
            <w:top w:w="0" w:type="dxa"/>
            <w:left w:w="108" w:type="dxa"/>
            <w:bottom w:w="0" w:type="dxa"/>
            <w:right w:w="108" w:type="dxa"/>
          </w:tblCellMar>
        </w:tblPrEx>
        <w:trPr>
          <w:trHeight w:val="309" w:hRule="atLeast"/>
        </w:trPr>
        <w:tc>
          <w:tcPr>
            <w:tcW w:w="2160" w:type="dxa"/>
            <w:gridSpan w:val="3"/>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eastAsia="宋体" w:cs="宋体"/>
                <w:color w:val="000000"/>
                <w:kern w:val="0"/>
                <w:sz w:val="20"/>
                <w:szCs w:val="20"/>
              </w:rPr>
            </w:pPr>
          </w:p>
        </w:tc>
        <w:tc>
          <w:tcPr>
            <w:tcW w:w="1737" w:type="dxa"/>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 xml:space="preserve">       其他资金</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 xml:space="preserve">   </w:t>
            </w:r>
          </w:p>
        </w:tc>
        <w:tc>
          <w:tcPr>
            <w:tcW w:w="1626" w:type="dxa"/>
            <w:tcBorders>
              <w:top w:val="nil"/>
              <w:left w:val="nil"/>
              <w:bottom w:val="single" w:color="auto" w:sz="4" w:space="0"/>
              <w:right w:val="single" w:color="auto" w:sz="4" w:space="0"/>
            </w:tcBorders>
            <w:shd w:val="clear" w:color="auto" w:fill="auto"/>
            <w:noWrap w:val="0"/>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c>
          <w:tcPr>
            <w:tcW w:w="2330" w:type="dxa"/>
            <w:gridSpan w:val="2"/>
            <w:tcBorders>
              <w:top w:val="single" w:color="auto" w:sz="4" w:space="0"/>
              <w:left w:val="nil"/>
              <w:bottom w:val="single" w:color="auto" w:sz="4" w:space="0"/>
              <w:right w:val="single" w:color="000000" w:sz="4" w:space="0"/>
            </w:tcBorders>
            <w:shd w:val="clear" w:color="auto" w:fill="auto"/>
            <w:noWrap w:val="0"/>
            <w:vAlign w:val="center"/>
          </w:tcPr>
          <w:p>
            <w:pPr>
              <w:widowControl/>
              <w:jc w:val="center"/>
              <w:rPr>
                <w:rFonts w:ascii="宋体" w:hAnsi="宋体" w:eastAsia="宋体" w:cs="宋体"/>
                <w:color w:val="000000"/>
                <w:kern w:val="0"/>
                <w:sz w:val="20"/>
                <w:szCs w:val="20"/>
              </w:rPr>
            </w:pPr>
            <w:bookmarkStart w:id="0" w:name="_GoBack"/>
            <w:bookmarkEnd w:id="0"/>
            <w:r>
              <w:rPr>
                <w:rFonts w:hint="eastAsia" w:ascii="宋体" w:hAnsi="宋体" w:eastAsia="宋体" w:cs="宋体"/>
                <w:color w:val="000000"/>
                <w:kern w:val="0"/>
                <w:sz w:val="20"/>
                <w:szCs w:val="20"/>
              </w:rPr>
              <w:t>　</w:t>
            </w:r>
          </w:p>
        </w:tc>
        <w:tc>
          <w:tcPr>
            <w:tcW w:w="1227" w:type="dxa"/>
            <w:gridSpan w:val="2"/>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tblPrEx>
          <w:tblLayout w:type="fixed"/>
          <w:tblCellMar>
            <w:top w:w="0" w:type="dxa"/>
            <w:left w:w="108" w:type="dxa"/>
            <w:bottom w:w="0" w:type="dxa"/>
            <w:right w:w="108" w:type="dxa"/>
          </w:tblCellMar>
        </w:tblPrEx>
        <w:trPr>
          <w:trHeight w:val="163" w:hRule="atLeast"/>
        </w:trPr>
        <w:tc>
          <w:tcPr>
            <w:tcW w:w="554" w:type="dxa"/>
            <w:vMerge w:val="restart"/>
            <w:tcBorders>
              <w:top w:val="nil"/>
              <w:left w:val="single" w:color="auto" w:sz="4" w:space="0"/>
              <w:bottom w:val="single" w:color="000000" w:sz="4" w:space="0"/>
              <w:right w:val="single" w:color="auto" w:sz="4" w:space="0"/>
            </w:tcBorders>
            <w:shd w:val="clear" w:color="auto" w:fill="auto"/>
            <w:noWrap w:val="0"/>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年度总体目标</w:t>
            </w:r>
          </w:p>
        </w:tc>
        <w:tc>
          <w:tcPr>
            <w:tcW w:w="4969" w:type="dxa"/>
            <w:gridSpan w:val="4"/>
            <w:tcBorders>
              <w:top w:val="single" w:color="auto" w:sz="4" w:space="0"/>
              <w:left w:val="nil"/>
              <w:bottom w:val="single" w:color="auto" w:sz="4" w:space="0"/>
              <w:right w:val="single" w:color="000000" w:sz="4" w:space="0"/>
            </w:tcBorders>
            <w:shd w:val="clear" w:color="auto" w:fill="auto"/>
            <w:noWrap w:val="0"/>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年初设定目标</w:t>
            </w:r>
          </w:p>
        </w:tc>
        <w:tc>
          <w:tcPr>
            <w:tcW w:w="3557" w:type="dxa"/>
            <w:gridSpan w:val="4"/>
            <w:tcBorders>
              <w:top w:val="single" w:color="auto" w:sz="4" w:space="0"/>
              <w:left w:val="nil"/>
              <w:bottom w:val="single" w:color="auto" w:sz="4" w:space="0"/>
              <w:right w:val="single" w:color="000000" w:sz="4" w:space="0"/>
            </w:tcBorders>
            <w:shd w:val="clear" w:color="auto" w:fill="auto"/>
            <w:noWrap w:val="0"/>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全年实际完成情况</w:t>
            </w:r>
          </w:p>
        </w:tc>
      </w:tr>
      <w:tr>
        <w:tblPrEx>
          <w:tblLayout w:type="fixed"/>
          <w:tblCellMar>
            <w:top w:w="0" w:type="dxa"/>
            <w:left w:w="108" w:type="dxa"/>
            <w:bottom w:w="0" w:type="dxa"/>
            <w:right w:w="108" w:type="dxa"/>
          </w:tblCellMar>
        </w:tblPrEx>
        <w:trPr>
          <w:trHeight w:val="909" w:hRule="atLeast"/>
        </w:trPr>
        <w:tc>
          <w:tcPr>
            <w:tcW w:w="554" w:type="dxa"/>
            <w:vMerge w:val="continue"/>
            <w:tcBorders>
              <w:top w:val="nil"/>
              <w:left w:val="single" w:color="auto" w:sz="4" w:space="0"/>
              <w:bottom w:val="single" w:color="000000" w:sz="4" w:space="0"/>
              <w:right w:val="single" w:color="auto" w:sz="4" w:space="0"/>
            </w:tcBorders>
            <w:shd w:val="clear" w:color="auto" w:fill="auto"/>
            <w:noWrap w:val="0"/>
            <w:vAlign w:val="center"/>
          </w:tcPr>
          <w:p>
            <w:pPr>
              <w:widowControl/>
              <w:jc w:val="left"/>
              <w:rPr>
                <w:rFonts w:ascii="宋体" w:hAnsi="宋体" w:eastAsia="宋体" w:cs="宋体"/>
                <w:color w:val="000000"/>
                <w:kern w:val="0"/>
                <w:sz w:val="20"/>
                <w:szCs w:val="20"/>
              </w:rPr>
            </w:pPr>
          </w:p>
        </w:tc>
        <w:tc>
          <w:tcPr>
            <w:tcW w:w="4969" w:type="dxa"/>
            <w:gridSpan w:val="4"/>
            <w:tcBorders>
              <w:top w:val="single" w:color="auto" w:sz="4" w:space="0"/>
              <w:left w:val="nil"/>
              <w:bottom w:val="single" w:color="auto" w:sz="4" w:space="0"/>
              <w:right w:val="single" w:color="auto" w:sz="4" w:space="0"/>
            </w:tcBorders>
            <w:shd w:val="clear" w:color="auto" w:fill="auto"/>
            <w:noWrap w:val="0"/>
            <w:vAlign w:val="center"/>
          </w:tcPr>
          <w:p>
            <w:pPr>
              <w:widowControl/>
              <w:jc w:val="center"/>
              <w:rPr>
                <w:rFonts w:hint="eastAsia" w:asciiTheme="minorEastAsia" w:hAnsiTheme="minorEastAsia" w:eastAsiaTheme="minorEastAsia" w:cstheme="minorEastAsia"/>
                <w:color w:val="000000"/>
                <w:kern w:val="0"/>
                <w:sz w:val="20"/>
                <w:szCs w:val="20"/>
              </w:rPr>
            </w:pPr>
            <w:r>
              <w:rPr>
                <w:rStyle w:val="48"/>
                <w:rFonts w:hint="eastAsia" w:asciiTheme="minorEastAsia" w:hAnsiTheme="minorEastAsia" w:eastAsiaTheme="minorEastAsia" w:cstheme="minorEastAsia"/>
                <w:color w:val="auto"/>
                <w:spacing w:val="0"/>
                <w:lang w:val="en-US" w:eastAsia="zh-CN" w:bidi="ar"/>
              </w:rPr>
              <w:t xml:space="preserve">   资助地县新建、改扩建及设施设备配备,改善养老、儿童福利机构、设施条件，补助</w:t>
            </w:r>
            <w:r>
              <w:rPr>
                <w:rFonts w:hint="eastAsia" w:asciiTheme="minorEastAsia" w:hAnsiTheme="minorEastAsia" w:eastAsiaTheme="minorEastAsia" w:cstheme="minorEastAsia"/>
                <w:i w:val="0"/>
                <w:color w:val="auto"/>
                <w:spacing w:val="0"/>
                <w:kern w:val="0"/>
                <w:sz w:val="20"/>
                <w:szCs w:val="20"/>
                <w:u w:val="none"/>
                <w:lang w:val="en-US" w:eastAsia="zh-CN" w:bidi="ar"/>
              </w:rPr>
              <w:t>“双集中”社会福利机构护理补贴，</w:t>
            </w:r>
            <w:r>
              <w:rPr>
                <w:rStyle w:val="48"/>
                <w:rFonts w:hint="eastAsia" w:asciiTheme="minorEastAsia" w:hAnsiTheme="minorEastAsia" w:eastAsiaTheme="minorEastAsia" w:cstheme="minorEastAsia"/>
                <w:color w:val="auto"/>
                <w:spacing w:val="0"/>
                <w:lang w:val="en-US" w:eastAsia="zh-CN" w:bidi="ar"/>
              </w:rPr>
              <w:t>提高机构的服务和保障能力，保障特困对象、孤儿合法权益，使他们切实感受到党和政府的关怀,切实增强他们的获得感、幸福感和安全感，为新疆社会稳定和长治久安奠定坚实基础。</w:t>
            </w:r>
            <w:r>
              <w:rPr>
                <w:rFonts w:hint="eastAsia" w:asciiTheme="minorEastAsia" w:hAnsiTheme="minorEastAsia" w:eastAsiaTheme="minorEastAsia" w:cstheme="minorEastAsia"/>
                <w:color w:val="000000"/>
                <w:kern w:val="0"/>
                <w:sz w:val="20"/>
                <w:szCs w:val="20"/>
              </w:rPr>
              <w:t>　</w:t>
            </w:r>
          </w:p>
        </w:tc>
        <w:tc>
          <w:tcPr>
            <w:tcW w:w="3557" w:type="dxa"/>
            <w:gridSpan w:val="4"/>
            <w:tcBorders>
              <w:top w:val="single" w:color="auto" w:sz="4" w:space="0"/>
              <w:left w:val="nil"/>
              <w:bottom w:val="single" w:color="auto" w:sz="4" w:space="0"/>
              <w:right w:val="single" w:color="auto" w:sz="4" w:space="0"/>
            </w:tcBorders>
            <w:shd w:val="clear" w:color="auto" w:fill="auto"/>
            <w:noWrap w:val="0"/>
            <w:vAlign w:val="center"/>
          </w:tcPr>
          <w:p>
            <w:pPr>
              <w:widowControl/>
              <w:jc w:val="center"/>
              <w:rPr>
                <w:rFonts w:hint="eastAsia" w:asciiTheme="minorEastAsia" w:hAnsiTheme="minorEastAsia" w:eastAsiaTheme="minorEastAsia" w:cstheme="minorEastAsia"/>
                <w:color w:val="000000"/>
                <w:kern w:val="0"/>
                <w:sz w:val="20"/>
                <w:szCs w:val="20"/>
              </w:rPr>
            </w:pPr>
            <w:r>
              <w:rPr>
                <w:rFonts w:hint="eastAsia" w:asciiTheme="minorEastAsia" w:hAnsiTheme="minorEastAsia" w:eastAsiaTheme="minorEastAsia" w:cstheme="minorEastAsia"/>
                <w:color w:val="000000"/>
                <w:kern w:val="0"/>
                <w:sz w:val="20"/>
                <w:szCs w:val="20"/>
                <w:lang w:eastAsia="zh-CN"/>
              </w:rPr>
              <w:t>完成大部分</w:t>
            </w:r>
            <w:r>
              <w:rPr>
                <w:rStyle w:val="48"/>
                <w:rFonts w:hint="eastAsia" w:asciiTheme="minorEastAsia" w:hAnsiTheme="minorEastAsia" w:eastAsiaTheme="minorEastAsia" w:cstheme="minorEastAsia"/>
                <w:color w:val="auto"/>
                <w:spacing w:val="0"/>
                <w:lang w:val="en-US" w:eastAsia="zh-CN" w:bidi="ar"/>
              </w:rPr>
              <w:t>地县新建、改扩建及设施设备配备,改善养老、儿童福利机构、设施条件，保障全年护理补贴按时发放。</w:t>
            </w:r>
          </w:p>
        </w:tc>
      </w:tr>
      <w:tr>
        <w:tblPrEx>
          <w:tblLayout w:type="fixed"/>
          <w:tblCellMar>
            <w:top w:w="0" w:type="dxa"/>
            <w:left w:w="108" w:type="dxa"/>
            <w:bottom w:w="0" w:type="dxa"/>
            <w:right w:w="108" w:type="dxa"/>
          </w:tblCellMar>
        </w:tblPrEx>
        <w:trPr>
          <w:trHeight w:val="528" w:hRule="atLeast"/>
        </w:trPr>
        <w:tc>
          <w:tcPr>
            <w:tcW w:w="554" w:type="dxa"/>
            <w:vMerge w:val="restart"/>
            <w:tcBorders>
              <w:top w:val="nil"/>
              <w:left w:val="single" w:color="auto" w:sz="4" w:space="0"/>
              <w:bottom w:val="single" w:color="auto" w:sz="4" w:space="0"/>
              <w:right w:val="single" w:color="auto" w:sz="4" w:space="0"/>
            </w:tcBorders>
            <w:shd w:val="clear" w:color="auto" w:fill="auto"/>
            <w:noWrap w:val="0"/>
            <w:textDirection w:val="tbRlV"/>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绩效指标</w:t>
            </w:r>
          </w:p>
        </w:tc>
        <w:tc>
          <w:tcPr>
            <w:tcW w:w="914" w:type="dxa"/>
            <w:tcBorders>
              <w:top w:val="nil"/>
              <w:left w:val="nil"/>
              <w:bottom w:val="single" w:color="auto" w:sz="4" w:space="0"/>
              <w:right w:val="single" w:color="auto" w:sz="4" w:space="0"/>
            </w:tcBorders>
            <w:shd w:val="clear" w:color="auto" w:fill="auto"/>
            <w:noWrap w:val="0"/>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一级</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指标</w:t>
            </w:r>
          </w:p>
        </w:tc>
        <w:tc>
          <w:tcPr>
            <w:tcW w:w="692" w:type="dxa"/>
            <w:tcBorders>
              <w:top w:val="nil"/>
              <w:left w:val="nil"/>
              <w:bottom w:val="single" w:color="auto" w:sz="4" w:space="0"/>
              <w:right w:val="single" w:color="auto" w:sz="4" w:space="0"/>
            </w:tcBorders>
            <w:shd w:val="clear" w:color="auto" w:fill="auto"/>
            <w:noWrap w:val="0"/>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二级指标</w:t>
            </w:r>
          </w:p>
        </w:tc>
        <w:tc>
          <w:tcPr>
            <w:tcW w:w="3363" w:type="dxa"/>
            <w:gridSpan w:val="2"/>
            <w:tcBorders>
              <w:top w:val="single" w:color="auto" w:sz="4" w:space="0"/>
              <w:left w:val="nil"/>
              <w:bottom w:val="single" w:color="auto" w:sz="4" w:space="0"/>
              <w:right w:val="single" w:color="auto" w:sz="4" w:space="0"/>
            </w:tcBorders>
            <w:shd w:val="clear" w:color="auto" w:fill="auto"/>
            <w:noWrap w:val="0"/>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三级指标</w:t>
            </w:r>
          </w:p>
        </w:tc>
        <w:tc>
          <w:tcPr>
            <w:tcW w:w="1124" w:type="dxa"/>
            <w:tcBorders>
              <w:top w:val="nil"/>
              <w:left w:val="nil"/>
              <w:bottom w:val="single" w:color="auto" w:sz="4" w:space="0"/>
              <w:right w:val="single" w:color="auto" w:sz="4" w:space="0"/>
            </w:tcBorders>
            <w:shd w:val="clear" w:color="auto" w:fill="auto"/>
            <w:noWrap w:val="0"/>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年度指标值</w:t>
            </w:r>
          </w:p>
        </w:tc>
        <w:tc>
          <w:tcPr>
            <w:tcW w:w="1207" w:type="dxa"/>
            <w:gridSpan w:val="2"/>
            <w:tcBorders>
              <w:top w:val="nil"/>
              <w:left w:val="nil"/>
              <w:bottom w:val="single" w:color="auto" w:sz="4" w:space="0"/>
              <w:right w:val="single" w:color="auto" w:sz="4" w:space="0"/>
            </w:tcBorders>
            <w:shd w:val="clear" w:color="auto" w:fill="auto"/>
            <w:noWrap w:val="0"/>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全年完成值</w:t>
            </w:r>
          </w:p>
        </w:tc>
        <w:tc>
          <w:tcPr>
            <w:tcW w:w="1226" w:type="dxa"/>
            <w:tcBorders>
              <w:top w:val="nil"/>
              <w:left w:val="nil"/>
              <w:bottom w:val="single" w:color="auto" w:sz="4" w:space="0"/>
              <w:right w:val="single" w:color="auto" w:sz="4" w:space="0"/>
            </w:tcBorders>
            <w:shd w:val="clear" w:color="auto" w:fill="auto"/>
            <w:noWrap w:val="0"/>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未完成原因和改进措施</w:t>
            </w:r>
          </w:p>
        </w:tc>
      </w:tr>
      <w:tr>
        <w:tblPrEx>
          <w:tblLayout w:type="fixed"/>
          <w:tblCellMar>
            <w:top w:w="0" w:type="dxa"/>
            <w:left w:w="108" w:type="dxa"/>
            <w:bottom w:w="0" w:type="dxa"/>
            <w:right w:w="108" w:type="dxa"/>
          </w:tblCellMar>
        </w:tblPrEx>
        <w:trPr>
          <w:trHeight w:val="309" w:hRule="atLeast"/>
        </w:trPr>
        <w:tc>
          <w:tcPr>
            <w:tcW w:w="554"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eastAsia="宋体" w:cs="宋体"/>
                <w:color w:val="000000"/>
                <w:kern w:val="0"/>
                <w:sz w:val="20"/>
                <w:szCs w:val="20"/>
              </w:rPr>
            </w:pPr>
          </w:p>
        </w:tc>
        <w:tc>
          <w:tcPr>
            <w:tcW w:w="914" w:type="dxa"/>
            <w:vMerge w:val="restart"/>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产</w:t>
            </w:r>
            <w:r>
              <w:rPr>
                <w:rFonts w:hint="eastAsia" w:ascii="宋体" w:hAnsi="宋体" w:eastAsia="宋体" w:cs="宋体"/>
                <w:kern w:val="0"/>
                <w:sz w:val="20"/>
                <w:szCs w:val="20"/>
              </w:rPr>
              <w:br w:type="textWrapping"/>
            </w:r>
            <w:r>
              <w:rPr>
                <w:rFonts w:hint="eastAsia" w:ascii="宋体" w:hAnsi="宋体" w:eastAsia="宋体" w:cs="宋体"/>
                <w:kern w:val="0"/>
                <w:sz w:val="20"/>
                <w:szCs w:val="20"/>
              </w:rPr>
              <w:t>出</w:t>
            </w:r>
            <w:r>
              <w:rPr>
                <w:rFonts w:hint="eastAsia" w:ascii="宋体" w:hAnsi="宋体" w:eastAsia="宋体" w:cs="宋体"/>
                <w:kern w:val="0"/>
                <w:sz w:val="20"/>
                <w:szCs w:val="20"/>
              </w:rPr>
              <w:br w:type="textWrapping"/>
            </w:r>
            <w:r>
              <w:rPr>
                <w:rFonts w:hint="eastAsia" w:ascii="宋体" w:hAnsi="宋体" w:eastAsia="宋体" w:cs="宋体"/>
                <w:kern w:val="0"/>
                <w:sz w:val="20"/>
                <w:szCs w:val="20"/>
              </w:rPr>
              <w:t>指</w:t>
            </w:r>
            <w:r>
              <w:rPr>
                <w:rFonts w:hint="eastAsia" w:ascii="宋体" w:hAnsi="宋体" w:eastAsia="宋体" w:cs="宋体"/>
                <w:kern w:val="0"/>
                <w:sz w:val="20"/>
                <w:szCs w:val="20"/>
              </w:rPr>
              <w:br w:type="textWrapping"/>
            </w:r>
            <w:r>
              <w:rPr>
                <w:rFonts w:hint="eastAsia" w:ascii="宋体" w:hAnsi="宋体" w:eastAsia="宋体" w:cs="宋体"/>
                <w:kern w:val="0"/>
                <w:sz w:val="20"/>
                <w:szCs w:val="20"/>
              </w:rPr>
              <w:t>标</w:t>
            </w:r>
          </w:p>
        </w:tc>
        <w:tc>
          <w:tcPr>
            <w:tcW w:w="692" w:type="dxa"/>
            <w:vMerge w:val="restart"/>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数量指标</w:t>
            </w:r>
          </w:p>
        </w:tc>
        <w:tc>
          <w:tcPr>
            <w:tcW w:w="3363" w:type="dxa"/>
            <w:gridSpan w:val="2"/>
            <w:tcBorders>
              <w:top w:val="single" w:color="auto" w:sz="4" w:space="0"/>
              <w:left w:val="nil"/>
              <w:bottom w:val="single" w:color="auto" w:sz="4" w:space="0"/>
              <w:right w:val="single" w:color="auto" w:sz="4" w:space="0"/>
            </w:tcBorders>
            <w:shd w:val="clear" w:color="auto" w:fill="auto"/>
            <w:noWrap w:val="0"/>
            <w:vAlign w:val="center"/>
          </w:tcPr>
          <w:p>
            <w:pPr>
              <w:widowControl/>
              <w:jc w:val="center"/>
              <w:rPr>
                <w:rFonts w:ascii="宋体" w:hAnsi="宋体" w:eastAsia="宋体" w:cs="宋体"/>
                <w:color w:val="000000"/>
                <w:kern w:val="0"/>
                <w:sz w:val="20"/>
                <w:szCs w:val="20"/>
              </w:rPr>
            </w:pPr>
            <w:r>
              <w:rPr>
                <w:rFonts w:hint="eastAsia" w:ascii="仿宋" w:hAnsi="仿宋" w:eastAsia="仿宋" w:cs="仿宋"/>
                <w:i w:val="0"/>
                <w:color w:val="auto"/>
                <w:spacing w:val="0"/>
                <w:kern w:val="0"/>
                <w:sz w:val="20"/>
                <w:szCs w:val="20"/>
                <w:u w:val="none"/>
                <w:lang w:val="en-US" w:eastAsia="zh-CN" w:bidi="ar"/>
              </w:rPr>
              <w:t>“双集中”社会福利机构护理补贴南疆四地州占资金比例</w:t>
            </w:r>
            <w:r>
              <w:rPr>
                <w:rFonts w:hint="eastAsia" w:ascii="宋体" w:hAnsi="宋体" w:eastAsia="宋体" w:cs="宋体"/>
                <w:color w:val="000000"/>
                <w:kern w:val="0"/>
                <w:sz w:val="20"/>
                <w:szCs w:val="20"/>
              </w:rPr>
              <w:t>　</w:t>
            </w:r>
          </w:p>
        </w:tc>
        <w:tc>
          <w:tcPr>
            <w:tcW w:w="1124" w:type="dxa"/>
            <w:tcBorders>
              <w:top w:val="nil"/>
              <w:left w:val="nil"/>
              <w:bottom w:val="single" w:color="auto" w:sz="4" w:space="0"/>
              <w:right w:val="single" w:color="auto" w:sz="4" w:space="0"/>
            </w:tcBorders>
            <w:shd w:val="clear" w:color="auto" w:fill="auto"/>
            <w:noWrap w:val="0"/>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lang w:eastAsia="zh-CN"/>
              </w:rPr>
              <w:t>≥</w:t>
            </w:r>
            <w:r>
              <w:rPr>
                <w:rFonts w:hint="eastAsia" w:ascii="宋体" w:hAnsi="宋体" w:eastAsia="宋体" w:cs="宋体"/>
                <w:color w:val="000000"/>
                <w:kern w:val="0"/>
                <w:sz w:val="20"/>
                <w:szCs w:val="20"/>
                <w:lang w:val="en-US" w:eastAsia="zh-CN"/>
              </w:rPr>
              <w:t>70%</w:t>
            </w:r>
            <w:r>
              <w:rPr>
                <w:rFonts w:hint="eastAsia" w:ascii="宋体" w:hAnsi="宋体" w:eastAsia="宋体" w:cs="宋体"/>
                <w:color w:val="000000"/>
                <w:kern w:val="0"/>
                <w:sz w:val="20"/>
                <w:szCs w:val="20"/>
              </w:rPr>
              <w:t>　</w:t>
            </w:r>
          </w:p>
        </w:tc>
        <w:tc>
          <w:tcPr>
            <w:tcW w:w="1207" w:type="dxa"/>
            <w:gridSpan w:val="2"/>
            <w:tcBorders>
              <w:top w:val="nil"/>
              <w:left w:val="nil"/>
              <w:bottom w:val="single" w:color="auto" w:sz="4" w:space="0"/>
              <w:right w:val="single" w:color="auto" w:sz="4" w:space="0"/>
            </w:tcBorders>
            <w:shd w:val="clear" w:color="auto" w:fill="auto"/>
            <w:noWrap w:val="0"/>
            <w:vAlign w:val="center"/>
          </w:tcPr>
          <w:p>
            <w:pPr>
              <w:widowControl/>
              <w:jc w:val="left"/>
              <w:rPr>
                <w:rFonts w:hint="default"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rPr>
              <w:t>　</w:t>
            </w:r>
            <w:r>
              <w:rPr>
                <w:rFonts w:hint="eastAsia" w:ascii="宋体" w:hAnsi="宋体" w:eastAsia="宋体" w:cs="宋体"/>
                <w:color w:val="000000"/>
                <w:kern w:val="0"/>
                <w:sz w:val="20"/>
                <w:szCs w:val="20"/>
                <w:lang w:val="en-US" w:eastAsia="zh-CN"/>
              </w:rPr>
              <w:t>70%</w:t>
            </w:r>
          </w:p>
        </w:tc>
        <w:tc>
          <w:tcPr>
            <w:tcW w:w="1226" w:type="dxa"/>
            <w:tcBorders>
              <w:top w:val="nil"/>
              <w:left w:val="nil"/>
              <w:bottom w:val="single" w:color="auto" w:sz="4" w:space="0"/>
              <w:right w:val="single" w:color="auto" w:sz="4" w:space="0"/>
            </w:tcBorders>
            <w:shd w:val="clear" w:color="auto" w:fill="auto"/>
            <w:noWrap w:val="0"/>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tblPrEx>
          <w:tblLayout w:type="fixed"/>
          <w:tblCellMar>
            <w:top w:w="0" w:type="dxa"/>
            <w:left w:w="108" w:type="dxa"/>
            <w:bottom w:w="0" w:type="dxa"/>
            <w:right w:w="108" w:type="dxa"/>
          </w:tblCellMar>
        </w:tblPrEx>
        <w:trPr>
          <w:trHeight w:val="309" w:hRule="atLeast"/>
        </w:trPr>
        <w:tc>
          <w:tcPr>
            <w:tcW w:w="554"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eastAsia="宋体" w:cs="宋体"/>
                <w:color w:val="000000"/>
                <w:kern w:val="0"/>
                <w:sz w:val="20"/>
                <w:szCs w:val="20"/>
              </w:rPr>
            </w:pPr>
          </w:p>
        </w:tc>
        <w:tc>
          <w:tcPr>
            <w:tcW w:w="914"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eastAsia="宋体" w:cs="宋体"/>
                <w:kern w:val="0"/>
                <w:sz w:val="20"/>
                <w:szCs w:val="20"/>
              </w:rPr>
            </w:pPr>
          </w:p>
        </w:tc>
        <w:tc>
          <w:tcPr>
            <w:tcW w:w="692"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eastAsia="宋体" w:cs="宋体"/>
                <w:kern w:val="0"/>
                <w:sz w:val="20"/>
                <w:szCs w:val="20"/>
              </w:rPr>
            </w:pPr>
          </w:p>
        </w:tc>
        <w:tc>
          <w:tcPr>
            <w:tcW w:w="3363" w:type="dxa"/>
            <w:gridSpan w:val="2"/>
            <w:tcBorders>
              <w:top w:val="single" w:color="auto" w:sz="4" w:space="0"/>
              <w:left w:val="nil"/>
              <w:bottom w:val="single" w:color="auto" w:sz="4" w:space="0"/>
              <w:right w:val="single" w:color="auto" w:sz="4" w:space="0"/>
            </w:tcBorders>
            <w:shd w:val="clear" w:color="auto" w:fill="auto"/>
            <w:noWrap w:val="0"/>
            <w:vAlign w:val="center"/>
          </w:tcPr>
          <w:p>
            <w:pPr>
              <w:widowControl/>
              <w:jc w:val="center"/>
              <w:rPr>
                <w:rFonts w:ascii="宋体" w:hAnsi="宋体" w:eastAsia="宋体" w:cs="宋体"/>
                <w:color w:val="000000"/>
                <w:kern w:val="0"/>
                <w:sz w:val="20"/>
                <w:szCs w:val="20"/>
              </w:rPr>
            </w:pPr>
            <w:r>
              <w:rPr>
                <w:rFonts w:hint="eastAsia" w:ascii="仿宋" w:hAnsi="仿宋" w:eastAsia="仿宋" w:cs="仿宋"/>
                <w:i w:val="0"/>
                <w:color w:val="auto"/>
                <w:spacing w:val="0"/>
                <w:kern w:val="0"/>
                <w:sz w:val="20"/>
                <w:szCs w:val="20"/>
                <w:u w:val="none"/>
                <w:lang w:val="en-US" w:eastAsia="zh-CN" w:bidi="ar"/>
              </w:rPr>
              <w:t>“双集中”社会福利机构建设资金南疆四地州占资金比例</w:t>
            </w:r>
            <w:r>
              <w:rPr>
                <w:rFonts w:hint="eastAsia" w:ascii="宋体" w:hAnsi="宋体" w:eastAsia="宋体" w:cs="宋体"/>
                <w:color w:val="000000"/>
                <w:kern w:val="0"/>
                <w:sz w:val="20"/>
                <w:szCs w:val="20"/>
              </w:rPr>
              <w:t>　</w:t>
            </w:r>
          </w:p>
        </w:tc>
        <w:tc>
          <w:tcPr>
            <w:tcW w:w="1124" w:type="dxa"/>
            <w:tcBorders>
              <w:top w:val="nil"/>
              <w:left w:val="nil"/>
              <w:bottom w:val="single" w:color="auto" w:sz="4" w:space="0"/>
              <w:right w:val="single" w:color="auto" w:sz="4" w:space="0"/>
            </w:tcBorders>
            <w:shd w:val="clear" w:color="auto" w:fill="auto"/>
            <w:noWrap w:val="0"/>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lang w:eastAsia="zh-CN"/>
              </w:rPr>
              <w:t>≥</w:t>
            </w:r>
            <w:r>
              <w:rPr>
                <w:rFonts w:hint="eastAsia" w:ascii="宋体" w:hAnsi="宋体" w:eastAsia="宋体" w:cs="宋体"/>
                <w:color w:val="000000"/>
                <w:kern w:val="0"/>
                <w:sz w:val="20"/>
                <w:szCs w:val="20"/>
                <w:lang w:val="en-US" w:eastAsia="zh-CN"/>
              </w:rPr>
              <w:t>70%</w:t>
            </w:r>
            <w:r>
              <w:rPr>
                <w:rFonts w:hint="eastAsia" w:ascii="宋体" w:hAnsi="宋体" w:eastAsia="宋体" w:cs="宋体"/>
                <w:color w:val="000000"/>
                <w:kern w:val="0"/>
                <w:sz w:val="20"/>
                <w:szCs w:val="20"/>
              </w:rPr>
              <w:t>　</w:t>
            </w:r>
          </w:p>
        </w:tc>
        <w:tc>
          <w:tcPr>
            <w:tcW w:w="1207" w:type="dxa"/>
            <w:gridSpan w:val="2"/>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r>
              <w:rPr>
                <w:rFonts w:hint="eastAsia" w:ascii="宋体" w:hAnsi="宋体" w:eastAsia="宋体" w:cs="宋体"/>
                <w:color w:val="000000"/>
                <w:kern w:val="0"/>
                <w:sz w:val="20"/>
                <w:szCs w:val="20"/>
                <w:lang w:val="en-US" w:eastAsia="zh-CN"/>
              </w:rPr>
              <w:t>70%</w:t>
            </w:r>
          </w:p>
        </w:tc>
        <w:tc>
          <w:tcPr>
            <w:tcW w:w="1226" w:type="dxa"/>
            <w:tcBorders>
              <w:top w:val="nil"/>
              <w:left w:val="nil"/>
              <w:bottom w:val="single" w:color="auto" w:sz="4" w:space="0"/>
              <w:right w:val="single" w:color="auto" w:sz="4" w:space="0"/>
            </w:tcBorders>
            <w:shd w:val="clear" w:color="auto" w:fill="auto"/>
            <w:noWrap w:val="0"/>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tblPrEx>
          <w:tblLayout w:type="fixed"/>
          <w:tblCellMar>
            <w:top w:w="0" w:type="dxa"/>
            <w:left w:w="108" w:type="dxa"/>
            <w:bottom w:w="0" w:type="dxa"/>
            <w:right w:w="108" w:type="dxa"/>
          </w:tblCellMar>
        </w:tblPrEx>
        <w:trPr>
          <w:trHeight w:val="309" w:hRule="atLeast"/>
        </w:trPr>
        <w:tc>
          <w:tcPr>
            <w:tcW w:w="554"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eastAsia="宋体" w:cs="宋体"/>
                <w:color w:val="000000"/>
                <w:kern w:val="0"/>
                <w:sz w:val="20"/>
                <w:szCs w:val="20"/>
              </w:rPr>
            </w:pPr>
          </w:p>
        </w:tc>
        <w:tc>
          <w:tcPr>
            <w:tcW w:w="914"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eastAsia="宋体" w:cs="宋体"/>
                <w:kern w:val="0"/>
                <w:sz w:val="20"/>
                <w:szCs w:val="20"/>
              </w:rPr>
            </w:pPr>
          </w:p>
        </w:tc>
        <w:tc>
          <w:tcPr>
            <w:tcW w:w="692" w:type="dxa"/>
            <w:vMerge w:val="restart"/>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质量指标</w:t>
            </w:r>
          </w:p>
        </w:tc>
        <w:tc>
          <w:tcPr>
            <w:tcW w:w="3363" w:type="dxa"/>
            <w:gridSpan w:val="2"/>
            <w:tcBorders>
              <w:top w:val="single" w:color="auto" w:sz="4" w:space="0"/>
              <w:left w:val="nil"/>
              <w:bottom w:val="single" w:color="auto" w:sz="4" w:space="0"/>
              <w:right w:val="single" w:color="auto" w:sz="4" w:space="0"/>
            </w:tcBorders>
            <w:shd w:val="clear" w:color="auto" w:fill="auto"/>
            <w:noWrap w:val="0"/>
            <w:vAlign w:val="center"/>
          </w:tcPr>
          <w:p>
            <w:pPr>
              <w:widowControl/>
              <w:jc w:val="center"/>
              <w:rPr>
                <w:rFonts w:ascii="宋体" w:hAnsi="宋体" w:eastAsia="宋体" w:cs="宋体"/>
                <w:color w:val="000000"/>
                <w:kern w:val="0"/>
                <w:sz w:val="20"/>
                <w:szCs w:val="20"/>
              </w:rPr>
            </w:pPr>
            <w:r>
              <w:rPr>
                <w:rFonts w:hint="eastAsia" w:ascii="仿宋" w:hAnsi="仿宋" w:eastAsia="仿宋" w:cs="仿宋"/>
                <w:i w:val="0"/>
                <w:color w:val="auto"/>
                <w:spacing w:val="0"/>
                <w:kern w:val="0"/>
                <w:sz w:val="20"/>
                <w:szCs w:val="20"/>
                <w:u w:val="none"/>
                <w:lang w:val="en-US" w:eastAsia="zh-CN" w:bidi="ar"/>
              </w:rPr>
              <w:t>项目竣工验收合格率（主体、装修、设施设备齐全，开始运营）</w:t>
            </w:r>
            <w:r>
              <w:rPr>
                <w:rFonts w:hint="eastAsia" w:ascii="宋体" w:hAnsi="宋体" w:eastAsia="宋体" w:cs="宋体"/>
                <w:color w:val="000000"/>
                <w:kern w:val="0"/>
                <w:sz w:val="20"/>
                <w:szCs w:val="20"/>
              </w:rPr>
              <w:t>　</w:t>
            </w:r>
          </w:p>
        </w:tc>
        <w:tc>
          <w:tcPr>
            <w:tcW w:w="1124" w:type="dxa"/>
            <w:tcBorders>
              <w:top w:val="nil"/>
              <w:left w:val="nil"/>
              <w:bottom w:val="single" w:color="auto" w:sz="4" w:space="0"/>
              <w:right w:val="single" w:color="auto" w:sz="4" w:space="0"/>
            </w:tcBorders>
            <w:shd w:val="clear" w:color="auto" w:fill="auto"/>
            <w:noWrap w:val="0"/>
            <w:vAlign w:val="center"/>
          </w:tcPr>
          <w:p>
            <w:pPr>
              <w:widowControl/>
              <w:jc w:val="center"/>
              <w:rPr>
                <w:rFonts w:ascii="宋体" w:hAnsi="宋体" w:eastAsia="宋体" w:cs="宋体"/>
                <w:color w:val="000000"/>
                <w:kern w:val="0"/>
                <w:sz w:val="20"/>
                <w:szCs w:val="20"/>
              </w:rPr>
            </w:pPr>
            <w:r>
              <w:rPr>
                <w:rFonts w:hint="eastAsia" w:ascii="仿宋" w:hAnsi="仿宋" w:eastAsia="仿宋" w:cs="仿宋"/>
                <w:i w:val="0"/>
                <w:color w:val="auto"/>
                <w:spacing w:val="0"/>
                <w:kern w:val="0"/>
                <w:sz w:val="20"/>
                <w:szCs w:val="20"/>
                <w:u w:val="none"/>
                <w:lang w:val="en-US" w:eastAsia="zh-CN" w:bidi="ar"/>
              </w:rPr>
              <w:t>≥85%</w:t>
            </w:r>
            <w:r>
              <w:rPr>
                <w:rFonts w:hint="eastAsia" w:ascii="宋体" w:hAnsi="宋体" w:eastAsia="宋体" w:cs="宋体"/>
                <w:color w:val="000000"/>
                <w:kern w:val="0"/>
                <w:sz w:val="20"/>
                <w:szCs w:val="20"/>
              </w:rPr>
              <w:t>　</w:t>
            </w:r>
          </w:p>
        </w:tc>
        <w:tc>
          <w:tcPr>
            <w:tcW w:w="1207" w:type="dxa"/>
            <w:gridSpan w:val="2"/>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r>
              <w:rPr>
                <w:rFonts w:hint="eastAsia" w:ascii="仿宋" w:hAnsi="仿宋" w:eastAsia="仿宋" w:cs="仿宋"/>
                <w:i w:val="0"/>
                <w:color w:val="auto"/>
                <w:spacing w:val="0"/>
                <w:kern w:val="0"/>
                <w:sz w:val="20"/>
                <w:szCs w:val="20"/>
                <w:u w:val="none"/>
                <w:lang w:val="en-US" w:eastAsia="zh-CN" w:bidi="ar"/>
              </w:rPr>
              <w:t>85%</w:t>
            </w:r>
          </w:p>
        </w:tc>
        <w:tc>
          <w:tcPr>
            <w:tcW w:w="1226" w:type="dxa"/>
            <w:tcBorders>
              <w:top w:val="nil"/>
              <w:left w:val="nil"/>
              <w:bottom w:val="single" w:color="auto" w:sz="4" w:space="0"/>
              <w:right w:val="single" w:color="auto" w:sz="4" w:space="0"/>
            </w:tcBorders>
            <w:shd w:val="clear" w:color="auto" w:fill="auto"/>
            <w:noWrap w:val="0"/>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tblPrEx>
          <w:tblLayout w:type="fixed"/>
          <w:tblCellMar>
            <w:top w:w="0" w:type="dxa"/>
            <w:left w:w="108" w:type="dxa"/>
            <w:bottom w:w="0" w:type="dxa"/>
            <w:right w:w="108" w:type="dxa"/>
          </w:tblCellMar>
        </w:tblPrEx>
        <w:trPr>
          <w:trHeight w:val="159" w:hRule="atLeast"/>
        </w:trPr>
        <w:tc>
          <w:tcPr>
            <w:tcW w:w="554"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eastAsia="宋体" w:cs="宋体"/>
                <w:color w:val="000000"/>
                <w:kern w:val="0"/>
                <w:sz w:val="20"/>
                <w:szCs w:val="20"/>
              </w:rPr>
            </w:pPr>
          </w:p>
        </w:tc>
        <w:tc>
          <w:tcPr>
            <w:tcW w:w="914"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eastAsia="宋体" w:cs="宋体"/>
                <w:kern w:val="0"/>
                <w:sz w:val="20"/>
                <w:szCs w:val="20"/>
              </w:rPr>
            </w:pPr>
          </w:p>
        </w:tc>
        <w:tc>
          <w:tcPr>
            <w:tcW w:w="692"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eastAsia="宋体" w:cs="宋体"/>
                <w:kern w:val="0"/>
                <w:sz w:val="20"/>
                <w:szCs w:val="20"/>
              </w:rPr>
            </w:pPr>
          </w:p>
        </w:tc>
        <w:tc>
          <w:tcPr>
            <w:tcW w:w="3363" w:type="dxa"/>
            <w:gridSpan w:val="2"/>
            <w:tcBorders>
              <w:top w:val="single" w:color="auto" w:sz="4" w:space="0"/>
              <w:left w:val="nil"/>
              <w:bottom w:val="single" w:color="auto" w:sz="4" w:space="0"/>
              <w:right w:val="single" w:color="auto" w:sz="4" w:space="0"/>
            </w:tcBorders>
            <w:shd w:val="clear" w:color="auto" w:fill="auto"/>
            <w:noWrap w:val="0"/>
            <w:vAlign w:val="center"/>
          </w:tcPr>
          <w:p>
            <w:pPr>
              <w:widowControl/>
              <w:jc w:val="center"/>
              <w:rPr>
                <w:rFonts w:ascii="宋体" w:hAnsi="宋体" w:eastAsia="宋体" w:cs="宋体"/>
                <w:color w:val="000000"/>
                <w:kern w:val="0"/>
                <w:sz w:val="20"/>
                <w:szCs w:val="20"/>
              </w:rPr>
            </w:pPr>
            <w:r>
              <w:rPr>
                <w:rFonts w:hint="eastAsia" w:ascii="仿宋" w:hAnsi="仿宋" w:eastAsia="仿宋" w:cs="仿宋"/>
                <w:i w:val="0"/>
                <w:color w:val="auto"/>
                <w:spacing w:val="0"/>
                <w:kern w:val="0"/>
                <w:sz w:val="20"/>
                <w:szCs w:val="20"/>
                <w:u w:val="none"/>
                <w:lang w:val="en-US" w:eastAsia="zh-CN" w:bidi="ar"/>
              </w:rPr>
              <w:t>资金下拨时间</w:t>
            </w:r>
            <w:r>
              <w:rPr>
                <w:rFonts w:hint="eastAsia" w:ascii="宋体" w:hAnsi="宋体" w:eastAsia="宋体" w:cs="宋体"/>
                <w:color w:val="000000"/>
                <w:kern w:val="0"/>
                <w:sz w:val="20"/>
                <w:szCs w:val="20"/>
              </w:rPr>
              <w:t>　</w:t>
            </w:r>
          </w:p>
        </w:tc>
        <w:tc>
          <w:tcPr>
            <w:tcW w:w="1124" w:type="dxa"/>
            <w:tcBorders>
              <w:top w:val="nil"/>
              <w:left w:val="nil"/>
              <w:bottom w:val="single" w:color="auto" w:sz="4" w:space="0"/>
              <w:right w:val="single" w:color="auto" w:sz="4" w:space="0"/>
            </w:tcBorders>
            <w:shd w:val="clear" w:color="auto" w:fill="auto"/>
            <w:noWrap w:val="0"/>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rPr>
              <w:t>12月底</w:t>
            </w:r>
            <w:r>
              <w:rPr>
                <w:rFonts w:hint="eastAsia" w:ascii="宋体" w:hAnsi="宋体" w:eastAsia="宋体" w:cs="宋体"/>
                <w:color w:val="000000"/>
                <w:kern w:val="0"/>
                <w:sz w:val="20"/>
                <w:szCs w:val="20"/>
              </w:rPr>
              <w:t>　</w:t>
            </w:r>
          </w:p>
        </w:tc>
        <w:tc>
          <w:tcPr>
            <w:tcW w:w="1207" w:type="dxa"/>
            <w:gridSpan w:val="2"/>
            <w:tcBorders>
              <w:top w:val="nil"/>
              <w:left w:val="nil"/>
              <w:bottom w:val="single" w:color="auto" w:sz="4" w:space="0"/>
              <w:right w:val="single" w:color="auto" w:sz="4" w:space="0"/>
            </w:tcBorders>
            <w:shd w:val="clear" w:color="auto" w:fill="auto"/>
            <w:noWrap w:val="0"/>
            <w:vAlign w:val="center"/>
          </w:tcPr>
          <w:p>
            <w:pPr>
              <w:widowControl/>
              <w:jc w:val="left"/>
              <w:rPr>
                <w:rFonts w:hint="default"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rPr>
              <w:t>　</w:t>
            </w:r>
            <w:r>
              <w:rPr>
                <w:rFonts w:hint="eastAsia" w:ascii="宋体" w:hAnsi="宋体" w:eastAsia="宋体" w:cs="宋体"/>
                <w:color w:val="000000"/>
                <w:kern w:val="0"/>
                <w:sz w:val="20"/>
                <w:szCs w:val="20"/>
                <w:lang w:val="en-US" w:eastAsia="zh-CN"/>
              </w:rPr>
              <w:t>12月底</w:t>
            </w:r>
          </w:p>
        </w:tc>
        <w:tc>
          <w:tcPr>
            <w:tcW w:w="1226" w:type="dxa"/>
            <w:tcBorders>
              <w:top w:val="nil"/>
              <w:left w:val="nil"/>
              <w:bottom w:val="single" w:color="auto" w:sz="4" w:space="0"/>
              <w:right w:val="single" w:color="auto" w:sz="4" w:space="0"/>
            </w:tcBorders>
            <w:shd w:val="clear" w:color="auto" w:fill="auto"/>
            <w:noWrap w:val="0"/>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tblPrEx>
          <w:tblLayout w:type="fixed"/>
          <w:tblCellMar>
            <w:top w:w="0" w:type="dxa"/>
            <w:left w:w="108" w:type="dxa"/>
            <w:bottom w:w="0" w:type="dxa"/>
            <w:right w:w="108" w:type="dxa"/>
          </w:tblCellMar>
        </w:tblPrEx>
        <w:trPr>
          <w:trHeight w:val="309" w:hRule="atLeast"/>
        </w:trPr>
        <w:tc>
          <w:tcPr>
            <w:tcW w:w="554"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eastAsia="宋体" w:cs="宋体"/>
                <w:color w:val="000000"/>
                <w:kern w:val="0"/>
                <w:sz w:val="20"/>
                <w:szCs w:val="20"/>
              </w:rPr>
            </w:pPr>
          </w:p>
        </w:tc>
        <w:tc>
          <w:tcPr>
            <w:tcW w:w="914"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eastAsia="宋体" w:cs="宋体"/>
                <w:kern w:val="0"/>
                <w:sz w:val="20"/>
                <w:szCs w:val="20"/>
              </w:rPr>
            </w:pPr>
          </w:p>
        </w:tc>
        <w:tc>
          <w:tcPr>
            <w:tcW w:w="692" w:type="dxa"/>
            <w:vMerge w:val="restart"/>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时效指标</w:t>
            </w:r>
          </w:p>
        </w:tc>
        <w:tc>
          <w:tcPr>
            <w:tcW w:w="3363" w:type="dxa"/>
            <w:gridSpan w:val="2"/>
            <w:tcBorders>
              <w:top w:val="single" w:color="auto" w:sz="4" w:space="0"/>
              <w:left w:val="nil"/>
              <w:bottom w:val="single" w:color="auto" w:sz="4" w:space="0"/>
              <w:right w:val="single" w:color="auto" w:sz="4" w:space="0"/>
            </w:tcBorders>
            <w:shd w:val="clear" w:color="auto" w:fill="auto"/>
            <w:noWrap w:val="0"/>
            <w:vAlign w:val="center"/>
          </w:tcPr>
          <w:p>
            <w:pPr>
              <w:widowControl/>
              <w:jc w:val="center"/>
              <w:rPr>
                <w:rFonts w:ascii="宋体" w:hAnsi="宋体" w:eastAsia="宋体" w:cs="宋体"/>
                <w:color w:val="000000"/>
                <w:kern w:val="0"/>
                <w:sz w:val="20"/>
                <w:szCs w:val="20"/>
              </w:rPr>
            </w:pPr>
            <w:r>
              <w:rPr>
                <w:rStyle w:val="48"/>
                <w:rFonts w:hint="eastAsia" w:ascii="仿宋" w:hAnsi="仿宋" w:eastAsia="仿宋" w:cs="仿宋"/>
                <w:color w:val="auto"/>
                <w:spacing w:val="0"/>
                <w:lang w:val="en-US" w:eastAsia="zh-CN" w:bidi="ar"/>
              </w:rPr>
              <w:t>自治区本级福利彩票公益金资助项目</w:t>
            </w:r>
            <w:r>
              <w:rPr>
                <w:rFonts w:hint="eastAsia" w:ascii="仿宋" w:hAnsi="仿宋" w:eastAsia="仿宋" w:cs="仿宋"/>
                <w:i w:val="0"/>
                <w:color w:val="auto"/>
                <w:spacing w:val="0"/>
                <w:kern w:val="0"/>
                <w:sz w:val="20"/>
                <w:szCs w:val="20"/>
                <w:u w:val="none"/>
                <w:lang w:val="en-US" w:eastAsia="zh-CN" w:bidi="ar"/>
              </w:rPr>
              <w:t>按期完成率</w:t>
            </w:r>
            <w:r>
              <w:rPr>
                <w:rFonts w:hint="eastAsia" w:ascii="宋体" w:hAnsi="宋体" w:eastAsia="宋体" w:cs="宋体"/>
                <w:color w:val="000000"/>
                <w:kern w:val="0"/>
                <w:sz w:val="20"/>
                <w:szCs w:val="20"/>
              </w:rPr>
              <w:t>　</w:t>
            </w:r>
          </w:p>
        </w:tc>
        <w:tc>
          <w:tcPr>
            <w:tcW w:w="1124" w:type="dxa"/>
            <w:tcBorders>
              <w:top w:val="nil"/>
              <w:left w:val="nil"/>
              <w:bottom w:val="single" w:color="auto" w:sz="4" w:space="0"/>
              <w:right w:val="single" w:color="auto" w:sz="4" w:space="0"/>
            </w:tcBorders>
            <w:shd w:val="clear" w:color="auto" w:fill="auto"/>
            <w:noWrap w:val="0"/>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lang w:eastAsia="zh-CN"/>
              </w:rPr>
              <w:t>≥</w:t>
            </w:r>
            <w:r>
              <w:rPr>
                <w:rFonts w:hint="eastAsia" w:ascii="宋体" w:hAnsi="宋体" w:eastAsia="宋体" w:cs="宋体"/>
                <w:color w:val="000000"/>
                <w:kern w:val="0"/>
                <w:sz w:val="20"/>
                <w:szCs w:val="20"/>
                <w:lang w:val="en-US" w:eastAsia="zh-CN"/>
              </w:rPr>
              <w:t>85%</w:t>
            </w:r>
            <w:r>
              <w:rPr>
                <w:rFonts w:hint="eastAsia" w:ascii="宋体" w:hAnsi="宋体" w:eastAsia="宋体" w:cs="宋体"/>
                <w:color w:val="000000"/>
                <w:kern w:val="0"/>
                <w:sz w:val="20"/>
                <w:szCs w:val="20"/>
              </w:rPr>
              <w:t>　</w:t>
            </w:r>
          </w:p>
        </w:tc>
        <w:tc>
          <w:tcPr>
            <w:tcW w:w="1207" w:type="dxa"/>
            <w:gridSpan w:val="2"/>
            <w:tcBorders>
              <w:top w:val="nil"/>
              <w:left w:val="nil"/>
              <w:bottom w:val="single" w:color="auto" w:sz="4" w:space="0"/>
              <w:right w:val="single" w:color="auto" w:sz="4" w:space="0"/>
            </w:tcBorders>
            <w:shd w:val="clear" w:color="auto" w:fill="auto"/>
            <w:noWrap w:val="0"/>
            <w:vAlign w:val="center"/>
          </w:tcPr>
          <w:p>
            <w:pPr>
              <w:widowControl/>
              <w:jc w:val="left"/>
              <w:rPr>
                <w:rFonts w:hint="default"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rPr>
              <w:t>　</w:t>
            </w:r>
            <w:r>
              <w:rPr>
                <w:rFonts w:hint="eastAsia" w:ascii="宋体" w:hAnsi="宋体" w:eastAsia="宋体" w:cs="宋体"/>
                <w:color w:val="000000"/>
                <w:kern w:val="0"/>
                <w:sz w:val="20"/>
                <w:szCs w:val="20"/>
                <w:lang w:val="en-US" w:eastAsia="zh-CN"/>
              </w:rPr>
              <w:t>85%</w:t>
            </w:r>
          </w:p>
        </w:tc>
        <w:tc>
          <w:tcPr>
            <w:tcW w:w="1226" w:type="dxa"/>
            <w:tcBorders>
              <w:top w:val="nil"/>
              <w:left w:val="nil"/>
              <w:bottom w:val="single" w:color="auto" w:sz="4" w:space="0"/>
              <w:right w:val="single" w:color="auto" w:sz="4" w:space="0"/>
            </w:tcBorders>
            <w:shd w:val="clear" w:color="auto" w:fill="auto"/>
            <w:noWrap w:val="0"/>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tblPrEx>
          <w:tblLayout w:type="fixed"/>
          <w:tblCellMar>
            <w:top w:w="0" w:type="dxa"/>
            <w:left w:w="108" w:type="dxa"/>
            <w:bottom w:w="0" w:type="dxa"/>
            <w:right w:w="108" w:type="dxa"/>
          </w:tblCellMar>
        </w:tblPrEx>
        <w:trPr>
          <w:trHeight w:val="309" w:hRule="atLeast"/>
        </w:trPr>
        <w:tc>
          <w:tcPr>
            <w:tcW w:w="554"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eastAsia="宋体" w:cs="宋体"/>
                <w:color w:val="000000"/>
                <w:kern w:val="0"/>
                <w:sz w:val="20"/>
                <w:szCs w:val="20"/>
              </w:rPr>
            </w:pPr>
          </w:p>
        </w:tc>
        <w:tc>
          <w:tcPr>
            <w:tcW w:w="914"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eastAsia="宋体" w:cs="宋体"/>
                <w:kern w:val="0"/>
                <w:sz w:val="20"/>
                <w:szCs w:val="20"/>
              </w:rPr>
            </w:pPr>
          </w:p>
        </w:tc>
        <w:tc>
          <w:tcPr>
            <w:tcW w:w="692"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eastAsia="宋体" w:cs="宋体"/>
                <w:kern w:val="0"/>
                <w:sz w:val="20"/>
                <w:szCs w:val="20"/>
              </w:rPr>
            </w:pPr>
          </w:p>
        </w:tc>
        <w:tc>
          <w:tcPr>
            <w:tcW w:w="3363" w:type="dxa"/>
            <w:gridSpan w:val="2"/>
            <w:tcBorders>
              <w:top w:val="single" w:color="auto" w:sz="4" w:space="0"/>
              <w:left w:val="nil"/>
              <w:bottom w:val="single" w:color="auto" w:sz="4" w:space="0"/>
              <w:right w:val="single" w:color="auto" w:sz="4" w:space="0"/>
            </w:tcBorders>
            <w:shd w:val="clear" w:color="auto" w:fill="auto"/>
            <w:noWrap w:val="0"/>
            <w:vAlign w:val="center"/>
          </w:tcPr>
          <w:p>
            <w:pPr>
              <w:widowControl/>
              <w:jc w:val="center"/>
              <w:rPr>
                <w:rFonts w:ascii="宋体" w:hAnsi="宋体" w:eastAsia="宋体" w:cs="宋体"/>
                <w:color w:val="000000"/>
                <w:kern w:val="0"/>
                <w:sz w:val="20"/>
                <w:szCs w:val="20"/>
              </w:rPr>
            </w:pPr>
            <w:r>
              <w:rPr>
                <w:rFonts w:hint="eastAsia" w:ascii="仿宋" w:hAnsi="仿宋" w:eastAsia="仿宋" w:cs="仿宋"/>
                <w:i w:val="0"/>
                <w:color w:val="auto"/>
                <w:spacing w:val="0"/>
                <w:kern w:val="0"/>
                <w:sz w:val="20"/>
                <w:szCs w:val="20"/>
                <w:u w:val="none"/>
                <w:lang w:val="en-US" w:eastAsia="zh-CN" w:bidi="ar"/>
              </w:rPr>
              <w:t>“双集中”社会福利机构护理补贴拨付率</w:t>
            </w:r>
            <w:r>
              <w:rPr>
                <w:rFonts w:hint="eastAsia" w:ascii="宋体" w:hAnsi="宋体" w:eastAsia="宋体" w:cs="宋体"/>
                <w:color w:val="000000"/>
                <w:kern w:val="0"/>
                <w:sz w:val="20"/>
                <w:szCs w:val="20"/>
              </w:rPr>
              <w:t>　</w:t>
            </w:r>
          </w:p>
        </w:tc>
        <w:tc>
          <w:tcPr>
            <w:tcW w:w="1124" w:type="dxa"/>
            <w:tcBorders>
              <w:top w:val="nil"/>
              <w:left w:val="nil"/>
              <w:bottom w:val="single" w:color="auto" w:sz="4" w:space="0"/>
              <w:right w:val="single" w:color="auto" w:sz="4" w:space="0"/>
            </w:tcBorders>
            <w:shd w:val="clear" w:color="auto" w:fill="auto"/>
            <w:noWrap w:val="0"/>
            <w:vAlign w:val="center"/>
          </w:tcPr>
          <w:p>
            <w:pPr>
              <w:widowControl/>
              <w:jc w:val="center"/>
              <w:rPr>
                <w:rFonts w:hint="default"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rPr>
              <w:t>　</w:t>
            </w:r>
            <w:r>
              <w:rPr>
                <w:rFonts w:hint="eastAsia" w:ascii="宋体" w:hAnsi="宋体" w:eastAsia="宋体" w:cs="宋体"/>
                <w:color w:val="000000"/>
                <w:kern w:val="0"/>
                <w:sz w:val="20"/>
                <w:szCs w:val="20"/>
                <w:lang w:eastAsia="zh-CN"/>
              </w:rPr>
              <w:t>≥</w:t>
            </w:r>
            <w:r>
              <w:rPr>
                <w:rFonts w:hint="eastAsia" w:ascii="宋体" w:hAnsi="宋体" w:eastAsia="宋体" w:cs="宋体"/>
                <w:color w:val="000000"/>
                <w:kern w:val="0"/>
                <w:sz w:val="20"/>
                <w:szCs w:val="20"/>
                <w:lang w:val="en-US" w:eastAsia="zh-CN"/>
              </w:rPr>
              <w:t>95%</w:t>
            </w:r>
          </w:p>
        </w:tc>
        <w:tc>
          <w:tcPr>
            <w:tcW w:w="1207" w:type="dxa"/>
            <w:gridSpan w:val="2"/>
            <w:tcBorders>
              <w:top w:val="nil"/>
              <w:left w:val="nil"/>
              <w:bottom w:val="single" w:color="auto" w:sz="4" w:space="0"/>
              <w:right w:val="single" w:color="auto" w:sz="4" w:space="0"/>
            </w:tcBorders>
            <w:shd w:val="clear" w:color="auto" w:fill="auto"/>
            <w:noWrap w:val="0"/>
            <w:vAlign w:val="center"/>
          </w:tcPr>
          <w:p>
            <w:pPr>
              <w:widowControl/>
              <w:jc w:val="left"/>
              <w:rPr>
                <w:rFonts w:hint="default"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rPr>
              <w:t>　</w:t>
            </w:r>
            <w:r>
              <w:rPr>
                <w:rFonts w:hint="eastAsia" w:ascii="宋体" w:hAnsi="宋体" w:eastAsia="宋体" w:cs="宋体"/>
                <w:color w:val="000000"/>
                <w:kern w:val="0"/>
                <w:sz w:val="20"/>
                <w:szCs w:val="20"/>
                <w:lang w:val="en-US" w:eastAsia="zh-CN"/>
              </w:rPr>
              <w:t>100%</w:t>
            </w:r>
          </w:p>
        </w:tc>
        <w:tc>
          <w:tcPr>
            <w:tcW w:w="1226" w:type="dxa"/>
            <w:tcBorders>
              <w:top w:val="nil"/>
              <w:left w:val="nil"/>
              <w:bottom w:val="single" w:color="auto" w:sz="4" w:space="0"/>
              <w:right w:val="single" w:color="auto" w:sz="4" w:space="0"/>
            </w:tcBorders>
            <w:shd w:val="clear" w:color="auto" w:fill="auto"/>
            <w:noWrap w:val="0"/>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tblPrEx>
          <w:tblLayout w:type="fixed"/>
          <w:tblCellMar>
            <w:top w:w="0" w:type="dxa"/>
            <w:left w:w="108" w:type="dxa"/>
            <w:bottom w:w="0" w:type="dxa"/>
            <w:right w:w="108" w:type="dxa"/>
          </w:tblCellMar>
        </w:tblPrEx>
        <w:trPr>
          <w:trHeight w:val="1415" w:hRule="atLeast"/>
        </w:trPr>
        <w:tc>
          <w:tcPr>
            <w:tcW w:w="554"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eastAsia="宋体" w:cs="宋体"/>
                <w:color w:val="000000"/>
                <w:kern w:val="0"/>
                <w:sz w:val="20"/>
                <w:szCs w:val="20"/>
              </w:rPr>
            </w:pPr>
          </w:p>
        </w:tc>
        <w:tc>
          <w:tcPr>
            <w:tcW w:w="914"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eastAsia="宋体" w:cs="宋体"/>
                <w:kern w:val="0"/>
                <w:sz w:val="20"/>
                <w:szCs w:val="20"/>
              </w:rPr>
            </w:pPr>
          </w:p>
        </w:tc>
        <w:tc>
          <w:tcPr>
            <w:tcW w:w="692" w:type="dxa"/>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社会效益指标</w:t>
            </w:r>
          </w:p>
        </w:tc>
        <w:tc>
          <w:tcPr>
            <w:tcW w:w="3363" w:type="dxa"/>
            <w:gridSpan w:val="2"/>
            <w:tcBorders>
              <w:top w:val="single" w:color="auto" w:sz="4" w:space="0"/>
              <w:left w:val="nil"/>
              <w:bottom w:val="single" w:color="auto" w:sz="4" w:space="0"/>
              <w:right w:val="single" w:color="auto" w:sz="4" w:space="0"/>
            </w:tcBorders>
            <w:shd w:val="clear" w:color="auto" w:fill="auto"/>
            <w:noWrap w:val="0"/>
            <w:vAlign w:val="center"/>
          </w:tcPr>
          <w:p>
            <w:pPr>
              <w:widowControl/>
              <w:jc w:val="center"/>
              <w:rPr>
                <w:rFonts w:ascii="宋体" w:hAnsi="宋体" w:eastAsia="宋体" w:cs="宋体"/>
                <w:color w:val="000000"/>
                <w:kern w:val="0"/>
                <w:sz w:val="20"/>
                <w:szCs w:val="20"/>
              </w:rPr>
            </w:pPr>
            <w:r>
              <w:rPr>
                <w:rFonts w:hint="eastAsia" w:ascii="仿宋" w:hAnsi="仿宋" w:eastAsia="仿宋" w:cs="仿宋"/>
                <w:i w:val="0"/>
                <w:color w:val="auto"/>
                <w:spacing w:val="0"/>
                <w:kern w:val="0"/>
                <w:sz w:val="20"/>
                <w:szCs w:val="20"/>
                <w:u w:val="none"/>
                <w:lang w:val="en-US" w:eastAsia="zh-CN" w:bidi="ar"/>
              </w:rPr>
              <w:t>养老福利机构服务质量</w:t>
            </w:r>
            <w:r>
              <w:rPr>
                <w:rFonts w:hint="eastAsia" w:ascii="宋体" w:hAnsi="宋体" w:eastAsia="宋体" w:cs="宋体"/>
                <w:color w:val="000000"/>
                <w:kern w:val="0"/>
                <w:sz w:val="20"/>
                <w:szCs w:val="20"/>
              </w:rPr>
              <w:t>　</w:t>
            </w:r>
          </w:p>
        </w:tc>
        <w:tc>
          <w:tcPr>
            <w:tcW w:w="1124" w:type="dxa"/>
            <w:tcBorders>
              <w:top w:val="nil"/>
              <w:left w:val="nil"/>
              <w:bottom w:val="single" w:color="auto" w:sz="4" w:space="0"/>
              <w:right w:val="single" w:color="auto" w:sz="4" w:space="0"/>
            </w:tcBorders>
            <w:shd w:val="clear" w:color="auto" w:fill="auto"/>
            <w:noWrap w:val="0"/>
            <w:vAlign w:val="center"/>
          </w:tcPr>
          <w:p>
            <w:pPr>
              <w:widowControl/>
              <w:jc w:val="center"/>
              <w:rPr>
                <w:rFonts w:ascii="宋体" w:hAnsi="宋体" w:eastAsia="宋体" w:cs="宋体"/>
                <w:color w:val="000000"/>
                <w:kern w:val="0"/>
                <w:sz w:val="20"/>
                <w:szCs w:val="20"/>
              </w:rPr>
            </w:pPr>
            <w:r>
              <w:rPr>
                <w:rFonts w:hint="eastAsia" w:ascii="仿宋" w:hAnsi="仿宋" w:eastAsia="仿宋" w:cs="仿宋"/>
                <w:i w:val="0"/>
                <w:color w:val="auto"/>
                <w:spacing w:val="0"/>
                <w:kern w:val="0"/>
                <w:sz w:val="20"/>
                <w:szCs w:val="20"/>
                <w:u w:val="none"/>
                <w:lang w:val="en-US" w:eastAsia="zh-CN" w:bidi="ar"/>
              </w:rPr>
              <w:t>设施更完善、便利，效果显著</w:t>
            </w:r>
            <w:r>
              <w:rPr>
                <w:rFonts w:hint="eastAsia" w:ascii="宋体" w:hAnsi="宋体" w:eastAsia="宋体" w:cs="宋体"/>
                <w:color w:val="000000"/>
                <w:kern w:val="0"/>
                <w:sz w:val="20"/>
                <w:szCs w:val="20"/>
              </w:rPr>
              <w:t>　</w:t>
            </w:r>
          </w:p>
        </w:tc>
        <w:tc>
          <w:tcPr>
            <w:tcW w:w="1207" w:type="dxa"/>
            <w:gridSpan w:val="2"/>
            <w:tcBorders>
              <w:top w:val="nil"/>
              <w:left w:val="nil"/>
              <w:bottom w:val="single" w:color="auto" w:sz="4" w:space="0"/>
              <w:right w:val="single" w:color="auto" w:sz="4" w:space="0"/>
            </w:tcBorders>
            <w:shd w:val="clear" w:color="auto" w:fill="auto"/>
            <w:noWrap w:val="0"/>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r>
              <w:rPr>
                <w:rFonts w:hint="eastAsia" w:ascii="仿宋" w:hAnsi="仿宋" w:eastAsia="仿宋" w:cs="仿宋"/>
                <w:i w:val="0"/>
                <w:color w:val="auto"/>
                <w:spacing w:val="0"/>
                <w:kern w:val="0"/>
                <w:sz w:val="20"/>
                <w:szCs w:val="20"/>
                <w:u w:val="none"/>
                <w:lang w:val="en-US" w:eastAsia="zh-CN" w:bidi="ar"/>
              </w:rPr>
              <w:t>设施更完善、便利，效果显著</w:t>
            </w:r>
          </w:p>
        </w:tc>
        <w:tc>
          <w:tcPr>
            <w:tcW w:w="1226" w:type="dxa"/>
            <w:tcBorders>
              <w:top w:val="nil"/>
              <w:left w:val="nil"/>
              <w:bottom w:val="single" w:color="auto" w:sz="4" w:space="0"/>
              <w:right w:val="single" w:color="auto" w:sz="4" w:space="0"/>
            </w:tcBorders>
            <w:shd w:val="clear" w:color="auto" w:fill="auto"/>
            <w:noWrap w:val="0"/>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tblPrEx>
          <w:tblLayout w:type="fixed"/>
          <w:tblCellMar>
            <w:top w:w="0" w:type="dxa"/>
            <w:left w:w="108" w:type="dxa"/>
            <w:bottom w:w="0" w:type="dxa"/>
            <w:right w:w="108" w:type="dxa"/>
          </w:tblCellMar>
        </w:tblPrEx>
        <w:trPr>
          <w:trHeight w:val="865" w:hRule="atLeast"/>
        </w:trPr>
        <w:tc>
          <w:tcPr>
            <w:tcW w:w="554" w:type="dxa"/>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宋体" w:hAnsi="宋体" w:eastAsia="宋体" w:cs="宋体"/>
                <w:color w:val="000000"/>
                <w:kern w:val="0"/>
                <w:sz w:val="20"/>
                <w:szCs w:val="20"/>
              </w:rPr>
            </w:pPr>
          </w:p>
        </w:tc>
        <w:tc>
          <w:tcPr>
            <w:tcW w:w="914"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jc w:val="center"/>
              <w:textAlignment w:val="center"/>
              <w:rPr>
                <w:rFonts w:hint="eastAsia" w:asciiTheme="minorEastAsia" w:hAnsiTheme="minorEastAsia" w:eastAsiaTheme="minorEastAsia" w:cstheme="minorEastAsia"/>
                <w:kern w:val="0"/>
                <w:sz w:val="15"/>
                <w:szCs w:val="15"/>
              </w:rPr>
            </w:pPr>
            <w:r>
              <w:rPr>
                <w:rFonts w:hint="eastAsia" w:asciiTheme="minorEastAsia" w:hAnsiTheme="minorEastAsia" w:eastAsiaTheme="minorEastAsia" w:cstheme="minorEastAsia"/>
                <w:i w:val="0"/>
                <w:color w:val="auto"/>
                <w:spacing w:val="0"/>
                <w:kern w:val="0"/>
                <w:sz w:val="20"/>
                <w:szCs w:val="20"/>
                <w:u w:val="none"/>
                <w:lang w:val="en-US" w:eastAsia="zh-CN" w:bidi="ar"/>
              </w:rPr>
              <w:t>满意度指标</w:t>
            </w:r>
          </w:p>
        </w:tc>
        <w:tc>
          <w:tcPr>
            <w:tcW w:w="692"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jc w:val="center"/>
              <w:textAlignment w:val="center"/>
              <w:rPr>
                <w:rFonts w:hint="eastAsia" w:asciiTheme="minorEastAsia" w:hAnsiTheme="minorEastAsia" w:eastAsiaTheme="minorEastAsia" w:cstheme="minorEastAsia"/>
                <w:kern w:val="0"/>
                <w:sz w:val="15"/>
                <w:szCs w:val="15"/>
              </w:rPr>
            </w:pPr>
            <w:r>
              <w:rPr>
                <w:rFonts w:hint="eastAsia" w:asciiTheme="minorEastAsia" w:hAnsiTheme="minorEastAsia" w:eastAsiaTheme="minorEastAsia" w:cstheme="minorEastAsia"/>
                <w:i w:val="0"/>
                <w:color w:val="auto"/>
                <w:spacing w:val="0"/>
                <w:kern w:val="0"/>
                <w:sz w:val="20"/>
                <w:szCs w:val="20"/>
                <w:u w:val="none"/>
                <w:lang w:val="en-US" w:eastAsia="zh-CN" w:bidi="ar"/>
              </w:rPr>
              <w:t>满意度指标</w:t>
            </w:r>
          </w:p>
        </w:tc>
        <w:tc>
          <w:tcPr>
            <w:tcW w:w="3363" w:type="dxa"/>
            <w:gridSpan w:val="2"/>
            <w:tcBorders>
              <w:top w:val="single" w:color="auto" w:sz="4" w:space="0"/>
              <w:left w:val="nil"/>
              <w:bottom w:val="single" w:color="auto" w:sz="4" w:space="0"/>
              <w:right w:val="single" w:color="auto"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jc w:val="left"/>
              <w:textAlignment w:val="center"/>
              <w:rPr>
                <w:rFonts w:hint="eastAsia" w:asciiTheme="minorEastAsia" w:hAnsiTheme="minorEastAsia" w:eastAsiaTheme="minorEastAsia" w:cstheme="minorEastAsia"/>
                <w:i w:val="0"/>
                <w:color w:val="auto"/>
                <w:spacing w:val="0"/>
                <w:kern w:val="0"/>
                <w:sz w:val="18"/>
                <w:szCs w:val="18"/>
                <w:u w:val="none"/>
                <w:lang w:val="en-US" w:eastAsia="zh-CN" w:bidi="ar"/>
              </w:rPr>
            </w:pPr>
            <w:r>
              <w:rPr>
                <w:rFonts w:hint="eastAsia" w:asciiTheme="minorEastAsia" w:hAnsiTheme="minorEastAsia" w:eastAsiaTheme="minorEastAsia" w:cstheme="minorEastAsia"/>
                <w:i w:val="0"/>
                <w:color w:val="auto"/>
                <w:spacing w:val="0"/>
                <w:kern w:val="0"/>
                <w:sz w:val="18"/>
                <w:szCs w:val="18"/>
                <w:u w:val="none"/>
                <w:lang w:val="en-US" w:eastAsia="zh-CN" w:bidi="ar"/>
              </w:rPr>
              <w:t xml:space="preserve"> 指标1：受助人员满意率</w:t>
            </w:r>
          </w:p>
        </w:tc>
        <w:tc>
          <w:tcPr>
            <w:tcW w:w="1124" w:type="dxa"/>
            <w:tcBorders>
              <w:top w:val="nil"/>
              <w:left w:val="nil"/>
              <w:bottom w:val="single" w:color="auto" w:sz="4" w:space="0"/>
              <w:right w:val="single" w:color="auto" w:sz="4" w:space="0"/>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jc w:val="center"/>
              <w:textAlignment w:val="center"/>
              <w:rPr>
                <w:rFonts w:hint="eastAsia" w:asciiTheme="minorEastAsia" w:hAnsiTheme="minorEastAsia" w:eastAsiaTheme="minorEastAsia" w:cstheme="minorEastAsia"/>
                <w:i w:val="0"/>
                <w:color w:val="auto"/>
                <w:spacing w:val="0"/>
                <w:kern w:val="0"/>
                <w:sz w:val="18"/>
                <w:szCs w:val="18"/>
                <w:u w:val="none"/>
                <w:lang w:val="en-US" w:eastAsia="zh-CN" w:bidi="ar"/>
              </w:rPr>
            </w:pPr>
            <w:r>
              <w:rPr>
                <w:rStyle w:val="48"/>
                <w:rFonts w:hint="eastAsia" w:asciiTheme="minorEastAsia" w:hAnsiTheme="minorEastAsia" w:eastAsiaTheme="minorEastAsia" w:cstheme="minorEastAsia"/>
                <w:color w:val="auto"/>
                <w:spacing w:val="0"/>
                <w:sz w:val="18"/>
                <w:szCs w:val="18"/>
                <w:lang w:val="en-US" w:eastAsia="zh-CN" w:bidi="ar"/>
              </w:rPr>
              <w:t>≥</w:t>
            </w:r>
            <w:r>
              <w:rPr>
                <w:rStyle w:val="49"/>
                <w:rFonts w:hint="eastAsia" w:asciiTheme="minorEastAsia" w:hAnsiTheme="minorEastAsia" w:eastAsiaTheme="minorEastAsia" w:cstheme="minorEastAsia"/>
                <w:color w:val="auto"/>
                <w:spacing w:val="0"/>
                <w:sz w:val="18"/>
                <w:szCs w:val="18"/>
                <w:lang w:val="en-US" w:eastAsia="zh-CN" w:bidi="ar"/>
              </w:rPr>
              <w:t>85%</w:t>
            </w:r>
          </w:p>
        </w:tc>
        <w:tc>
          <w:tcPr>
            <w:tcW w:w="1207" w:type="dxa"/>
            <w:gridSpan w:val="2"/>
            <w:tcBorders>
              <w:top w:val="nil"/>
              <w:left w:val="nil"/>
              <w:bottom w:val="single" w:color="auto" w:sz="4" w:space="0"/>
              <w:right w:val="single" w:color="auto" w:sz="4" w:space="0"/>
            </w:tcBorders>
            <w:shd w:val="clear" w:color="auto" w:fill="auto"/>
            <w:noWrap w:val="0"/>
            <w:vAlign w:val="center"/>
          </w:tcPr>
          <w:p>
            <w:pPr>
              <w:widowControl/>
              <w:jc w:val="left"/>
              <w:rPr>
                <w:rFonts w:hint="eastAsia" w:asciiTheme="minorEastAsia" w:hAnsiTheme="minorEastAsia" w:eastAsiaTheme="minorEastAsia" w:cstheme="minorEastAsia"/>
                <w:color w:val="000000"/>
                <w:kern w:val="0"/>
                <w:sz w:val="18"/>
                <w:szCs w:val="18"/>
                <w:lang w:val="en-US" w:eastAsia="zh-CN"/>
              </w:rPr>
            </w:pPr>
            <w:r>
              <w:rPr>
                <w:rFonts w:hint="eastAsia" w:asciiTheme="minorEastAsia" w:hAnsiTheme="minorEastAsia" w:eastAsiaTheme="minorEastAsia" w:cstheme="minorEastAsia"/>
                <w:color w:val="000000"/>
                <w:kern w:val="0"/>
                <w:sz w:val="18"/>
                <w:szCs w:val="18"/>
                <w:lang w:val="en-US" w:eastAsia="zh-CN"/>
              </w:rPr>
              <w:t>90%</w:t>
            </w:r>
          </w:p>
        </w:tc>
        <w:tc>
          <w:tcPr>
            <w:tcW w:w="1226" w:type="dxa"/>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宋体" w:hAnsi="宋体" w:eastAsia="宋体" w:cs="宋体"/>
                <w:color w:val="000000"/>
                <w:kern w:val="0"/>
                <w:sz w:val="20"/>
                <w:szCs w:val="20"/>
              </w:rPr>
            </w:pPr>
          </w:p>
        </w:tc>
      </w:tr>
      <w:tr>
        <w:tblPrEx>
          <w:tblLayout w:type="fixed"/>
          <w:tblCellMar>
            <w:top w:w="0" w:type="dxa"/>
            <w:left w:w="108" w:type="dxa"/>
            <w:bottom w:w="0" w:type="dxa"/>
            <w:right w:w="108" w:type="dxa"/>
          </w:tblCellMar>
        </w:tblPrEx>
        <w:trPr>
          <w:trHeight w:val="309" w:hRule="atLeast"/>
        </w:trPr>
        <w:tc>
          <w:tcPr>
            <w:tcW w:w="554" w:type="dxa"/>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说明</w:t>
            </w:r>
          </w:p>
        </w:tc>
        <w:tc>
          <w:tcPr>
            <w:tcW w:w="8526" w:type="dxa"/>
            <w:gridSpan w:val="8"/>
            <w:tcBorders>
              <w:top w:val="single" w:color="auto" w:sz="4" w:space="0"/>
              <w:left w:val="nil"/>
              <w:bottom w:val="single" w:color="auto" w:sz="4" w:space="0"/>
              <w:right w:val="single" w:color="000000" w:sz="4" w:space="0"/>
            </w:tcBorders>
            <w:shd w:val="clear" w:color="auto" w:fill="auto"/>
            <w:noWrap w:val="0"/>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请在此处说明各级审计和财政监督检查中发现问题所涉及的金额，如没有请填无。</w:t>
            </w:r>
          </w:p>
        </w:tc>
      </w:tr>
      <w:tr>
        <w:tblPrEx>
          <w:tblLayout w:type="fixed"/>
          <w:tblCellMar>
            <w:top w:w="0" w:type="dxa"/>
            <w:left w:w="108" w:type="dxa"/>
            <w:bottom w:w="0" w:type="dxa"/>
            <w:right w:w="108" w:type="dxa"/>
          </w:tblCellMar>
        </w:tblPrEx>
        <w:trPr>
          <w:trHeight w:val="309" w:hRule="atLeast"/>
        </w:trPr>
        <w:tc>
          <w:tcPr>
            <w:tcW w:w="9080" w:type="dxa"/>
            <w:gridSpan w:val="9"/>
            <w:tcBorders>
              <w:top w:val="nil"/>
              <w:left w:val="nil"/>
              <w:bottom w:val="nil"/>
              <w:right w:val="nil"/>
            </w:tcBorders>
            <w:shd w:val="clear" w:color="auto" w:fill="auto"/>
            <w:noWrap w:val="0"/>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注：1.定性指标根据指标完成情况分为：达成预期指标、部分达成预期指标并具有一定效果、未达成预期指标且效果较差三档，分别按照100-80%（含80%）、80-50%（含50%）、50-0%合理填写完成比例。</w:t>
            </w:r>
          </w:p>
        </w:tc>
      </w:tr>
      <w:tr>
        <w:tblPrEx>
          <w:tblLayout w:type="fixed"/>
          <w:tblCellMar>
            <w:top w:w="0" w:type="dxa"/>
            <w:left w:w="108" w:type="dxa"/>
            <w:bottom w:w="0" w:type="dxa"/>
            <w:right w:w="108" w:type="dxa"/>
          </w:tblCellMar>
        </w:tblPrEx>
        <w:trPr>
          <w:trHeight w:val="452" w:hRule="atLeast"/>
        </w:trPr>
        <w:tc>
          <w:tcPr>
            <w:tcW w:w="9080" w:type="dxa"/>
            <w:gridSpan w:val="9"/>
            <w:tcBorders>
              <w:top w:val="nil"/>
              <w:left w:val="nil"/>
              <w:bottom w:val="nil"/>
              <w:right w:val="nil"/>
            </w:tcBorders>
            <w:shd w:val="clear" w:color="auto" w:fill="auto"/>
            <w:noWrap w:val="0"/>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xml:space="preserve">    2.定量指标若为正向指标（即指标值为≥*），则得分计算方法应用全年实际值（B）/年度指标值（A）</w:t>
            </w:r>
            <w:r>
              <w:rPr>
                <w:rFonts w:hint="eastAsia" w:ascii="宋体" w:hAnsi="宋体" w:eastAsia="宋体" w:cs="宋体"/>
                <w:color w:val="000000"/>
                <w:kern w:val="0"/>
                <w:sz w:val="12"/>
                <w:szCs w:val="12"/>
              </w:rPr>
              <w:t>╳</w:t>
            </w:r>
            <w:r>
              <w:rPr>
                <w:rFonts w:hint="eastAsia" w:ascii="宋体" w:hAnsi="宋体" w:eastAsia="宋体" w:cs="宋体"/>
                <w:color w:val="000000"/>
                <w:kern w:val="0"/>
                <w:sz w:val="18"/>
                <w:szCs w:val="18"/>
              </w:rPr>
              <w:t>该指标分值；若定量指标为反向指标（即指标值为≤*），则得分计算方法应用年度指标值（A）/全年实际值（B）</w:t>
            </w:r>
            <w:r>
              <w:rPr>
                <w:rFonts w:hint="eastAsia" w:ascii="宋体" w:hAnsi="宋体" w:eastAsia="宋体" w:cs="宋体"/>
                <w:color w:val="000000"/>
                <w:kern w:val="0"/>
                <w:sz w:val="12"/>
                <w:szCs w:val="12"/>
              </w:rPr>
              <w:t>╳</w:t>
            </w:r>
            <w:r>
              <w:rPr>
                <w:rFonts w:hint="eastAsia" w:ascii="宋体" w:hAnsi="宋体" w:eastAsia="宋体" w:cs="宋体"/>
                <w:color w:val="000000"/>
                <w:kern w:val="0"/>
                <w:sz w:val="18"/>
                <w:szCs w:val="18"/>
              </w:rPr>
              <w:t>该指标分值。</w:t>
            </w:r>
          </w:p>
        </w:tc>
      </w:tr>
    </w:tbl>
    <w:p>
      <w:pPr>
        <w:rPr>
          <w:rFonts w:hint="eastAsia" w:ascii="黑体" w:hAnsi="黑体" w:eastAsia="黑体" w:cs="黑体"/>
          <w:bCs/>
          <w:szCs w:val="32"/>
        </w:rPr>
      </w:pPr>
    </w:p>
    <w:p>
      <w:pPr>
        <w:pStyle w:val="2"/>
        <w:keepNext w:val="0"/>
        <w:keepLines w:val="0"/>
        <w:pageBreakBefore w:val="0"/>
        <w:kinsoku/>
        <w:wordWrap/>
        <w:overflowPunct/>
        <w:topLinePunct w:val="0"/>
        <w:autoSpaceDE/>
        <w:autoSpaceDN/>
        <w:bidi w:val="0"/>
        <w:spacing w:line="240" w:lineRule="auto"/>
        <w:ind w:left="0" w:leftChars="0" w:right="0" w:rightChars="0"/>
        <w:rPr>
          <w:rStyle w:val="19"/>
          <w:rFonts w:ascii="仿宋" w:hAnsi="仿宋" w:eastAsia="仿宋"/>
          <w:b w:val="0"/>
          <w:color w:val="auto"/>
          <w:spacing w:val="0"/>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modern"/>
    <w:pitch w:val="default"/>
    <w:sig w:usb0="E00002FF" w:usb1="400004FF" w:usb2="00000000" w:usb3="00000000" w:csb0="2000019F" w:csb1="00000000"/>
  </w:font>
  <w:font w:name="仿宋">
    <w:panose1 w:val="02010609060101010101"/>
    <w:charset w:val="86"/>
    <w:family w:val="roma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roman"/>
    <w:pitch w:val="default"/>
    <w:sig w:usb0="00000000" w:usb1="00000000" w:usb2="00000010" w:usb3="00000000" w:csb0="00040000" w:csb1="00000000"/>
  </w:font>
  <w:font w:name="楷体">
    <w:panose1 w:val="02010609060101010101"/>
    <w:charset w:val="86"/>
    <w:family w:val="roma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3"/>
          <w:jc w:val="center"/>
        </w:pPr>
        <w:r>
          <w:fldChar w:fldCharType="begin"/>
        </w:r>
        <w:r>
          <w:instrText xml:space="preserve">PAGE   \* MERGEFORMAT</w:instrText>
        </w:r>
        <w:r>
          <w:fldChar w:fldCharType="separate"/>
        </w:r>
        <w:r>
          <w:t>1</w:t>
        </w:r>
        <w:r>
          <w:fldChar w:fldCharType="end"/>
        </w:r>
      </w:p>
    </w:sdtContent>
  </w:sdt>
  <w:p>
    <w:pPr>
      <w:pStyle w:val="1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D4289A4"/>
    <w:multiLevelType w:val="singleLevel"/>
    <w:tmpl w:val="5D4289A4"/>
    <w:lvl w:ilvl="0" w:tentative="0">
      <w:start w:val="3"/>
      <w:numFmt w:val="decimal"/>
      <w:suff w:val="nothing"/>
      <w:lvlText w:val="（%1）"/>
      <w:lvlJc w:val="left"/>
    </w:lvl>
  </w:abstractNum>
  <w:abstractNum w:abstractNumId="1">
    <w:nsid w:val="5D4289D9"/>
    <w:multiLevelType w:val="singleLevel"/>
    <w:tmpl w:val="5D4289D9"/>
    <w:lvl w:ilvl="0" w:tentative="0">
      <w:start w:val="3"/>
      <w:numFmt w:val="decimal"/>
      <w:suff w:val="nothing"/>
      <w:lvlText w:val="%1."/>
      <w:lvlJc w:val="left"/>
    </w:lvl>
  </w:abstractNum>
  <w:abstractNum w:abstractNumId="2">
    <w:nsid w:val="5D4290D2"/>
    <w:multiLevelType w:val="singleLevel"/>
    <w:tmpl w:val="5D4290D2"/>
    <w:lvl w:ilvl="0" w:tentative="0">
      <w:start w:val="2"/>
      <w:numFmt w:val="chineseCounting"/>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21AE4"/>
    <w:rsid w:val="00146AAD"/>
    <w:rsid w:val="001B3A40"/>
    <w:rsid w:val="004366A8"/>
    <w:rsid w:val="00502BA7"/>
    <w:rsid w:val="005162F1"/>
    <w:rsid w:val="00535153"/>
    <w:rsid w:val="00554F82"/>
    <w:rsid w:val="0056390D"/>
    <w:rsid w:val="005719B0"/>
    <w:rsid w:val="005D10D6"/>
    <w:rsid w:val="00855E3A"/>
    <w:rsid w:val="00922CB9"/>
    <w:rsid w:val="009E5CD9"/>
    <w:rsid w:val="00A26421"/>
    <w:rsid w:val="00A4293B"/>
    <w:rsid w:val="00A67D50"/>
    <w:rsid w:val="00A8691A"/>
    <w:rsid w:val="00AC1946"/>
    <w:rsid w:val="00B40063"/>
    <w:rsid w:val="00B41F61"/>
    <w:rsid w:val="00BA46E6"/>
    <w:rsid w:val="00C56C72"/>
    <w:rsid w:val="00CA6457"/>
    <w:rsid w:val="00D17F2E"/>
    <w:rsid w:val="00D30354"/>
    <w:rsid w:val="00DF42A0"/>
    <w:rsid w:val="00E769FE"/>
    <w:rsid w:val="00EA2CBE"/>
    <w:rsid w:val="00F32FEE"/>
    <w:rsid w:val="00FB10BB"/>
    <w:rsid w:val="0D860751"/>
    <w:rsid w:val="16E90561"/>
    <w:rsid w:val="18FD7B8B"/>
    <w:rsid w:val="22742716"/>
    <w:rsid w:val="268D24CB"/>
    <w:rsid w:val="2F7C774F"/>
    <w:rsid w:val="2FA05332"/>
    <w:rsid w:val="36FD2CC6"/>
    <w:rsid w:val="3E8A33A6"/>
    <w:rsid w:val="4109033B"/>
    <w:rsid w:val="467427EF"/>
    <w:rsid w:val="477F1254"/>
    <w:rsid w:val="478E5BF3"/>
    <w:rsid w:val="55F31810"/>
    <w:rsid w:val="5C0F6B97"/>
    <w:rsid w:val="60A5501C"/>
    <w:rsid w:val="6659793D"/>
    <w:rsid w:val="69680FFD"/>
    <w:rsid w:val="6B8303F3"/>
    <w:rsid w:val="6CCF2613"/>
    <w:rsid w:val="707A21D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2"/>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5">
    <w:name w:val="heading 3"/>
    <w:basedOn w:val="1"/>
    <w:next w:val="1"/>
    <w:link w:val="23"/>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6">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7">
    <w:name w:val="heading 5"/>
    <w:basedOn w:val="1"/>
    <w:next w:val="1"/>
    <w:link w:val="25"/>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8">
    <w:name w:val="heading 6"/>
    <w:basedOn w:val="1"/>
    <w:next w:val="1"/>
    <w:link w:val="26"/>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9">
    <w:name w:val="heading 7"/>
    <w:basedOn w:val="1"/>
    <w:next w:val="1"/>
    <w:link w:val="27"/>
    <w:unhideWhenUsed/>
    <w:qFormat/>
    <w:uiPriority w:val="9"/>
    <w:pPr>
      <w:widowControl/>
      <w:spacing w:before="240" w:after="60"/>
      <w:jc w:val="left"/>
      <w:outlineLvl w:val="6"/>
    </w:pPr>
    <w:rPr>
      <w:rFonts w:asciiTheme="minorHAnsi" w:hAnsiTheme="minorHAnsi" w:eastAsiaTheme="minorEastAsia"/>
      <w:kern w:val="0"/>
      <w:sz w:val="24"/>
    </w:rPr>
  </w:style>
  <w:style w:type="paragraph" w:styleId="10">
    <w:name w:val="heading 8"/>
    <w:basedOn w:val="1"/>
    <w:next w:val="1"/>
    <w:link w:val="28"/>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1">
    <w:name w:val="heading 9"/>
    <w:basedOn w:val="1"/>
    <w:next w:val="1"/>
    <w:link w:val="29"/>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unhideWhenUsed/>
    <w:qFormat/>
    <w:uiPriority w:val="1"/>
  </w:style>
  <w:style w:type="table" w:default="1" w:styleId="17">
    <w:name w:val="Normal Table"/>
    <w:unhideWhenUsed/>
    <w:qFormat/>
    <w:uiPriority w:val="99"/>
    <w:tblPr>
      <w:tblLayout w:type="fixed"/>
      <w:tblCellMar>
        <w:top w:w="0" w:type="dxa"/>
        <w:left w:w="108" w:type="dxa"/>
        <w:bottom w:w="0" w:type="dxa"/>
        <w:right w:w="108" w:type="dxa"/>
      </w:tblCellMar>
    </w:tblPr>
  </w:style>
  <w:style w:type="paragraph" w:customStyle="1" w:styleId="2">
    <w:name w:val="Char"/>
    <w:basedOn w:val="1"/>
    <w:qFormat/>
    <w:uiPriority w:val="99"/>
    <w:pPr>
      <w:widowControl/>
      <w:spacing w:after="160" w:line="240" w:lineRule="exact"/>
      <w:jc w:val="left"/>
    </w:pPr>
  </w:style>
  <w:style w:type="paragraph" w:styleId="12">
    <w:name w:val="Balloon Text"/>
    <w:basedOn w:val="1"/>
    <w:link w:val="46"/>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Char"/>
    <w:basedOn w:val="18"/>
    <w:link w:val="3"/>
    <w:qFormat/>
    <w:uiPriority w:val="9"/>
    <w:rPr>
      <w:rFonts w:asciiTheme="majorHAnsi" w:hAnsiTheme="majorHAnsi" w:eastAsiaTheme="majorEastAsia"/>
      <w:b/>
      <w:bCs/>
      <w:kern w:val="32"/>
      <w:sz w:val="32"/>
      <w:szCs w:val="32"/>
    </w:rPr>
  </w:style>
  <w:style w:type="character" w:customStyle="1" w:styleId="22">
    <w:name w:val="标题 2 Char"/>
    <w:basedOn w:val="18"/>
    <w:link w:val="4"/>
    <w:semiHidden/>
    <w:qFormat/>
    <w:uiPriority w:val="9"/>
    <w:rPr>
      <w:rFonts w:asciiTheme="majorHAnsi" w:hAnsiTheme="majorHAnsi" w:eastAsiaTheme="majorEastAsia"/>
      <w:b/>
      <w:bCs/>
      <w:i/>
      <w:iCs/>
      <w:sz w:val="28"/>
      <w:szCs w:val="28"/>
    </w:rPr>
  </w:style>
  <w:style w:type="character" w:customStyle="1" w:styleId="23">
    <w:name w:val="标题 3 Char"/>
    <w:basedOn w:val="18"/>
    <w:link w:val="5"/>
    <w:semiHidden/>
    <w:qFormat/>
    <w:uiPriority w:val="9"/>
    <w:rPr>
      <w:rFonts w:asciiTheme="majorHAnsi" w:hAnsiTheme="majorHAnsi" w:eastAsiaTheme="majorEastAsia"/>
      <w:b/>
      <w:bCs/>
      <w:sz w:val="26"/>
      <w:szCs w:val="26"/>
    </w:rPr>
  </w:style>
  <w:style w:type="character" w:customStyle="1" w:styleId="24">
    <w:name w:val="标题 4 Char"/>
    <w:basedOn w:val="18"/>
    <w:link w:val="6"/>
    <w:semiHidden/>
    <w:qFormat/>
    <w:uiPriority w:val="9"/>
    <w:rPr>
      <w:b/>
      <w:bCs/>
      <w:sz w:val="28"/>
      <w:szCs w:val="28"/>
    </w:rPr>
  </w:style>
  <w:style w:type="character" w:customStyle="1" w:styleId="25">
    <w:name w:val="标题 5 Char"/>
    <w:basedOn w:val="18"/>
    <w:link w:val="7"/>
    <w:semiHidden/>
    <w:qFormat/>
    <w:uiPriority w:val="9"/>
    <w:rPr>
      <w:b/>
      <w:bCs/>
      <w:i/>
      <w:iCs/>
      <w:sz w:val="26"/>
      <w:szCs w:val="26"/>
    </w:rPr>
  </w:style>
  <w:style w:type="character" w:customStyle="1" w:styleId="26">
    <w:name w:val="标题 6 Char"/>
    <w:basedOn w:val="18"/>
    <w:link w:val="8"/>
    <w:semiHidden/>
    <w:qFormat/>
    <w:uiPriority w:val="9"/>
    <w:rPr>
      <w:b/>
      <w:bCs/>
    </w:rPr>
  </w:style>
  <w:style w:type="character" w:customStyle="1" w:styleId="27">
    <w:name w:val="标题 7 Char"/>
    <w:basedOn w:val="18"/>
    <w:link w:val="9"/>
    <w:semiHidden/>
    <w:qFormat/>
    <w:uiPriority w:val="9"/>
    <w:rPr>
      <w:sz w:val="24"/>
      <w:szCs w:val="24"/>
    </w:rPr>
  </w:style>
  <w:style w:type="character" w:customStyle="1" w:styleId="28">
    <w:name w:val="标题 8 Char"/>
    <w:basedOn w:val="18"/>
    <w:link w:val="10"/>
    <w:semiHidden/>
    <w:qFormat/>
    <w:uiPriority w:val="9"/>
    <w:rPr>
      <w:i/>
      <w:iCs/>
      <w:sz w:val="24"/>
      <w:szCs w:val="24"/>
    </w:rPr>
  </w:style>
  <w:style w:type="character" w:customStyle="1" w:styleId="29">
    <w:name w:val="标题 9 Char"/>
    <w:basedOn w:val="18"/>
    <w:link w:val="11"/>
    <w:semiHidden/>
    <w:qFormat/>
    <w:uiPriority w:val="9"/>
    <w:rPr>
      <w:rFonts w:asciiTheme="majorHAnsi" w:hAnsiTheme="majorHAnsi" w:eastAsiaTheme="majorEastAsia"/>
    </w:rPr>
  </w:style>
  <w:style w:type="character" w:customStyle="1" w:styleId="30">
    <w:name w:val="标题 Char"/>
    <w:basedOn w:val="18"/>
    <w:link w:val="16"/>
    <w:qFormat/>
    <w:uiPriority w:val="10"/>
    <w:rPr>
      <w:rFonts w:asciiTheme="majorHAnsi" w:hAnsiTheme="majorHAnsi" w:eastAsiaTheme="majorEastAsia"/>
      <w:b/>
      <w:bCs/>
      <w:kern w:val="28"/>
      <w:sz w:val="32"/>
      <w:szCs w:val="32"/>
    </w:rPr>
  </w:style>
  <w:style w:type="character" w:customStyle="1" w:styleId="31">
    <w:name w:val="副标题 Char"/>
    <w:basedOn w:val="18"/>
    <w:link w:val="15"/>
    <w:qFormat/>
    <w:uiPriority w:val="11"/>
    <w:rPr>
      <w:rFonts w:asciiTheme="majorHAnsi" w:hAnsiTheme="majorHAnsi" w:eastAsiaTheme="majorEastAsia"/>
      <w:sz w:val="24"/>
      <w:szCs w:val="24"/>
    </w:rPr>
  </w:style>
  <w:style w:type="paragraph" w:customStyle="1"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8"/>
    <w:link w:val="34"/>
    <w:qFormat/>
    <w:uiPriority w:val="29"/>
    <w:rPr>
      <w:i/>
      <w:sz w:val="24"/>
      <w:szCs w:val="24"/>
    </w:rPr>
  </w:style>
  <w:style w:type="paragraph" w:customStyle="1"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8"/>
    <w:link w:val="36"/>
    <w:qFormat/>
    <w:uiPriority w:val="30"/>
    <w:rPr>
      <w:b/>
      <w:i/>
      <w:sz w:val="24"/>
    </w:rPr>
  </w:style>
  <w:style w:type="character" w:customStyle="1" w:styleId="38">
    <w:name w:val="Subtle Emphasis"/>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Intense Emphasis"/>
    <w:basedOn w:val="18"/>
    <w:qFormat/>
    <w:uiPriority w:val="21"/>
    <w:rPr>
      <w:b/>
      <w:i/>
      <w:sz w:val="24"/>
      <w:szCs w:val="24"/>
      <w:u w:val="single"/>
    </w:rPr>
  </w:style>
  <w:style w:type="character" w:customStyle="1" w:styleId="40">
    <w:name w:val="Subtle Reference"/>
    <w:basedOn w:val="18"/>
    <w:qFormat/>
    <w:uiPriority w:val="31"/>
    <w:rPr>
      <w:sz w:val="24"/>
      <w:szCs w:val="24"/>
      <w:u w:val="single"/>
    </w:rPr>
  </w:style>
  <w:style w:type="character" w:customStyle="1" w:styleId="41">
    <w:name w:val="Intense Reference"/>
    <w:basedOn w:val="18"/>
    <w:qFormat/>
    <w:uiPriority w:val="32"/>
    <w:rPr>
      <w:b/>
      <w:sz w:val="24"/>
      <w:u w:val="single"/>
    </w:rPr>
  </w:style>
  <w:style w:type="character" w:customStyle="1" w:styleId="42">
    <w:name w:val="Book Title"/>
    <w:basedOn w:val="18"/>
    <w:qFormat/>
    <w:uiPriority w:val="33"/>
    <w:rPr>
      <w:rFonts w:asciiTheme="majorHAnsi" w:hAnsiTheme="majorHAnsi" w:eastAsiaTheme="majorEastAsia"/>
      <w:b/>
      <w:i/>
      <w:sz w:val="24"/>
      <w:szCs w:val="24"/>
    </w:rPr>
  </w:style>
  <w:style w:type="paragraph" w:customStyle="1" w:styleId="43">
    <w:name w:val="TOC Heading"/>
    <w:basedOn w:val="3"/>
    <w:next w:val="1"/>
    <w:unhideWhenUsed/>
    <w:qFormat/>
    <w:uiPriority w:val="39"/>
    <w:pPr>
      <w:outlineLvl w:val="9"/>
    </w:pPr>
    <w:rPr>
      <w:lang w:eastAsia="en-US" w:bidi="en-US"/>
    </w:rPr>
  </w:style>
  <w:style w:type="character" w:customStyle="1" w:styleId="44">
    <w:name w:val="页眉 Char"/>
    <w:basedOn w:val="18"/>
    <w:link w:val="14"/>
    <w:qFormat/>
    <w:uiPriority w:val="99"/>
    <w:rPr>
      <w:rFonts w:ascii="Calibri" w:hAnsi="Calibri" w:eastAsia="宋体"/>
      <w:kern w:val="2"/>
      <w:sz w:val="18"/>
      <w:szCs w:val="18"/>
    </w:rPr>
  </w:style>
  <w:style w:type="character" w:customStyle="1" w:styleId="45">
    <w:name w:val="页脚 Char"/>
    <w:basedOn w:val="18"/>
    <w:link w:val="13"/>
    <w:qFormat/>
    <w:uiPriority w:val="99"/>
    <w:rPr>
      <w:rFonts w:ascii="Calibri" w:hAnsi="Calibri" w:eastAsia="宋体"/>
      <w:kern w:val="2"/>
      <w:sz w:val="18"/>
      <w:szCs w:val="18"/>
    </w:rPr>
  </w:style>
  <w:style w:type="character" w:customStyle="1" w:styleId="46">
    <w:name w:val="批注框文本 Char"/>
    <w:basedOn w:val="18"/>
    <w:link w:val="12"/>
    <w:semiHidden/>
    <w:qFormat/>
    <w:uiPriority w:val="99"/>
    <w:rPr>
      <w:rFonts w:ascii="Times New Roman" w:hAnsi="Times New Roman" w:eastAsia="宋体"/>
      <w:kern w:val="2"/>
      <w:sz w:val="18"/>
      <w:szCs w:val="18"/>
    </w:rPr>
  </w:style>
  <w:style w:type="character" w:customStyle="1" w:styleId="47">
    <w:name w:val="font01"/>
    <w:basedOn w:val="18"/>
    <w:qFormat/>
    <w:uiPriority w:val="0"/>
    <w:rPr>
      <w:rFonts w:hint="eastAsia" w:ascii="宋体" w:hAnsi="宋体" w:eastAsia="宋体" w:cs="宋体"/>
      <w:color w:val="000000"/>
      <w:sz w:val="24"/>
      <w:szCs w:val="24"/>
      <w:u w:val="none"/>
    </w:rPr>
  </w:style>
  <w:style w:type="character" w:customStyle="1" w:styleId="48">
    <w:name w:val="font21"/>
    <w:basedOn w:val="18"/>
    <w:qFormat/>
    <w:uiPriority w:val="0"/>
    <w:rPr>
      <w:rFonts w:hint="eastAsia" w:ascii="宋体" w:hAnsi="宋体" w:eastAsia="宋体" w:cs="宋体"/>
      <w:color w:val="000000"/>
      <w:sz w:val="20"/>
      <w:szCs w:val="20"/>
      <w:u w:val="none"/>
    </w:rPr>
  </w:style>
  <w:style w:type="character" w:customStyle="1" w:styleId="49">
    <w:name w:val="font31"/>
    <w:basedOn w:val="18"/>
    <w:qFormat/>
    <w:uiPriority w:val="0"/>
    <w:rPr>
      <w:rFonts w:hint="default" w:ascii="Times New Roman" w:hAnsi="Times New Roman" w:cs="Times New Roman"/>
      <w:color w:val="000000"/>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204</Words>
  <Characters>1164</Characters>
  <Lines>9</Lines>
  <Paragraphs>2</Paragraphs>
  <TotalTime>1</TotalTime>
  <ScaleCrop>false</ScaleCrop>
  <LinksUpToDate>false</LinksUpToDate>
  <CharactersWithSpaces>1366</CharactersWithSpaces>
  <Application>WPS Office_11.1.0.8597_F1E327BC-269C-435d-A152-05C5408002CA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没有人</cp:lastModifiedBy>
  <cp:lastPrinted>2019-08-01T06:44:00Z</cp:lastPrinted>
  <dcterms:modified xsi:type="dcterms:W3CDTF">2019-08-01T11:39:14Z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2052-11.1.0.8597</vt:lpwstr>
  </property>
</Properties>
</file>