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附件2：</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自治区财政项目支出绩效自评报告</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（2018 年度）</w:t>
      </w: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rPr>
          <w:rFonts w:hAnsi="宋体" w:eastAsia="仿宋_GB2312" w:cs="宋体"/>
          <w:color w:val="000000" w:themeColor="text1"/>
          <w:kern w:val="0"/>
          <w:sz w:val="30"/>
          <w:szCs w:val="30"/>
          <w14:textFill>
            <w14:solidFill>
              <w14:schemeClr w14:val="tx1"/>
            </w14:solidFill>
          </w14:textFill>
        </w:rPr>
      </w:pPr>
    </w:p>
    <w:p>
      <w:pPr>
        <w:spacing w:line="700" w:lineRule="exac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项目名称：80周岁以上老年人基本生活津贴</w:t>
      </w:r>
    </w:p>
    <w:p>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实施单位（公章）：自治区民政厅</w:t>
      </w:r>
    </w:p>
    <w:p>
      <w:pPr>
        <w:spacing w:line="700" w:lineRule="exact"/>
        <w:ind w:firstLine="849" w:firstLineChars="236"/>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主管部门（公章） ：</w:t>
      </w:r>
    </w:p>
    <w:p>
      <w:pPr>
        <w:spacing w:line="700" w:lineRule="exact"/>
        <w:ind w:firstLine="849" w:firstLineChars="236"/>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项目负责人（签章）：</w:t>
      </w:r>
    </w:p>
    <w:p>
      <w:pPr>
        <w:spacing w:line="700" w:lineRule="exact"/>
        <w:ind w:firstLine="849" w:firstLineChars="236"/>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填报时间：  2019年1 月23 日</w:t>
      </w:r>
    </w:p>
    <w:p>
      <w:pPr>
        <w:spacing w:line="540" w:lineRule="exact"/>
        <w:rPr>
          <w:rStyle w:val="20"/>
          <w:rFonts w:ascii="楷体" w:hAnsi="楷体" w:eastAsia="楷体"/>
          <w:color w:val="000000" w:themeColor="text1"/>
          <w:spacing w:val="-4"/>
          <w:sz w:val="32"/>
          <w:szCs w:val="32"/>
          <w14:textFill>
            <w14:solidFill>
              <w14:schemeClr w14:val="tx1"/>
            </w14:solidFill>
          </w14:textFill>
        </w:rPr>
      </w:pPr>
    </w:p>
    <w:p>
      <w:pPr>
        <w:spacing w:line="500" w:lineRule="exact"/>
        <w:jc w:val="center"/>
        <w:rPr>
          <w:rStyle w:val="20"/>
          <w:rFonts w:ascii="黑体" w:hAnsi="黑体" w:eastAsia="黑体"/>
          <w:b w:val="0"/>
          <w:color w:val="000000" w:themeColor="text1"/>
          <w:spacing w:val="-4"/>
          <w:sz w:val="32"/>
          <w:szCs w:val="32"/>
          <w14:textFill>
            <w14:solidFill>
              <w14:schemeClr w14:val="tx1"/>
            </w14:solidFill>
          </w14:textFill>
        </w:rPr>
      </w:pPr>
    </w:p>
    <w:p>
      <w:pPr>
        <w:spacing w:line="500" w:lineRule="exact"/>
        <w:jc w:val="center"/>
        <w:rPr>
          <w:rStyle w:val="20"/>
          <w:rFonts w:ascii="黑体" w:hAnsi="黑体" w:eastAsia="黑体"/>
          <w:b w:val="0"/>
          <w:color w:val="000000" w:themeColor="text1"/>
          <w:spacing w:val="-4"/>
          <w:sz w:val="32"/>
          <w:szCs w:val="32"/>
          <w14:textFill>
            <w14:solidFill>
              <w14:schemeClr w14:val="tx1"/>
            </w14:solidFill>
          </w14:textFill>
        </w:rPr>
      </w:pPr>
    </w:p>
    <w:p>
      <w:pPr>
        <w:spacing w:line="560" w:lineRule="exact"/>
        <w:jc w:val="center"/>
        <w:rPr>
          <w:rFonts w:ascii="仿宋_GB2312" w:hAnsi="仿宋_GB2312" w:eastAsia="仿宋_GB2312" w:cs="仿宋_GB2312"/>
          <w:b/>
          <w:color w:val="000000" w:themeColor="text1"/>
          <w:spacing w:val="-11"/>
          <w:sz w:val="32"/>
          <w:szCs w:val="32"/>
          <w14:textFill>
            <w14:solidFill>
              <w14:schemeClr w14:val="tx1"/>
            </w14:solidFill>
          </w14:textFill>
        </w:rPr>
      </w:pPr>
    </w:p>
    <w:p>
      <w:pPr>
        <w:spacing w:line="560" w:lineRule="exact"/>
        <w:jc w:val="center"/>
        <w:rPr>
          <w:rFonts w:ascii="方正小标宋_GBK" w:hAnsi="方正小标宋_GBK" w:eastAsia="方正小标宋_GBK" w:cs="方正小标宋_GBK"/>
          <w:bCs/>
          <w:color w:val="000000" w:themeColor="text1"/>
          <w:spacing w:val="-11"/>
          <w:sz w:val="44"/>
          <w:szCs w:val="44"/>
          <w14:textFill>
            <w14:solidFill>
              <w14:schemeClr w14:val="tx1"/>
            </w14:solidFill>
          </w14:textFill>
        </w:rPr>
      </w:pPr>
    </w:p>
    <w:p>
      <w:pPr>
        <w:spacing w:line="560" w:lineRule="exact"/>
        <w:jc w:val="center"/>
        <w:rPr>
          <w:rStyle w:val="20"/>
          <w:rFonts w:ascii="方正小标宋_GBK" w:hAnsi="方正小标宋_GBK" w:eastAsia="方正小标宋_GBK" w:cs="方正小标宋_GBK"/>
          <w:b w:val="0"/>
          <w:color w:val="000000" w:themeColor="text1"/>
          <w:spacing w:val="-11"/>
          <w:sz w:val="44"/>
          <w:szCs w:val="44"/>
          <w14:textFill>
            <w14:solidFill>
              <w14:schemeClr w14:val="tx1"/>
            </w14:solidFill>
          </w14:textFill>
        </w:rPr>
      </w:pPr>
      <w:r>
        <w:rPr>
          <w:rFonts w:hint="eastAsia" w:ascii="方正小标宋_GBK" w:hAnsi="方正小标宋_GBK" w:eastAsia="方正小标宋_GBK" w:cs="方正小标宋_GBK"/>
          <w:bCs/>
          <w:color w:val="000000" w:themeColor="text1"/>
          <w:spacing w:val="-11"/>
          <w:sz w:val="44"/>
          <w:szCs w:val="44"/>
          <w14:textFill>
            <w14:solidFill>
              <w14:schemeClr w14:val="tx1"/>
            </w14:solidFill>
          </w14:textFill>
        </w:rPr>
        <w:t>2018年度自治区财政资金《80周岁以上老年人基本生活津贴制度》项目</w:t>
      </w:r>
      <w:r>
        <w:rPr>
          <w:rStyle w:val="20"/>
          <w:rFonts w:hint="eastAsia" w:ascii="方正小标宋_GBK" w:hAnsi="方正小标宋_GBK" w:eastAsia="方正小标宋_GBK" w:cs="方正小标宋_GBK"/>
          <w:b w:val="0"/>
          <w:color w:val="000000" w:themeColor="text1"/>
          <w:spacing w:val="-11"/>
          <w:sz w:val="44"/>
          <w:szCs w:val="44"/>
          <w14:textFill>
            <w14:solidFill>
              <w14:schemeClr w14:val="tx1"/>
            </w14:solidFill>
          </w14:textFill>
        </w:rPr>
        <w:t>支出绩效自评报告</w:t>
      </w:r>
    </w:p>
    <w:p>
      <w:pPr>
        <w:spacing w:line="560" w:lineRule="exact"/>
        <w:rPr>
          <w:rStyle w:val="20"/>
          <w:rFonts w:ascii="仿宋_GB2312" w:hAnsi="仿宋_GB2312" w:eastAsia="仿宋_GB2312" w:cs="仿宋_GB2312"/>
          <w:b w:val="0"/>
          <w:color w:val="000000" w:themeColor="text1"/>
          <w:spacing w:val="-4"/>
          <w:sz w:val="32"/>
          <w:szCs w:val="32"/>
          <w14:textFill>
            <w14:solidFill>
              <w14:schemeClr w14:val="tx1"/>
            </w14:solidFill>
          </w14:textFill>
        </w:rPr>
      </w:pPr>
    </w:p>
    <w:p>
      <w:pPr>
        <w:spacing w:line="560" w:lineRule="exact"/>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自治区财政厅：</w:t>
      </w:r>
    </w:p>
    <w:p>
      <w:pPr>
        <w:spacing w:line="560" w:lineRule="exact"/>
        <w:ind w:firstLine="608"/>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根据自治区财政厅有关要求，</w:t>
      </w:r>
      <w:r>
        <w:rPr>
          <w:rFonts w:hint="eastAsia" w:ascii="仿宋_GB2312" w:hAnsi="仿宋_GB2312" w:eastAsia="仿宋_GB2312" w:cs="仿宋_GB2312"/>
          <w:color w:val="000000" w:themeColor="text1"/>
          <w:sz w:val="32"/>
          <w:szCs w:val="32"/>
          <w14:textFill>
            <w14:solidFill>
              <w14:schemeClr w14:val="tx1"/>
            </w14:solidFill>
          </w14:textFill>
        </w:rPr>
        <w:t>我厅对</w:t>
      </w:r>
      <w:r>
        <w:rPr>
          <w:rFonts w:hint="eastAsia" w:ascii="仿宋_GB2312" w:hAnsi="仿宋_GB2312" w:eastAsia="仿宋_GB2312" w:cs="仿宋_GB2312"/>
          <w:color w:val="000000" w:themeColor="text1"/>
          <w:spacing w:val="-4"/>
          <w:sz w:val="32"/>
          <w:szCs w:val="32"/>
          <w14:textFill>
            <w14:solidFill>
              <w14:schemeClr w14:val="tx1"/>
            </w14:solidFill>
          </w14:textFill>
        </w:rPr>
        <w:t>2018年自治区财政专项资金《80周岁以上老年人基本生活津贴》项目</w:t>
      </w:r>
      <w:r>
        <w:rPr>
          <w:rFonts w:hint="eastAsia" w:ascii="仿宋_GB2312" w:hAnsi="仿宋_GB2312" w:eastAsia="仿宋_GB2312" w:cs="仿宋_GB2312"/>
          <w:color w:val="000000" w:themeColor="text1"/>
          <w:sz w:val="32"/>
          <w:szCs w:val="32"/>
          <w14:textFill>
            <w14:solidFill>
              <w14:schemeClr w14:val="tx1"/>
            </w14:solidFill>
          </w14:textFill>
        </w:rPr>
        <w:t>绩效进行了认真评价，</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经研究，</w:t>
      </w:r>
      <w:r>
        <w:rPr>
          <w:rFonts w:hint="eastAsia" w:ascii="仿宋_GB2312" w:hAnsi="仿宋_GB2312" w:eastAsia="仿宋_GB2312" w:cs="仿宋_GB2312"/>
          <w:color w:val="000000" w:themeColor="text1"/>
          <w:sz w:val="32"/>
          <w:szCs w:val="32"/>
          <w14:textFill>
            <w14:solidFill>
              <w14:schemeClr w14:val="tx1"/>
            </w14:solidFill>
          </w14:textFill>
        </w:rPr>
        <w:t>现将自评情况报告如下</w:t>
      </w:r>
    </w:p>
    <w:p>
      <w:pPr>
        <w:spacing w:line="560" w:lineRule="exact"/>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 xml:space="preserve">    </w:t>
      </w:r>
      <w:r>
        <w:rPr>
          <w:rStyle w:val="20"/>
          <w:rFonts w:hint="eastAsia" w:ascii="黑体" w:hAnsi="黑体" w:eastAsia="黑体" w:cs="黑体"/>
          <w:b w:val="0"/>
          <w:color w:val="000000" w:themeColor="text1"/>
          <w:spacing w:val="-4"/>
          <w:sz w:val="32"/>
          <w:szCs w:val="32"/>
          <w14:textFill>
            <w14:solidFill>
              <w14:schemeClr w14:val="tx1"/>
            </w14:solidFill>
          </w14:textFill>
        </w:rPr>
        <w:t xml:space="preserve"> 一、项目概况</w:t>
      </w:r>
    </w:p>
    <w:p>
      <w:pPr>
        <w:spacing w:line="540" w:lineRule="exact"/>
        <w:ind w:firstLine="640"/>
        <w:rPr>
          <w:rStyle w:val="20"/>
          <w:rFonts w:hint="eastAsia" w:ascii="仿宋" w:hAnsi="仿宋" w:eastAsia="仿宋" w:cs="仿宋"/>
          <w:b w:val="0"/>
          <w:color w:val="000000"/>
          <w:spacing w:val="-4"/>
          <w:sz w:val="32"/>
          <w:szCs w:val="32"/>
        </w:rPr>
      </w:pPr>
      <w:r>
        <w:rPr>
          <w:rStyle w:val="20"/>
          <w:rFonts w:hint="eastAsia" w:ascii="楷体_GB2312" w:hAnsi="楷体_GB2312" w:eastAsia="楷体_GB2312" w:cs="楷体_GB2312"/>
          <w:color w:val="000000" w:themeColor="text1"/>
          <w:spacing w:val="-4"/>
          <w:sz w:val="32"/>
          <w:szCs w:val="32"/>
          <w14:textFill>
            <w14:solidFill>
              <w14:schemeClr w14:val="tx1"/>
            </w14:solidFill>
          </w14:textFill>
        </w:rPr>
        <w:t>（一）项目单位基本情况</w:t>
      </w:r>
      <w:r>
        <w:rPr>
          <w:rFonts w:hint="eastAsia" w:ascii="仿宋" w:hAnsi="仿宋" w:eastAsia="仿宋" w:cs="仿宋"/>
          <w:b/>
          <w:color w:val="000000"/>
          <w:spacing w:val="-4"/>
          <w:sz w:val="32"/>
          <w:szCs w:val="32"/>
          <w:shd w:val="clear" w:color="auto" w:fill="FFFFFF"/>
        </w:rPr>
        <w:fldChar w:fldCharType="begin">
          <w:fldData xml:space="preserve">QQBBADkARQA3ADIAOABFADUAMgAxADYANAAxAEUANABCADYANwBEAEQAQwAwAEIARABDADAANwA0
AEIARQAyAA==
</w:fldData>
        </w:fldChar>
      </w:r>
      <w:r>
        <w:rPr>
          <w:rStyle w:val="20"/>
          <w:rFonts w:hint="eastAsia" w:ascii="仿宋" w:hAnsi="仿宋" w:eastAsia="仿宋" w:cs="仿宋"/>
          <w:b w:val="0"/>
          <w:color w:val="000000"/>
          <w:spacing w:val="-4"/>
          <w:sz w:val="32"/>
          <w:szCs w:val="32"/>
          <w:shd w:val="clear" w:color="auto" w:fill="FFFFFF"/>
        </w:rPr>
        <w:instrText xml:space="preserve">Addin 项目单位基本情况</w:instrText>
      </w:r>
      <w:r>
        <w:rPr>
          <w:rFonts w:hint="eastAsia" w:ascii="仿宋" w:hAnsi="仿宋" w:eastAsia="仿宋" w:cs="仿宋"/>
          <w:b/>
          <w:color w:val="000000"/>
          <w:spacing w:val="-4"/>
          <w:sz w:val="32"/>
          <w:szCs w:val="32"/>
          <w:shd w:val="clear" w:color="auto" w:fill="FFFFFF"/>
        </w:rPr>
        <w:fldChar w:fldCharType="separate"/>
      </w:r>
      <w:r>
        <w:rPr>
          <w:rStyle w:val="20"/>
          <w:rFonts w:hint="eastAsia" w:ascii="仿宋" w:hAnsi="仿宋" w:eastAsia="仿宋" w:cs="仿宋"/>
          <w:b w:val="0"/>
          <w:color w:val="000000"/>
          <w:spacing w:val="-4"/>
          <w:sz w:val="32"/>
          <w:szCs w:val="32"/>
          <w:shd w:val="clear" w:color="FFFFFF" w:fill="FFFFFF"/>
        </w:rPr>
        <w:t>自治区民政厅设14个内设机构：办公室(政策法规宣传处)、社会救助局、优抚安置局、民间组织登记处、民间组织管理处、退伍军人协调处（自治区双拥领导小组办公室）、军队离退休干部安置处、救灾处、基层政权和社区建设处、区划地名处、社会福利和慈善事业促进处、社会事务处（救助管理处）、规划财务处、人事教育处（社会工作处）、机关党委、驻厅纪检监察组、离退休干部工作处。</w:t>
      </w:r>
      <w:r>
        <w:rPr>
          <w:rFonts w:hint="eastAsia" w:ascii="仿宋" w:hAnsi="仿宋" w:eastAsia="仿宋" w:cs="仿宋"/>
          <w:b/>
          <w:color w:val="000000"/>
          <w:spacing w:val="-4"/>
          <w:sz w:val="32"/>
          <w:szCs w:val="32"/>
          <w:highlight w:val="darkRed"/>
          <w:shd w:val="clear" w:color="auto" w:fill="FFFFFF"/>
        </w:rPr>
        <w:fldChar w:fldCharType="end"/>
      </w:r>
    </w:p>
    <w:p>
      <w:pPr>
        <w:spacing w:line="560" w:lineRule="exact"/>
        <w:ind w:firstLine="645"/>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2018年按照自治区党委民生建设年的总体要求，自治区财政共安排我区80周岁以上老年人基本生活津贴资金7029万元，充分体现党和政府及全社会对老年人的关怀。</w:t>
      </w:r>
    </w:p>
    <w:p>
      <w:pPr>
        <w:spacing w:line="560" w:lineRule="exact"/>
        <w:ind w:firstLine="627" w:firstLineChars="20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楷体_GB2312" w:hAnsi="楷体_GB2312" w:eastAsia="楷体_GB2312" w:cs="楷体_GB2312"/>
          <w:color w:val="000000" w:themeColor="text1"/>
          <w:spacing w:val="-4"/>
          <w:sz w:val="32"/>
          <w:szCs w:val="32"/>
          <w14:textFill>
            <w14:solidFill>
              <w14:schemeClr w14:val="tx1"/>
            </w14:solidFill>
          </w14:textFill>
        </w:rPr>
        <w:t>（二）项目预算绩效目标设定情况。</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按照《自治区80周岁以上老年人基本生活津贴制度》的有关规定，2018年度80周岁以上老年人基本生活津贴自治区财政安排资金，主要用于发放80周岁以上老年人每人每月的基本生活津贴。资助对象为具有自治区行政区域内农业、非农业户籍，年龄在80周岁（含80周岁）老年人。对于预算绩效目标设定值，我们依据往年项目实施情况，结合各地实际，从项目实施的数量、时效、成本、经济效益、社会效益、可持续影响、满意度指标质量等7个方面，分 80周岁以上高龄老人基本生活补贴标准、自治区财政资助财政补助资金、各地配套资金、补助资金拨付时限、实行动态管理情况、对高龄老年人的关心关爱、补贴发放机制、高龄老年人的获得感、高龄老年人的生活质量、高龄老年人对补贴发放工作的满意度等10个具体指标，对2018年度80周岁以上老年人基本生活津贴制度实施情况整体评价。</w:t>
      </w:r>
    </w:p>
    <w:p>
      <w:pPr>
        <w:spacing w:line="560" w:lineRule="exact"/>
        <w:ind w:firstLine="640"/>
        <w:rPr>
          <w:rStyle w:val="20"/>
          <w:rFonts w:ascii="黑体" w:hAnsi="黑体" w:eastAsia="黑体" w:cs="黑体"/>
          <w:b w:val="0"/>
          <w:color w:val="000000" w:themeColor="text1"/>
          <w:spacing w:val="-4"/>
          <w:sz w:val="32"/>
          <w:szCs w:val="32"/>
          <w14:textFill>
            <w14:solidFill>
              <w14:schemeClr w14:val="tx1"/>
            </w14:solidFill>
          </w14:textFill>
        </w:rPr>
      </w:pPr>
      <w:r>
        <w:rPr>
          <w:rStyle w:val="20"/>
          <w:rFonts w:hint="eastAsia" w:ascii="黑体" w:hAnsi="黑体" w:eastAsia="黑体" w:cs="黑体"/>
          <w:b w:val="0"/>
          <w:color w:val="000000" w:themeColor="text1"/>
          <w:spacing w:val="-4"/>
          <w:sz w:val="32"/>
          <w:szCs w:val="32"/>
          <w14:textFill>
            <w14:solidFill>
              <w14:schemeClr w14:val="tx1"/>
            </w14:solidFill>
          </w14:textFill>
        </w:rPr>
        <w:t>二、项目资金使用及管理情况</w:t>
      </w:r>
    </w:p>
    <w:p>
      <w:pPr>
        <w:spacing w:line="560" w:lineRule="exact"/>
        <w:ind w:firstLine="567" w:firstLineChars="181"/>
        <w:rPr>
          <w:rStyle w:val="20"/>
          <w:rFonts w:ascii="仿宋_GB2312" w:hAnsi="仿宋_GB2312" w:eastAsia="仿宋_GB2312" w:cs="仿宋_GB2312"/>
          <w:color w:val="000000" w:themeColor="text1"/>
          <w:spacing w:val="-4"/>
          <w:sz w:val="32"/>
          <w:szCs w:val="32"/>
          <w14:textFill>
            <w14:solidFill>
              <w14:schemeClr w14:val="tx1"/>
            </w14:solidFill>
          </w14:textFill>
        </w:rPr>
      </w:pPr>
      <w:r>
        <w:rPr>
          <w:rStyle w:val="20"/>
          <w:rFonts w:hint="eastAsia" w:ascii="楷体_GB2312" w:hAnsi="楷体_GB2312" w:eastAsia="楷体_GB2312" w:cs="楷体_GB2312"/>
          <w:color w:val="000000" w:themeColor="text1"/>
          <w:spacing w:val="-4"/>
          <w:sz w:val="32"/>
          <w:szCs w:val="32"/>
          <w14:textFill>
            <w14:solidFill>
              <w14:schemeClr w14:val="tx1"/>
            </w14:solidFill>
          </w14:textFill>
        </w:rPr>
        <w:t>（一）项目资金安排落实、总投入等情况分析。</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根据《自治区80周岁以上老年人基本生活津贴制度》中“喀什地区、和田地区、克州自治区财政补助80%，当地财政负担20%；乌鲁木齐市、克拉玛依市、石河子市自治区财政补助20%，当地财政负担80%；其他地、州自治区财政补助50%，当地财政负担50%。”的有关规定，2018年自治区财政共安排我区80周岁以上老年人基本生活津贴资金7029万元。</w:t>
      </w:r>
    </w:p>
    <w:p>
      <w:pPr>
        <w:spacing w:line="560" w:lineRule="exact"/>
        <w:ind w:firstLine="627" w:firstLineChars="200"/>
        <w:rPr>
          <w:rStyle w:val="20"/>
          <w:rFonts w:hint="default" w:ascii="仿宋_GB2312" w:hAnsi="仿宋_GB2312" w:eastAsia="仿宋_GB2312" w:cs="仿宋_GB2312"/>
          <w:b w:val="0"/>
          <w:color w:val="000000" w:themeColor="text1"/>
          <w:spacing w:val="-4"/>
          <w:sz w:val="32"/>
          <w:szCs w:val="32"/>
          <w:highlight w:val="yellow"/>
          <w:lang w:val="en-US" w:eastAsia="zh-CN"/>
          <w14:textFill>
            <w14:solidFill>
              <w14:schemeClr w14:val="tx1"/>
            </w14:solidFill>
          </w14:textFill>
        </w:rPr>
      </w:pPr>
      <w:r>
        <w:rPr>
          <w:rStyle w:val="20"/>
          <w:rFonts w:hint="eastAsia" w:ascii="楷体_GB2312" w:hAnsi="楷体_GB2312" w:eastAsia="楷体_GB2312" w:cs="楷体_GB2312"/>
          <w:color w:val="000000" w:themeColor="text1"/>
          <w:spacing w:val="-4"/>
          <w:sz w:val="32"/>
          <w:szCs w:val="32"/>
          <w14:textFill>
            <w14:solidFill>
              <w14:schemeClr w14:val="tx1"/>
            </w14:solidFill>
          </w14:textFill>
        </w:rPr>
        <w:t>（二）项目资金实际使用情况分析</w:t>
      </w:r>
      <w:r>
        <w:rPr>
          <w:rStyle w:val="20"/>
          <w:rFonts w:hint="eastAsia" w:ascii="楷体_GB2312" w:hAnsi="楷体_GB2312" w:eastAsia="楷体_GB2312" w:cs="楷体_GB2312"/>
          <w:color w:val="000000" w:themeColor="text1"/>
          <w:spacing w:val="-4"/>
          <w:sz w:val="32"/>
          <w:szCs w:val="32"/>
          <w:lang w:eastAsia="zh-CN"/>
          <w14:textFill>
            <w14:solidFill>
              <w14:schemeClr w14:val="tx1"/>
            </w14:solidFill>
          </w14:textFill>
        </w:rPr>
        <w:t>。</w:t>
      </w:r>
      <w:r>
        <w:rPr>
          <w:rStyle w:val="20"/>
          <w:rFonts w:hint="eastAsia" w:ascii="仿宋_GB2312" w:hAnsi="仿宋_GB2312" w:eastAsia="仿宋_GB2312" w:cs="仿宋_GB2312"/>
          <w:b w:val="0"/>
          <w:color w:val="000000" w:themeColor="text1"/>
          <w:spacing w:val="-4"/>
          <w:sz w:val="32"/>
          <w:szCs w:val="32"/>
          <w:highlight w:val="yellow"/>
          <w14:textFill>
            <w14:solidFill>
              <w14:schemeClr w14:val="tx1"/>
            </w14:solidFill>
          </w14:textFill>
        </w:rPr>
        <w:t>其中乌鲁木齐市660.77万元，克拉玛依市85.52万元，伊犁州841.53万元，塔城地区444.39万元，阿勒泰地区239.14万元，博州145.43万元，昌吉州696.73万元，巴州407.60，阿克苏地区556.62万元，克州234.57万元，喀什地区1481.65万元，和田地区678.88万元，吐鲁番市191.18万元，哈密市347.69万元。</w:t>
      </w:r>
      <w:r>
        <w:rPr>
          <w:rStyle w:val="20"/>
          <w:rFonts w:hint="eastAsia" w:ascii="仿宋_GB2312" w:hAnsi="仿宋_GB2312" w:eastAsia="仿宋_GB2312" w:cs="仿宋_GB2312"/>
          <w:b w:val="0"/>
          <w:color w:val="000000" w:themeColor="text1"/>
          <w:spacing w:val="-4"/>
          <w:sz w:val="32"/>
          <w:szCs w:val="32"/>
          <w:highlight w:val="yellow"/>
          <w:lang w:eastAsia="zh-CN"/>
          <w14:textFill>
            <w14:solidFill>
              <w14:schemeClr w14:val="tx1"/>
            </w14:solidFill>
          </w14:textFill>
        </w:rPr>
        <w:t>（剩余</w:t>
      </w:r>
      <w:r>
        <w:rPr>
          <w:rStyle w:val="20"/>
          <w:rFonts w:hint="eastAsia" w:ascii="仿宋_GB2312" w:hAnsi="仿宋_GB2312" w:eastAsia="仿宋_GB2312" w:cs="仿宋_GB2312"/>
          <w:b w:val="0"/>
          <w:color w:val="000000" w:themeColor="text1"/>
          <w:spacing w:val="-4"/>
          <w:sz w:val="32"/>
          <w:szCs w:val="32"/>
          <w:highlight w:val="yellow"/>
          <w:lang w:val="en-US" w:eastAsia="zh-CN"/>
          <w14:textFill>
            <w14:solidFill>
              <w14:schemeClr w14:val="tx1"/>
            </w14:solidFill>
          </w14:textFill>
        </w:rPr>
        <w:t>17.3万元未标明情况）</w:t>
      </w:r>
    </w:p>
    <w:p>
      <w:pPr>
        <w:spacing w:line="560" w:lineRule="exact"/>
        <w:ind w:firstLine="567" w:firstLineChars="181"/>
        <w:rPr>
          <w:rStyle w:val="20"/>
          <w:rFonts w:ascii="仿宋_GB2312" w:hAnsi="仿宋_GB2312" w:eastAsia="仿宋_GB2312" w:cs="仿宋_GB2312"/>
          <w:color w:val="000000" w:themeColor="text1"/>
          <w:spacing w:val="-4"/>
          <w:sz w:val="32"/>
          <w:szCs w:val="32"/>
          <w14:textFill>
            <w14:solidFill>
              <w14:schemeClr w14:val="tx1"/>
            </w14:solidFill>
          </w14:textFill>
        </w:rPr>
      </w:pPr>
      <w:bookmarkStart w:id="0" w:name="_GoBack"/>
      <w:bookmarkEnd w:id="0"/>
    </w:p>
    <w:p>
      <w:pPr>
        <w:spacing w:line="560" w:lineRule="exact"/>
        <w:ind w:firstLine="645"/>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高龄老人津贴制度实行属地化管理，高龄老人津贴发放对象实行动态管理，按季度审核，根据老年人口变化的情况，及时办理审批、增发、停发手续。</w:t>
      </w:r>
    </w:p>
    <w:p>
      <w:pPr>
        <w:spacing w:line="560" w:lineRule="exact"/>
        <w:ind w:firstLine="627" w:firstLineChars="20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楷体_GB2312" w:hAnsi="楷体_GB2312" w:eastAsia="楷体_GB2312" w:cs="楷体_GB2312"/>
          <w:color w:val="000000" w:themeColor="text1"/>
          <w:spacing w:val="-4"/>
          <w:sz w:val="32"/>
          <w:szCs w:val="32"/>
          <w14:textFill>
            <w14:solidFill>
              <w14:schemeClr w14:val="tx1"/>
            </w14:solidFill>
          </w14:textFill>
        </w:rPr>
        <w:t>（三）项目资金管理情况分析。</w:t>
      </w:r>
    </w:p>
    <w:p>
      <w:pPr>
        <w:spacing w:line="560" w:lineRule="exact"/>
        <w:ind w:firstLine="624" w:firstLineChars="20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自治区民政厅会同财政厅印发了《自治区高龄老人生活津贴和免费体检补助资金管理办法》，要求各地民政部门要积极协调纪检监察、审计等部门对80周岁以上老年人基本生活补助资金的申请、发放、管理等全阶段实现动态监管，对套取、截留、挤占、挪用的，按有关规定严肃查处，确保资金高效、安全使用，下真功夫维护高龄老年人的合法权益。</w:t>
      </w:r>
    </w:p>
    <w:p>
      <w:pPr>
        <w:spacing w:line="560" w:lineRule="exact"/>
        <w:ind w:firstLine="624" w:firstLineChars="200"/>
        <w:rPr>
          <w:rFonts w:ascii="黑体" w:hAnsi="黑体" w:eastAsia="黑体" w:cs="黑体"/>
          <w:color w:val="000000" w:themeColor="text1"/>
          <w:sz w:val="32"/>
          <w:szCs w:val="32"/>
          <w14:textFill>
            <w14:solidFill>
              <w14:schemeClr w14:val="tx1"/>
            </w14:solidFill>
          </w14:textFill>
        </w:rPr>
      </w:pPr>
      <w:r>
        <w:rPr>
          <w:rStyle w:val="20"/>
          <w:rFonts w:hint="eastAsia" w:ascii="黑体" w:hAnsi="黑体" w:eastAsia="黑体" w:cs="黑体"/>
          <w:b w:val="0"/>
          <w:color w:val="000000" w:themeColor="text1"/>
          <w:spacing w:val="-4"/>
          <w:sz w:val="32"/>
          <w:szCs w:val="32"/>
          <w14:textFill>
            <w14:solidFill>
              <w14:schemeClr w14:val="tx1"/>
            </w14:solidFill>
          </w14:textFill>
        </w:rPr>
        <w:t>三、项目组织实施情况</w:t>
      </w:r>
    </w:p>
    <w:p>
      <w:pPr>
        <w:spacing w:line="560" w:lineRule="exact"/>
        <w:ind w:firstLine="627" w:firstLineChars="20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楷体_GB2312" w:hAnsi="楷体_GB2312" w:eastAsia="楷体_GB2312" w:cs="楷体_GB2312"/>
          <w:color w:val="000000" w:themeColor="text1"/>
          <w:spacing w:val="-4"/>
          <w:sz w:val="32"/>
          <w:szCs w:val="32"/>
          <w14:textFill>
            <w14:solidFill>
              <w14:schemeClr w14:val="tx1"/>
            </w14:solidFill>
          </w14:textFill>
        </w:rPr>
        <w:t>（一）项目组织情况分析。</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认真组织开展2018年高龄津贴申报工作，并根据各地上报情况，认真审核研究，形成《2018年度高龄津贴自治区财政资金分配方案》，及时上报自治区财政厅审核。2018年4月，自治区财政下拨的2018年度高龄津贴自治区财政资助资金按时拨付到位。</w:t>
      </w:r>
    </w:p>
    <w:p>
      <w:pPr>
        <w:spacing w:line="560" w:lineRule="exact"/>
        <w:ind w:firstLine="624" w:firstLineChars="20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在民政厅的监督指导下，各地民政部门结合实际，制定实施了细则，落实了配套资金，规范了管理、监督和发放程序，在确保老年人基本权益的前提下，有效提高了高龄老年人保障服务水平。</w:t>
      </w:r>
    </w:p>
    <w:p>
      <w:pPr>
        <w:spacing w:line="560" w:lineRule="exact"/>
        <w:ind w:firstLine="627" w:firstLineChars="20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楷体_GB2312" w:hAnsi="楷体_GB2312" w:eastAsia="楷体_GB2312" w:cs="楷体_GB2312"/>
          <w:color w:val="000000" w:themeColor="text1"/>
          <w:spacing w:val="-4"/>
          <w:sz w:val="32"/>
          <w:szCs w:val="32"/>
          <w14:textFill>
            <w14:solidFill>
              <w14:schemeClr w14:val="tx1"/>
            </w14:solidFill>
          </w14:textFill>
        </w:rPr>
        <w:t>（二）项目管理情况分析。</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认真落实《自治区80周岁以上老年人基本生活津贴制度》，严格把控资助对象条件、项目标准、申报审核程序、资金使用管理、监督检查等重要环节，确保保障资金及时到位，发放工作顺利实施。同时，充分发挥新闻媒体的监督、宣传作用，加大政策的宣传力度，向社会公布80周岁以上老年人基本生活补助资金的发放范围、标准和程序，提高社会知晓度。并通过设立举报电话和信访接待平台，接受群众监督和舆论监督，确保资助工作公平公正。</w:t>
      </w:r>
    </w:p>
    <w:p>
      <w:pPr>
        <w:spacing w:line="560" w:lineRule="exact"/>
        <w:ind w:firstLine="640"/>
        <w:rPr>
          <w:rStyle w:val="20"/>
          <w:rFonts w:ascii="黑体" w:hAnsi="黑体" w:eastAsia="黑体" w:cs="黑体"/>
          <w:color w:val="000000" w:themeColor="text1"/>
          <w:sz w:val="32"/>
          <w:szCs w:val="32"/>
          <w14:textFill>
            <w14:solidFill>
              <w14:schemeClr w14:val="tx1"/>
            </w14:solidFill>
          </w14:textFill>
        </w:rPr>
      </w:pPr>
      <w:r>
        <w:rPr>
          <w:rStyle w:val="20"/>
          <w:rFonts w:hint="eastAsia" w:ascii="黑体" w:hAnsi="黑体" w:eastAsia="黑体" w:cs="黑体"/>
          <w:b w:val="0"/>
          <w:color w:val="000000" w:themeColor="text1"/>
          <w:spacing w:val="-4"/>
          <w:sz w:val="32"/>
          <w:szCs w:val="32"/>
          <w14:textFill>
            <w14:solidFill>
              <w14:schemeClr w14:val="tx1"/>
            </w14:solidFill>
          </w14:textFill>
        </w:rPr>
        <w:t xml:space="preserve"> 四、项目绩效情况</w:t>
      </w:r>
      <w:r>
        <w:rPr>
          <w:rStyle w:val="20"/>
          <w:rFonts w:hint="eastAsia" w:ascii="黑体" w:hAnsi="黑体" w:eastAsia="黑体" w:cs="黑体"/>
          <w:color w:val="000000" w:themeColor="text1"/>
          <w:sz w:val="32"/>
          <w:szCs w:val="32"/>
          <w14:textFill>
            <w14:solidFill>
              <w14:schemeClr w14:val="tx1"/>
            </w14:solidFill>
          </w14:textFill>
        </w:rPr>
        <w:t xml:space="preserve"> </w:t>
      </w:r>
    </w:p>
    <w:p>
      <w:pPr>
        <w:spacing w:line="560" w:lineRule="exact"/>
        <w:ind w:firstLine="627" w:firstLineChars="20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Fonts w:hint="eastAsia" w:ascii="楷体_GB2312" w:hAnsi="楷体_GB2312" w:eastAsia="楷体_GB2312" w:cs="楷体_GB2312"/>
          <w:b/>
          <w:color w:val="000000" w:themeColor="text1"/>
          <w:spacing w:val="-4"/>
          <w:sz w:val="32"/>
          <w:szCs w:val="32"/>
          <w14:textFill>
            <w14:solidFill>
              <w14:schemeClr w14:val="tx1"/>
            </w14:solidFill>
          </w14:textFill>
        </w:rPr>
        <w:t>（一）项目绩效目标完成情况分析。</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2018年度80周岁以上老年人基本生活津贴资金按时拨付到位。各地州（市）民政部门结合各地实际，制定实施细则，落实配套资金，规范了管理、监督和发放程序，在确保老年人基本权益的前提下，有效提高了高龄老年人保障服务水平。</w:t>
      </w:r>
    </w:p>
    <w:p>
      <w:pPr>
        <w:spacing w:line="560" w:lineRule="exact"/>
        <w:ind w:firstLine="627" w:firstLineChars="200"/>
        <w:rPr>
          <w:rStyle w:val="20"/>
          <w:rFonts w:ascii="仿宋_GB2312" w:hAnsi="仿宋_GB2312" w:eastAsia="仿宋_GB2312" w:cs="仿宋_GB2312"/>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color w:val="000000" w:themeColor="text1"/>
          <w:spacing w:val="-4"/>
          <w:sz w:val="32"/>
          <w:szCs w:val="32"/>
          <w14:textFill>
            <w14:solidFill>
              <w14:schemeClr w14:val="tx1"/>
            </w14:solidFill>
          </w14:textFill>
        </w:rPr>
        <w:t>1、产出指标完成情况分析：</w:t>
      </w:r>
    </w:p>
    <w:p>
      <w:pPr>
        <w:spacing w:line="560" w:lineRule="exact"/>
        <w:ind w:firstLine="627" w:firstLineChars="200"/>
        <w:rPr>
          <w:rStyle w:val="20"/>
          <w:rFonts w:hint="default" w:ascii="仿宋_GB2312" w:hAnsi="仿宋_GB2312" w:eastAsia="仿宋_GB2312" w:cs="仿宋_GB2312"/>
          <w:b w:val="0"/>
          <w:color w:val="000000" w:themeColor="text1"/>
          <w:spacing w:val="-4"/>
          <w:sz w:val="32"/>
          <w:szCs w:val="32"/>
          <w:highlight w:val="yellow"/>
          <w:lang w:val="en-US" w:eastAsia="zh-CN"/>
          <w14:textFill>
            <w14:solidFill>
              <w14:schemeClr w14:val="tx1"/>
            </w14:solidFill>
          </w14:textFill>
        </w:rPr>
      </w:pPr>
      <w:r>
        <w:rPr>
          <w:rStyle w:val="20"/>
          <w:rFonts w:hint="eastAsia" w:ascii="仿宋_GB2312" w:hAnsi="仿宋_GB2312" w:eastAsia="仿宋_GB2312" w:cs="仿宋_GB2312"/>
          <w:color w:val="000000" w:themeColor="text1"/>
          <w:spacing w:val="-4"/>
          <w:sz w:val="32"/>
          <w:szCs w:val="32"/>
          <w14:textFill>
            <w14:solidFill>
              <w14:schemeClr w14:val="tx1"/>
            </w14:solidFill>
          </w14:textFill>
        </w:rPr>
        <w:t>（1）项目完成数量：</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按照年龄在80周岁(含80周岁)89周岁的老年人每人每月补贴50元；90周岁(含90周岁) 99周岁的老年人每人每月补贴120元；100周岁以上(含100周岁)的老年人每人每月补助200元的补贴标准，为全区80周岁以上老年人发放基本生活津贴7029万元。</w:t>
      </w:r>
      <w:r>
        <w:rPr>
          <w:rStyle w:val="20"/>
          <w:rFonts w:hint="eastAsia" w:ascii="仿宋_GB2312" w:hAnsi="仿宋_GB2312" w:eastAsia="仿宋_GB2312" w:cs="仿宋_GB2312"/>
          <w:b w:val="0"/>
          <w:color w:val="000000" w:themeColor="text1"/>
          <w:spacing w:val="-4"/>
          <w:sz w:val="32"/>
          <w:szCs w:val="32"/>
          <w:highlight w:val="yellow"/>
          <w14:textFill>
            <w14:solidFill>
              <w14:schemeClr w14:val="tx1"/>
            </w14:solidFill>
          </w14:textFill>
        </w:rPr>
        <w:t>其中乌鲁木齐市660.77万元，克拉玛依市85.52万元，伊犁州841.53万元，塔城地区444.39万元，阿勒泰地区239.14万元，博州145.43万元，昌吉州696.73万元，巴州407.60，阿克苏地区556.62万元，克州234.57万元，喀什地区1481.65万元，和田地区678.88万元，吐鲁番市191.18万元，哈密市347.69万元。</w:t>
      </w:r>
      <w:r>
        <w:rPr>
          <w:rStyle w:val="20"/>
          <w:rFonts w:hint="eastAsia" w:ascii="仿宋_GB2312" w:hAnsi="仿宋_GB2312" w:eastAsia="仿宋_GB2312" w:cs="仿宋_GB2312"/>
          <w:b w:val="0"/>
          <w:color w:val="000000" w:themeColor="text1"/>
          <w:spacing w:val="-4"/>
          <w:sz w:val="32"/>
          <w:szCs w:val="32"/>
          <w:highlight w:val="yellow"/>
          <w:lang w:eastAsia="zh-CN"/>
          <w14:textFill>
            <w14:solidFill>
              <w14:schemeClr w14:val="tx1"/>
            </w14:solidFill>
          </w14:textFill>
        </w:rPr>
        <w:t>（剩余</w:t>
      </w:r>
      <w:r>
        <w:rPr>
          <w:rStyle w:val="20"/>
          <w:rFonts w:hint="eastAsia" w:ascii="仿宋_GB2312" w:hAnsi="仿宋_GB2312" w:eastAsia="仿宋_GB2312" w:cs="仿宋_GB2312"/>
          <w:b w:val="0"/>
          <w:color w:val="000000" w:themeColor="text1"/>
          <w:spacing w:val="-4"/>
          <w:sz w:val="32"/>
          <w:szCs w:val="32"/>
          <w:highlight w:val="yellow"/>
          <w:lang w:val="en-US" w:eastAsia="zh-CN"/>
          <w14:textFill>
            <w14:solidFill>
              <w14:schemeClr w14:val="tx1"/>
            </w14:solidFill>
          </w14:textFill>
        </w:rPr>
        <w:t>17.3万元未标明情况）</w:t>
      </w:r>
    </w:p>
    <w:p>
      <w:pPr>
        <w:spacing w:line="560" w:lineRule="exact"/>
        <w:ind w:firstLine="627" w:firstLineChars="20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color w:val="000000" w:themeColor="text1"/>
          <w:spacing w:val="-4"/>
          <w:sz w:val="32"/>
          <w:szCs w:val="32"/>
          <w14:textFill>
            <w14:solidFill>
              <w14:schemeClr w14:val="tx1"/>
            </w14:solidFill>
          </w14:textFill>
        </w:rPr>
        <w:t>（2）项目完成质量：</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各地严格按照《80周岁以上老年人基本生活津贴制度》和《自治区高龄老人生活津贴和免费体检补助资金管理办法》有关要求，对高龄老人津贴发放按季度审核，根据老年人口变化的情况，及时办理审批、增发、停发手续，实现动态管理，科学发放。</w:t>
      </w:r>
    </w:p>
    <w:p>
      <w:pPr>
        <w:spacing w:line="560" w:lineRule="exact"/>
        <w:ind w:firstLine="627" w:firstLineChars="200"/>
        <w:rPr>
          <w:rStyle w:val="20"/>
          <w:rFonts w:ascii="仿宋_GB2312" w:hAnsi="仿宋_GB2312" w:eastAsia="仿宋_GB2312" w:cs="仿宋_GB2312"/>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color w:val="000000" w:themeColor="text1"/>
          <w:spacing w:val="-4"/>
          <w:sz w:val="32"/>
          <w:szCs w:val="32"/>
          <w14:textFill>
            <w14:solidFill>
              <w14:schemeClr w14:val="tx1"/>
            </w14:solidFill>
          </w14:textFill>
        </w:rPr>
        <w:t>2、效益指标完成情况分析：</w:t>
      </w:r>
    </w:p>
    <w:p>
      <w:pPr>
        <w:spacing w:line="560" w:lineRule="exact"/>
        <w:ind w:firstLine="470" w:firstLineChars="15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color w:val="000000" w:themeColor="text1"/>
          <w:spacing w:val="-4"/>
          <w:sz w:val="32"/>
          <w:szCs w:val="32"/>
          <w14:textFill>
            <w14:solidFill>
              <w14:schemeClr w14:val="tx1"/>
            </w14:solidFill>
          </w14:textFill>
        </w:rPr>
        <w:t>（1）项目实施的经济效益分析：</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高龄老年人的获得感、幸福感、安全感不断提升。</w:t>
      </w:r>
    </w:p>
    <w:p>
      <w:pPr>
        <w:spacing w:line="560" w:lineRule="exact"/>
        <w:ind w:firstLine="470" w:firstLineChars="15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color w:val="000000" w:themeColor="text1"/>
          <w:spacing w:val="-4"/>
          <w:sz w:val="32"/>
          <w:szCs w:val="32"/>
          <w14:textFill>
            <w14:solidFill>
              <w14:schemeClr w14:val="tx1"/>
            </w14:solidFill>
          </w14:textFill>
        </w:rPr>
        <w:t>（2）项目实施的社会效益分析：</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提高老年人的生活和生命质量，强化服务保障能力，维护老年人的基本生活权益，充分体现党和政府及全社会对老年人的关怀。</w:t>
      </w:r>
    </w:p>
    <w:p>
      <w:pPr>
        <w:spacing w:line="560" w:lineRule="exact"/>
        <w:ind w:firstLine="470" w:firstLineChars="15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color w:val="000000" w:themeColor="text1"/>
          <w:spacing w:val="-4"/>
          <w:sz w:val="32"/>
          <w:szCs w:val="32"/>
          <w14:textFill>
            <w14:solidFill>
              <w14:schemeClr w14:val="tx1"/>
            </w14:solidFill>
          </w14:textFill>
        </w:rPr>
        <w:t>（3）项目实施的可持续性分析：</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高龄老年人的生活质量逐步提升。</w:t>
      </w:r>
    </w:p>
    <w:p>
      <w:pPr>
        <w:spacing w:line="560" w:lineRule="exact"/>
        <w:ind w:firstLine="567" w:firstLineChars="181"/>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Fonts w:hint="eastAsia" w:ascii="楷体_GB2312" w:hAnsi="楷体_GB2312" w:eastAsia="楷体_GB2312" w:cs="楷体_GB2312"/>
          <w:b/>
          <w:color w:val="000000" w:themeColor="text1"/>
          <w:spacing w:val="-4"/>
          <w:sz w:val="32"/>
          <w:szCs w:val="32"/>
          <w14:textFill>
            <w14:solidFill>
              <w14:schemeClr w14:val="tx1"/>
            </w14:solidFill>
          </w14:textFill>
        </w:rPr>
        <w:t>（二）项目绩效目标未完成原因分析。</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项目绩效目标按季度有序完成。</w:t>
      </w:r>
    </w:p>
    <w:p>
      <w:pPr>
        <w:spacing w:line="560" w:lineRule="exact"/>
        <w:ind w:firstLine="640"/>
        <w:rPr>
          <w:rStyle w:val="20"/>
          <w:rFonts w:ascii="黑体" w:hAnsi="黑体" w:eastAsia="黑体" w:cs="黑体"/>
          <w:b w:val="0"/>
          <w:color w:val="000000" w:themeColor="text1"/>
          <w:spacing w:val="-4"/>
          <w:sz w:val="32"/>
          <w:szCs w:val="32"/>
          <w14:textFill>
            <w14:solidFill>
              <w14:schemeClr w14:val="tx1"/>
            </w14:solidFill>
          </w14:textFill>
        </w:rPr>
      </w:pPr>
      <w:r>
        <w:rPr>
          <w:rStyle w:val="20"/>
          <w:rFonts w:hint="eastAsia" w:ascii="黑体" w:hAnsi="黑体" w:eastAsia="黑体" w:cs="黑体"/>
          <w:b w:val="0"/>
          <w:color w:val="000000" w:themeColor="text1"/>
          <w:spacing w:val="-4"/>
          <w:sz w:val="32"/>
          <w:szCs w:val="32"/>
          <w14:textFill>
            <w14:solidFill>
              <w14:schemeClr w14:val="tx1"/>
            </w14:solidFill>
          </w14:textFill>
        </w:rPr>
        <w:t>五、其他需要说明的问题</w:t>
      </w:r>
    </w:p>
    <w:p>
      <w:pPr>
        <w:spacing w:line="560" w:lineRule="exact"/>
        <w:ind w:firstLine="567" w:firstLineChars="181"/>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Fonts w:hint="eastAsia" w:ascii="楷体_GB2312" w:hAnsi="楷体_GB2312" w:eastAsia="楷体_GB2312" w:cs="楷体_GB2312"/>
          <w:b/>
          <w:color w:val="000000" w:themeColor="text1"/>
          <w:spacing w:val="-4"/>
          <w:sz w:val="32"/>
          <w:szCs w:val="32"/>
          <w14:textFill>
            <w14:solidFill>
              <w14:schemeClr w14:val="tx1"/>
            </w14:solidFill>
          </w14:textFill>
        </w:rPr>
        <w:t>（一）后续工作计划。</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下一步我厅将认真贯彻落实《自治区高龄老人生活津贴和免费体检补助资金管理办法》，不断加大对各地高龄津贴制度的指导力度，建立健全资金管理机制，定期对补助资金的使用管理情况进行检查，公示资助金发放情况，按时组织开展对补助资金的绩效评价。</w:t>
      </w:r>
    </w:p>
    <w:p>
      <w:pPr>
        <w:spacing w:line="560" w:lineRule="exact"/>
        <w:ind w:firstLine="567" w:firstLineChars="181"/>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Fonts w:hint="eastAsia" w:ascii="楷体_GB2312" w:hAnsi="楷体_GB2312" w:eastAsia="楷体_GB2312" w:cs="楷体_GB2312"/>
          <w:b/>
          <w:color w:val="000000" w:themeColor="text1"/>
          <w:spacing w:val="-4"/>
          <w:sz w:val="32"/>
          <w:szCs w:val="32"/>
          <w14:textFill>
            <w14:solidFill>
              <w14:schemeClr w14:val="tx1"/>
            </w14:solidFill>
          </w14:textFill>
        </w:rPr>
        <w:t>（二）主要经验及做法。</w:t>
      </w:r>
      <w:r>
        <w:rPr>
          <w:rFonts w:hint="eastAsia" w:ascii="楷体_GB2312" w:hAnsi="楷体_GB2312" w:eastAsia="楷体_GB2312" w:cs="楷体_GB2312"/>
          <w:b/>
          <w:bCs/>
          <w:color w:val="000000" w:themeColor="text1"/>
          <w:sz w:val="32"/>
          <w:szCs w:val="32"/>
          <w14:textFill>
            <w14:solidFill>
              <w14:schemeClr w14:val="tx1"/>
            </w14:solidFill>
          </w14:textFill>
        </w:rPr>
        <w:t>一是</w:t>
      </w:r>
      <w:r>
        <w:rPr>
          <w:rFonts w:hint="eastAsia" w:ascii="楷体_GB2312" w:hAnsi="楷体_GB2312" w:eastAsia="楷体_GB2312" w:cs="楷体_GB2312"/>
          <w:b/>
          <w:bCs/>
          <w:color w:val="000000" w:themeColor="text1"/>
          <w:kern w:val="0"/>
          <w:sz w:val="32"/>
          <w:szCs w:val="32"/>
          <w14:textFill>
            <w14:solidFill>
              <w14:schemeClr w14:val="tx1"/>
            </w14:solidFill>
          </w14:textFill>
        </w:rPr>
        <w:t>领导重视，周密部署。</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各级民政部门对发老年人基本生活费工作较为重视，能够认真执行自治区的有关要求，部分地州将发放工作纳入本地区年终考核指标并制定了督察工作方案。有的地州举行了地区和县市领导参加的发放仪式，扩大了政策的社会知晓度和影响力，取得了良好的社会效果。各县(区)民政部门积极组织力量，克服人员少、发放地域广、老年人多等困难，精心组织，及时安全的将党和政府的温暖送到老人手中。地、州民政部门也定期或不定期地深入乡村进行现场督促指导工作；</w:t>
      </w:r>
      <w:r>
        <w:rPr>
          <w:rFonts w:hint="eastAsia" w:ascii="仿宋_GB2312" w:hAnsi="仿宋_GB2312" w:eastAsia="仿宋_GB2312" w:cs="仿宋_GB2312"/>
          <w:b/>
          <w:bCs/>
          <w:color w:val="000000" w:themeColor="text1"/>
          <w:kern w:val="0"/>
          <w:sz w:val="32"/>
          <w:szCs w:val="32"/>
          <w14:textFill>
            <w14:solidFill>
              <w14:schemeClr w14:val="tx1"/>
            </w14:solidFill>
          </w14:textFill>
        </w:rPr>
        <w:t>二是加大宣传力度，扩大影响力。</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在抓好资金发放和管理工作的同时，紧紧围绕建立老年人基本生活保障制度，大力进行全方位、多层次的宣传，利用网站、广播电视等媒体宣传，在全社会营造了关心、关注老人的社会氛围，营造了社会各界支持、关心老年人福利事业发展的新局面，为今后老年人基本生活费发入工作顺利推进创造良好环境。</w:t>
      </w:r>
    </w:p>
    <w:p>
      <w:pPr>
        <w:spacing w:line="560" w:lineRule="exact"/>
        <w:ind w:firstLine="739" w:firstLineChars="23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Fonts w:hint="eastAsia" w:ascii="楷体_GB2312" w:hAnsi="楷体_GB2312" w:eastAsia="楷体_GB2312" w:cs="楷体_GB2312"/>
          <w:b/>
          <w:bCs/>
          <w:color w:val="000000" w:themeColor="text1"/>
          <w:kern w:val="0"/>
          <w:sz w:val="32"/>
          <w:szCs w:val="32"/>
          <w14:textFill>
            <w14:solidFill>
              <w14:schemeClr w14:val="tx1"/>
            </w14:solidFill>
          </w14:textFill>
        </w:rPr>
        <w:t>(三)存在的问题。</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随着今年来，我区高龄老年人口的不断增长，加之基层民政工作任务繁重，民政专干短缺，基层高龄津贴发放工作压力较大的现实因素，致使高龄津贴的动态管理缺乏一定程度上的精准。</w:t>
      </w:r>
    </w:p>
    <w:p>
      <w:pPr>
        <w:widowControl/>
        <w:spacing w:line="560" w:lineRule="exact"/>
        <w:ind w:firstLine="642"/>
        <w:rPr>
          <w:rFonts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（四）其他。</w:t>
      </w:r>
    </w:p>
    <w:p>
      <w:pPr>
        <w:widowControl/>
        <w:spacing w:line="560" w:lineRule="exact"/>
        <w:ind w:firstLine="640"/>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 xml:space="preserve"> 建议：</w:t>
      </w: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根据自治区经济社会发展步伐，适时考虑提高补贴标准。</w:t>
      </w:r>
    </w:p>
    <w:p>
      <w:pPr>
        <w:spacing w:line="560" w:lineRule="exact"/>
        <w:ind w:firstLine="640"/>
        <w:rPr>
          <w:rStyle w:val="20"/>
          <w:rFonts w:ascii="黑体" w:hAnsi="黑体" w:eastAsia="黑体" w:cs="黑体"/>
          <w:b w:val="0"/>
          <w:color w:val="000000" w:themeColor="text1"/>
          <w:spacing w:val="-4"/>
          <w:sz w:val="32"/>
          <w:szCs w:val="32"/>
          <w14:textFill>
            <w14:solidFill>
              <w14:schemeClr w14:val="tx1"/>
            </w14:solidFill>
          </w14:textFill>
        </w:rPr>
      </w:pPr>
      <w:r>
        <w:rPr>
          <w:rStyle w:val="20"/>
          <w:rFonts w:hint="eastAsia" w:ascii="黑体" w:hAnsi="黑体" w:eastAsia="黑体" w:cs="黑体"/>
          <w:b w:val="0"/>
          <w:color w:val="000000" w:themeColor="text1"/>
          <w:spacing w:val="-4"/>
          <w:sz w:val="32"/>
          <w:szCs w:val="32"/>
          <w14:textFill>
            <w14:solidFill>
              <w14:schemeClr w14:val="tx1"/>
            </w14:solidFill>
          </w14:textFill>
        </w:rPr>
        <w:t>六、项目评价工作情况</w:t>
      </w:r>
    </w:p>
    <w:p>
      <w:pPr>
        <w:spacing w:line="560" w:lineRule="exact"/>
        <w:ind w:firstLine="645"/>
        <w:rPr>
          <w:rFonts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认真落实自治区80周岁以上老年人基本生活津贴制度，积极做好高龄津贴发放工作，是提升高龄老年人生活和生命质量重要举措。</w:t>
      </w:r>
      <w:r>
        <w:rPr>
          <w:rFonts w:hint="eastAsia" w:ascii="仿宋_GB2312" w:hAnsi="仿宋_GB2312" w:eastAsia="仿宋_GB2312" w:cs="仿宋_GB2312"/>
          <w:color w:val="000000" w:themeColor="text1"/>
          <w:kern w:val="0"/>
          <w:sz w:val="32"/>
          <w:szCs w:val="32"/>
          <w14:textFill>
            <w14:solidFill>
              <w14:schemeClr w14:val="tx1"/>
            </w14:solidFill>
          </w14:textFill>
        </w:rPr>
        <w:t>2018年度</w:t>
      </w:r>
      <w:r>
        <w:rPr>
          <w:rFonts w:hint="eastAsia" w:ascii="仿宋_GB2312" w:hAnsi="仿宋_GB2312" w:eastAsia="仿宋_GB2312" w:cs="仿宋_GB2312"/>
          <w:color w:val="000000" w:themeColor="text1"/>
          <w:sz w:val="32"/>
          <w:szCs w:val="32"/>
          <w14:textFill>
            <w14:solidFill>
              <w14:schemeClr w14:val="tx1"/>
            </w14:solidFill>
          </w14:textFill>
        </w:rPr>
        <w:t>自治区80周岁以上老年人基本生活津贴制度，</w:t>
      </w:r>
      <w:r>
        <w:rPr>
          <w:rFonts w:hint="eastAsia" w:ascii="仿宋_GB2312" w:hAnsi="仿宋_GB2312" w:eastAsia="仿宋_GB2312" w:cs="仿宋_GB2312"/>
          <w:color w:val="000000" w:themeColor="text1"/>
          <w:kern w:val="0"/>
          <w:sz w:val="32"/>
          <w:szCs w:val="32"/>
          <w14:textFill>
            <w14:solidFill>
              <w14:schemeClr w14:val="tx1"/>
            </w14:solidFill>
          </w14:textFill>
        </w:rPr>
        <w:t>执行有力、资金落实到位、资金使用规范透明、对项目的监督及时准确，资金使用合理、效果显著。</w:t>
      </w:r>
    </w:p>
    <w:p>
      <w:pPr>
        <w:spacing w:line="560" w:lineRule="exact"/>
        <w:ind w:firstLine="640"/>
        <w:rPr>
          <w:rStyle w:val="20"/>
          <w:rFonts w:ascii="黑体" w:hAnsi="黑体" w:eastAsia="黑体" w:cs="黑体"/>
          <w:b w:val="0"/>
          <w:color w:val="000000" w:themeColor="text1"/>
          <w:spacing w:val="-4"/>
          <w:sz w:val="32"/>
          <w:szCs w:val="32"/>
          <w14:textFill>
            <w14:solidFill>
              <w14:schemeClr w14:val="tx1"/>
            </w14:solidFill>
          </w14:textFill>
        </w:rPr>
      </w:pPr>
      <w:r>
        <w:rPr>
          <w:rStyle w:val="20"/>
          <w:rFonts w:hint="eastAsia" w:ascii="黑体" w:hAnsi="黑体" w:eastAsia="黑体" w:cs="黑体"/>
          <w:b w:val="0"/>
          <w:color w:val="000000" w:themeColor="text1"/>
          <w:spacing w:val="-4"/>
          <w:sz w:val="32"/>
          <w:szCs w:val="32"/>
          <w14:textFill>
            <w14:solidFill>
              <w14:schemeClr w14:val="tx1"/>
            </w14:solidFill>
          </w14:textFill>
        </w:rPr>
        <w:t>七、附表</w:t>
      </w:r>
    </w:p>
    <w:p>
      <w:pPr>
        <w:spacing w:line="560" w:lineRule="exact"/>
        <w:ind w:firstLine="567"/>
        <w:rPr>
          <w:rStyle w:val="20"/>
          <w:rFonts w:ascii="仿宋_GB2312" w:hAnsi="仿宋_GB2312" w:eastAsia="仿宋_GB2312" w:cs="仿宋_GB2312"/>
          <w:b w:val="0"/>
          <w:color w:val="000000" w:themeColor="text1"/>
          <w:spacing w:val="-4"/>
          <w:sz w:val="32"/>
          <w:szCs w:val="32"/>
          <w14:textFill>
            <w14:solidFill>
              <w14:schemeClr w14:val="tx1"/>
            </w14:solidFill>
          </w14:textFill>
        </w:rPr>
      </w:pPr>
      <w:r>
        <w:rPr>
          <w:rStyle w:val="20"/>
          <w:rFonts w:hint="eastAsia" w:ascii="仿宋_GB2312" w:hAnsi="仿宋_GB2312" w:eastAsia="仿宋_GB2312" w:cs="仿宋_GB2312"/>
          <w:b w:val="0"/>
          <w:color w:val="000000" w:themeColor="text1"/>
          <w:spacing w:val="-4"/>
          <w:sz w:val="32"/>
          <w:szCs w:val="32"/>
          <w14:textFill>
            <w14:solidFill>
              <w14:schemeClr w14:val="tx1"/>
            </w14:solidFill>
          </w14:textFill>
        </w:rPr>
        <w:t>《自治区财政项目支出绩效自评表》</w:t>
      </w:r>
    </w:p>
    <w:tbl>
      <w:tblPr>
        <w:tblStyle w:val="18"/>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r>
              <w:rPr>
                <w:rFonts w:hint="eastAsia"/>
                <w:color w:val="000000" w:themeColor="text1"/>
                <w:kern w:val="0"/>
                <w:sz w:val="24"/>
                <w14:textFill>
                  <w14:solidFill>
                    <w14:schemeClr w14:val="tx1"/>
                  </w14:solidFill>
                </w14:textFill>
              </w:rPr>
              <w:t>2018</w:t>
            </w:r>
            <w:r>
              <w:rPr>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114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136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108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88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206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178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80周岁以上老年人基本生活补贴资金自治区补助经费</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自治区民政厅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预算</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执行</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情况</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7029</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7029</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7029</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7029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年度</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目标</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完成</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实际完成目标</w:t>
            </w:r>
          </w:p>
        </w:tc>
      </w:tr>
      <w:tr>
        <w:tblPrEx>
          <w:tblLayout w:type="fixed"/>
          <w:tblCellMar>
            <w:top w:w="0" w:type="dxa"/>
            <w:left w:w="108" w:type="dxa"/>
            <w:bottom w:w="0" w:type="dxa"/>
            <w:right w:w="108" w:type="dxa"/>
          </w:tblCellMar>
        </w:tblPrEx>
        <w:trPr>
          <w:trHeight w:val="94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ind w:firstLine="400" w:firstLineChars="20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提高80岁以上老年人的生活和生命质量，强化服务保障能力，维护老年人的基本生活权益。</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ind w:firstLine="400" w:firstLineChars="20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通过实施80周岁以上老年人基本生活补贴制度，高龄老人的生活质量得到进一步改善，获得感进一步提升。</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年度</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绩效</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指标</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完成</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80周岁(含80周岁)89周岁的老年人</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≥50元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≥50元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p>
        </w:tc>
        <w:tc>
          <w:tcPr>
            <w:tcW w:w="1360"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90周岁(含90周岁) 99周岁的老年人</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≥120元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≥120元；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p>
        </w:tc>
        <w:tc>
          <w:tcPr>
            <w:tcW w:w="1360"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100周岁以上(含100周岁)的老年人</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≥200元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≥200元</w:t>
            </w:r>
          </w:p>
        </w:tc>
      </w:tr>
      <w:tr>
        <w:tblPrEx>
          <w:tblLayout w:type="fixed"/>
          <w:tblCellMar>
            <w:top w:w="0" w:type="dxa"/>
            <w:left w:w="108" w:type="dxa"/>
            <w:bottom w:w="0" w:type="dxa"/>
            <w:right w:w="108" w:type="dxa"/>
          </w:tblCellMar>
        </w:tblPrEx>
        <w:trPr>
          <w:trHeight w:val="44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喀什地区、和田地区、克州自治区财政补助</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80%</w:t>
            </w:r>
          </w:p>
          <w:p>
            <w:pPr>
              <w:widowControl/>
              <w:jc w:val="left"/>
              <w:rPr>
                <w:rFonts w:ascii="宋体" w:hAnsi="宋体" w:cs="宋体"/>
                <w:color w:val="000000" w:themeColor="text1"/>
                <w:kern w:val="0"/>
                <w:sz w:val="20"/>
                <w:szCs w:val="20"/>
                <w14:textFill>
                  <w14:solidFill>
                    <w14:schemeClr w14:val="tx1"/>
                  </w14:solidFill>
                </w14:textFill>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80%</w:t>
            </w:r>
          </w:p>
          <w:p>
            <w:pPr>
              <w:widowControl/>
              <w:jc w:val="left"/>
              <w:rPr>
                <w:rFonts w:ascii="宋体" w:hAnsi="宋体" w:cs="宋体"/>
                <w:color w:val="000000" w:themeColor="text1"/>
                <w:kern w:val="0"/>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4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乌鲁木齐市、克拉玛依市、石河子市自治区财政补助</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w:t>
            </w:r>
          </w:p>
        </w:tc>
      </w:tr>
      <w:tr>
        <w:tblPrEx>
          <w:tblLayout w:type="fixed"/>
          <w:tblCellMar>
            <w:top w:w="0" w:type="dxa"/>
            <w:left w:w="108" w:type="dxa"/>
            <w:bottom w:w="0" w:type="dxa"/>
            <w:right w:w="108" w:type="dxa"/>
          </w:tblCellMar>
        </w:tblPrEx>
        <w:trPr>
          <w:trHeight w:val="44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其他地、州自治区财政补助</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补助资金拨付时限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2018年12月底</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100%</w:t>
            </w:r>
          </w:p>
        </w:tc>
      </w:tr>
      <w:tr>
        <w:tblPrEx>
          <w:tblLayout w:type="fixed"/>
          <w:tblCellMar>
            <w:top w:w="0" w:type="dxa"/>
            <w:left w:w="108" w:type="dxa"/>
            <w:bottom w:w="0" w:type="dxa"/>
            <w:right w:w="108" w:type="dxa"/>
          </w:tblCellMar>
        </w:tblPrEx>
        <w:trPr>
          <w:trHeight w:val="56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实行动态管理情况</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高龄老人津贴发放对象要实行动态管理，按季度审核，根据老年人口变化的情况，及时办理审批、增发、停发手续。</w:t>
            </w:r>
          </w:p>
        </w:tc>
        <w:tc>
          <w:tcPr>
            <w:tcW w:w="1780" w:type="dxa"/>
            <w:tcBorders>
              <w:top w:val="nil"/>
              <w:left w:val="nil"/>
              <w:bottom w:val="single" w:color="auto" w:sz="4" w:space="0"/>
              <w:right w:val="single" w:color="auto" w:sz="4" w:space="0"/>
            </w:tcBorders>
            <w:shd w:val="clear" w:color="auto" w:fill="auto"/>
            <w:vAlign w:val="center"/>
          </w:tcPr>
          <w:p>
            <w:pPr>
              <w:widowControl/>
              <w:ind w:firstLine="400" w:firstLineChars="20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各地严格按照《80周岁以上老年人基本生活津贴制度》有关要求，实现动态管理对象，科学发放津贴。</w:t>
            </w:r>
          </w:p>
        </w:tc>
      </w:tr>
      <w:tr>
        <w:tblPrEx>
          <w:tblLayout w:type="fixed"/>
          <w:tblCellMar>
            <w:top w:w="0" w:type="dxa"/>
            <w:left w:w="108" w:type="dxa"/>
            <w:bottom w:w="0" w:type="dxa"/>
            <w:right w:w="108" w:type="dxa"/>
          </w:tblCellMar>
        </w:tblPrEx>
        <w:trPr>
          <w:trHeight w:val="50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经济效益</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高龄老年人的获得感</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不断提升</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不断提升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可持续影响</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高龄老年人的生活质量</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逐步提升</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逐步提升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满意度</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高龄老年人对补贴发放工作的满意度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ascii="Arial" w:hAnsi="Arial" w:cs="Arial"/>
                <w:color w:val="000000" w:themeColor="text1"/>
                <w:kern w:val="0"/>
                <w:sz w:val="20"/>
                <w:szCs w:val="20"/>
                <w14:textFill>
                  <w14:solidFill>
                    <w14:schemeClr w14:val="tx1"/>
                  </w14:solidFill>
                </w14:textFill>
              </w:rPr>
              <w:t>≥</w:t>
            </w:r>
            <w:r>
              <w:rPr>
                <w:rFonts w:hint="eastAsia" w:ascii="Arial" w:hAnsi="Arial" w:cs="Arial"/>
                <w:color w:val="000000" w:themeColor="text1"/>
                <w:kern w:val="0"/>
                <w:sz w:val="20"/>
                <w:szCs w:val="20"/>
                <w14:textFill>
                  <w14:solidFill>
                    <w14:schemeClr w14:val="tx1"/>
                  </w14:solidFill>
                </w14:textFill>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ascii="Arial" w:hAnsi="Arial" w:cs="Arial"/>
                <w:color w:val="000000" w:themeColor="text1"/>
                <w:kern w:val="0"/>
                <w:sz w:val="20"/>
                <w:szCs w:val="20"/>
                <w14:textFill>
                  <w14:solidFill>
                    <w14:schemeClr w14:val="tx1"/>
                  </w14:solidFill>
                </w14:textFill>
              </w:rPr>
              <w:t>≥</w:t>
            </w:r>
            <w:r>
              <w:rPr>
                <w:rFonts w:hint="eastAsia" w:ascii="Arial" w:hAnsi="Arial" w:cs="Arial"/>
                <w:color w:val="000000" w:themeColor="text1"/>
                <w:kern w:val="0"/>
                <w:sz w:val="20"/>
                <w:szCs w:val="20"/>
                <w14:textFill>
                  <w14:solidFill>
                    <w14:schemeClr w14:val="tx1"/>
                  </w14:solidFill>
                </w14:textFill>
              </w:rPr>
              <w:t>80%</w:t>
            </w:r>
          </w:p>
        </w:tc>
      </w:tr>
    </w:tbl>
    <w:p>
      <w:pPr>
        <w:spacing w:line="540" w:lineRule="exact"/>
        <w:ind w:firstLine="567"/>
        <w:rPr>
          <w:rStyle w:val="20"/>
          <w:rFonts w:ascii="仿宋" w:hAnsi="仿宋" w:eastAsia="仿宋"/>
          <w:b w:val="0"/>
          <w:color w:val="000000" w:themeColor="text1"/>
          <w:spacing w:val="-4"/>
          <w:sz w:val="32"/>
          <w:szCs w:val="32"/>
          <w14:textFill>
            <w14:solidFill>
              <w14:schemeClr w14:val="tx1"/>
            </w14:solidFill>
          </w14:textFill>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swiss"/>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swiss"/>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1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5BE1"/>
    <w:rsid w:val="000221FB"/>
    <w:rsid w:val="00056465"/>
    <w:rsid w:val="00121AE4"/>
    <w:rsid w:val="00146AAD"/>
    <w:rsid w:val="001B3A40"/>
    <w:rsid w:val="001B6E5E"/>
    <w:rsid w:val="00203C4A"/>
    <w:rsid w:val="00275021"/>
    <w:rsid w:val="00276593"/>
    <w:rsid w:val="003107AC"/>
    <w:rsid w:val="00366D07"/>
    <w:rsid w:val="003703FB"/>
    <w:rsid w:val="003C1C66"/>
    <w:rsid w:val="003D5D6B"/>
    <w:rsid w:val="003E0FD8"/>
    <w:rsid w:val="003F4FE6"/>
    <w:rsid w:val="00431E8D"/>
    <w:rsid w:val="004366A8"/>
    <w:rsid w:val="004D42D3"/>
    <w:rsid w:val="00502BA7"/>
    <w:rsid w:val="005162F1"/>
    <w:rsid w:val="00535153"/>
    <w:rsid w:val="00546EE6"/>
    <w:rsid w:val="00554F82"/>
    <w:rsid w:val="0055577F"/>
    <w:rsid w:val="0056390D"/>
    <w:rsid w:val="005719B0"/>
    <w:rsid w:val="005D10D6"/>
    <w:rsid w:val="00624222"/>
    <w:rsid w:val="00656D6E"/>
    <w:rsid w:val="00681AD2"/>
    <w:rsid w:val="007F5F9E"/>
    <w:rsid w:val="00804F66"/>
    <w:rsid w:val="008307C3"/>
    <w:rsid w:val="00855E3A"/>
    <w:rsid w:val="00890822"/>
    <w:rsid w:val="00922CB9"/>
    <w:rsid w:val="0095023D"/>
    <w:rsid w:val="00972230"/>
    <w:rsid w:val="009C68C6"/>
    <w:rsid w:val="009D510B"/>
    <w:rsid w:val="009E5CD9"/>
    <w:rsid w:val="009F7E9F"/>
    <w:rsid w:val="00A26421"/>
    <w:rsid w:val="00A4293B"/>
    <w:rsid w:val="00A67D50"/>
    <w:rsid w:val="00A8691A"/>
    <w:rsid w:val="00AC1946"/>
    <w:rsid w:val="00B40063"/>
    <w:rsid w:val="00B41F61"/>
    <w:rsid w:val="00BA46E6"/>
    <w:rsid w:val="00C163A8"/>
    <w:rsid w:val="00C56C72"/>
    <w:rsid w:val="00C968D2"/>
    <w:rsid w:val="00CA6457"/>
    <w:rsid w:val="00CB32BC"/>
    <w:rsid w:val="00D0466D"/>
    <w:rsid w:val="00D17F2E"/>
    <w:rsid w:val="00D30354"/>
    <w:rsid w:val="00D622F5"/>
    <w:rsid w:val="00DF42A0"/>
    <w:rsid w:val="00E769FE"/>
    <w:rsid w:val="00EA08DF"/>
    <w:rsid w:val="00EA2CBE"/>
    <w:rsid w:val="00F0277F"/>
    <w:rsid w:val="00F32FEE"/>
    <w:rsid w:val="00F461B4"/>
    <w:rsid w:val="00FB10BB"/>
    <w:rsid w:val="00FC7ECB"/>
    <w:rsid w:val="05831998"/>
    <w:rsid w:val="06C32324"/>
    <w:rsid w:val="07CF0935"/>
    <w:rsid w:val="08F475C9"/>
    <w:rsid w:val="09806D25"/>
    <w:rsid w:val="0CEC47C3"/>
    <w:rsid w:val="0FD258A4"/>
    <w:rsid w:val="1085402A"/>
    <w:rsid w:val="14455B6C"/>
    <w:rsid w:val="1B3E4C43"/>
    <w:rsid w:val="1D170C45"/>
    <w:rsid w:val="1FE9387E"/>
    <w:rsid w:val="20E210D9"/>
    <w:rsid w:val="20E33285"/>
    <w:rsid w:val="219E39B8"/>
    <w:rsid w:val="22850432"/>
    <w:rsid w:val="295142D9"/>
    <w:rsid w:val="2CC27D21"/>
    <w:rsid w:val="30DC0018"/>
    <w:rsid w:val="32C168DD"/>
    <w:rsid w:val="33E162AB"/>
    <w:rsid w:val="360E55BB"/>
    <w:rsid w:val="39B31F3A"/>
    <w:rsid w:val="3A300239"/>
    <w:rsid w:val="41905C1D"/>
    <w:rsid w:val="41926BA2"/>
    <w:rsid w:val="42A04618"/>
    <w:rsid w:val="436536C2"/>
    <w:rsid w:val="465B6AFA"/>
    <w:rsid w:val="47984051"/>
    <w:rsid w:val="4803677E"/>
    <w:rsid w:val="4815134F"/>
    <w:rsid w:val="48FA6149"/>
    <w:rsid w:val="4A3600D0"/>
    <w:rsid w:val="4A562B83"/>
    <w:rsid w:val="4C54044A"/>
    <w:rsid w:val="4F275969"/>
    <w:rsid w:val="5A001035"/>
    <w:rsid w:val="5BA70D31"/>
    <w:rsid w:val="5D2508DD"/>
    <w:rsid w:val="60E32902"/>
    <w:rsid w:val="634B19F0"/>
    <w:rsid w:val="663911C6"/>
    <w:rsid w:val="67BF7E4C"/>
    <w:rsid w:val="6A1B2B82"/>
    <w:rsid w:val="6AAA31E1"/>
    <w:rsid w:val="6C325524"/>
    <w:rsid w:val="71365D4B"/>
    <w:rsid w:val="71483C1C"/>
    <w:rsid w:val="75C54845"/>
    <w:rsid w:val="76D21B6E"/>
    <w:rsid w:val="7762336C"/>
    <w:rsid w:val="782C5414"/>
    <w:rsid w:val="7983686A"/>
    <w:rsid w:val="7B01255E"/>
    <w:rsid w:val="7B9030C7"/>
    <w:rsid w:val="7D541D95"/>
    <w:rsid w:val="7FB5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5">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semiHidden/>
    <w:unhideWhenUsed/>
    <w:qFormat/>
    <w:uiPriority w:val="99"/>
    <w:pPr>
      <w:spacing w:after="120" w:afterLines="0" w:afterAutospacing="0"/>
      <w:ind w:left="420" w:leftChars="200"/>
    </w:pPr>
  </w:style>
  <w:style w:type="paragraph" w:styleId="13">
    <w:name w:val="Balloon Text"/>
    <w:basedOn w:val="1"/>
    <w:link w:val="47"/>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Char"/>
    <w:basedOn w:val="19"/>
    <w:link w:val="4"/>
    <w:qFormat/>
    <w:uiPriority w:val="9"/>
    <w:rPr>
      <w:rFonts w:asciiTheme="majorHAnsi" w:hAnsiTheme="majorHAnsi" w:eastAsiaTheme="majorEastAsia"/>
      <w:b/>
      <w:bCs/>
      <w:kern w:val="32"/>
      <w:sz w:val="32"/>
      <w:szCs w:val="32"/>
    </w:rPr>
  </w:style>
  <w:style w:type="character" w:customStyle="1" w:styleId="23">
    <w:name w:val="标题 2 Char"/>
    <w:basedOn w:val="19"/>
    <w:link w:val="5"/>
    <w:semiHidden/>
    <w:qFormat/>
    <w:uiPriority w:val="9"/>
    <w:rPr>
      <w:rFonts w:asciiTheme="majorHAnsi" w:hAnsiTheme="majorHAnsi" w:eastAsiaTheme="majorEastAsia"/>
      <w:b/>
      <w:bCs/>
      <w:i/>
      <w:iCs/>
      <w:sz w:val="28"/>
      <w:szCs w:val="28"/>
    </w:rPr>
  </w:style>
  <w:style w:type="character" w:customStyle="1" w:styleId="24">
    <w:name w:val="标题 3 Char"/>
    <w:basedOn w:val="19"/>
    <w:link w:val="6"/>
    <w:semiHidden/>
    <w:qFormat/>
    <w:uiPriority w:val="9"/>
    <w:rPr>
      <w:rFonts w:asciiTheme="majorHAnsi" w:hAnsiTheme="majorHAnsi" w:eastAsiaTheme="majorEastAsia"/>
      <w:b/>
      <w:bCs/>
      <w:sz w:val="26"/>
      <w:szCs w:val="26"/>
    </w:rPr>
  </w:style>
  <w:style w:type="character" w:customStyle="1" w:styleId="25">
    <w:name w:val="标题 4 Char"/>
    <w:basedOn w:val="19"/>
    <w:link w:val="7"/>
    <w:semiHidden/>
    <w:qFormat/>
    <w:uiPriority w:val="9"/>
    <w:rPr>
      <w:b/>
      <w:bCs/>
      <w:sz w:val="28"/>
      <w:szCs w:val="28"/>
    </w:rPr>
  </w:style>
  <w:style w:type="character" w:customStyle="1" w:styleId="26">
    <w:name w:val="标题 5 Char"/>
    <w:basedOn w:val="19"/>
    <w:link w:val="8"/>
    <w:semiHidden/>
    <w:qFormat/>
    <w:uiPriority w:val="9"/>
    <w:rPr>
      <w:b/>
      <w:bCs/>
      <w:i/>
      <w:iCs/>
      <w:sz w:val="26"/>
      <w:szCs w:val="26"/>
    </w:rPr>
  </w:style>
  <w:style w:type="character" w:customStyle="1" w:styleId="27">
    <w:name w:val="标题 6 Char"/>
    <w:basedOn w:val="19"/>
    <w:link w:val="9"/>
    <w:semiHidden/>
    <w:qFormat/>
    <w:uiPriority w:val="9"/>
    <w:rPr>
      <w:b/>
      <w:bCs/>
    </w:rPr>
  </w:style>
  <w:style w:type="character" w:customStyle="1" w:styleId="28">
    <w:name w:val="标题 7 Char"/>
    <w:basedOn w:val="19"/>
    <w:link w:val="10"/>
    <w:semiHidden/>
    <w:qFormat/>
    <w:uiPriority w:val="9"/>
    <w:rPr>
      <w:sz w:val="24"/>
      <w:szCs w:val="24"/>
    </w:rPr>
  </w:style>
  <w:style w:type="character" w:customStyle="1" w:styleId="29">
    <w:name w:val="标题 8 Char"/>
    <w:basedOn w:val="19"/>
    <w:link w:val="11"/>
    <w:semiHidden/>
    <w:qFormat/>
    <w:uiPriority w:val="9"/>
    <w:rPr>
      <w:i/>
      <w:iCs/>
      <w:sz w:val="24"/>
      <w:szCs w:val="24"/>
    </w:rPr>
  </w:style>
  <w:style w:type="character" w:customStyle="1" w:styleId="30">
    <w:name w:val="标题 9 Char"/>
    <w:basedOn w:val="19"/>
    <w:link w:val="12"/>
    <w:semiHidden/>
    <w:qFormat/>
    <w:uiPriority w:val="9"/>
    <w:rPr>
      <w:rFonts w:asciiTheme="majorHAnsi" w:hAnsiTheme="majorHAnsi" w:eastAsiaTheme="majorEastAsia"/>
    </w:rPr>
  </w:style>
  <w:style w:type="character" w:customStyle="1" w:styleId="31">
    <w:name w:val="标题 Char"/>
    <w:basedOn w:val="19"/>
    <w:link w:val="17"/>
    <w:qFormat/>
    <w:uiPriority w:val="10"/>
    <w:rPr>
      <w:rFonts w:asciiTheme="majorHAnsi" w:hAnsiTheme="majorHAnsi" w:eastAsiaTheme="majorEastAsia"/>
      <w:b/>
      <w:bCs/>
      <w:kern w:val="28"/>
      <w:sz w:val="32"/>
      <w:szCs w:val="32"/>
    </w:rPr>
  </w:style>
  <w:style w:type="character" w:customStyle="1" w:styleId="32">
    <w:name w:val="副标题 Char"/>
    <w:basedOn w:val="19"/>
    <w:link w:val="16"/>
    <w:qFormat/>
    <w:uiPriority w:val="11"/>
    <w:rPr>
      <w:rFonts w:asciiTheme="majorHAnsi" w:hAnsiTheme="majorHAnsi" w:eastAsiaTheme="majorEastAsia"/>
      <w:sz w:val="24"/>
      <w:szCs w:val="24"/>
    </w:rPr>
  </w:style>
  <w:style w:type="paragraph" w:customStyle="1" w:styleId="33">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引用1"/>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9"/>
    <w:link w:val="35"/>
    <w:qFormat/>
    <w:uiPriority w:val="29"/>
    <w:rPr>
      <w:i/>
      <w:sz w:val="24"/>
      <w:szCs w:val="24"/>
    </w:rPr>
  </w:style>
  <w:style w:type="paragraph" w:customStyle="1" w:styleId="37">
    <w:name w:val="明显引用1"/>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9"/>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4"/>
    <w:next w:val="1"/>
    <w:unhideWhenUsed/>
    <w:qFormat/>
    <w:uiPriority w:val="39"/>
    <w:pPr>
      <w:outlineLvl w:val="9"/>
    </w:pPr>
    <w:rPr>
      <w:lang w:eastAsia="en-US" w:bidi="en-US"/>
    </w:rPr>
  </w:style>
  <w:style w:type="character" w:customStyle="1" w:styleId="45">
    <w:name w:val="页眉 Char"/>
    <w:basedOn w:val="19"/>
    <w:link w:val="15"/>
    <w:qFormat/>
    <w:uiPriority w:val="99"/>
    <w:rPr>
      <w:rFonts w:ascii="Calibri" w:hAnsi="Calibri" w:eastAsia="宋体"/>
      <w:kern w:val="2"/>
      <w:sz w:val="18"/>
      <w:szCs w:val="18"/>
    </w:rPr>
  </w:style>
  <w:style w:type="character" w:customStyle="1" w:styleId="46">
    <w:name w:val="页脚 Char"/>
    <w:basedOn w:val="19"/>
    <w:link w:val="14"/>
    <w:qFormat/>
    <w:uiPriority w:val="99"/>
    <w:rPr>
      <w:rFonts w:ascii="Calibri" w:hAnsi="Calibri" w:eastAsia="宋体"/>
      <w:kern w:val="2"/>
      <w:sz w:val="18"/>
      <w:szCs w:val="18"/>
    </w:rPr>
  </w:style>
  <w:style w:type="character" w:customStyle="1" w:styleId="47">
    <w:name w:val="批注框文本 Char"/>
    <w:basedOn w:val="19"/>
    <w:link w:val="13"/>
    <w:semiHidden/>
    <w:qFormat/>
    <w:uiPriority w:val="99"/>
    <w:rPr>
      <w:rFonts w:ascii="Times New Roman" w:hAnsi="Times New Roman" w:eastAsia="宋体"/>
      <w:kern w:val="2"/>
      <w:sz w:val="18"/>
      <w:szCs w:val="18"/>
    </w:rPr>
  </w:style>
  <w:style w:type="paragraph" w:customStyle="1" w:styleId="48">
    <w:name w:val="p0"/>
    <w:basedOn w:val="1"/>
    <w:qFormat/>
    <w:uiPriority w:val="0"/>
    <w:rPr>
      <w:rFonts w:ascii="Calibri" w:hAnsi="Calibri" w:cs="宋体"/>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661</Words>
  <Characters>3774</Characters>
  <Lines>31</Lines>
  <Paragraphs>8</Paragraphs>
  <TotalTime>0</TotalTime>
  <ScaleCrop>false</ScaleCrop>
  <LinksUpToDate>false</LinksUpToDate>
  <CharactersWithSpaces>4427</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没有人</cp:lastModifiedBy>
  <cp:lastPrinted>2019-01-29T10:19:00Z</cp:lastPrinted>
  <dcterms:modified xsi:type="dcterms:W3CDTF">2019-08-04T06:23:47Z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