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napToGrid/>
        <w:spacing w:line="580" w:lineRule="exact"/>
        <w:jc w:val="center"/>
        <w:textAlignment w:val="auto"/>
        <w:outlineLvl w:val="9"/>
        <w:rPr>
          <w:rFonts w:hint="eastAsia" w:ascii="方正小标宋_GBK" w:hAnsi="宋体" w:eastAsia="方正小标宋_GBK"/>
          <w:color w:val="auto"/>
          <w:sz w:val="44"/>
          <w:szCs w:val="44"/>
        </w:rPr>
      </w:pPr>
    </w:p>
    <w:p>
      <w:pPr>
        <w:widowControl w:val="0"/>
        <w:wordWrap/>
        <w:snapToGrid/>
        <w:spacing w:line="580" w:lineRule="exact"/>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2017</w:t>
      </w:r>
      <w:r>
        <w:rPr>
          <w:rFonts w:hint="eastAsia" w:ascii="方正小标宋简体" w:hAnsi="方正小标宋简体" w:eastAsia="方正小标宋简体" w:cs="方正小标宋简体"/>
          <w:color w:val="auto"/>
          <w:sz w:val="44"/>
          <w:szCs w:val="44"/>
        </w:rPr>
        <w:t>年度</w:t>
      </w:r>
      <w:r>
        <w:rPr>
          <w:rFonts w:hint="eastAsia" w:ascii="方正小标宋简体" w:hAnsi="方正小标宋简体" w:eastAsia="方正小标宋简体" w:cs="方正小标宋简体"/>
          <w:color w:val="auto"/>
          <w:sz w:val="44"/>
          <w:szCs w:val="44"/>
          <w:lang w:eastAsia="zh-CN"/>
        </w:rPr>
        <w:t>自治区机关事务管理局</w:t>
      </w:r>
    </w:p>
    <w:p>
      <w:pPr>
        <w:widowControl w:val="0"/>
        <w:wordWrap/>
        <w:snapToGrid/>
        <w:spacing w:line="580" w:lineRule="exact"/>
        <w:jc w:val="center"/>
        <w:textAlignment w:val="auto"/>
        <w:outlineLvl w:val="9"/>
        <w:rPr>
          <w:rFonts w:hint="eastAsia" w:ascii="方正小标宋_GBK" w:hAnsi="宋体" w:eastAsia="方正小标宋_GBK"/>
          <w:color w:val="auto"/>
          <w:sz w:val="44"/>
          <w:szCs w:val="44"/>
        </w:rPr>
      </w:pPr>
      <w:r>
        <w:rPr>
          <w:rFonts w:hint="eastAsia" w:ascii="方正小标宋简体" w:hAnsi="方正小标宋简体" w:eastAsia="方正小标宋简体" w:cs="方正小标宋简体"/>
          <w:color w:val="auto"/>
          <w:sz w:val="44"/>
          <w:szCs w:val="44"/>
        </w:rPr>
        <w:t>部门决算公开说明</w:t>
      </w:r>
    </w:p>
    <w:p>
      <w:pPr>
        <w:widowControl w:val="0"/>
        <w:wordWrap/>
        <w:snapToGrid/>
        <w:spacing w:line="580" w:lineRule="exact"/>
        <w:ind w:firstLine="640" w:firstLineChars="200"/>
        <w:jc w:val="both"/>
        <w:textAlignment w:val="auto"/>
        <w:outlineLvl w:val="9"/>
        <w:rPr>
          <w:rFonts w:hint="eastAsia" w:ascii="仿宋_GB2312" w:hAnsi="宋体" w:eastAsia="仿宋_GB2312"/>
          <w:color w:val="auto"/>
          <w:sz w:val="32"/>
          <w:szCs w:val="32"/>
        </w:rPr>
      </w:pPr>
    </w:p>
    <w:p>
      <w:pPr>
        <w:widowControl w:val="0"/>
        <w:wordWrap/>
        <w:snapToGrid/>
        <w:spacing w:line="580" w:lineRule="exact"/>
        <w:jc w:val="center"/>
        <w:textAlignment w:val="auto"/>
        <w:outlineLvl w:val="9"/>
        <w:rPr>
          <w:rFonts w:hint="eastAsia" w:ascii="华文中宋" w:hAnsi="华文中宋" w:eastAsia="华文中宋"/>
          <w:b/>
          <w:color w:val="auto"/>
          <w:kern w:val="0"/>
          <w:sz w:val="32"/>
          <w:szCs w:val="32"/>
        </w:rPr>
      </w:pPr>
      <w:r>
        <w:rPr>
          <w:rFonts w:hint="eastAsia" w:ascii="华文中宋" w:hAnsi="华文中宋" w:eastAsia="华文中宋"/>
          <w:b/>
          <w:color w:val="auto"/>
          <w:kern w:val="0"/>
          <w:sz w:val="32"/>
          <w:szCs w:val="32"/>
        </w:rPr>
        <w:t>目  录</w:t>
      </w:r>
    </w:p>
    <w:p>
      <w:pPr>
        <w:widowControl w:val="0"/>
        <w:wordWrap/>
        <w:snapToGrid/>
        <w:spacing w:line="580" w:lineRule="exact"/>
        <w:ind w:firstLine="643" w:firstLineChars="200"/>
        <w:jc w:val="both"/>
        <w:textAlignment w:val="auto"/>
        <w:outlineLvl w:val="9"/>
        <w:rPr>
          <w:rFonts w:hint="eastAsia" w:ascii="仿宋_GB2312" w:hAnsi="宋体" w:eastAsia="仿宋_GB2312"/>
          <w:b/>
          <w:color w:val="auto"/>
          <w:kern w:val="0"/>
          <w:sz w:val="32"/>
          <w:szCs w:val="32"/>
        </w:rPr>
      </w:pPr>
    </w:p>
    <w:p>
      <w:pPr>
        <w:widowControl w:val="0"/>
        <w:wordWrap/>
        <w:snapToGrid/>
        <w:spacing w:line="580" w:lineRule="exact"/>
        <w:ind w:firstLine="640" w:firstLineChars="200"/>
        <w:textAlignment w:val="auto"/>
        <w:outlineLvl w:val="9"/>
        <w:rPr>
          <w:rFonts w:hint="eastAsia" w:ascii="黑体" w:hAnsi="黑体" w:eastAsia="黑体"/>
          <w:b w:val="0"/>
          <w:color w:val="auto"/>
          <w:kern w:val="0"/>
          <w:sz w:val="32"/>
          <w:szCs w:val="32"/>
        </w:rPr>
      </w:pPr>
      <w:r>
        <w:rPr>
          <w:rFonts w:hint="eastAsia" w:ascii="黑体" w:hAnsi="黑体" w:eastAsia="黑体"/>
          <w:b w:val="0"/>
          <w:color w:val="auto"/>
          <w:kern w:val="0"/>
          <w:sz w:val="32"/>
          <w:szCs w:val="32"/>
        </w:rPr>
        <w:t>第一部分</w:t>
      </w:r>
      <w:r>
        <w:rPr>
          <w:rFonts w:hint="eastAsia" w:ascii="黑体" w:hAnsi="黑体" w:eastAsia="黑体"/>
          <w:color w:val="auto"/>
          <w:kern w:val="0"/>
          <w:sz w:val="32"/>
          <w:szCs w:val="32"/>
        </w:rPr>
        <w:t xml:space="preserve"> </w:t>
      </w:r>
      <w:r>
        <w:rPr>
          <w:rFonts w:hint="eastAsia" w:ascii="黑体" w:hAnsi="黑体" w:eastAsia="黑体"/>
          <w:color w:val="auto"/>
          <w:sz w:val="32"/>
          <w:szCs w:val="32"/>
          <w:lang w:eastAsia="zh-CN"/>
        </w:rPr>
        <w:t>自治区机关事务管理局</w:t>
      </w:r>
      <w:r>
        <w:rPr>
          <w:rFonts w:hint="eastAsia" w:ascii="黑体" w:hAnsi="黑体" w:eastAsia="黑体"/>
          <w:b w:val="0"/>
          <w:color w:val="auto"/>
          <w:kern w:val="0"/>
          <w:sz w:val="32"/>
          <w:szCs w:val="32"/>
        </w:rPr>
        <w:t>部门单位概况</w:t>
      </w:r>
    </w:p>
    <w:p>
      <w:pPr>
        <w:widowControl w:val="0"/>
        <w:numPr>
          <w:ilvl w:val="0"/>
          <w:numId w:val="1"/>
        </w:numPr>
        <w:wordWrap/>
        <w:snapToGrid/>
        <w:spacing w:line="580" w:lineRule="exact"/>
        <w:ind w:firstLine="640" w:firstLineChars="200"/>
        <w:textAlignment w:val="auto"/>
        <w:outlineLvl w:val="9"/>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主要职能、机构设置及人员情况</w:t>
      </w:r>
    </w:p>
    <w:p>
      <w:pPr>
        <w:widowControl w:val="0"/>
        <w:numPr>
          <w:ilvl w:val="0"/>
          <w:numId w:val="2"/>
        </w:numPr>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部门决算单位构成</w:t>
      </w:r>
    </w:p>
    <w:p>
      <w:pPr>
        <w:widowControl w:val="0"/>
        <w:wordWrap/>
        <w:snapToGrid/>
        <w:spacing w:line="580" w:lineRule="exact"/>
        <w:ind w:firstLine="640" w:firstLineChars="200"/>
        <w:textAlignment w:val="auto"/>
        <w:outlineLvl w:val="9"/>
        <w:rPr>
          <w:rFonts w:hint="eastAsia" w:ascii="黑体" w:hAnsi="黑体" w:eastAsia="黑体"/>
          <w:b w:val="0"/>
          <w:color w:val="auto"/>
          <w:kern w:val="0"/>
          <w:sz w:val="32"/>
          <w:szCs w:val="32"/>
        </w:rPr>
      </w:pPr>
      <w:r>
        <w:rPr>
          <w:rFonts w:hint="eastAsia" w:ascii="黑体" w:hAnsi="黑体" w:eastAsia="黑体"/>
          <w:b w:val="0"/>
          <w:color w:val="auto"/>
          <w:kern w:val="0"/>
          <w:sz w:val="32"/>
          <w:szCs w:val="32"/>
        </w:rPr>
        <w:t>第二部分 部门决算情况说明</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一、部门收支总体情况</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（一）部门收入支出决算总体情况说明</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（二）部门收入总体情况说明</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（三）部门支出总体情况说明</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二、部门财政拨款收支情况</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（一）财政拨款收支总体情况说明</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（二）一般公共预算支出决算情况说明</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（三）政府性基金预算收支决算情况说明</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（四）政府性基金预算支出决算情况说明</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三、部门结转结余情况</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四、一般公共预算“三公”经费支出情况</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五、机关运行经费支出情况</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六、政府采购情况</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七、其他重要事项的情况</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（一）国有资产占用情况说明</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（二）国有资产收益征缴情况说明</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（三）部门项目支出情况和项目绩效评价情况说明</w:t>
      </w:r>
    </w:p>
    <w:p>
      <w:pPr>
        <w:widowControl w:val="0"/>
        <w:wordWrap/>
        <w:snapToGrid/>
        <w:spacing w:line="580" w:lineRule="exact"/>
        <w:ind w:firstLine="640" w:firstLineChars="200"/>
        <w:textAlignment w:val="auto"/>
        <w:outlineLvl w:val="9"/>
        <w:rPr>
          <w:rFonts w:hint="eastAsia" w:ascii="黑体" w:hAnsi="黑体" w:eastAsia="黑体"/>
          <w:color w:val="auto"/>
          <w:kern w:val="0"/>
          <w:sz w:val="32"/>
          <w:szCs w:val="32"/>
        </w:rPr>
      </w:pPr>
      <w:r>
        <w:rPr>
          <w:rFonts w:hint="eastAsia" w:ascii="黑体" w:hAnsi="黑体" w:eastAsia="黑体"/>
          <w:b w:val="0"/>
          <w:color w:val="auto"/>
          <w:kern w:val="0"/>
          <w:sz w:val="32"/>
          <w:szCs w:val="32"/>
        </w:rPr>
        <w:t>第三部分 专业名词解释</w:t>
      </w:r>
    </w:p>
    <w:p>
      <w:pPr>
        <w:widowControl w:val="0"/>
        <w:wordWrap/>
        <w:snapToGrid/>
        <w:spacing w:line="580" w:lineRule="exact"/>
        <w:ind w:firstLine="640" w:firstLineChars="200"/>
        <w:textAlignment w:val="auto"/>
        <w:outlineLvl w:val="9"/>
        <w:rPr>
          <w:rFonts w:hint="eastAsia" w:ascii="黑体" w:hAnsi="黑体" w:eastAsia="黑体"/>
          <w:color w:val="auto"/>
          <w:kern w:val="0"/>
          <w:sz w:val="32"/>
          <w:szCs w:val="32"/>
        </w:rPr>
      </w:pPr>
      <w:r>
        <w:rPr>
          <w:rFonts w:hint="eastAsia" w:ascii="黑体" w:hAnsi="黑体" w:eastAsia="黑体"/>
          <w:b w:val="0"/>
          <w:color w:val="auto"/>
          <w:kern w:val="0"/>
          <w:sz w:val="32"/>
          <w:szCs w:val="32"/>
        </w:rPr>
        <w:t>第四部分 部门决算报表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一、报表封面</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二、部门收支总体情况（11张）：</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《收入支出决算总表》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《收入决算表》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《支出决算表》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《收入支出决算表》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《项目收入支出决算表》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《行政事业类项目收入支出决算表》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《基本建设类项目收入支出决算表》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《支出决算明细表》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《基本支出决算明细表》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《项目支出决算明细表》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《财政专户管理资金收入支出决算表》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rPr>
        <w:t>三、财政拨款收支情况（9张）</w:t>
      </w:r>
      <w:r>
        <w:rPr>
          <w:rFonts w:hint="eastAsia" w:ascii="仿宋_GB2312" w:eastAsia="仿宋_GB2312"/>
          <w:color w:val="auto"/>
          <w:sz w:val="32"/>
          <w:szCs w:val="32"/>
          <w:lang w:eastAsia="zh-CN"/>
        </w:rPr>
        <w:t>：</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《财政拨款收入支出决算总表》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《一般公共预算财政拨款收入支出决算表》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《一般公共预算财政拨款支出决算明细表》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《一般公共预算财政拨款基本支出决算明细表》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《一般公共预算财政拨款项目支出决算明细表》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《政府性基金预算财政拨款收入支出决算表》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《政府性基金预算财政拨款支出决算明细表》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《政府性基金预算财政拨款基本支出决算明细表》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《政府性基金预算财政拨款项目支出决算明细表》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四、单位资产负责情况（1张）：《资产负债简表》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rPr>
        <w:t>五、部门决算附表（5张）</w:t>
      </w:r>
      <w:r>
        <w:rPr>
          <w:rFonts w:hint="eastAsia" w:ascii="仿宋_GB2312" w:eastAsia="仿宋_GB2312"/>
          <w:color w:val="auto"/>
          <w:sz w:val="32"/>
          <w:szCs w:val="32"/>
          <w:lang w:eastAsia="zh-CN"/>
        </w:rPr>
        <w:t>：</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《资产情况表》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《国有资产收益征缴情况表》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《基本数字表》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《机构人员情况表》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《非税收入征缴情况表》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六、填报说明附表（2张）</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《部门决算相关信息统计表》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《政府采购情况表》</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rPr>
        <w:t>七、“三公”经费支出情况(1张)</w:t>
      </w:r>
      <w:r>
        <w:rPr>
          <w:rFonts w:hint="eastAsia" w:ascii="仿宋_GB2312" w:eastAsia="仿宋_GB2312"/>
          <w:color w:val="auto"/>
          <w:sz w:val="32"/>
          <w:szCs w:val="32"/>
          <w:lang w:eastAsia="zh-CN"/>
        </w:rPr>
        <w:t>：</w:t>
      </w:r>
    </w:p>
    <w:p>
      <w:pPr>
        <w:widowControl w:val="0"/>
        <w:wordWrap/>
        <w:snapToGrid/>
        <w:spacing w:line="58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2017</w:t>
      </w:r>
      <w:r>
        <w:rPr>
          <w:rFonts w:hint="eastAsia" w:ascii="仿宋_GB2312" w:eastAsia="仿宋_GB2312"/>
          <w:color w:val="auto"/>
          <w:sz w:val="32"/>
          <w:szCs w:val="32"/>
        </w:rPr>
        <w:t>年度一般公共预算“三公”经费支出情况表》</w:t>
      </w:r>
    </w:p>
    <w:p>
      <w:pPr>
        <w:widowControl w:val="0"/>
        <w:wordWrap/>
        <w:snapToGrid/>
        <w:spacing w:line="520" w:lineRule="exact"/>
        <w:jc w:val="center"/>
        <w:textAlignment w:val="auto"/>
        <w:outlineLvl w:val="9"/>
        <w:rPr>
          <w:rFonts w:hint="eastAsia" w:ascii="黑体" w:hAnsi="黑体" w:eastAsia="黑体"/>
          <w:color w:val="auto"/>
          <w:sz w:val="32"/>
          <w:szCs w:val="32"/>
        </w:rPr>
      </w:pPr>
    </w:p>
    <w:p>
      <w:pPr>
        <w:widowControl w:val="0"/>
        <w:wordWrap/>
        <w:adjustRightInd/>
        <w:snapToGrid/>
        <w:spacing w:line="500" w:lineRule="exact"/>
        <w:ind w:firstLine="0" w:firstLineChars="0"/>
        <w:jc w:val="center"/>
        <w:textAlignment w:val="auto"/>
        <w:outlineLvl w:val="0"/>
        <w:rPr>
          <w:rFonts w:hint="eastAsia" w:ascii="黑体" w:hAnsi="黑体" w:eastAsia="黑体"/>
          <w:b w:val="0"/>
          <w:color w:val="auto"/>
          <w:sz w:val="32"/>
          <w:szCs w:val="32"/>
        </w:rPr>
      </w:pPr>
      <w:r>
        <w:rPr>
          <w:rFonts w:hint="eastAsia" w:ascii="黑体" w:hAnsi="黑体" w:eastAsia="黑体"/>
          <w:b w:val="0"/>
          <w:color w:val="auto"/>
          <w:sz w:val="32"/>
          <w:szCs w:val="32"/>
        </w:rPr>
        <w:t>第一部分 部门单位概况</w:t>
      </w:r>
    </w:p>
    <w:p>
      <w:pPr>
        <w:widowControl w:val="0"/>
        <w:numPr>
          <w:ilvl w:val="0"/>
          <w:numId w:val="3"/>
        </w:numPr>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部门单位基本情况，包括：部门主要职能和机构设置情况、年末编制情况、实有人数情况等。</w:t>
      </w:r>
    </w:p>
    <w:p>
      <w:pPr>
        <w:pStyle w:val="7"/>
        <w:wordWrap/>
        <w:spacing w:before="0" w:after="0" w:line="560" w:lineRule="exact"/>
        <w:ind w:firstLine="627"/>
        <w:textAlignment w:val="auto"/>
        <w:outlineLvl w:val="9"/>
        <w:rPr>
          <w:rFonts w:hint="eastAsia" w:ascii="楷体" w:hAnsi="楷体" w:eastAsia="楷体" w:cs="楷体"/>
          <w:bCs/>
          <w:color w:val="auto"/>
          <w:sz w:val="32"/>
          <w:szCs w:val="32"/>
        </w:rPr>
      </w:pPr>
      <w:r>
        <w:rPr>
          <w:rFonts w:hint="eastAsia" w:ascii="楷体" w:hAnsi="楷体" w:eastAsia="楷体" w:cs="楷体"/>
          <w:bCs/>
          <w:color w:val="auto"/>
          <w:sz w:val="32"/>
          <w:szCs w:val="32"/>
        </w:rPr>
        <w:t>（一）主要职能：</w:t>
      </w:r>
    </w:p>
    <w:p>
      <w:pPr>
        <w:widowControl/>
        <w:wordWrap/>
        <w:spacing w:before="0" w:after="0" w:line="560" w:lineRule="exact"/>
        <w:ind w:firstLine="675" w:firstLineChars="211"/>
        <w:jc w:val="left"/>
        <w:textAlignment w:val="auto"/>
        <w:outlineLvl w:val="9"/>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1</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负责区级机关事务的管理、保障、服务工作。根据党和国家的有关政策、规章制度，拟订自治区机关事务管理工作的政策、规划和规章制度并组织实施。</w:t>
      </w:r>
    </w:p>
    <w:p>
      <w:pPr>
        <w:widowControl/>
        <w:wordWrap/>
        <w:spacing w:before="0" w:after="0" w:line="560" w:lineRule="exact"/>
        <w:ind w:firstLine="675" w:firstLineChars="211"/>
        <w:jc w:val="left"/>
        <w:textAlignment w:val="auto"/>
        <w:outlineLvl w:val="9"/>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2</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负责自治区区级机关及部分事业单位公产房屋的建设管理，编制基建计划，制定相应管理制度；承担自治区区级领导住房的建设、维修管理；审批房屋修缮项目和分配房屋修缮经费；负责区级机关周转房的统一管理。</w:t>
      </w:r>
    </w:p>
    <w:p>
      <w:pPr>
        <w:widowControl/>
        <w:wordWrap/>
        <w:spacing w:before="0" w:after="0" w:line="560" w:lineRule="exact"/>
        <w:ind w:firstLine="675" w:firstLineChars="211"/>
        <w:jc w:val="left"/>
        <w:textAlignment w:val="auto"/>
        <w:outlineLvl w:val="9"/>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3</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拟订自治区机关后勤体制改革的政策办法并组织实施；指导区级机关后勤管理工作和后勤服务单位的业务工作，推动机关后勤服务单位的改革和发展。</w:t>
      </w:r>
    </w:p>
    <w:p>
      <w:pPr>
        <w:widowControl/>
        <w:wordWrap/>
        <w:spacing w:before="0" w:after="0" w:line="560" w:lineRule="exact"/>
        <w:ind w:firstLine="675" w:firstLineChars="211"/>
        <w:jc w:val="left"/>
        <w:textAlignment w:val="auto"/>
        <w:outlineLvl w:val="9"/>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4</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负责自治区区级机关、事业单位、社会团体有关节约能源监督管理工作；会同有关部门制定自治区区级公共机构节能规划、规章制度并组织实施；组织开展能耗统计、监测和评价考核工作；负责推进、指导、协调、监督各地州市的公共机构节能工作。</w:t>
      </w:r>
    </w:p>
    <w:p>
      <w:pPr>
        <w:widowControl/>
        <w:wordWrap/>
        <w:spacing w:before="0" w:after="0" w:line="560" w:lineRule="exact"/>
        <w:ind w:firstLine="675" w:firstLineChars="211"/>
        <w:jc w:val="left"/>
        <w:textAlignment w:val="auto"/>
        <w:outlineLvl w:val="9"/>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5</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组织实施机关后勤干部岗位培训，管理机关后勤工人有关技术培训、考核和技师考评工作。</w:t>
      </w:r>
    </w:p>
    <w:p>
      <w:pPr>
        <w:widowControl/>
        <w:wordWrap/>
        <w:spacing w:before="0" w:after="0" w:line="560" w:lineRule="exact"/>
        <w:ind w:firstLine="675" w:firstLineChars="211"/>
        <w:jc w:val="left"/>
        <w:textAlignment w:val="auto"/>
        <w:outlineLvl w:val="9"/>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6</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负责拟订自治区内宾接待工作的有关制度、规定和接待服务标准；承办来疆的副省级以上领导同志的接待服务工作；负责制定自治区副省级以上领导同志的有关生活服务标准；承办自治区重大活动和召开大型会议的接待服务工作。</w:t>
      </w:r>
    </w:p>
    <w:p>
      <w:pPr>
        <w:widowControl/>
        <w:wordWrap/>
        <w:spacing w:before="0" w:after="0" w:line="560" w:lineRule="exact"/>
        <w:ind w:firstLine="675" w:firstLineChars="211"/>
        <w:jc w:val="left"/>
        <w:textAlignment w:val="auto"/>
        <w:outlineLvl w:val="9"/>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7</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承担各地州市政府（行署）驻乌办事处的管理和协调工作，拟订相关规章制度和管理办法。</w:t>
      </w:r>
    </w:p>
    <w:p>
      <w:pPr>
        <w:widowControl/>
        <w:wordWrap/>
        <w:spacing w:before="0" w:after="0" w:line="560" w:lineRule="exact"/>
        <w:ind w:firstLine="675" w:firstLineChars="211"/>
        <w:jc w:val="left"/>
        <w:textAlignment w:val="auto"/>
        <w:outlineLvl w:val="9"/>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8</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承办自治区党委、人民政府交办的其他事项。</w:t>
      </w:r>
    </w:p>
    <w:p>
      <w:pPr>
        <w:pStyle w:val="7"/>
        <w:wordWrap/>
        <w:spacing w:before="0" w:after="0" w:line="560" w:lineRule="exact"/>
        <w:ind w:firstLine="640"/>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（二）内设机构</w:t>
      </w:r>
    </w:p>
    <w:p>
      <w:pPr>
        <w:pStyle w:val="7"/>
        <w:wordWrap/>
        <w:spacing w:before="0" w:after="0" w:line="560" w:lineRule="exact"/>
        <w:ind w:firstLine="640"/>
        <w:textAlignment w:val="auto"/>
        <w:outlineLvl w:val="9"/>
        <w:rPr>
          <w:rFonts w:hint="eastAsia" w:ascii="仿宋_GB2312" w:hAnsi="宋体" w:eastAsia="仿宋_GB2312"/>
          <w:color w:val="auto"/>
          <w:sz w:val="32"/>
          <w:szCs w:val="32"/>
        </w:rPr>
      </w:pPr>
      <w:r>
        <w:rPr>
          <w:rFonts w:hint="eastAsia" w:ascii="仿宋_GB2312" w:eastAsia="仿宋_GB2312"/>
          <w:color w:val="auto"/>
          <w:sz w:val="32"/>
          <w:szCs w:val="32"/>
        </w:rPr>
        <w:t>根据职责，我局本级内设1</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个处室，分别为</w:t>
      </w:r>
      <w:r>
        <w:rPr>
          <w:rFonts w:hint="eastAsia" w:ascii="仿宋_GB2312" w:hAnsi="宋体" w:eastAsia="仿宋_GB2312"/>
          <w:color w:val="auto"/>
          <w:sz w:val="32"/>
          <w:szCs w:val="32"/>
        </w:rPr>
        <w:fldChar w:fldCharType="begin"/>
      </w:r>
      <w:r>
        <w:rPr>
          <w:rFonts w:hint="eastAsia" w:ascii="仿宋_GB2312" w:hAnsi="宋体" w:eastAsia="仿宋_GB2312"/>
          <w:color w:val="auto"/>
          <w:sz w:val="32"/>
          <w:szCs w:val="32"/>
        </w:rPr>
        <w:instrText xml:space="preserve"> HYPERLINK "http://www.xjsgj.gov.cn/info.asp?id=2" </w:instrText>
      </w:r>
      <w:r>
        <w:rPr>
          <w:rFonts w:hint="eastAsia" w:ascii="仿宋_GB2312" w:hAnsi="宋体" w:eastAsia="仿宋_GB2312"/>
          <w:color w:val="auto"/>
          <w:sz w:val="32"/>
          <w:szCs w:val="32"/>
        </w:rPr>
        <w:fldChar w:fldCharType="separate"/>
      </w:r>
      <w:r>
        <w:rPr>
          <w:rFonts w:hint="eastAsia" w:ascii="仿宋_GB2312" w:hAnsi="宋体" w:eastAsia="仿宋_GB2312"/>
          <w:color w:val="auto"/>
          <w:sz w:val="32"/>
          <w:szCs w:val="32"/>
        </w:rPr>
        <w:t>办公室</w:t>
      </w:r>
      <w:r>
        <w:rPr>
          <w:rFonts w:hint="eastAsia" w:ascii="仿宋_GB2312" w:hAnsi="宋体" w:eastAsia="仿宋_GB2312"/>
          <w:color w:val="auto"/>
          <w:sz w:val="32"/>
          <w:szCs w:val="32"/>
        </w:rPr>
        <w:fldChar w:fldCharType="end"/>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fldChar w:fldCharType="begin"/>
      </w:r>
      <w:r>
        <w:rPr>
          <w:rFonts w:hint="eastAsia" w:ascii="仿宋_GB2312" w:hAnsi="宋体" w:eastAsia="仿宋_GB2312"/>
          <w:color w:val="auto"/>
          <w:sz w:val="32"/>
          <w:szCs w:val="32"/>
        </w:rPr>
        <w:instrText xml:space="preserve"> HYPERLINK "http://www.xjsgj.gov.cn/info.asp?id=3" </w:instrText>
      </w:r>
      <w:r>
        <w:rPr>
          <w:rFonts w:hint="eastAsia" w:ascii="仿宋_GB2312" w:hAnsi="宋体" w:eastAsia="仿宋_GB2312"/>
          <w:color w:val="auto"/>
          <w:sz w:val="32"/>
          <w:szCs w:val="32"/>
        </w:rPr>
        <w:fldChar w:fldCharType="separate"/>
      </w:r>
      <w:r>
        <w:rPr>
          <w:rFonts w:hint="eastAsia" w:ascii="仿宋_GB2312" w:hAnsi="宋体" w:eastAsia="仿宋_GB2312"/>
          <w:color w:val="auto"/>
          <w:sz w:val="32"/>
          <w:szCs w:val="32"/>
          <w:lang w:eastAsia="zh-CN"/>
        </w:rPr>
        <w:t>规划财务（审计）</w:t>
      </w:r>
      <w:r>
        <w:rPr>
          <w:rFonts w:hint="eastAsia" w:ascii="仿宋_GB2312" w:hAnsi="宋体" w:eastAsia="仿宋_GB2312"/>
          <w:color w:val="auto"/>
          <w:sz w:val="32"/>
          <w:szCs w:val="32"/>
        </w:rPr>
        <w:t>处</w:t>
      </w:r>
      <w:r>
        <w:rPr>
          <w:rFonts w:hint="eastAsia" w:ascii="仿宋_GB2312" w:hAnsi="宋体" w:eastAsia="仿宋_GB2312"/>
          <w:color w:val="auto"/>
          <w:sz w:val="32"/>
          <w:szCs w:val="32"/>
        </w:rPr>
        <w:fldChar w:fldCharType="end"/>
      </w:r>
      <w:r>
        <w:rPr>
          <w:rFonts w:hint="eastAsia" w:ascii="仿宋_GB2312" w:hAnsi="宋体" w:eastAsia="仿宋_GB2312"/>
          <w:color w:val="auto"/>
          <w:sz w:val="32"/>
          <w:szCs w:val="32"/>
          <w:lang w:eastAsia="zh-CN"/>
        </w:rPr>
        <w:t>、工程处、资产管理处、</w:t>
      </w:r>
      <w:r>
        <w:rPr>
          <w:rFonts w:hint="eastAsia" w:ascii="仿宋_GB2312" w:hAnsi="宋体" w:eastAsia="仿宋_GB2312"/>
          <w:color w:val="auto"/>
          <w:sz w:val="32"/>
          <w:szCs w:val="32"/>
        </w:rPr>
        <w:fldChar w:fldCharType="begin"/>
      </w:r>
      <w:r>
        <w:rPr>
          <w:rFonts w:hint="eastAsia" w:ascii="仿宋_GB2312" w:hAnsi="宋体" w:eastAsia="仿宋_GB2312"/>
          <w:color w:val="auto"/>
          <w:sz w:val="32"/>
          <w:szCs w:val="32"/>
        </w:rPr>
        <w:instrText xml:space="preserve"> HYPERLINK "http://www.xjsgj.gov.cn/info.asp?id=8" </w:instrText>
      </w:r>
      <w:r>
        <w:rPr>
          <w:rFonts w:hint="eastAsia" w:ascii="仿宋_GB2312" w:hAnsi="宋体" w:eastAsia="仿宋_GB2312"/>
          <w:color w:val="auto"/>
          <w:sz w:val="32"/>
          <w:szCs w:val="32"/>
        </w:rPr>
        <w:fldChar w:fldCharType="separate"/>
      </w:r>
      <w:r>
        <w:rPr>
          <w:rFonts w:hint="eastAsia" w:ascii="仿宋_GB2312" w:hAnsi="宋体" w:eastAsia="仿宋_GB2312"/>
          <w:color w:val="auto"/>
          <w:sz w:val="32"/>
          <w:szCs w:val="32"/>
        </w:rPr>
        <w:t>公共机构节能管理处</w:t>
      </w:r>
      <w:r>
        <w:rPr>
          <w:rFonts w:hint="eastAsia" w:ascii="仿宋_GB2312" w:hAnsi="宋体" w:eastAsia="仿宋_GB2312"/>
          <w:color w:val="auto"/>
          <w:sz w:val="32"/>
          <w:szCs w:val="32"/>
        </w:rPr>
        <w:fldChar w:fldCharType="end"/>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fldChar w:fldCharType="begin"/>
      </w:r>
      <w:r>
        <w:rPr>
          <w:rFonts w:hint="eastAsia" w:ascii="仿宋_GB2312" w:hAnsi="宋体" w:eastAsia="仿宋_GB2312"/>
          <w:color w:val="auto"/>
          <w:sz w:val="32"/>
          <w:szCs w:val="32"/>
        </w:rPr>
        <w:instrText xml:space="preserve"> HYPERLINK "http://www.xjsgj.gov.cn/info.asp?id=6" </w:instrText>
      </w:r>
      <w:r>
        <w:rPr>
          <w:rFonts w:hint="eastAsia" w:ascii="仿宋_GB2312" w:hAnsi="宋体" w:eastAsia="仿宋_GB2312"/>
          <w:color w:val="auto"/>
          <w:sz w:val="32"/>
          <w:szCs w:val="32"/>
        </w:rPr>
        <w:fldChar w:fldCharType="separate"/>
      </w:r>
      <w:r>
        <w:rPr>
          <w:rFonts w:hint="eastAsia" w:ascii="仿宋_GB2312" w:hAnsi="宋体" w:eastAsia="仿宋_GB2312"/>
          <w:color w:val="auto"/>
          <w:sz w:val="32"/>
          <w:szCs w:val="32"/>
        </w:rPr>
        <w:t>接待处</w:t>
      </w:r>
      <w:r>
        <w:rPr>
          <w:rFonts w:hint="eastAsia" w:ascii="仿宋_GB2312" w:hAnsi="宋体" w:eastAsia="仿宋_GB2312"/>
          <w:color w:val="auto"/>
          <w:sz w:val="32"/>
          <w:szCs w:val="32"/>
        </w:rPr>
        <w:fldChar w:fldCharType="end"/>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后勤服务管理处，</w:t>
      </w:r>
      <w:r>
        <w:rPr>
          <w:rFonts w:hint="eastAsia" w:ascii="仿宋_GB2312" w:hAnsi="宋体" w:eastAsia="仿宋_GB2312"/>
          <w:color w:val="auto"/>
          <w:sz w:val="32"/>
          <w:szCs w:val="32"/>
        </w:rPr>
        <w:fldChar w:fldCharType="begin"/>
      </w:r>
      <w:r>
        <w:rPr>
          <w:rFonts w:hint="eastAsia" w:ascii="仿宋_GB2312" w:hAnsi="宋体" w:eastAsia="仿宋_GB2312"/>
          <w:color w:val="auto"/>
          <w:sz w:val="32"/>
          <w:szCs w:val="32"/>
        </w:rPr>
        <w:instrText xml:space="preserve"> HYPERLINK "http://www.xjsgj.gov.cn/info.asp?id=9" </w:instrText>
      </w:r>
      <w:r>
        <w:rPr>
          <w:rFonts w:hint="eastAsia" w:ascii="仿宋_GB2312" w:hAnsi="宋体" w:eastAsia="仿宋_GB2312"/>
          <w:color w:val="auto"/>
          <w:sz w:val="32"/>
          <w:szCs w:val="32"/>
        </w:rPr>
        <w:fldChar w:fldCharType="separate"/>
      </w:r>
      <w:r>
        <w:rPr>
          <w:rFonts w:hint="eastAsia" w:ascii="仿宋_GB2312" w:hAnsi="宋体" w:eastAsia="仿宋_GB2312"/>
          <w:color w:val="auto"/>
          <w:sz w:val="32"/>
          <w:szCs w:val="32"/>
        </w:rPr>
        <w:t>人事处</w:t>
      </w:r>
      <w:r>
        <w:rPr>
          <w:rFonts w:hint="eastAsia" w:ascii="仿宋_GB2312" w:hAnsi="宋体" w:eastAsia="仿宋_GB2312"/>
          <w:color w:val="auto"/>
          <w:sz w:val="32"/>
          <w:szCs w:val="32"/>
        </w:rPr>
        <w:fldChar w:fldCharType="end"/>
      </w:r>
      <w:r>
        <w:rPr>
          <w:rFonts w:hint="eastAsia" w:ascii="仿宋_GB2312" w:hAnsi="宋体" w:eastAsia="仿宋_GB2312"/>
          <w:color w:val="auto"/>
          <w:sz w:val="32"/>
          <w:szCs w:val="32"/>
        </w:rPr>
        <w:t>，</w:t>
      </w:r>
      <w:r>
        <w:rPr>
          <w:rFonts w:hint="eastAsia" w:ascii="仿宋_GB2312" w:hAnsi="宋体" w:eastAsia="仿宋_GB2312"/>
          <w:color w:val="auto"/>
          <w:sz w:val="32"/>
          <w:szCs w:val="32"/>
        </w:rPr>
        <w:fldChar w:fldCharType="begin"/>
      </w:r>
      <w:r>
        <w:rPr>
          <w:rFonts w:hint="eastAsia" w:ascii="仿宋_GB2312" w:hAnsi="宋体" w:eastAsia="仿宋_GB2312"/>
          <w:color w:val="auto"/>
          <w:sz w:val="32"/>
          <w:szCs w:val="32"/>
        </w:rPr>
        <w:instrText xml:space="preserve"> HYPERLINK "http://www.xjsgj.gov.cn/info.asp?id=10" </w:instrText>
      </w:r>
      <w:r>
        <w:rPr>
          <w:rFonts w:hint="eastAsia" w:ascii="仿宋_GB2312" w:hAnsi="宋体" w:eastAsia="仿宋_GB2312"/>
          <w:color w:val="auto"/>
          <w:sz w:val="32"/>
          <w:szCs w:val="32"/>
        </w:rPr>
        <w:fldChar w:fldCharType="separate"/>
      </w:r>
      <w:r>
        <w:rPr>
          <w:rFonts w:hint="eastAsia" w:ascii="仿宋_GB2312" w:hAnsi="宋体" w:eastAsia="仿宋_GB2312"/>
          <w:color w:val="auto"/>
          <w:sz w:val="32"/>
          <w:szCs w:val="32"/>
        </w:rPr>
        <w:t>机关党委</w:t>
      </w:r>
      <w:r>
        <w:rPr>
          <w:rFonts w:hint="eastAsia" w:ascii="仿宋_GB2312" w:hAnsi="宋体" w:eastAsia="仿宋_GB2312"/>
          <w:color w:val="auto"/>
          <w:sz w:val="32"/>
          <w:szCs w:val="32"/>
        </w:rPr>
        <w:fldChar w:fldCharType="end"/>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fldChar w:fldCharType="begin"/>
      </w:r>
      <w:r>
        <w:rPr>
          <w:rFonts w:hint="eastAsia" w:ascii="仿宋_GB2312" w:hAnsi="宋体" w:eastAsia="仿宋_GB2312"/>
          <w:color w:val="auto"/>
          <w:sz w:val="32"/>
          <w:szCs w:val="32"/>
        </w:rPr>
        <w:instrText xml:space="preserve"> HYPERLINK "http://www.xjsgj.gov.cn/info.asp?id=13" </w:instrText>
      </w:r>
      <w:r>
        <w:rPr>
          <w:rFonts w:hint="eastAsia" w:ascii="仿宋_GB2312" w:hAnsi="宋体" w:eastAsia="仿宋_GB2312"/>
          <w:color w:val="auto"/>
          <w:sz w:val="32"/>
          <w:szCs w:val="32"/>
        </w:rPr>
        <w:fldChar w:fldCharType="separate"/>
      </w:r>
      <w:r>
        <w:rPr>
          <w:rFonts w:hint="eastAsia" w:ascii="仿宋_GB2312" w:hAnsi="宋体" w:eastAsia="仿宋_GB2312"/>
          <w:color w:val="auto"/>
          <w:sz w:val="32"/>
          <w:szCs w:val="32"/>
        </w:rPr>
        <w:t>工会</w:t>
      </w:r>
      <w:r>
        <w:rPr>
          <w:rFonts w:hint="eastAsia" w:ascii="仿宋_GB2312" w:hAnsi="宋体" w:eastAsia="仿宋_GB2312"/>
          <w:color w:val="auto"/>
          <w:sz w:val="32"/>
          <w:szCs w:val="32"/>
        </w:rPr>
        <w:fldChar w:fldCharType="end"/>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fldChar w:fldCharType="begin"/>
      </w:r>
      <w:r>
        <w:rPr>
          <w:rFonts w:hint="eastAsia" w:ascii="仿宋_GB2312" w:hAnsi="宋体" w:eastAsia="仿宋_GB2312"/>
          <w:color w:val="auto"/>
          <w:sz w:val="32"/>
          <w:szCs w:val="32"/>
        </w:rPr>
        <w:instrText xml:space="preserve"> HYPERLINK "http://www.xjsgj.gov.cn/info.asp?id=11" </w:instrText>
      </w:r>
      <w:r>
        <w:rPr>
          <w:rFonts w:hint="eastAsia" w:ascii="仿宋_GB2312" w:hAnsi="宋体" w:eastAsia="仿宋_GB2312"/>
          <w:color w:val="auto"/>
          <w:sz w:val="32"/>
          <w:szCs w:val="32"/>
        </w:rPr>
        <w:fldChar w:fldCharType="separate"/>
      </w:r>
      <w:r>
        <w:rPr>
          <w:rFonts w:hint="eastAsia" w:ascii="仿宋_GB2312" w:hAnsi="宋体" w:eastAsia="仿宋_GB2312"/>
          <w:color w:val="auto"/>
          <w:sz w:val="32"/>
          <w:szCs w:val="32"/>
          <w:lang w:eastAsia="zh-CN"/>
        </w:rPr>
        <w:t>、机关纪委、</w:t>
      </w:r>
      <w:r>
        <w:rPr>
          <w:rFonts w:hint="eastAsia" w:ascii="仿宋_GB2312" w:hAnsi="宋体" w:eastAsia="仿宋_GB2312"/>
          <w:color w:val="auto"/>
          <w:sz w:val="32"/>
          <w:szCs w:val="32"/>
        </w:rPr>
        <w:fldChar w:fldCharType="end"/>
      </w:r>
      <w:r>
        <w:rPr>
          <w:rFonts w:hint="eastAsia" w:ascii="仿宋_GB2312" w:hAnsi="宋体" w:eastAsia="仿宋_GB2312"/>
          <w:color w:val="auto"/>
          <w:sz w:val="32"/>
          <w:szCs w:val="32"/>
        </w:rPr>
        <w:fldChar w:fldCharType="begin"/>
      </w:r>
      <w:r>
        <w:rPr>
          <w:rFonts w:hint="eastAsia" w:ascii="仿宋_GB2312" w:hAnsi="宋体" w:eastAsia="仿宋_GB2312"/>
          <w:color w:val="auto"/>
          <w:sz w:val="32"/>
          <w:szCs w:val="32"/>
        </w:rPr>
        <w:instrText xml:space="preserve"> HYPERLINK "http://www.xjsgj.gov.cn/info.asp?id=12" </w:instrText>
      </w:r>
      <w:r>
        <w:rPr>
          <w:rFonts w:hint="eastAsia" w:ascii="仿宋_GB2312" w:hAnsi="宋体" w:eastAsia="仿宋_GB2312"/>
          <w:color w:val="auto"/>
          <w:sz w:val="32"/>
          <w:szCs w:val="32"/>
        </w:rPr>
        <w:fldChar w:fldCharType="separate"/>
      </w:r>
      <w:r>
        <w:rPr>
          <w:rFonts w:hint="eastAsia" w:ascii="仿宋_GB2312" w:hAnsi="宋体" w:eastAsia="仿宋_GB2312"/>
          <w:color w:val="auto"/>
          <w:sz w:val="32"/>
          <w:szCs w:val="32"/>
        </w:rPr>
        <w:t>离退休干部工作处</w:t>
      </w:r>
      <w:r>
        <w:rPr>
          <w:rFonts w:hint="eastAsia" w:ascii="仿宋_GB2312" w:hAnsi="宋体" w:eastAsia="仿宋_GB2312"/>
          <w:color w:val="auto"/>
          <w:sz w:val="32"/>
          <w:szCs w:val="32"/>
        </w:rPr>
        <w:fldChar w:fldCharType="end"/>
      </w:r>
      <w:r>
        <w:rPr>
          <w:rFonts w:hint="eastAsia" w:ascii="仿宋_GB2312" w:hAnsi="宋体" w:eastAsia="仿宋_GB2312"/>
          <w:color w:val="auto"/>
          <w:sz w:val="32"/>
          <w:szCs w:val="32"/>
        </w:rPr>
        <w:t>。</w:t>
      </w:r>
    </w:p>
    <w:p>
      <w:pPr>
        <w:pStyle w:val="7"/>
        <w:wordWrap/>
        <w:spacing w:before="0" w:after="0" w:line="560" w:lineRule="exact"/>
        <w:ind w:firstLine="627"/>
        <w:textAlignment w:val="auto"/>
        <w:outlineLvl w:val="9"/>
        <w:rPr>
          <w:rFonts w:hint="eastAsia" w:ascii="楷体" w:hAnsi="楷体" w:eastAsia="楷体" w:cs="楷体"/>
          <w:bCs/>
          <w:color w:val="auto"/>
          <w:sz w:val="32"/>
          <w:szCs w:val="32"/>
        </w:rPr>
      </w:pPr>
      <w:r>
        <w:rPr>
          <w:rFonts w:hint="eastAsia" w:ascii="楷体" w:hAnsi="楷体" w:eastAsia="楷体" w:cs="楷体"/>
          <w:bCs/>
          <w:color w:val="auto"/>
          <w:sz w:val="32"/>
          <w:szCs w:val="32"/>
        </w:rPr>
        <w:t>（三）人员编制</w:t>
      </w:r>
    </w:p>
    <w:p>
      <w:pPr>
        <w:pStyle w:val="7"/>
        <w:wordWrap/>
        <w:spacing w:before="0" w:after="0" w:line="560" w:lineRule="exact"/>
        <w:ind w:firstLine="640"/>
        <w:textAlignment w:val="auto"/>
        <w:outlineLvl w:val="9"/>
        <w:rPr>
          <w:rFonts w:hint="eastAsia" w:ascii="仿宋_GB2312" w:eastAsia="仿宋_GB2312"/>
          <w:color w:val="auto"/>
          <w:sz w:val="32"/>
          <w:szCs w:val="32"/>
        </w:rPr>
      </w:pPr>
      <w:r>
        <w:rPr>
          <w:rFonts w:hint="eastAsia" w:ascii="仿宋_GB2312" w:hAnsi="宋体" w:eastAsia="仿宋_GB2312"/>
          <w:color w:val="auto"/>
          <w:sz w:val="32"/>
          <w:szCs w:val="32"/>
          <w:lang w:eastAsia="zh-CN"/>
        </w:rPr>
        <w:t>自治区机关事务管理局全局编制人数</w:t>
      </w:r>
      <w:r>
        <w:rPr>
          <w:rFonts w:hint="eastAsia" w:ascii="仿宋_GB2312" w:hAnsi="宋体" w:eastAsia="仿宋_GB2312"/>
          <w:color w:val="auto"/>
          <w:sz w:val="32"/>
          <w:szCs w:val="32"/>
          <w:lang w:val="en-US" w:eastAsia="zh-CN"/>
        </w:rPr>
        <w:t>384</w:t>
      </w:r>
      <w:r>
        <w:rPr>
          <w:rFonts w:hint="eastAsia" w:ascii="仿宋_GB2312" w:hAnsi="宋体" w:eastAsia="仿宋_GB2312"/>
          <w:color w:val="auto"/>
          <w:sz w:val="32"/>
          <w:szCs w:val="32"/>
          <w:lang w:eastAsia="zh-CN"/>
        </w:rPr>
        <w:t>人，其中：行政人员编制</w:t>
      </w:r>
      <w:r>
        <w:rPr>
          <w:rFonts w:hint="eastAsia" w:ascii="仿宋_GB2312" w:hAnsi="宋体" w:eastAsia="仿宋_GB2312"/>
          <w:color w:val="auto"/>
          <w:sz w:val="32"/>
          <w:szCs w:val="32"/>
          <w:lang w:val="en-US" w:eastAsia="zh-CN"/>
        </w:rPr>
        <w:t>79</w:t>
      </w:r>
      <w:r>
        <w:rPr>
          <w:rFonts w:hint="eastAsia" w:ascii="仿宋_GB2312" w:hAnsi="宋体" w:eastAsia="仿宋_GB2312"/>
          <w:color w:val="auto"/>
          <w:sz w:val="32"/>
          <w:szCs w:val="32"/>
          <w:lang w:eastAsia="zh-CN"/>
        </w:rPr>
        <w:t>人，事业单位人员编制</w:t>
      </w:r>
      <w:r>
        <w:rPr>
          <w:rFonts w:hint="eastAsia" w:ascii="仿宋_GB2312" w:hAnsi="宋体" w:eastAsia="仿宋_GB2312"/>
          <w:color w:val="auto"/>
          <w:sz w:val="32"/>
          <w:szCs w:val="32"/>
          <w:lang w:val="en-US" w:eastAsia="zh-CN"/>
        </w:rPr>
        <w:t>305</w:t>
      </w:r>
      <w:r>
        <w:rPr>
          <w:rFonts w:hint="eastAsia" w:ascii="仿宋_GB2312" w:hAnsi="宋体" w:eastAsia="仿宋_GB2312"/>
          <w:color w:val="auto"/>
          <w:sz w:val="32"/>
          <w:szCs w:val="32"/>
          <w:lang w:eastAsia="zh-CN"/>
        </w:rPr>
        <w:t>人。实有在职人数</w:t>
      </w:r>
      <w:r>
        <w:rPr>
          <w:rFonts w:hint="eastAsia" w:ascii="仿宋_GB2312" w:hAnsi="宋体" w:eastAsia="仿宋_GB2312"/>
          <w:color w:val="auto"/>
          <w:sz w:val="32"/>
          <w:szCs w:val="32"/>
          <w:lang w:val="en-US" w:eastAsia="zh-CN"/>
        </w:rPr>
        <w:t>269</w:t>
      </w:r>
      <w:r>
        <w:rPr>
          <w:rFonts w:hint="eastAsia" w:ascii="仿宋_GB2312" w:hAnsi="宋体" w:eastAsia="仿宋_GB2312"/>
          <w:color w:val="auto"/>
          <w:sz w:val="32"/>
          <w:szCs w:val="32"/>
          <w:lang w:eastAsia="zh-CN"/>
        </w:rPr>
        <w:t>人，其中：行政人员</w:t>
      </w:r>
      <w:r>
        <w:rPr>
          <w:rFonts w:hint="eastAsia" w:ascii="仿宋_GB2312" w:hAnsi="宋体" w:eastAsia="仿宋_GB2312"/>
          <w:color w:val="auto"/>
          <w:sz w:val="32"/>
          <w:szCs w:val="32"/>
          <w:lang w:val="en-US" w:eastAsia="zh-CN"/>
        </w:rPr>
        <w:t>72</w:t>
      </w:r>
      <w:r>
        <w:rPr>
          <w:rFonts w:hint="eastAsia" w:ascii="仿宋_GB2312" w:hAnsi="宋体" w:eastAsia="仿宋_GB2312"/>
          <w:color w:val="auto"/>
          <w:sz w:val="32"/>
          <w:szCs w:val="32"/>
          <w:lang w:eastAsia="zh-CN"/>
        </w:rPr>
        <w:t>人，事业单位人员</w:t>
      </w:r>
      <w:r>
        <w:rPr>
          <w:rFonts w:hint="eastAsia" w:ascii="仿宋_GB2312" w:hAnsi="宋体" w:eastAsia="仿宋_GB2312"/>
          <w:color w:val="auto"/>
          <w:sz w:val="32"/>
          <w:szCs w:val="32"/>
          <w:lang w:val="en-US" w:eastAsia="zh-CN"/>
        </w:rPr>
        <w:t>197</w:t>
      </w:r>
      <w:r>
        <w:rPr>
          <w:rFonts w:hint="eastAsia" w:ascii="仿宋_GB2312" w:hAnsi="宋体" w:eastAsia="仿宋_GB2312"/>
          <w:color w:val="auto"/>
          <w:sz w:val="32"/>
          <w:szCs w:val="32"/>
          <w:lang w:eastAsia="zh-CN"/>
        </w:rPr>
        <w:t>人</w:t>
      </w:r>
      <w:r>
        <w:rPr>
          <w:rFonts w:hint="eastAsia" w:ascii="仿宋_GB2312" w:hAnsi="宋体" w:eastAsia="仿宋_GB2312"/>
          <w:color w:val="auto"/>
          <w:sz w:val="32"/>
          <w:szCs w:val="32"/>
          <w:lang w:val="en-US" w:eastAsia="zh-CN"/>
        </w:rPr>
        <w:t>。</w:t>
      </w:r>
    </w:p>
    <w:p>
      <w:pPr>
        <w:widowControl w:val="0"/>
        <w:numPr>
          <w:ilvl w:val="0"/>
          <w:numId w:val="4"/>
        </w:numPr>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部门决算单位构成。</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从决算单位构成看，</w:t>
      </w:r>
      <w:r>
        <w:rPr>
          <w:rFonts w:hint="eastAsia" w:ascii="仿宋_GB2312" w:eastAsia="仿宋_GB2312"/>
          <w:color w:val="auto"/>
          <w:sz w:val="32"/>
          <w:szCs w:val="32"/>
          <w:lang w:val="en-US" w:eastAsia="zh-CN"/>
        </w:rPr>
        <w:t>自治区机关事务管理局</w:t>
      </w:r>
      <w:r>
        <w:rPr>
          <w:rFonts w:hint="eastAsia" w:ascii="仿宋_GB2312" w:eastAsia="仿宋_GB2312"/>
          <w:color w:val="auto"/>
          <w:sz w:val="32"/>
          <w:szCs w:val="32"/>
        </w:rPr>
        <w:t>部门决算包括：</w:t>
      </w:r>
      <w:r>
        <w:rPr>
          <w:rFonts w:hint="eastAsia" w:ascii="仿宋_GB2312" w:eastAsia="仿宋_GB2312"/>
          <w:color w:val="auto"/>
          <w:sz w:val="32"/>
          <w:szCs w:val="32"/>
          <w:lang w:val="en-US" w:eastAsia="zh-CN"/>
        </w:rPr>
        <w:t>自治区机关事务管理局</w:t>
      </w:r>
      <w:r>
        <w:rPr>
          <w:rFonts w:hint="eastAsia" w:ascii="仿宋_GB2312" w:eastAsia="仿宋_GB2312"/>
          <w:color w:val="auto"/>
          <w:sz w:val="32"/>
          <w:szCs w:val="32"/>
        </w:rPr>
        <w:t>部门本级决算、所属单位决算等。</w:t>
      </w:r>
    </w:p>
    <w:p>
      <w:pPr>
        <w:widowControl w:val="0"/>
        <w:wordWrap/>
        <w:snapToGrid/>
        <w:spacing w:line="500" w:lineRule="exact"/>
        <w:ind w:firstLine="640" w:firstLineChars="200"/>
        <w:textAlignment w:val="auto"/>
        <w:outlineLvl w:val="9"/>
        <w:rPr>
          <w:rFonts w:hint="eastAsia" w:ascii="仿宋_GB2312" w:hAnsi="仿宋" w:eastAsia="仿宋_GB2312"/>
          <w:color w:val="auto"/>
          <w:sz w:val="32"/>
          <w:szCs w:val="32"/>
          <w:lang w:val="en-US" w:eastAsia="zh-CN"/>
        </w:rPr>
      </w:pPr>
      <w:r>
        <w:rPr>
          <w:rFonts w:hint="eastAsia" w:ascii="仿宋_GB2312" w:eastAsia="仿宋_GB2312"/>
          <w:color w:val="auto"/>
          <w:sz w:val="32"/>
          <w:szCs w:val="32"/>
        </w:rPr>
        <w:t>纳入</w:t>
      </w:r>
      <w:r>
        <w:rPr>
          <w:rFonts w:hint="eastAsia" w:ascii="仿宋_GB2312" w:eastAsia="仿宋_GB2312"/>
          <w:color w:val="auto"/>
          <w:sz w:val="32"/>
          <w:szCs w:val="32"/>
          <w:lang w:val="en-US" w:eastAsia="zh-CN"/>
        </w:rPr>
        <w:t>自治区机关事务管理局2</w:t>
      </w:r>
      <w:r>
        <w:rPr>
          <w:rFonts w:hint="eastAsia" w:ascii="仿宋_GB2312" w:eastAsia="仿宋_GB2312"/>
          <w:color w:val="auto"/>
          <w:spacing w:val="-6"/>
          <w:sz w:val="32"/>
          <w:szCs w:val="32"/>
          <w:lang w:val="en-US" w:eastAsia="zh-CN"/>
        </w:rPr>
        <w:t>017</w:t>
      </w:r>
      <w:r>
        <w:rPr>
          <w:rFonts w:hint="eastAsia" w:ascii="仿宋_GB2312" w:eastAsia="仿宋_GB2312"/>
          <w:color w:val="auto"/>
          <w:spacing w:val="-6"/>
          <w:sz w:val="32"/>
          <w:szCs w:val="32"/>
        </w:rPr>
        <w:t>年部门决算编制范围的单位名单见下表：</w:t>
      </w:r>
    </w:p>
    <w:tbl>
      <w:tblPr>
        <w:tblW w:w="9739"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71"/>
        <w:gridCol w:w="7751"/>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5" w:hRule="atLeast"/>
        </w:trPr>
        <w:tc>
          <w:tcPr>
            <w:tcW w:w="971" w:type="dxa"/>
            <w:vAlign w:val="top"/>
          </w:tcPr>
          <w:p>
            <w:pPr>
              <w:numPr>
                <w:numId w:val="0"/>
              </w:numPr>
              <w:wordWrap/>
              <w:snapToGrid w:val="0"/>
              <w:spacing w:before="0" w:after="0" w:line="560" w:lineRule="exact"/>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序号</w:t>
            </w:r>
          </w:p>
        </w:tc>
        <w:tc>
          <w:tcPr>
            <w:tcW w:w="7751" w:type="dxa"/>
            <w:vAlign w:val="top"/>
          </w:tcPr>
          <w:p>
            <w:pPr>
              <w:numPr>
                <w:numId w:val="0"/>
              </w:numPr>
              <w:wordWrap/>
              <w:snapToGrid w:val="0"/>
              <w:spacing w:before="0" w:after="0" w:line="560" w:lineRule="exact"/>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                    单位名称</w:t>
            </w:r>
          </w:p>
        </w:tc>
        <w:tc>
          <w:tcPr>
            <w:tcW w:w="1017" w:type="dxa"/>
            <w:vAlign w:val="top"/>
          </w:tcPr>
          <w:p>
            <w:pPr>
              <w:numPr>
                <w:numId w:val="0"/>
              </w:numPr>
              <w:wordWrap/>
              <w:snapToGrid w:val="0"/>
              <w:spacing w:before="0" w:after="0" w:line="560" w:lineRule="exact"/>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5" w:hRule="atLeast"/>
        </w:trPr>
        <w:tc>
          <w:tcPr>
            <w:tcW w:w="971" w:type="dxa"/>
            <w:vAlign w:val="top"/>
          </w:tcPr>
          <w:p>
            <w:pPr>
              <w:numPr>
                <w:numId w:val="0"/>
              </w:numPr>
              <w:wordWrap/>
              <w:snapToGrid w:val="0"/>
              <w:spacing w:before="0" w:after="0" w:line="560" w:lineRule="exact"/>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  1</w:t>
            </w:r>
          </w:p>
        </w:tc>
        <w:tc>
          <w:tcPr>
            <w:tcW w:w="7751" w:type="dxa"/>
            <w:vAlign w:val="top"/>
          </w:tcPr>
          <w:p>
            <w:pPr>
              <w:numPr>
                <w:numId w:val="0"/>
              </w:numPr>
              <w:wordWrap/>
              <w:snapToGrid w:val="0"/>
              <w:spacing w:before="0" w:after="0" w:line="560" w:lineRule="exact"/>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新疆维吾尔自治区机关事务管理局(本级）</w:t>
            </w:r>
          </w:p>
        </w:tc>
        <w:tc>
          <w:tcPr>
            <w:tcW w:w="1017" w:type="dxa"/>
            <w:vAlign w:val="top"/>
          </w:tcPr>
          <w:p>
            <w:pPr>
              <w:numPr>
                <w:numId w:val="0"/>
              </w:numPr>
              <w:wordWrap/>
              <w:snapToGrid w:val="0"/>
              <w:spacing w:before="0" w:after="0" w:line="560" w:lineRule="exact"/>
              <w:textAlignment w:val="auto"/>
              <w:outlineLvl w:val="9"/>
              <w:rPr>
                <w:rFonts w:hint="eastAsia" w:ascii="仿宋_GB2312" w:hAnsi="仿宋" w:eastAsia="仿宋_GB2312"/>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5" w:hRule="atLeast"/>
        </w:trPr>
        <w:tc>
          <w:tcPr>
            <w:tcW w:w="971" w:type="dxa"/>
            <w:vAlign w:val="top"/>
          </w:tcPr>
          <w:p>
            <w:pPr>
              <w:numPr>
                <w:numId w:val="0"/>
              </w:numPr>
              <w:wordWrap/>
              <w:snapToGrid w:val="0"/>
              <w:spacing w:before="0" w:after="0" w:line="560" w:lineRule="exact"/>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  2</w:t>
            </w:r>
          </w:p>
        </w:tc>
        <w:tc>
          <w:tcPr>
            <w:tcW w:w="7751" w:type="dxa"/>
            <w:vAlign w:val="top"/>
          </w:tcPr>
          <w:p>
            <w:pPr>
              <w:numPr>
                <w:numId w:val="0"/>
              </w:numPr>
              <w:wordWrap/>
              <w:snapToGrid w:val="0"/>
              <w:spacing w:before="0" w:after="0" w:line="560" w:lineRule="exact"/>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新疆维吾尔自治区机关事务管理局机关服务中心</w:t>
            </w:r>
          </w:p>
        </w:tc>
        <w:tc>
          <w:tcPr>
            <w:tcW w:w="1017" w:type="dxa"/>
            <w:vAlign w:val="top"/>
          </w:tcPr>
          <w:p>
            <w:pPr>
              <w:numPr>
                <w:numId w:val="0"/>
              </w:numPr>
              <w:wordWrap/>
              <w:snapToGrid w:val="0"/>
              <w:spacing w:before="0" w:after="0" w:line="560" w:lineRule="exact"/>
              <w:textAlignment w:val="auto"/>
              <w:outlineLvl w:val="9"/>
              <w:rPr>
                <w:rFonts w:hint="eastAsia" w:ascii="仿宋_GB2312" w:hAnsi="仿宋" w:eastAsia="仿宋_GB2312"/>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5" w:hRule="atLeast"/>
        </w:trPr>
        <w:tc>
          <w:tcPr>
            <w:tcW w:w="971" w:type="dxa"/>
            <w:vAlign w:val="top"/>
          </w:tcPr>
          <w:p>
            <w:pPr>
              <w:numPr>
                <w:numId w:val="0"/>
              </w:numPr>
              <w:wordWrap/>
              <w:snapToGrid w:val="0"/>
              <w:spacing w:before="0" w:after="0" w:line="560" w:lineRule="exact"/>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  3</w:t>
            </w:r>
          </w:p>
        </w:tc>
        <w:tc>
          <w:tcPr>
            <w:tcW w:w="7751" w:type="dxa"/>
            <w:vAlign w:val="top"/>
          </w:tcPr>
          <w:p>
            <w:pPr>
              <w:numPr>
                <w:numId w:val="0"/>
              </w:numPr>
              <w:wordWrap/>
              <w:snapToGrid w:val="0"/>
              <w:spacing w:before="0" w:after="0" w:line="560" w:lineRule="exact"/>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新疆维吾尔自治区机关事务管理局省级住宅管理中心</w:t>
            </w:r>
          </w:p>
        </w:tc>
        <w:tc>
          <w:tcPr>
            <w:tcW w:w="1017" w:type="dxa"/>
            <w:vAlign w:val="top"/>
          </w:tcPr>
          <w:p>
            <w:pPr>
              <w:numPr>
                <w:numId w:val="0"/>
              </w:numPr>
              <w:wordWrap/>
              <w:snapToGrid w:val="0"/>
              <w:spacing w:before="0" w:after="0" w:line="560" w:lineRule="exact"/>
              <w:textAlignment w:val="auto"/>
              <w:outlineLvl w:val="9"/>
              <w:rPr>
                <w:rFonts w:hint="eastAsia" w:ascii="仿宋_GB2312" w:hAnsi="仿宋" w:eastAsia="仿宋_GB2312"/>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5" w:hRule="atLeast"/>
        </w:trPr>
        <w:tc>
          <w:tcPr>
            <w:tcW w:w="971" w:type="dxa"/>
            <w:vAlign w:val="top"/>
          </w:tcPr>
          <w:p>
            <w:pPr>
              <w:numPr>
                <w:numId w:val="0"/>
              </w:numPr>
              <w:wordWrap/>
              <w:snapToGrid w:val="0"/>
              <w:spacing w:before="0" w:after="0" w:line="560" w:lineRule="exact"/>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  4</w:t>
            </w:r>
          </w:p>
        </w:tc>
        <w:tc>
          <w:tcPr>
            <w:tcW w:w="7751" w:type="dxa"/>
            <w:vAlign w:val="top"/>
          </w:tcPr>
          <w:p>
            <w:pPr>
              <w:numPr>
                <w:numId w:val="0"/>
              </w:numPr>
              <w:wordWrap/>
              <w:snapToGrid w:val="0"/>
              <w:spacing w:before="0" w:after="0" w:line="560" w:lineRule="exact"/>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新疆维吾尔自治区机关事务管理局东梁大院管理服务中心</w:t>
            </w:r>
          </w:p>
        </w:tc>
        <w:tc>
          <w:tcPr>
            <w:tcW w:w="1017" w:type="dxa"/>
            <w:vAlign w:val="top"/>
          </w:tcPr>
          <w:p>
            <w:pPr>
              <w:numPr>
                <w:numId w:val="0"/>
              </w:numPr>
              <w:wordWrap/>
              <w:snapToGrid w:val="0"/>
              <w:spacing w:before="0" w:after="0" w:line="560" w:lineRule="exact"/>
              <w:textAlignment w:val="auto"/>
              <w:outlineLvl w:val="9"/>
              <w:rPr>
                <w:rFonts w:hint="eastAsia" w:ascii="仿宋_GB2312" w:hAnsi="仿宋" w:eastAsia="仿宋_GB2312"/>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5" w:hRule="atLeast"/>
        </w:trPr>
        <w:tc>
          <w:tcPr>
            <w:tcW w:w="971" w:type="dxa"/>
            <w:vAlign w:val="top"/>
          </w:tcPr>
          <w:p>
            <w:pPr>
              <w:numPr>
                <w:numId w:val="0"/>
              </w:numPr>
              <w:wordWrap/>
              <w:snapToGrid w:val="0"/>
              <w:spacing w:before="0" w:after="0" w:line="560" w:lineRule="exact"/>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  5</w:t>
            </w:r>
          </w:p>
        </w:tc>
        <w:tc>
          <w:tcPr>
            <w:tcW w:w="7751" w:type="dxa"/>
            <w:vAlign w:val="top"/>
          </w:tcPr>
          <w:p>
            <w:pPr>
              <w:numPr>
                <w:numId w:val="0"/>
              </w:numPr>
              <w:wordWrap/>
              <w:snapToGrid w:val="0"/>
              <w:spacing w:before="0" w:after="0" w:line="560" w:lineRule="exact"/>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新疆维吾尔自治区机关事务管理局公务用房服务中心</w:t>
            </w:r>
          </w:p>
        </w:tc>
        <w:tc>
          <w:tcPr>
            <w:tcW w:w="1017" w:type="dxa"/>
            <w:vAlign w:val="top"/>
          </w:tcPr>
          <w:p>
            <w:pPr>
              <w:numPr>
                <w:numId w:val="0"/>
              </w:numPr>
              <w:wordWrap/>
              <w:snapToGrid w:val="0"/>
              <w:spacing w:before="0" w:after="0" w:line="560" w:lineRule="exact"/>
              <w:textAlignment w:val="auto"/>
              <w:outlineLvl w:val="9"/>
              <w:rPr>
                <w:rFonts w:hint="eastAsia" w:ascii="仿宋_GB2312" w:hAnsi="仿宋" w:eastAsia="仿宋_GB2312"/>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4" w:hRule="atLeast"/>
        </w:trPr>
        <w:tc>
          <w:tcPr>
            <w:tcW w:w="971" w:type="dxa"/>
            <w:vAlign w:val="top"/>
          </w:tcPr>
          <w:p>
            <w:pPr>
              <w:numPr>
                <w:numId w:val="0"/>
              </w:numPr>
              <w:wordWrap/>
              <w:snapToGrid w:val="0"/>
              <w:spacing w:before="0" w:after="0" w:line="560" w:lineRule="exact"/>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  6</w:t>
            </w:r>
          </w:p>
        </w:tc>
        <w:tc>
          <w:tcPr>
            <w:tcW w:w="7751" w:type="dxa"/>
            <w:vAlign w:val="top"/>
          </w:tcPr>
          <w:p>
            <w:pPr>
              <w:numPr>
                <w:numId w:val="0"/>
              </w:numPr>
              <w:wordWrap/>
              <w:snapToGrid w:val="0"/>
              <w:spacing w:before="0" w:after="0" w:line="560" w:lineRule="exact"/>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新疆迎宾馆</w:t>
            </w:r>
          </w:p>
        </w:tc>
        <w:tc>
          <w:tcPr>
            <w:tcW w:w="1017" w:type="dxa"/>
            <w:vAlign w:val="top"/>
          </w:tcPr>
          <w:p>
            <w:pPr>
              <w:numPr>
                <w:numId w:val="0"/>
              </w:numPr>
              <w:wordWrap/>
              <w:snapToGrid w:val="0"/>
              <w:spacing w:before="0" w:after="0" w:line="560" w:lineRule="exact"/>
              <w:textAlignment w:val="auto"/>
              <w:outlineLvl w:val="9"/>
              <w:rPr>
                <w:rFonts w:hint="eastAsia" w:ascii="仿宋_GB2312" w:hAnsi="仿宋" w:eastAsia="仿宋_GB2312"/>
                <w:color w:val="auto"/>
                <w:sz w:val="32"/>
                <w:szCs w:val="32"/>
                <w:lang w:val="en-US" w:eastAsia="zh-CN"/>
              </w:rPr>
            </w:pPr>
          </w:p>
        </w:tc>
      </w:tr>
    </w:tbl>
    <w:p>
      <w:pPr>
        <w:widowControl w:val="0"/>
        <w:numPr>
          <w:numId w:val="0"/>
        </w:numPr>
        <w:wordWrap/>
        <w:snapToGrid/>
        <w:spacing w:line="500" w:lineRule="exact"/>
        <w:textAlignment w:val="auto"/>
        <w:outlineLvl w:val="9"/>
        <w:rPr>
          <w:rFonts w:hint="eastAsia" w:ascii="仿宋_GB2312" w:eastAsia="仿宋_GB2312"/>
          <w:color w:val="auto"/>
          <w:sz w:val="32"/>
          <w:szCs w:val="32"/>
        </w:rPr>
      </w:pPr>
    </w:p>
    <w:p>
      <w:pPr>
        <w:widowControl w:val="0"/>
        <w:wordWrap/>
        <w:snapToGrid/>
        <w:spacing w:line="500" w:lineRule="exact"/>
        <w:ind w:firstLine="616" w:firstLineChars="200"/>
        <w:textAlignment w:val="auto"/>
        <w:outlineLvl w:val="9"/>
        <w:rPr>
          <w:rFonts w:hint="eastAsia" w:ascii="仿宋_GB2312" w:eastAsia="仿宋_GB2312"/>
          <w:color w:val="auto"/>
          <w:spacing w:val="-6"/>
          <w:sz w:val="32"/>
          <w:szCs w:val="32"/>
        </w:rPr>
      </w:pPr>
    </w:p>
    <w:p>
      <w:pPr>
        <w:widowControl w:val="0"/>
        <w:wordWrap/>
        <w:snapToGrid/>
        <w:spacing w:line="500" w:lineRule="exact"/>
        <w:ind w:firstLine="643" w:firstLineChars="200"/>
        <w:textAlignment w:val="auto"/>
        <w:outlineLvl w:val="9"/>
        <w:rPr>
          <w:rFonts w:hint="eastAsia" w:ascii="仿宋_GB2312" w:eastAsia="仿宋_GB2312"/>
          <w:b/>
          <w:color w:val="auto"/>
          <w:sz w:val="32"/>
          <w:szCs w:val="32"/>
        </w:rPr>
      </w:pPr>
    </w:p>
    <w:p>
      <w:pPr>
        <w:widowControl w:val="0"/>
        <w:wordWrap/>
        <w:adjustRightInd/>
        <w:snapToGrid/>
        <w:spacing w:line="500" w:lineRule="exact"/>
        <w:ind w:firstLine="0" w:firstLineChars="0"/>
        <w:jc w:val="center"/>
        <w:textAlignment w:val="auto"/>
        <w:outlineLvl w:val="0"/>
        <w:rPr>
          <w:rFonts w:hint="eastAsia" w:ascii="黑体" w:hAnsi="黑体" w:eastAsia="黑体"/>
          <w:b w:val="0"/>
          <w:color w:val="auto"/>
          <w:sz w:val="32"/>
          <w:szCs w:val="32"/>
        </w:rPr>
      </w:pPr>
      <w:r>
        <w:rPr>
          <w:rFonts w:hint="eastAsia" w:ascii="黑体" w:hAnsi="黑体" w:eastAsia="黑体"/>
          <w:b w:val="0"/>
          <w:color w:val="auto"/>
          <w:sz w:val="32"/>
          <w:szCs w:val="32"/>
        </w:rPr>
        <w:t>第二部分 部门决算情况说明</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一、部门收支总体情况</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（一）部门收入支出决算总体情况说明</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val="en-US" w:eastAsia="zh-CN"/>
        </w:rPr>
        <w:t>2017</w:t>
      </w:r>
      <w:r>
        <w:rPr>
          <w:rFonts w:hint="eastAsia" w:ascii="仿宋_GB2312" w:eastAsia="仿宋_GB2312"/>
          <w:color w:val="auto"/>
          <w:sz w:val="32"/>
          <w:szCs w:val="32"/>
        </w:rPr>
        <w:t>年度收入24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960</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34万元,与上年相比，增加</w:t>
      </w:r>
      <w:r>
        <w:rPr>
          <w:rFonts w:hint="eastAsia" w:ascii="仿宋_GB2312" w:eastAsia="仿宋_GB2312"/>
          <w:color w:val="auto"/>
          <w:sz w:val="32"/>
          <w:szCs w:val="32"/>
          <w:lang w:val="en-US" w:eastAsia="zh-CN"/>
        </w:rPr>
        <w:t>4,733.03</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23.40</w:t>
      </w:r>
      <w:r>
        <w:rPr>
          <w:rFonts w:hint="eastAsia" w:ascii="仿宋_GB2312" w:eastAsia="仿宋_GB2312"/>
          <w:color w:val="auto"/>
          <w:sz w:val="32"/>
          <w:szCs w:val="32"/>
        </w:rPr>
        <w:t>%，支出25</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980</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1</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万元,与上年相比，增加</w:t>
      </w:r>
      <w:r>
        <w:rPr>
          <w:rFonts w:hint="eastAsia" w:ascii="仿宋_GB2312" w:eastAsia="仿宋_GB2312"/>
          <w:color w:val="auto"/>
          <w:sz w:val="32"/>
          <w:szCs w:val="32"/>
          <w:lang w:val="en-US" w:eastAsia="zh-CN"/>
        </w:rPr>
        <w:t>4,099.54</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18.74</w:t>
      </w:r>
      <w:r>
        <w:rPr>
          <w:rFonts w:hint="eastAsia" w:ascii="仿宋_GB2312" w:eastAsia="仿宋_GB2312"/>
          <w:color w:val="auto"/>
          <w:sz w:val="32"/>
          <w:szCs w:val="32"/>
        </w:rPr>
        <w:t>%，</w:t>
      </w:r>
      <w:r>
        <w:rPr>
          <w:rFonts w:hint="eastAsia" w:ascii="仿宋_GB2312" w:eastAsia="仿宋_GB2312"/>
          <w:color w:val="auto"/>
          <w:sz w:val="32"/>
          <w:szCs w:val="32"/>
        </w:rPr>
        <w:t>结余</w:t>
      </w:r>
      <w:r>
        <w:rPr>
          <w:rFonts w:hint="eastAsia" w:ascii="仿宋_GB2312" w:eastAsia="仿宋_GB2312"/>
          <w:color w:val="auto"/>
          <w:sz w:val="32"/>
          <w:szCs w:val="32"/>
          <w:lang w:val="en-US" w:eastAsia="zh-CN"/>
        </w:rPr>
        <w:t>6,384.44</w:t>
      </w:r>
      <w:r>
        <w:rPr>
          <w:rFonts w:hint="eastAsia" w:ascii="仿宋_GB2312" w:eastAsia="仿宋_GB2312"/>
          <w:color w:val="auto"/>
          <w:sz w:val="32"/>
          <w:szCs w:val="32"/>
        </w:rPr>
        <w:t>万元，与上年相比，减少</w:t>
      </w:r>
      <w:r>
        <w:rPr>
          <w:rFonts w:hint="eastAsia" w:ascii="仿宋_GB2312" w:eastAsia="仿宋_GB2312"/>
          <w:color w:val="auto"/>
          <w:sz w:val="32"/>
          <w:szCs w:val="32"/>
          <w:lang w:val="en-US" w:eastAsia="zh-CN"/>
        </w:rPr>
        <w:t>1094.35</w:t>
      </w:r>
      <w:r>
        <w:rPr>
          <w:rFonts w:hint="eastAsia" w:ascii="仿宋_GB2312" w:eastAsia="仿宋_GB2312"/>
          <w:color w:val="auto"/>
          <w:sz w:val="32"/>
          <w:szCs w:val="32"/>
        </w:rPr>
        <w:t>万元，降低</w:t>
      </w:r>
      <w:r>
        <w:rPr>
          <w:rFonts w:hint="eastAsia" w:ascii="仿宋_GB2312" w:eastAsia="仿宋_GB2312"/>
          <w:color w:val="auto"/>
          <w:sz w:val="32"/>
          <w:szCs w:val="32"/>
          <w:lang w:val="en-US" w:eastAsia="zh-CN"/>
        </w:rPr>
        <w:t>14.63</w:t>
      </w:r>
      <w:r>
        <w:rPr>
          <w:rFonts w:hint="eastAsia" w:ascii="仿宋_GB2312" w:eastAsia="仿宋_GB2312"/>
          <w:color w:val="auto"/>
          <w:sz w:val="32"/>
          <w:szCs w:val="32"/>
        </w:rPr>
        <w:t>%。</w:t>
      </w:r>
      <w:r>
        <w:rPr>
          <w:rFonts w:hint="eastAsia" w:ascii="仿宋_GB2312" w:eastAsia="仿宋_GB2312"/>
          <w:color w:val="auto"/>
          <w:sz w:val="32"/>
          <w:szCs w:val="32"/>
        </w:rPr>
        <w:t>增减变化主要原因是：</w:t>
      </w:r>
      <w:r>
        <w:rPr>
          <w:rFonts w:hint="eastAsia" w:ascii="仿宋_GB2312" w:eastAsia="仿宋_GB2312"/>
          <w:color w:val="auto"/>
          <w:sz w:val="32"/>
          <w:szCs w:val="32"/>
          <w:lang w:eastAsia="zh-CN"/>
        </w:rPr>
        <w:t>增加了国宾汽车总队和昆仑宾馆的专项定额补助，振宇基地人员移交相关经费，新建天山大厦装修经费及民族团结一家亲、“访恵聚”、南疆支教工作补贴等</w:t>
      </w:r>
      <w:r>
        <w:rPr>
          <w:rFonts w:hint="eastAsia" w:ascii="仿宋_GB2312"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与预算</w:t>
      </w:r>
      <w:r>
        <w:rPr>
          <w:rFonts w:hint="eastAsia" w:ascii="仿宋_GB2312" w:eastAsia="仿宋_GB2312"/>
          <w:color w:val="auto"/>
          <w:sz w:val="32"/>
          <w:szCs w:val="32"/>
          <w:lang w:eastAsia="zh-CN"/>
        </w:rPr>
        <w:t>数相比增加了国宾汽车总队和昆仑宾馆的专项定额补助，振宇基地人员移交相关经费，新建天山大厦装修经费及民族团结一家亲、“访恵聚”、南疆支教工作补贴等</w:t>
      </w:r>
      <w:r>
        <w:rPr>
          <w:rFonts w:hint="eastAsia" w:ascii="仿宋_GB2312"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eastAsia="zh-CN"/>
        </w:rPr>
        <w:t>无</w:t>
      </w:r>
      <w:r>
        <w:rPr>
          <w:rFonts w:hint="eastAsia" w:ascii="仿宋_GB2312" w:eastAsia="仿宋_GB2312"/>
          <w:color w:val="auto"/>
          <w:sz w:val="32"/>
          <w:szCs w:val="32"/>
        </w:rPr>
        <w:t>其他有关说明内容</w:t>
      </w:r>
      <w:r>
        <w:rPr>
          <w:rFonts w:hint="eastAsia" w:ascii="仿宋_GB2312" w:hAnsi="Calibri"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（二）部门收入总体情况说明</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rPr>
        <w:t>本年收入合计</w:t>
      </w:r>
      <w:r>
        <w:rPr>
          <w:rFonts w:hint="eastAsia" w:ascii="仿宋_GB2312" w:eastAsia="仿宋_GB2312"/>
          <w:color w:val="auto"/>
          <w:sz w:val="32"/>
          <w:szCs w:val="32"/>
          <w:lang w:val="en-US" w:eastAsia="zh-CN"/>
        </w:rPr>
        <w:t>24,960.34</w:t>
      </w:r>
      <w:r>
        <w:rPr>
          <w:rFonts w:hint="eastAsia" w:ascii="仿宋_GB2312" w:eastAsia="仿宋_GB2312"/>
          <w:color w:val="auto"/>
          <w:sz w:val="32"/>
          <w:szCs w:val="32"/>
        </w:rPr>
        <w:t>万元，其中：财政拨款收入</w:t>
      </w:r>
      <w:r>
        <w:rPr>
          <w:rFonts w:hint="eastAsia" w:ascii="仿宋_GB2312" w:eastAsia="仿宋_GB2312"/>
          <w:color w:val="auto"/>
          <w:sz w:val="32"/>
          <w:szCs w:val="32"/>
          <w:lang w:val="en-US" w:eastAsia="zh-CN"/>
        </w:rPr>
        <w:t>20,885.62</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83.68</w:t>
      </w:r>
      <w:r>
        <w:rPr>
          <w:rFonts w:hint="eastAsia" w:ascii="仿宋_GB2312" w:eastAsia="仿宋_GB2312"/>
          <w:color w:val="auto"/>
          <w:sz w:val="32"/>
          <w:szCs w:val="32"/>
        </w:rPr>
        <w:t>%；上级补助收入</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%；事业收入</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%；经营收入2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746</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3</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11.00</w:t>
      </w:r>
      <w:r>
        <w:rPr>
          <w:rFonts w:hint="eastAsia" w:ascii="仿宋_GB2312" w:eastAsia="仿宋_GB2312"/>
          <w:color w:val="auto"/>
          <w:sz w:val="32"/>
          <w:szCs w:val="32"/>
        </w:rPr>
        <w:t>%；附属单位缴款</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%；其他收入1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328</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36万元，占</w:t>
      </w:r>
      <w:r>
        <w:rPr>
          <w:rFonts w:hint="eastAsia" w:ascii="仿宋_GB2312" w:eastAsia="仿宋_GB2312"/>
          <w:color w:val="auto"/>
          <w:sz w:val="32"/>
          <w:szCs w:val="32"/>
          <w:lang w:val="en-US" w:eastAsia="zh-CN"/>
        </w:rPr>
        <w:t>5.32</w:t>
      </w:r>
      <w:r>
        <w:rPr>
          <w:rFonts w:hint="eastAsia" w:ascii="仿宋_GB2312" w:eastAsia="仿宋_GB2312"/>
          <w:color w:val="auto"/>
          <w:sz w:val="32"/>
          <w:szCs w:val="32"/>
        </w:rPr>
        <w:t>%。</w:t>
      </w:r>
      <w:r>
        <w:rPr>
          <w:rFonts w:hint="eastAsia" w:ascii="仿宋_GB2312" w:eastAsia="仿宋_GB2312"/>
          <w:color w:val="auto"/>
          <w:sz w:val="32"/>
          <w:szCs w:val="32"/>
          <w:lang w:eastAsia="zh-CN"/>
        </w:rPr>
        <w:t>增减变化主要原因是：增加了国宾汽车总队和昆仑宾馆的专项定额补助，振宇基地人员移交相关经费，新建天山大厦装修经费及民族团结一家亲、“访恵聚”、南疆支教工作补贴等。</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与预算</w:t>
      </w:r>
      <w:r>
        <w:rPr>
          <w:rFonts w:hint="eastAsia" w:ascii="仿宋_GB2312" w:eastAsia="仿宋_GB2312"/>
          <w:color w:val="auto"/>
          <w:sz w:val="32"/>
          <w:szCs w:val="32"/>
          <w:lang w:eastAsia="zh-CN"/>
        </w:rPr>
        <w:t>数相比增加了国宾汽车总队和昆仑宾馆的专项定额补助，振宇基地人员移交相关经费，新建天山大厦装修经费及民族团结一家亲、“访恵聚”、南疆支教工作补贴等</w:t>
      </w:r>
      <w:r>
        <w:rPr>
          <w:rFonts w:hint="eastAsia" w:ascii="仿宋_GB2312"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eastAsia="zh-CN"/>
        </w:rPr>
        <w:t>无</w:t>
      </w:r>
      <w:r>
        <w:rPr>
          <w:rFonts w:hint="eastAsia" w:ascii="仿宋_GB2312" w:eastAsia="仿宋_GB2312"/>
          <w:color w:val="auto"/>
          <w:sz w:val="32"/>
          <w:szCs w:val="32"/>
        </w:rPr>
        <w:t>其他有关说明内容</w:t>
      </w:r>
      <w:r>
        <w:rPr>
          <w:rFonts w:hint="eastAsia" w:ascii="仿宋_GB2312" w:hAnsi="Calibri"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（三）部门支出总体情况说明</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本年支出合计</w:t>
      </w:r>
      <w:r>
        <w:rPr>
          <w:rFonts w:hint="eastAsia" w:ascii="仿宋_GB2312" w:eastAsia="仿宋_GB2312"/>
          <w:color w:val="auto"/>
          <w:sz w:val="32"/>
          <w:szCs w:val="32"/>
          <w:lang w:val="en-US" w:eastAsia="zh-CN"/>
        </w:rPr>
        <w:t>25,980.13</w:t>
      </w:r>
      <w:r>
        <w:rPr>
          <w:rFonts w:hint="eastAsia" w:ascii="仿宋_GB2312" w:eastAsia="仿宋_GB2312"/>
          <w:color w:val="auto"/>
          <w:sz w:val="32"/>
          <w:szCs w:val="32"/>
        </w:rPr>
        <w:t>万元，其中：基本支出</w:t>
      </w:r>
      <w:r>
        <w:rPr>
          <w:rFonts w:hint="eastAsia" w:ascii="仿宋_GB2312" w:eastAsia="仿宋_GB2312"/>
          <w:color w:val="auto"/>
          <w:sz w:val="32"/>
          <w:szCs w:val="32"/>
          <w:lang w:val="en-US" w:eastAsia="zh-CN"/>
        </w:rPr>
        <w:t>4,303.81</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16.57</w:t>
      </w:r>
      <w:r>
        <w:rPr>
          <w:rFonts w:hint="eastAsia" w:ascii="仿宋_GB2312" w:eastAsia="仿宋_GB2312"/>
          <w:color w:val="auto"/>
          <w:sz w:val="32"/>
          <w:szCs w:val="32"/>
        </w:rPr>
        <w:t>%；项目支出</w:t>
      </w:r>
      <w:r>
        <w:rPr>
          <w:rFonts w:hint="eastAsia" w:ascii="仿宋_GB2312" w:eastAsia="仿宋_GB2312"/>
          <w:color w:val="auto"/>
          <w:sz w:val="32"/>
          <w:szCs w:val="32"/>
          <w:lang w:val="en-US" w:eastAsia="zh-CN"/>
        </w:rPr>
        <w:t>18,974.20</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73.03</w:t>
      </w:r>
      <w:r>
        <w:rPr>
          <w:rFonts w:hint="eastAsia" w:ascii="仿宋_GB2312" w:eastAsia="仿宋_GB2312"/>
          <w:color w:val="auto"/>
          <w:sz w:val="32"/>
          <w:szCs w:val="32"/>
        </w:rPr>
        <w:t>%；上缴上级支出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%；经营支出2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702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10.40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对附属单位补助支出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r>
        <w:rPr>
          <w:rFonts w:hint="eastAsia" w:ascii="仿宋_GB2312" w:eastAsia="仿宋_GB2312"/>
          <w:color w:val="auto"/>
          <w:sz w:val="32"/>
          <w:szCs w:val="32"/>
        </w:rPr>
        <w:t>增减变化主要原因是：</w:t>
      </w:r>
      <w:r>
        <w:rPr>
          <w:rFonts w:hint="eastAsia" w:ascii="仿宋_GB2312" w:eastAsia="仿宋_GB2312"/>
          <w:color w:val="auto"/>
          <w:sz w:val="32"/>
          <w:szCs w:val="32"/>
          <w:lang w:eastAsia="zh-CN"/>
        </w:rPr>
        <w:t>增加了国宾汽车总队和昆仑宾馆的专项定额补助，振宇基地人员移交相关经费，新建天山大厦装修经费及民族团结一家亲、“访恵聚”、南疆支教工作补贴等</w:t>
      </w:r>
      <w:r>
        <w:rPr>
          <w:rFonts w:hint="eastAsia" w:ascii="仿宋_GB2312"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与预算</w:t>
      </w:r>
      <w:r>
        <w:rPr>
          <w:rFonts w:hint="eastAsia" w:ascii="仿宋_GB2312" w:eastAsia="仿宋_GB2312"/>
          <w:color w:val="auto"/>
          <w:sz w:val="32"/>
          <w:szCs w:val="32"/>
          <w:lang w:eastAsia="zh-CN"/>
        </w:rPr>
        <w:t>数相比增加了国宾汽车总队和昆仑宾馆的专项定额补助，振宇基地人员移交相关经费，新建天山大厦装修经费及民族团结一家亲、“访恵聚”、南疆支教工作补贴等</w:t>
      </w:r>
      <w:r>
        <w:rPr>
          <w:rFonts w:hint="eastAsia" w:ascii="仿宋_GB2312"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eastAsia="zh-CN"/>
        </w:rPr>
        <w:t>无</w:t>
      </w:r>
      <w:r>
        <w:rPr>
          <w:rFonts w:hint="eastAsia" w:ascii="仿宋_GB2312" w:eastAsia="仿宋_GB2312"/>
          <w:color w:val="auto"/>
          <w:sz w:val="32"/>
          <w:szCs w:val="32"/>
        </w:rPr>
        <w:t>其他有关说明内容</w:t>
      </w:r>
      <w:r>
        <w:rPr>
          <w:rFonts w:hint="eastAsia" w:ascii="仿宋_GB2312" w:hAnsi="Calibri"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二、部门财政拨款收支情况</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（一）财政拨款收支总体情况说明</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2017</w:t>
      </w:r>
      <w:r>
        <w:rPr>
          <w:rFonts w:hint="eastAsia" w:ascii="仿宋_GB2312" w:eastAsia="仿宋_GB2312"/>
          <w:color w:val="auto"/>
          <w:sz w:val="32"/>
          <w:szCs w:val="32"/>
        </w:rPr>
        <w:t>年度财政拨款收入</w:t>
      </w:r>
      <w:r>
        <w:rPr>
          <w:rFonts w:hint="eastAsia" w:ascii="仿宋_GB2312" w:eastAsia="仿宋_GB2312"/>
          <w:color w:val="auto"/>
          <w:sz w:val="32"/>
          <w:szCs w:val="32"/>
          <w:lang w:val="en-US" w:eastAsia="zh-CN"/>
        </w:rPr>
        <w:t>20,885.62</w:t>
      </w:r>
      <w:r>
        <w:rPr>
          <w:rFonts w:hint="eastAsia" w:ascii="仿宋_GB2312" w:eastAsia="仿宋_GB2312"/>
          <w:color w:val="auto"/>
          <w:sz w:val="32"/>
          <w:szCs w:val="32"/>
        </w:rPr>
        <w:t>万元，与上年相比，增加</w:t>
      </w:r>
      <w:r>
        <w:rPr>
          <w:rFonts w:hint="eastAsia" w:ascii="仿宋_GB2312" w:eastAsia="仿宋_GB2312"/>
          <w:color w:val="auto"/>
          <w:sz w:val="32"/>
          <w:szCs w:val="32"/>
          <w:lang w:val="en-US" w:eastAsia="zh-CN"/>
        </w:rPr>
        <w:t>5,346.5</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25.60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增减变化主要原因是：增加了国宾汽车总队和昆仑宾馆的专项定额补助，振宇基地人员移交相关经费，新建天山大厦装修经费及民族团结一家亲、“访恵聚”、南疆支教工作补贴等。财政拨款支出21,799.35万元，与上年相比，增加519</w:t>
      </w:r>
      <w:r>
        <w:rPr>
          <w:rFonts w:hint="eastAsia" w:ascii="仿宋_GB2312" w:eastAsia="仿宋_GB2312"/>
          <w:color w:val="auto"/>
          <w:sz w:val="32"/>
          <w:szCs w:val="32"/>
          <w:lang w:val="en-US" w:eastAsia="zh-CN"/>
        </w:rPr>
        <w:t>9.19</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23.85</w:t>
      </w:r>
      <w:r>
        <w:rPr>
          <w:rFonts w:hint="eastAsia" w:ascii="仿宋_GB2312" w:eastAsia="仿宋_GB2312"/>
          <w:color w:val="auto"/>
          <w:sz w:val="32"/>
          <w:szCs w:val="32"/>
        </w:rPr>
        <w:t>%。其中：基本支出4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297</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80万元，项目支出17</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501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55万元。</w:t>
      </w:r>
      <w:r>
        <w:rPr>
          <w:rFonts w:hint="eastAsia" w:ascii="仿宋_GB2312" w:eastAsia="仿宋_GB2312"/>
          <w:color w:val="auto"/>
          <w:sz w:val="32"/>
          <w:szCs w:val="32"/>
          <w:lang w:val="en-US" w:eastAsia="zh-CN"/>
        </w:rPr>
        <w:t>增减变化主要原因是：增加了国宾汽车总队和昆仑宾馆的专项定额补助，振宇基地人员移交相关经费，新建天山大厦装修经费及民族团结一家亲、“访恵聚”、南疆支教工作补贴等。财政拨款结转结余4,889.73万元，与上年相比，减少937.92万元，降低16.09%。增减变化的主要原因是：支出了2016年的结转资金。</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val="en-US" w:eastAsia="zh-CN"/>
        </w:rPr>
        <w:t>与预算数相比增加了国宾汽车总队和昆仑宾馆的专项定额补助，振宇基地人员移交相关经费，新建天山大厦装修经费及民族团结一家亲、“访恵聚”、南疆支教工作补贴等</w:t>
      </w:r>
      <w:r>
        <w:rPr>
          <w:rFonts w:hint="eastAsia" w:ascii="仿宋_GB2312"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无</w:t>
      </w:r>
      <w:r>
        <w:rPr>
          <w:rFonts w:hint="eastAsia" w:ascii="仿宋_GB2312" w:eastAsia="仿宋_GB2312"/>
          <w:color w:val="auto"/>
          <w:sz w:val="32"/>
          <w:szCs w:val="32"/>
        </w:rPr>
        <w:t>其他有关说明内容</w:t>
      </w:r>
      <w:r>
        <w:rPr>
          <w:rFonts w:hint="eastAsia" w:ascii="仿宋_GB2312" w:hAnsi="Calibri" w:eastAsia="仿宋_GB2312"/>
          <w:color w:val="auto"/>
          <w:sz w:val="32"/>
          <w:szCs w:val="32"/>
        </w:rPr>
        <w:t>。</w:t>
      </w:r>
      <w:r>
        <w:rPr>
          <w:rFonts w:hint="eastAsia" w:ascii="仿宋_GB2312" w:eastAsia="仿宋_GB2312"/>
          <w:color w:val="auto"/>
          <w:sz w:val="32"/>
          <w:szCs w:val="32"/>
          <w:lang w:val="en-US" w:eastAsia="zh-CN"/>
        </w:rPr>
        <w:t xml:space="preserve"> </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（二）一般公共预算支出决算情况说明</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2017</w:t>
      </w:r>
      <w:r>
        <w:rPr>
          <w:rFonts w:hint="eastAsia" w:ascii="仿宋_GB2312" w:eastAsia="仿宋_GB2312"/>
          <w:color w:val="auto"/>
          <w:sz w:val="32"/>
          <w:szCs w:val="32"/>
        </w:rPr>
        <w:t>年度一般公共预算财政拨款支出20</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885</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62万元。与上年相比，增加</w:t>
      </w:r>
      <w:r>
        <w:rPr>
          <w:rFonts w:hint="eastAsia" w:ascii="仿宋_GB2312" w:eastAsia="仿宋_GB2312"/>
          <w:color w:val="auto"/>
          <w:sz w:val="32"/>
          <w:szCs w:val="32"/>
          <w:lang w:val="en-US" w:eastAsia="zh-CN"/>
        </w:rPr>
        <w:t>5,346.5</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25.60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增减变化主要原因是：增加了国宾汽车总队和昆仑宾馆的专项定额补助，振宇基地人员移交相关经费，新建天山大厦装修经费及民族团结一家亲、“访恵聚”、南疆支教工作补贴等。其中：按功能分类科目，2010399支出5346.5万元。按经济分类科目，专用材料费支出5346.5万元。</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与预算数相比增加了国宾汽车总队和昆仑宾馆的专项定额补助，振宇基地人员移交相关经费，新建天山大厦装修经费及民族团结一家亲、“访恵聚”、南疆支教工作补贴等。</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无</w:t>
      </w:r>
      <w:r>
        <w:rPr>
          <w:rFonts w:hint="eastAsia" w:ascii="仿宋_GB2312" w:eastAsia="仿宋_GB2312"/>
          <w:color w:val="auto"/>
          <w:sz w:val="32"/>
          <w:szCs w:val="32"/>
        </w:rPr>
        <w:t>其他有关说明内容</w:t>
      </w:r>
      <w:r>
        <w:rPr>
          <w:rFonts w:hint="eastAsia" w:ascii="仿宋_GB2312" w:hAnsi="Calibri"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（三）政府性基金预算收支决算情况说明</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2017</w:t>
      </w:r>
      <w:r>
        <w:rPr>
          <w:rFonts w:hint="eastAsia" w:ascii="仿宋_GB2312" w:eastAsia="仿宋_GB2312"/>
          <w:color w:val="auto"/>
          <w:sz w:val="32"/>
          <w:szCs w:val="32"/>
        </w:rPr>
        <w:t>年度政府性基金预算财政拨款收入</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万元，与上年相比，增加（减少）</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万元，增长（降低）</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r>
        <w:rPr>
          <w:rFonts w:hint="eastAsia" w:ascii="仿宋_GB2312" w:eastAsia="仿宋_GB2312"/>
          <w:color w:val="auto"/>
          <w:sz w:val="32"/>
          <w:szCs w:val="32"/>
          <w:lang w:eastAsia="zh-CN"/>
        </w:rPr>
        <w:t>增减变化为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政府性基金预算财政拨款支出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万元，与上年相比，增加（减少）</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万元，增长（降低）</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r>
        <w:rPr>
          <w:rFonts w:hint="eastAsia" w:ascii="仿宋_GB2312" w:eastAsia="仿宋_GB2312"/>
          <w:color w:val="auto"/>
          <w:sz w:val="32"/>
          <w:szCs w:val="32"/>
          <w:lang w:eastAsia="zh-CN"/>
        </w:rPr>
        <w:t>增减变化为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与预算相比</w:t>
      </w:r>
      <w:r>
        <w:rPr>
          <w:rFonts w:hint="eastAsia" w:ascii="仿宋_GB2312" w:eastAsia="仿宋_GB2312"/>
          <w:color w:val="auto"/>
          <w:sz w:val="32"/>
          <w:szCs w:val="32"/>
          <w:lang w:eastAsia="zh-CN"/>
        </w:rPr>
        <w:t>增减变化为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（四）政府性基金预算支出决算情况说明</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val="en-US" w:eastAsia="zh-CN"/>
        </w:rPr>
        <w:t>2017</w:t>
      </w:r>
      <w:r>
        <w:rPr>
          <w:rFonts w:hint="eastAsia" w:ascii="仿宋_GB2312" w:eastAsia="仿宋_GB2312"/>
          <w:color w:val="auto"/>
          <w:sz w:val="32"/>
          <w:szCs w:val="32"/>
        </w:rPr>
        <w:t>年度政府性基金预算支出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万元。与上年相比，增加（减少）</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万元，增长（降低）</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r>
        <w:rPr>
          <w:rFonts w:hint="eastAsia" w:ascii="仿宋_GB2312" w:eastAsia="仿宋_GB2312"/>
          <w:color w:val="auto"/>
          <w:sz w:val="32"/>
          <w:szCs w:val="32"/>
          <w:lang w:eastAsia="zh-CN"/>
        </w:rPr>
        <w:t>增减变化为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hAnsi="Calibri" w:eastAsia="仿宋_GB2312"/>
          <w:color w:val="auto"/>
          <w:sz w:val="32"/>
          <w:szCs w:val="32"/>
        </w:rPr>
      </w:pPr>
      <w:r>
        <w:rPr>
          <w:rFonts w:hint="eastAsia" w:ascii="仿宋_GB2312" w:eastAsia="仿宋_GB2312"/>
          <w:color w:val="auto"/>
          <w:sz w:val="32"/>
          <w:szCs w:val="32"/>
        </w:rPr>
        <w:t>与预算相比</w:t>
      </w:r>
      <w:r>
        <w:rPr>
          <w:rFonts w:hint="eastAsia" w:ascii="仿宋_GB2312" w:eastAsia="仿宋_GB2312"/>
          <w:color w:val="auto"/>
          <w:sz w:val="32"/>
          <w:szCs w:val="32"/>
          <w:lang w:eastAsia="zh-CN"/>
        </w:rPr>
        <w:t>增减变化为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三、部门结转结余情况</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年末结转结余6</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384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4</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万元。与上年相比，减少</w:t>
      </w:r>
      <w:r>
        <w:rPr>
          <w:rFonts w:hint="eastAsia" w:ascii="仿宋_GB2312" w:eastAsia="仿宋_GB2312"/>
          <w:color w:val="auto"/>
          <w:sz w:val="32"/>
          <w:szCs w:val="32"/>
          <w:lang w:val="en-US" w:eastAsia="zh-CN"/>
        </w:rPr>
        <w:t>1,094.36</w:t>
      </w:r>
      <w:r>
        <w:rPr>
          <w:rFonts w:hint="eastAsia" w:ascii="仿宋_GB2312" w:eastAsia="仿宋_GB2312"/>
          <w:color w:val="auto"/>
          <w:sz w:val="32"/>
          <w:szCs w:val="32"/>
        </w:rPr>
        <w:t>万元，降低</w:t>
      </w:r>
      <w:r>
        <w:rPr>
          <w:rFonts w:hint="eastAsia" w:ascii="仿宋_GB2312" w:eastAsia="仿宋_GB2312"/>
          <w:color w:val="auto"/>
          <w:sz w:val="32"/>
          <w:szCs w:val="32"/>
          <w:lang w:val="en-US" w:eastAsia="zh-CN"/>
        </w:rPr>
        <w:t>14.63</w:t>
      </w:r>
      <w:r>
        <w:rPr>
          <w:rFonts w:hint="eastAsia" w:ascii="仿宋_GB2312"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其中财政拨款结转结余4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889</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7</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万元。与上年相比，减少</w:t>
      </w:r>
      <w:r>
        <w:rPr>
          <w:rFonts w:hint="eastAsia" w:ascii="仿宋_GB2312" w:eastAsia="仿宋_GB2312"/>
          <w:color w:val="auto"/>
          <w:sz w:val="32"/>
          <w:szCs w:val="32"/>
          <w:lang w:val="en-US" w:eastAsia="zh-CN"/>
        </w:rPr>
        <w:t>937.92</w:t>
      </w:r>
      <w:r>
        <w:rPr>
          <w:rFonts w:hint="eastAsia" w:ascii="仿宋_GB2312" w:eastAsia="仿宋_GB2312"/>
          <w:color w:val="auto"/>
          <w:sz w:val="32"/>
          <w:szCs w:val="32"/>
        </w:rPr>
        <w:t>万元，降低</w:t>
      </w:r>
      <w:r>
        <w:rPr>
          <w:rFonts w:hint="eastAsia" w:ascii="仿宋_GB2312" w:eastAsia="仿宋_GB2312"/>
          <w:color w:val="auto"/>
          <w:sz w:val="32"/>
          <w:szCs w:val="32"/>
          <w:lang w:val="en-US" w:eastAsia="zh-CN"/>
        </w:rPr>
        <w:t>16.09</w:t>
      </w:r>
      <w:r>
        <w:rPr>
          <w:rFonts w:hint="eastAsia" w:ascii="仿宋_GB2312"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eastAsia="zh-CN"/>
        </w:rPr>
        <w:t>无</w:t>
      </w:r>
      <w:r>
        <w:rPr>
          <w:rFonts w:hint="eastAsia" w:ascii="仿宋_GB2312" w:eastAsia="仿宋_GB2312"/>
          <w:color w:val="auto"/>
          <w:sz w:val="32"/>
          <w:szCs w:val="32"/>
        </w:rPr>
        <w:t>其他有关说明内容</w:t>
      </w:r>
      <w:r>
        <w:rPr>
          <w:rFonts w:hint="eastAsia" w:ascii="仿宋_GB2312" w:hAnsi="Calibri"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四、一般公共预算“三公”经费支出情况</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val="en-US" w:eastAsia="zh-CN"/>
        </w:rPr>
        <w:t>2017</w:t>
      </w:r>
      <w:r>
        <w:rPr>
          <w:rFonts w:hint="eastAsia" w:ascii="仿宋_GB2312" w:eastAsia="仿宋_GB2312"/>
          <w:color w:val="auto"/>
          <w:sz w:val="32"/>
          <w:szCs w:val="32"/>
        </w:rPr>
        <w:t>年度一般公共预算“三公”经费支出决算39</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万元，比上年减少</w:t>
      </w:r>
      <w:r>
        <w:rPr>
          <w:rFonts w:hint="eastAsia" w:ascii="仿宋_GB2312" w:eastAsia="仿宋_GB2312"/>
          <w:color w:val="auto"/>
          <w:sz w:val="32"/>
          <w:szCs w:val="32"/>
          <w:lang w:val="en-US" w:eastAsia="zh-CN"/>
        </w:rPr>
        <w:t>2.49</w:t>
      </w:r>
      <w:r>
        <w:rPr>
          <w:rFonts w:hint="eastAsia" w:ascii="仿宋_GB2312" w:eastAsia="仿宋_GB2312"/>
          <w:color w:val="auto"/>
          <w:sz w:val="32"/>
          <w:szCs w:val="32"/>
        </w:rPr>
        <w:t>万元，降低</w:t>
      </w:r>
      <w:r>
        <w:rPr>
          <w:rFonts w:hint="eastAsia" w:ascii="仿宋_GB2312" w:eastAsia="仿宋_GB2312"/>
          <w:color w:val="auto"/>
          <w:sz w:val="32"/>
          <w:szCs w:val="32"/>
          <w:lang w:val="en-US" w:eastAsia="zh-CN"/>
        </w:rPr>
        <w:t>5.97</w:t>
      </w:r>
      <w:r>
        <w:rPr>
          <w:rFonts w:hint="eastAsia" w:ascii="仿宋_GB2312" w:eastAsia="仿宋_GB2312"/>
          <w:color w:val="auto"/>
          <w:sz w:val="32"/>
          <w:szCs w:val="32"/>
        </w:rPr>
        <w:t>%，减少原因是公务用车运行维护费</w:t>
      </w:r>
      <w:r>
        <w:rPr>
          <w:rFonts w:hint="eastAsia" w:ascii="仿宋_GB2312" w:eastAsia="仿宋_GB2312"/>
          <w:color w:val="auto"/>
          <w:sz w:val="32"/>
          <w:szCs w:val="32"/>
          <w:lang w:eastAsia="zh-CN"/>
        </w:rPr>
        <w:t>减少</w:t>
      </w:r>
      <w:r>
        <w:rPr>
          <w:rFonts w:hint="eastAsia" w:ascii="仿宋_GB2312" w:eastAsia="仿宋_GB2312"/>
          <w:color w:val="auto"/>
          <w:sz w:val="32"/>
          <w:szCs w:val="32"/>
        </w:rPr>
        <w:t>。其中，因公出国（境）费支出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%，比上年增加（减少）</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万元，增长（降低）</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%，增加（减少）原因是</w:t>
      </w:r>
      <w:r>
        <w:rPr>
          <w:rFonts w:hint="eastAsia" w:ascii="仿宋_GB2312" w:eastAsia="仿宋_GB2312"/>
          <w:color w:val="auto"/>
          <w:sz w:val="32"/>
          <w:szCs w:val="32"/>
          <w:lang w:eastAsia="zh-CN"/>
        </w:rPr>
        <w:t>无</w:t>
      </w:r>
      <w:r>
        <w:rPr>
          <w:rFonts w:hint="eastAsia" w:ascii="仿宋_GB2312" w:eastAsia="仿宋_GB2312"/>
          <w:color w:val="auto"/>
          <w:sz w:val="32"/>
          <w:szCs w:val="32"/>
        </w:rPr>
        <w:t>因公出国（境）费支出；公务用车购置及运行维护费支出</w:t>
      </w:r>
      <w:r>
        <w:rPr>
          <w:rFonts w:hint="eastAsia" w:ascii="仿宋_GB2312" w:eastAsia="仿宋_GB2312"/>
          <w:color w:val="auto"/>
          <w:sz w:val="32"/>
          <w:szCs w:val="32"/>
          <w:lang w:val="en-US" w:eastAsia="zh-CN"/>
        </w:rPr>
        <w:t>38.83</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99.08</w:t>
      </w:r>
      <w:r>
        <w:rPr>
          <w:rFonts w:hint="eastAsia" w:ascii="仿宋_GB2312" w:eastAsia="仿宋_GB2312"/>
          <w:color w:val="auto"/>
          <w:sz w:val="32"/>
          <w:szCs w:val="32"/>
        </w:rPr>
        <w:t>%，比上年减少</w:t>
      </w:r>
      <w:r>
        <w:rPr>
          <w:rFonts w:hint="eastAsia" w:ascii="仿宋_GB2312" w:eastAsia="仿宋_GB2312"/>
          <w:color w:val="auto"/>
          <w:sz w:val="32"/>
          <w:szCs w:val="32"/>
          <w:lang w:val="en-US" w:eastAsia="zh-CN"/>
        </w:rPr>
        <w:t>9.57</w:t>
      </w:r>
      <w:r>
        <w:rPr>
          <w:rFonts w:hint="eastAsia" w:ascii="仿宋_GB2312" w:eastAsia="仿宋_GB2312"/>
          <w:color w:val="auto"/>
          <w:sz w:val="32"/>
          <w:szCs w:val="32"/>
        </w:rPr>
        <w:t>万元，降低</w:t>
      </w:r>
      <w:r>
        <w:rPr>
          <w:rFonts w:hint="eastAsia" w:ascii="仿宋_GB2312" w:eastAsia="仿宋_GB2312"/>
          <w:color w:val="auto"/>
          <w:sz w:val="32"/>
          <w:szCs w:val="32"/>
          <w:lang w:val="en-US" w:eastAsia="zh-CN"/>
        </w:rPr>
        <w:t>23.12</w:t>
      </w:r>
      <w:r>
        <w:rPr>
          <w:rFonts w:hint="eastAsia" w:ascii="仿宋_GB2312" w:eastAsia="仿宋_GB2312"/>
          <w:color w:val="auto"/>
          <w:sz w:val="32"/>
          <w:szCs w:val="32"/>
        </w:rPr>
        <w:t>%，减少原因是公务用车运行维护费</w:t>
      </w:r>
      <w:r>
        <w:rPr>
          <w:rFonts w:hint="eastAsia" w:ascii="仿宋_GB2312" w:eastAsia="仿宋_GB2312"/>
          <w:color w:val="auto"/>
          <w:sz w:val="32"/>
          <w:szCs w:val="32"/>
          <w:lang w:eastAsia="zh-CN"/>
        </w:rPr>
        <w:t>减少</w:t>
      </w:r>
      <w:r>
        <w:rPr>
          <w:rFonts w:hint="eastAsia" w:ascii="仿宋_GB2312" w:eastAsia="仿宋_GB2312"/>
          <w:color w:val="auto"/>
          <w:sz w:val="32"/>
          <w:szCs w:val="32"/>
        </w:rPr>
        <w:t>；</w:t>
      </w:r>
      <w:r>
        <w:rPr>
          <w:rFonts w:hint="eastAsia" w:ascii="仿宋_GB2312" w:eastAsia="仿宋_GB2312"/>
          <w:color w:val="auto"/>
          <w:sz w:val="32"/>
          <w:szCs w:val="32"/>
        </w:rPr>
        <w:t>公务接待费支出</w:t>
      </w:r>
      <w:r>
        <w:rPr>
          <w:rFonts w:hint="eastAsia" w:ascii="仿宋_GB2312" w:eastAsia="仿宋_GB2312"/>
          <w:color w:val="auto"/>
          <w:sz w:val="32"/>
          <w:szCs w:val="32"/>
          <w:lang w:val="en-US" w:eastAsia="zh-CN"/>
        </w:rPr>
        <w:t>0.36</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0.92</w:t>
      </w:r>
      <w:r>
        <w:rPr>
          <w:rFonts w:hint="eastAsia" w:ascii="仿宋_GB2312" w:eastAsia="仿宋_GB2312"/>
          <w:color w:val="auto"/>
          <w:sz w:val="32"/>
          <w:szCs w:val="32"/>
        </w:rPr>
        <w:t>%，比上年增加</w:t>
      </w:r>
      <w:r>
        <w:rPr>
          <w:rFonts w:hint="eastAsia" w:ascii="仿宋_GB2312" w:eastAsia="仿宋_GB2312"/>
          <w:color w:val="auto"/>
          <w:sz w:val="32"/>
          <w:szCs w:val="32"/>
          <w:lang w:val="en-US" w:eastAsia="zh-CN"/>
        </w:rPr>
        <w:t>0.07</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14.14</w:t>
      </w:r>
      <w:r>
        <w:rPr>
          <w:rFonts w:hint="eastAsia" w:ascii="仿宋_GB2312" w:eastAsia="仿宋_GB2312"/>
          <w:color w:val="auto"/>
          <w:sz w:val="32"/>
          <w:szCs w:val="32"/>
        </w:rPr>
        <w:t>%，增加原因是</w:t>
      </w:r>
      <w:r>
        <w:rPr>
          <w:rFonts w:hint="eastAsia" w:ascii="仿宋_GB2312" w:eastAsia="仿宋_GB2312"/>
          <w:color w:val="auto"/>
          <w:sz w:val="32"/>
          <w:szCs w:val="32"/>
          <w:lang w:eastAsia="zh-CN"/>
        </w:rPr>
        <w:t>因业务往来，公务接待人数增加</w:t>
      </w:r>
      <w:r>
        <w:rPr>
          <w:rFonts w:hint="eastAsia" w:ascii="仿宋_GB2312" w:eastAsia="仿宋_GB2312"/>
          <w:color w:val="auto"/>
          <w:sz w:val="32"/>
          <w:szCs w:val="32"/>
        </w:rPr>
        <w:t>。具体情况如下：</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因公出国（境）费支出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2017</w:t>
      </w:r>
      <w:r>
        <w:rPr>
          <w:rFonts w:hint="eastAsia" w:ascii="仿宋_GB2312" w:eastAsia="仿宋_GB2312"/>
          <w:color w:val="auto"/>
          <w:sz w:val="32"/>
          <w:szCs w:val="32"/>
        </w:rPr>
        <w:t>单位全年使用一般公共预算财政拨款安排的出国（境）团组</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个，累计</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人次。开支内容包括：</w:t>
      </w:r>
      <w:r>
        <w:rPr>
          <w:rFonts w:hint="eastAsia" w:ascii="仿宋_GB2312" w:eastAsia="仿宋_GB2312"/>
          <w:color w:val="auto"/>
          <w:sz w:val="32"/>
          <w:szCs w:val="32"/>
          <w:lang w:eastAsia="zh-CN"/>
        </w:rPr>
        <w:t>开支内容为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公务用车购置及运行维护费</w:t>
      </w:r>
      <w:r>
        <w:rPr>
          <w:rFonts w:hint="eastAsia" w:ascii="仿宋_GB2312" w:eastAsia="仿宋_GB2312"/>
          <w:color w:val="auto"/>
          <w:sz w:val="32"/>
          <w:szCs w:val="32"/>
          <w:lang w:val="en-US" w:eastAsia="zh-CN"/>
        </w:rPr>
        <w:t>38.83</w:t>
      </w:r>
      <w:r>
        <w:rPr>
          <w:rFonts w:hint="eastAsia" w:ascii="仿宋_GB2312" w:eastAsia="仿宋_GB2312"/>
          <w:color w:val="auto"/>
          <w:sz w:val="32"/>
          <w:szCs w:val="32"/>
        </w:rPr>
        <w:t>万元,其中，公务用车购置</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万元，公务用车运行维护费</w:t>
      </w:r>
      <w:r>
        <w:rPr>
          <w:rFonts w:hint="eastAsia" w:ascii="仿宋_GB2312" w:eastAsia="仿宋_GB2312"/>
          <w:color w:val="auto"/>
          <w:sz w:val="32"/>
          <w:szCs w:val="32"/>
          <w:lang w:val="en-US" w:eastAsia="zh-CN"/>
        </w:rPr>
        <w:t>38.83</w:t>
      </w:r>
      <w:r>
        <w:rPr>
          <w:rFonts w:hint="eastAsia" w:ascii="仿宋_GB2312" w:eastAsia="仿宋_GB2312"/>
          <w:color w:val="auto"/>
          <w:sz w:val="32"/>
          <w:szCs w:val="32"/>
        </w:rPr>
        <w:t>万元。主要用于</w:t>
      </w:r>
      <w:r>
        <w:rPr>
          <w:rFonts w:hint="eastAsia" w:ascii="仿宋_GB2312" w:eastAsia="仿宋_GB2312"/>
          <w:color w:val="auto"/>
          <w:sz w:val="32"/>
          <w:szCs w:val="32"/>
          <w:lang w:eastAsia="zh-CN"/>
        </w:rPr>
        <w:t>公务外出用车</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2017</w:t>
      </w:r>
      <w:r>
        <w:rPr>
          <w:rFonts w:hint="eastAsia" w:ascii="仿宋_GB2312" w:eastAsia="仿宋_GB2312"/>
          <w:color w:val="auto"/>
          <w:sz w:val="32"/>
          <w:szCs w:val="32"/>
        </w:rPr>
        <w:t>年，单位一般公共财政拨款安排的公务用车购置量</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辆，保有量为</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辆。</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公务接待费</w:t>
      </w:r>
      <w:r>
        <w:rPr>
          <w:rFonts w:hint="eastAsia" w:ascii="仿宋_GB2312" w:eastAsia="仿宋_GB2312"/>
          <w:color w:val="auto"/>
          <w:sz w:val="32"/>
          <w:szCs w:val="32"/>
          <w:lang w:val="en-US" w:eastAsia="zh-CN"/>
        </w:rPr>
        <w:t>0.36</w:t>
      </w:r>
      <w:r>
        <w:rPr>
          <w:rFonts w:hint="eastAsia" w:ascii="仿宋_GB2312" w:eastAsia="仿宋_GB2312"/>
          <w:color w:val="auto"/>
          <w:sz w:val="32"/>
          <w:szCs w:val="32"/>
        </w:rPr>
        <w:t>万元。具体是：国内公务接待支出</w:t>
      </w:r>
      <w:r>
        <w:rPr>
          <w:rFonts w:hint="eastAsia" w:ascii="仿宋_GB2312" w:eastAsia="仿宋_GB2312"/>
          <w:color w:val="auto"/>
          <w:sz w:val="32"/>
          <w:szCs w:val="32"/>
          <w:lang w:val="en-US" w:eastAsia="zh-CN"/>
        </w:rPr>
        <w:t>0.36</w:t>
      </w:r>
      <w:r>
        <w:rPr>
          <w:rFonts w:hint="eastAsia" w:ascii="仿宋_GB2312" w:eastAsia="仿宋_GB2312"/>
          <w:color w:val="auto"/>
          <w:sz w:val="32"/>
          <w:szCs w:val="32"/>
        </w:rPr>
        <w:t>万元，主要是</w:t>
      </w:r>
      <w:r>
        <w:rPr>
          <w:rFonts w:hint="eastAsia" w:ascii="仿宋_GB2312" w:eastAsia="仿宋_GB2312"/>
          <w:color w:val="auto"/>
          <w:sz w:val="32"/>
          <w:szCs w:val="32"/>
          <w:lang w:eastAsia="zh-CN"/>
        </w:rPr>
        <w:t>区级机关后勤服务和职责内接待工作</w:t>
      </w:r>
      <w:r>
        <w:rPr>
          <w:rFonts w:hint="eastAsia" w:ascii="仿宋_GB2312" w:eastAsia="仿宋_GB2312"/>
          <w:color w:val="auto"/>
          <w:sz w:val="32"/>
          <w:szCs w:val="32"/>
        </w:rPr>
        <w:t>等。</w:t>
      </w:r>
      <w:r>
        <w:rPr>
          <w:rFonts w:hint="eastAsia" w:ascii="仿宋_GB2312" w:eastAsia="仿宋_GB2312"/>
          <w:color w:val="auto"/>
          <w:sz w:val="32"/>
          <w:szCs w:val="32"/>
          <w:lang w:eastAsia="zh-CN"/>
        </w:rPr>
        <w:t>自治区机关事务管理局</w:t>
      </w:r>
      <w:r>
        <w:rPr>
          <w:rFonts w:hint="eastAsia" w:ascii="仿宋_GB2312" w:eastAsia="仿宋_GB2312"/>
          <w:color w:val="auto"/>
          <w:sz w:val="32"/>
          <w:szCs w:val="32"/>
        </w:rPr>
        <w:t>单位国内公务接待</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51</w:t>
      </w:r>
      <w:r>
        <w:rPr>
          <w:rFonts w:hint="eastAsia" w:ascii="仿宋_GB2312" w:eastAsia="仿宋_GB2312"/>
          <w:color w:val="auto"/>
          <w:sz w:val="32"/>
          <w:szCs w:val="32"/>
        </w:rPr>
        <w:t>人次。</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与预算相</w:t>
      </w:r>
      <w:r>
        <w:rPr>
          <w:rFonts w:hint="eastAsia" w:ascii="仿宋_GB2312" w:eastAsia="仿宋_GB2312"/>
          <w:color w:val="auto"/>
          <w:sz w:val="32"/>
          <w:szCs w:val="32"/>
          <w:lang w:eastAsia="zh-CN"/>
        </w:rPr>
        <w:t>比，减少了</w:t>
      </w:r>
      <w:r>
        <w:rPr>
          <w:rFonts w:hint="eastAsia" w:ascii="仿宋_GB2312" w:eastAsia="仿宋_GB2312"/>
          <w:color w:val="auto"/>
          <w:sz w:val="32"/>
          <w:szCs w:val="32"/>
          <w:lang w:val="en-US" w:eastAsia="zh-CN"/>
        </w:rPr>
        <w:t>37.34万</w:t>
      </w:r>
      <w:r>
        <w:rPr>
          <w:rFonts w:hint="eastAsia" w:ascii="仿宋_GB2312"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eastAsia="zh-CN"/>
        </w:rPr>
        <w:t>无</w:t>
      </w:r>
      <w:r>
        <w:rPr>
          <w:rFonts w:hint="eastAsia" w:ascii="仿宋_GB2312" w:eastAsia="仿宋_GB2312"/>
          <w:color w:val="auto"/>
          <w:sz w:val="32"/>
          <w:szCs w:val="32"/>
        </w:rPr>
        <w:t>其他有关说明内容</w:t>
      </w:r>
      <w:r>
        <w:rPr>
          <w:rFonts w:hint="eastAsia" w:ascii="仿宋_GB2312" w:hAnsi="Calibri"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五、机关运行经费支出情况</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2017</w:t>
      </w:r>
      <w:r>
        <w:rPr>
          <w:rFonts w:hint="eastAsia" w:ascii="仿宋_GB2312" w:eastAsia="仿宋_GB2312"/>
          <w:color w:val="auto"/>
          <w:sz w:val="32"/>
          <w:szCs w:val="32"/>
        </w:rPr>
        <w:t>年度</w:t>
      </w:r>
      <w:r>
        <w:rPr>
          <w:rFonts w:hint="eastAsia" w:ascii="仿宋_GB2312" w:eastAsia="仿宋_GB2312"/>
          <w:color w:val="auto"/>
          <w:sz w:val="32"/>
          <w:szCs w:val="32"/>
          <w:lang w:eastAsia="zh-CN"/>
        </w:rPr>
        <w:t>自治区机关事务管理局</w:t>
      </w:r>
      <w:r>
        <w:rPr>
          <w:rFonts w:hint="eastAsia" w:ascii="仿宋_GB2312" w:eastAsia="仿宋_GB2312"/>
          <w:color w:val="auto"/>
          <w:sz w:val="32"/>
          <w:szCs w:val="32"/>
        </w:rPr>
        <w:t>单位机关运行经费支出</w:t>
      </w:r>
      <w:r>
        <w:rPr>
          <w:rFonts w:hint="eastAsia" w:ascii="仿宋_GB2312" w:eastAsia="仿宋_GB2312"/>
          <w:color w:val="auto"/>
          <w:sz w:val="32"/>
          <w:szCs w:val="32"/>
          <w:lang w:val="en-US" w:eastAsia="zh-CN"/>
        </w:rPr>
        <w:t>231.44</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与上年相同</w:t>
      </w:r>
      <w:r>
        <w:rPr>
          <w:rFonts w:hint="eastAsia" w:ascii="仿宋_GB2312" w:eastAsia="仿宋_GB2312"/>
          <w:color w:val="auto"/>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无</w:t>
      </w:r>
      <w:r>
        <w:rPr>
          <w:rFonts w:hint="eastAsia" w:ascii="仿宋_GB2312" w:eastAsia="仿宋_GB2312"/>
          <w:color w:val="auto"/>
          <w:sz w:val="32"/>
          <w:szCs w:val="32"/>
        </w:rPr>
        <w:t>其他有关说明内容</w:t>
      </w:r>
      <w:r>
        <w:rPr>
          <w:rFonts w:hint="eastAsia" w:ascii="仿宋_GB2312" w:hAnsi="Calibri"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六、政府采购情况</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eastAsia="zh-CN"/>
        </w:rPr>
        <w:t>自治区机关事务管理局</w:t>
      </w:r>
      <w:r>
        <w:rPr>
          <w:rFonts w:hint="eastAsia" w:ascii="仿宋_GB2312" w:eastAsia="仿宋_GB2312"/>
          <w:color w:val="auto"/>
          <w:sz w:val="32"/>
          <w:szCs w:val="32"/>
        </w:rPr>
        <w:t>单位政府采购计划</w:t>
      </w:r>
      <w:r>
        <w:rPr>
          <w:rFonts w:hint="eastAsia" w:ascii="仿宋_GB2312" w:eastAsia="仿宋_GB2312"/>
          <w:color w:val="auto"/>
          <w:sz w:val="32"/>
          <w:szCs w:val="32"/>
          <w:lang w:val="en-US" w:eastAsia="zh-CN"/>
        </w:rPr>
        <w:t>2.36</w:t>
      </w:r>
      <w:r>
        <w:rPr>
          <w:rFonts w:hint="eastAsia" w:ascii="仿宋_GB2312" w:eastAsia="仿宋_GB2312"/>
          <w:color w:val="auto"/>
          <w:sz w:val="32"/>
          <w:szCs w:val="32"/>
        </w:rPr>
        <w:t>万元，其中：政府采购货物支出</w:t>
      </w:r>
      <w:r>
        <w:rPr>
          <w:rFonts w:hint="eastAsia" w:ascii="仿宋_GB2312" w:eastAsia="仿宋_GB2312"/>
          <w:color w:val="auto"/>
          <w:sz w:val="32"/>
          <w:szCs w:val="32"/>
          <w:lang w:val="en-US" w:eastAsia="zh-CN"/>
        </w:rPr>
        <w:t>2.36</w:t>
      </w:r>
      <w:r>
        <w:rPr>
          <w:rFonts w:hint="eastAsia" w:ascii="仿宋_GB2312" w:eastAsia="仿宋_GB2312"/>
          <w:color w:val="auto"/>
          <w:sz w:val="32"/>
          <w:szCs w:val="32"/>
        </w:rPr>
        <w:t>万元、政府采购工程支出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万元、政府采购服务支出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万元；实际采购</w:t>
      </w:r>
      <w:r>
        <w:rPr>
          <w:rFonts w:hint="eastAsia" w:ascii="仿宋_GB2312" w:eastAsia="仿宋_GB2312"/>
          <w:color w:val="auto"/>
          <w:sz w:val="32"/>
          <w:szCs w:val="32"/>
          <w:lang w:val="en-US" w:eastAsia="zh-CN"/>
        </w:rPr>
        <w:t>2.36</w:t>
      </w:r>
      <w:r>
        <w:rPr>
          <w:rFonts w:hint="eastAsia" w:ascii="仿宋_GB2312" w:eastAsia="仿宋_GB2312"/>
          <w:color w:val="auto"/>
          <w:sz w:val="32"/>
          <w:szCs w:val="32"/>
        </w:rPr>
        <w:t>万元，其中：政府采购货物支出</w:t>
      </w:r>
      <w:r>
        <w:rPr>
          <w:rFonts w:hint="eastAsia" w:ascii="仿宋_GB2312" w:eastAsia="仿宋_GB2312"/>
          <w:color w:val="auto"/>
          <w:sz w:val="32"/>
          <w:szCs w:val="32"/>
          <w:lang w:val="en-US" w:eastAsia="zh-CN"/>
        </w:rPr>
        <w:t>2.36</w:t>
      </w:r>
      <w:r>
        <w:rPr>
          <w:rFonts w:hint="eastAsia" w:ascii="仿宋_GB2312" w:eastAsia="仿宋_GB2312"/>
          <w:color w:val="auto"/>
          <w:sz w:val="32"/>
          <w:szCs w:val="32"/>
        </w:rPr>
        <w:t>万元、政府采购工程支出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万元、政府采购服务支出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eastAsia="zh-CN"/>
        </w:rPr>
        <w:t>无</w:t>
      </w:r>
      <w:r>
        <w:rPr>
          <w:rFonts w:hint="eastAsia" w:ascii="仿宋_GB2312" w:eastAsia="仿宋_GB2312"/>
          <w:color w:val="auto"/>
          <w:sz w:val="32"/>
          <w:szCs w:val="32"/>
        </w:rPr>
        <w:t>其他有关说明内容</w:t>
      </w:r>
      <w:r>
        <w:rPr>
          <w:rFonts w:hint="eastAsia" w:ascii="仿宋_GB2312" w:hAnsi="Calibri"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七、其他重要事项的情况</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（一）国有资产占用情况说明</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截至</w:t>
      </w:r>
      <w:r>
        <w:rPr>
          <w:rFonts w:hint="eastAsia" w:ascii="仿宋_GB2312" w:eastAsia="仿宋_GB2312"/>
          <w:color w:val="auto"/>
          <w:sz w:val="32"/>
          <w:szCs w:val="32"/>
          <w:lang w:val="en-US" w:eastAsia="zh-CN"/>
        </w:rPr>
        <w:t>2017</w:t>
      </w:r>
      <w:r>
        <w:rPr>
          <w:rFonts w:hint="eastAsia" w:ascii="仿宋_GB2312" w:eastAsia="仿宋_GB2312"/>
          <w:color w:val="auto"/>
          <w:sz w:val="32"/>
          <w:szCs w:val="32"/>
        </w:rPr>
        <w:t>年12月31日，资产总计253</w:t>
      </w:r>
      <w:r>
        <w:rPr>
          <w:rFonts w:hint="eastAsia" w:ascii="仿宋_GB2312" w:eastAsia="仿宋_GB2312"/>
          <w:color w:val="auto"/>
          <w:sz w:val="32"/>
          <w:szCs w:val="32"/>
          <w:lang w:eastAsia="zh-CN"/>
        </w:rPr>
        <w:t>，</w:t>
      </w:r>
      <w:r>
        <w:rPr>
          <w:rFonts w:hint="eastAsia" w:ascii="仿宋_GB2312" w:eastAsia="仿宋_GB2312"/>
          <w:color w:val="auto"/>
          <w:sz w:val="32"/>
          <w:szCs w:val="32"/>
        </w:rPr>
        <w:t>019</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8</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万元，其中：流动资产27</w:t>
      </w:r>
      <w:r>
        <w:rPr>
          <w:rFonts w:hint="eastAsia" w:ascii="仿宋_GB2312" w:eastAsia="仿宋_GB2312"/>
          <w:color w:val="auto"/>
          <w:sz w:val="32"/>
          <w:szCs w:val="32"/>
          <w:lang w:eastAsia="zh-CN"/>
        </w:rPr>
        <w:t>，</w:t>
      </w:r>
      <w:r>
        <w:rPr>
          <w:rFonts w:hint="eastAsia" w:ascii="仿宋_GB2312" w:eastAsia="仿宋_GB2312"/>
          <w:color w:val="auto"/>
          <w:sz w:val="32"/>
          <w:szCs w:val="32"/>
        </w:rPr>
        <w:t>380</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85万元，固定资产62</w:t>
      </w:r>
      <w:r>
        <w:rPr>
          <w:rFonts w:hint="eastAsia" w:ascii="仿宋_GB2312" w:eastAsia="仿宋_GB2312"/>
          <w:color w:val="auto"/>
          <w:sz w:val="32"/>
          <w:szCs w:val="32"/>
          <w:lang w:eastAsia="zh-CN"/>
        </w:rPr>
        <w:t>，</w:t>
      </w:r>
      <w:r>
        <w:rPr>
          <w:rFonts w:hint="eastAsia" w:ascii="仿宋_GB2312" w:eastAsia="仿宋_GB2312"/>
          <w:color w:val="auto"/>
          <w:sz w:val="32"/>
          <w:szCs w:val="32"/>
        </w:rPr>
        <w:t>531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3</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万元，其中：房屋170280.78（平方米），价值51</w:t>
      </w:r>
      <w:r>
        <w:rPr>
          <w:rFonts w:hint="eastAsia" w:ascii="仿宋_GB2312" w:eastAsia="仿宋_GB2312"/>
          <w:color w:val="auto"/>
          <w:sz w:val="32"/>
          <w:szCs w:val="32"/>
          <w:lang w:eastAsia="zh-CN"/>
        </w:rPr>
        <w:t>，</w:t>
      </w:r>
      <w:r>
        <w:rPr>
          <w:rFonts w:hint="eastAsia" w:ascii="仿宋_GB2312" w:eastAsia="仿宋_GB2312"/>
          <w:color w:val="auto"/>
          <w:sz w:val="32"/>
          <w:szCs w:val="32"/>
        </w:rPr>
        <w:t>966</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8</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万元，共有车辆16辆，价值552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48万元，其中：部级领导干部用车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辆、一般公务用车</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辆、一般执法执勤用车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辆、特种专业技术用车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辆、其他用车</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辆（其他用车主要是</w:t>
      </w:r>
      <w:r>
        <w:rPr>
          <w:rFonts w:hint="eastAsia" w:ascii="仿宋_GB2312" w:eastAsia="仿宋_GB2312"/>
          <w:color w:val="auto"/>
          <w:sz w:val="32"/>
          <w:szCs w:val="32"/>
          <w:lang w:eastAsia="zh-CN"/>
        </w:rPr>
        <w:t>客车</w:t>
      </w:r>
      <w:r>
        <w:rPr>
          <w:rFonts w:hint="eastAsia" w:ascii="仿宋_GB2312" w:eastAsia="仿宋_GB2312"/>
          <w:color w:val="auto"/>
          <w:sz w:val="32"/>
          <w:szCs w:val="32"/>
        </w:rPr>
        <w:t>）；单位价值50万元以上通用设备</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台（套）、单位价值100万元以上专用设备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台（套），其他固定资产价值9515</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37万元。</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eastAsia="zh-CN"/>
        </w:rPr>
        <w:t>无</w:t>
      </w:r>
      <w:r>
        <w:rPr>
          <w:rFonts w:hint="eastAsia" w:ascii="仿宋_GB2312" w:eastAsia="仿宋_GB2312"/>
          <w:color w:val="auto"/>
          <w:sz w:val="32"/>
          <w:szCs w:val="32"/>
        </w:rPr>
        <w:t>其他有关说明内容</w:t>
      </w:r>
      <w:r>
        <w:rPr>
          <w:rFonts w:hint="eastAsia" w:ascii="仿宋_GB2312" w:hAnsi="Calibri"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（二）国有资产收益征缴情况说明</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截至</w:t>
      </w:r>
      <w:r>
        <w:rPr>
          <w:rFonts w:hint="eastAsia" w:ascii="仿宋_GB2312" w:eastAsia="仿宋_GB2312"/>
          <w:color w:val="auto"/>
          <w:sz w:val="32"/>
          <w:szCs w:val="32"/>
          <w:lang w:val="en-US" w:eastAsia="zh-CN"/>
        </w:rPr>
        <w:t>2017</w:t>
      </w:r>
      <w:r>
        <w:rPr>
          <w:rFonts w:hint="eastAsia" w:ascii="仿宋_GB2312" w:eastAsia="仿宋_GB2312"/>
          <w:color w:val="auto"/>
          <w:sz w:val="32"/>
          <w:szCs w:val="32"/>
        </w:rPr>
        <w:t>年12月31日，</w:t>
      </w:r>
      <w:r>
        <w:rPr>
          <w:rFonts w:hint="eastAsia" w:ascii="仿宋_GB2312" w:eastAsia="仿宋_GB2312"/>
          <w:color w:val="auto"/>
          <w:sz w:val="32"/>
          <w:szCs w:val="32"/>
          <w:lang w:eastAsia="zh-CN"/>
        </w:rPr>
        <w:t>自治区机关事务管理局</w:t>
      </w:r>
      <w:r>
        <w:rPr>
          <w:rFonts w:hint="eastAsia" w:ascii="仿宋_GB2312" w:eastAsia="仿宋_GB2312"/>
          <w:color w:val="auto"/>
          <w:sz w:val="32"/>
          <w:szCs w:val="32"/>
        </w:rPr>
        <w:t>单位资产有偿使用收入合计406</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85万元，资产处置收入合计</w:t>
      </w:r>
      <w:r>
        <w:rPr>
          <w:rFonts w:hint="eastAsia" w:ascii="仿宋_GB2312" w:eastAsia="仿宋_GB2312"/>
          <w:color w:val="auto"/>
          <w:sz w:val="32"/>
          <w:szCs w:val="32"/>
          <w:lang w:val="en-US" w:eastAsia="zh-CN"/>
        </w:rPr>
        <w:t>0.4</w:t>
      </w:r>
      <w:r>
        <w:rPr>
          <w:rFonts w:hint="eastAsia" w:ascii="仿宋_GB2312" w:eastAsia="仿宋_GB2312"/>
          <w:color w:val="auto"/>
          <w:sz w:val="32"/>
          <w:szCs w:val="32"/>
        </w:rPr>
        <w:t>万元。其中：已缴国库407</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25万元，已缴财政专户</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万元，应缴未缴</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万元，单位留用</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eastAsia="zh-CN"/>
        </w:rPr>
        <w:t>无</w:t>
      </w:r>
      <w:r>
        <w:rPr>
          <w:rFonts w:hint="eastAsia" w:ascii="仿宋_GB2312" w:eastAsia="仿宋_GB2312"/>
          <w:color w:val="auto"/>
          <w:sz w:val="32"/>
          <w:szCs w:val="32"/>
        </w:rPr>
        <w:t>其他有关说明内容</w:t>
      </w:r>
      <w:r>
        <w:rPr>
          <w:rFonts w:hint="eastAsia" w:ascii="仿宋_GB2312" w:hAnsi="Calibri" w:eastAsia="仿宋_GB2312"/>
          <w:color w:val="auto"/>
          <w:sz w:val="32"/>
          <w:szCs w:val="32"/>
        </w:rPr>
        <w:t>。</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（三）部门项目支出情况和项目绩效评价情况说明</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val="en-US" w:eastAsia="zh-CN"/>
        </w:rPr>
        <w:t>2017</w:t>
      </w:r>
      <w:r>
        <w:rPr>
          <w:rFonts w:hint="eastAsia" w:ascii="仿宋_GB2312" w:hAnsi="宋体" w:eastAsia="仿宋_GB2312" w:cs="宋体"/>
          <w:color w:val="auto"/>
          <w:kern w:val="0"/>
          <w:sz w:val="32"/>
          <w:szCs w:val="32"/>
        </w:rPr>
        <w:t>年度，本部门单位实行绩效管理的项目</w:t>
      </w:r>
      <w:r>
        <w:rPr>
          <w:rFonts w:hint="eastAsia" w:ascii="仿宋_GB2312" w:hAnsi="宋体" w:eastAsia="仿宋_GB2312" w:cs="宋体"/>
          <w:color w:val="auto"/>
          <w:kern w:val="0"/>
          <w:sz w:val="32"/>
          <w:szCs w:val="32"/>
          <w:lang w:val="en-US" w:eastAsia="zh-CN"/>
        </w:rPr>
        <w:t>6</w:t>
      </w:r>
      <w:r>
        <w:rPr>
          <w:rFonts w:hint="eastAsia" w:ascii="仿宋_GB2312" w:hAnsi="宋体" w:eastAsia="仿宋_GB2312" w:cs="宋体"/>
          <w:color w:val="auto"/>
          <w:kern w:val="0"/>
          <w:sz w:val="32"/>
          <w:szCs w:val="32"/>
        </w:rPr>
        <w:t>个，涉及预算</w:t>
      </w:r>
      <w:r>
        <w:rPr>
          <w:rFonts w:hint="eastAsia" w:ascii="仿宋_GB2312" w:eastAsia="仿宋_GB2312"/>
          <w:color w:val="auto"/>
          <w:sz w:val="32"/>
          <w:szCs w:val="32"/>
          <w:lang w:val="en-US" w:eastAsia="zh-CN"/>
        </w:rPr>
        <w:t>4612</w:t>
      </w:r>
      <w:r>
        <w:rPr>
          <w:rFonts w:hint="eastAsia" w:ascii="仿宋_GB2312" w:eastAsia="仿宋_GB2312"/>
          <w:color w:val="auto"/>
          <w:sz w:val="32"/>
          <w:szCs w:val="32"/>
        </w:rPr>
        <w:t>万元</w:t>
      </w:r>
      <w:r>
        <w:rPr>
          <w:rFonts w:hint="eastAsia" w:ascii="仿宋_GB2312" w:hAnsi="宋体" w:eastAsia="仿宋_GB2312" w:cs="宋体"/>
          <w:color w:val="auto"/>
          <w:kern w:val="0"/>
          <w:sz w:val="32"/>
          <w:szCs w:val="32"/>
        </w:rPr>
        <w:t>，项目支出决算</w:t>
      </w:r>
      <w:r>
        <w:rPr>
          <w:rFonts w:hint="eastAsia" w:ascii="仿宋_GB2312" w:eastAsia="仿宋_GB2312"/>
          <w:color w:val="auto"/>
          <w:sz w:val="32"/>
          <w:szCs w:val="32"/>
          <w:lang w:val="en-US" w:eastAsia="zh-CN"/>
        </w:rPr>
        <w:t>1501</w:t>
      </w:r>
      <w:r>
        <w:rPr>
          <w:rFonts w:hint="eastAsia" w:ascii="仿宋_GB2312" w:eastAsia="仿宋_GB2312"/>
          <w:color w:val="auto"/>
          <w:sz w:val="32"/>
          <w:szCs w:val="32"/>
        </w:rPr>
        <w:t>万元</w:t>
      </w:r>
      <w:r>
        <w:rPr>
          <w:rFonts w:hint="eastAsia" w:ascii="仿宋_GB2312" w:hAnsi="宋体" w:eastAsia="仿宋_GB2312" w:cs="宋体"/>
          <w:color w:val="auto"/>
          <w:kern w:val="0"/>
          <w:sz w:val="32"/>
          <w:szCs w:val="32"/>
        </w:rPr>
        <w:t>。年末</w:t>
      </w:r>
      <w:r>
        <w:rPr>
          <w:rFonts w:hint="eastAsia" w:ascii="仿宋_GB2312" w:eastAsia="仿宋_GB2312"/>
          <w:color w:val="auto"/>
          <w:sz w:val="32"/>
          <w:szCs w:val="32"/>
        </w:rPr>
        <w:t>本部门单位民生项目和重点支出项目的绩效评价开展情况及结果：</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1.清理办公用房补助经费项目</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资金已全部到位，并根据实际工作需要列支。达到预期目标，满足各项工作的实施。</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2.昆仑宾馆专项补助经费项目</w:t>
      </w:r>
    </w:p>
    <w:p>
      <w:pPr>
        <w:widowControl w:val="0"/>
        <w:wordWrap/>
        <w:snapToGrid/>
        <w:spacing w:line="500" w:lineRule="exact"/>
        <w:ind w:firstLine="640" w:firstLineChars="200"/>
        <w:textAlignment w:val="auto"/>
        <w:outlineLvl w:val="9"/>
        <w:rPr>
          <w:rFonts w:hint="eastAsia" w:ascii="仿宋_GB2312" w:hAnsi="Calibri" w:eastAsia="仿宋_GB2312"/>
          <w:color w:val="auto"/>
          <w:sz w:val="32"/>
          <w:szCs w:val="32"/>
        </w:rPr>
      </w:pPr>
      <w:r>
        <w:rPr>
          <w:rFonts w:hint="eastAsia" w:ascii="仿宋_GB2312" w:eastAsia="仿宋_GB2312"/>
          <w:color w:val="auto"/>
          <w:sz w:val="32"/>
          <w:szCs w:val="32"/>
          <w:lang w:eastAsia="zh-CN"/>
        </w:rPr>
        <w:t>资金主要用于人员技能培训和设施更新改造，提升了政务服务能力</w:t>
      </w:r>
      <w:r>
        <w:rPr>
          <w:rFonts w:hint="eastAsia" w:ascii="仿宋_GB2312" w:hAnsi="Calibri" w:eastAsia="仿宋_GB2312"/>
          <w:color w:val="auto"/>
          <w:sz w:val="32"/>
          <w:szCs w:val="32"/>
        </w:rPr>
        <w:t>。</w:t>
      </w:r>
    </w:p>
    <w:p>
      <w:pPr>
        <w:widowControl w:val="0"/>
        <w:numPr>
          <w:ilvl w:val="0"/>
          <w:numId w:val="5"/>
        </w:numPr>
        <w:wordWrap/>
        <w:snapToGrid/>
        <w:spacing w:line="500" w:lineRule="exact"/>
        <w:ind w:firstLine="640" w:firstLineChars="200"/>
        <w:textAlignment w:val="auto"/>
        <w:outlineLvl w:val="9"/>
        <w:rPr>
          <w:rFonts w:hint="eastAsia" w:ascii="仿宋_GB2312" w:hAnsi="Calibri" w:eastAsia="仿宋_GB2312"/>
          <w:color w:val="auto"/>
          <w:sz w:val="32"/>
          <w:szCs w:val="32"/>
          <w:lang w:val="en-US" w:eastAsia="zh-CN"/>
        </w:rPr>
      </w:pPr>
      <w:r>
        <w:rPr>
          <w:rFonts w:hint="eastAsia" w:ascii="仿宋_GB2312" w:hAnsi="Calibri" w:eastAsia="仿宋_GB2312"/>
          <w:color w:val="auto"/>
          <w:sz w:val="32"/>
          <w:szCs w:val="32"/>
          <w:lang w:val="en-US" w:eastAsia="zh-CN"/>
        </w:rPr>
        <w:t>国宾车队专项补助经费项目</w:t>
      </w:r>
    </w:p>
    <w:p>
      <w:pPr>
        <w:widowControl w:val="0"/>
        <w:numPr>
          <w:numId w:val="0"/>
        </w:numPr>
        <w:tabs>
          <w:tab w:val="left" w:pos="613"/>
        </w:tabs>
        <w:wordWrap/>
        <w:snapToGrid/>
        <w:spacing w:line="500" w:lineRule="exact"/>
        <w:textAlignment w:val="auto"/>
        <w:outlineLvl w:val="9"/>
        <w:rPr>
          <w:rFonts w:hint="eastAsia" w:ascii="仿宋_GB2312" w:hAnsi="Calibri"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资金主要用于人员技能培训和设施更新改造，提升了政务服务能力</w:t>
      </w:r>
      <w:r>
        <w:rPr>
          <w:rFonts w:hint="eastAsia" w:ascii="仿宋_GB2312" w:hAnsi="Calibri" w:eastAsia="仿宋_GB2312"/>
          <w:color w:val="auto"/>
          <w:sz w:val="32"/>
          <w:szCs w:val="32"/>
        </w:rPr>
        <w:t>。</w:t>
      </w:r>
    </w:p>
    <w:p>
      <w:pPr>
        <w:widowControl w:val="0"/>
        <w:numPr>
          <w:ilvl w:val="0"/>
          <w:numId w:val="6"/>
        </w:numPr>
        <w:tabs>
          <w:tab w:val="left" w:pos="613"/>
        </w:tabs>
        <w:wordWrap/>
        <w:snapToGrid/>
        <w:spacing w:line="500" w:lineRule="exact"/>
        <w:ind w:firstLine="640" w:firstLineChars="200"/>
        <w:textAlignment w:val="auto"/>
        <w:outlineLvl w:val="9"/>
        <w:rPr>
          <w:rFonts w:hint="eastAsia" w:ascii="仿宋_GB2312" w:hAnsi="Calibri" w:eastAsia="仿宋_GB2312"/>
          <w:color w:val="auto"/>
          <w:sz w:val="32"/>
          <w:szCs w:val="32"/>
          <w:lang w:eastAsia="zh-CN"/>
        </w:rPr>
      </w:pPr>
      <w:r>
        <w:rPr>
          <w:rFonts w:hint="eastAsia" w:ascii="仿宋_GB2312" w:hAnsi="Calibri" w:eastAsia="仿宋_GB2312"/>
          <w:color w:val="auto"/>
          <w:sz w:val="32"/>
          <w:szCs w:val="32"/>
          <w:lang w:eastAsia="zh-CN"/>
        </w:rPr>
        <w:t>房屋出租出借成本性</w:t>
      </w:r>
      <w:r>
        <w:rPr>
          <w:rFonts w:hint="eastAsia" w:ascii="仿宋_GB2312" w:hAnsi="Calibri" w:eastAsia="仿宋_GB2312"/>
          <w:color w:val="auto"/>
          <w:sz w:val="32"/>
          <w:szCs w:val="32"/>
        </w:rPr>
        <w:t>财政支出</w:t>
      </w:r>
      <w:r>
        <w:rPr>
          <w:rFonts w:hint="eastAsia" w:ascii="仿宋_GB2312" w:hAnsi="Calibri" w:eastAsia="仿宋_GB2312"/>
          <w:color w:val="auto"/>
          <w:sz w:val="32"/>
          <w:szCs w:val="32"/>
          <w:lang w:eastAsia="zh-CN"/>
        </w:rPr>
        <w:t>项目</w:t>
      </w:r>
    </w:p>
    <w:p>
      <w:pPr>
        <w:widowControl w:val="0"/>
        <w:wordWrap/>
        <w:snapToGrid/>
        <w:spacing w:line="500" w:lineRule="exact"/>
        <w:ind w:firstLine="640" w:firstLineChars="200"/>
        <w:textAlignment w:val="auto"/>
        <w:outlineLvl w:val="9"/>
        <w:rPr>
          <w:rFonts w:hint="eastAsia" w:ascii="仿宋_GB2312" w:hAnsi="Calibri" w:eastAsia="仿宋_GB2312"/>
          <w:color w:val="auto"/>
          <w:sz w:val="32"/>
          <w:szCs w:val="32"/>
          <w:lang w:val="en-US" w:eastAsia="zh-CN"/>
        </w:rPr>
      </w:pPr>
      <w:r>
        <w:rPr>
          <w:rFonts w:hint="eastAsia" w:ascii="仿宋_GB2312" w:eastAsia="仿宋_GB2312"/>
          <w:color w:val="auto"/>
          <w:sz w:val="32"/>
          <w:szCs w:val="32"/>
          <w:lang w:val="en-US" w:eastAsia="zh-CN"/>
        </w:rPr>
        <w:t>保障</w:t>
      </w:r>
      <w:r>
        <w:rPr>
          <w:rFonts w:hint="eastAsia" w:ascii="仿宋_GB2312" w:hAnsi="Calibri" w:eastAsia="仿宋_GB2312"/>
          <w:color w:val="auto"/>
          <w:sz w:val="32"/>
          <w:szCs w:val="32"/>
          <w:lang w:val="en-US" w:eastAsia="zh-CN"/>
        </w:rPr>
        <w:t>房屋及时维修、正常运转，发挥了国有资产的最大效益。</w:t>
      </w:r>
    </w:p>
    <w:p>
      <w:pPr>
        <w:widowControl w:val="0"/>
        <w:numPr>
          <w:ilvl w:val="0"/>
          <w:numId w:val="7"/>
        </w:numPr>
        <w:wordWrap/>
        <w:snapToGrid/>
        <w:spacing w:line="500" w:lineRule="exact"/>
        <w:ind w:firstLine="640" w:firstLineChars="200"/>
        <w:textAlignment w:val="auto"/>
        <w:outlineLvl w:val="9"/>
        <w:rPr>
          <w:rFonts w:hint="eastAsia" w:ascii="仿宋_GB2312" w:hAnsi="Calibri" w:eastAsia="仿宋_GB2312"/>
          <w:color w:val="auto"/>
          <w:sz w:val="32"/>
          <w:szCs w:val="32"/>
          <w:lang w:val="en-US" w:eastAsia="zh-CN"/>
        </w:rPr>
      </w:pPr>
      <w:r>
        <w:rPr>
          <w:rFonts w:hint="eastAsia" w:ascii="仿宋_GB2312" w:hAnsi="Calibri" w:eastAsia="仿宋_GB2312"/>
          <w:color w:val="auto"/>
          <w:sz w:val="32"/>
          <w:szCs w:val="32"/>
          <w:lang w:val="en-US" w:eastAsia="zh-CN"/>
        </w:rPr>
        <w:t>机关业务补助项目</w:t>
      </w:r>
    </w:p>
    <w:p>
      <w:pPr>
        <w:widowControl w:val="0"/>
        <w:wordWrap/>
        <w:snapToGrid/>
        <w:spacing w:line="500" w:lineRule="exact"/>
        <w:ind w:firstLine="640" w:firstLineChars="200"/>
        <w:textAlignment w:val="auto"/>
        <w:outlineLvl w:val="9"/>
        <w:rPr>
          <w:rFonts w:hint="eastAsia" w:ascii="仿宋_GB2312" w:hAnsi="Calibri" w:eastAsia="仿宋_GB2312"/>
          <w:color w:val="auto"/>
          <w:sz w:val="32"/>
          <w:szCs w:val="32"/>
          <w:lang w:val="en-US" w:eastAsia="zh-CN"/>
        </w:rPr>
      </w:pPr>
      <w:r>
        <w:rPr>
          <w:rFonts w:hint="eastAsia" w:ascii="仿宋_GB2312" w:hAnsi="Calibri" w:eastAsia="仿宋_GB2312"/>
          <w:color w:val="auto"/>
          <w:sz w:val="32"/>
          <w:szCs w:val="32"/>
          <w:lang w:val="en-US" w:eastAsia="zh-CN"/>
        </w:rPr>
        <w:t>保障机关各项业务工作正常开展，为我局今后职能扩展提供资金保障</w:t>
      </w:r>
    </w:p>
    <w:p>
      <w:pPr>
        <w:widowControl w:val="0"/>
        <w:numPr>
          <w:ilvl w:val="0"/>
          <w:numId w:val="8"/>
        </w:numPr>
        <w:wordWrap/>
        <w:snapToGrid/>
        <w:spacing w:line="500" w:lineRule="exact"/>
        <w:ind w:firstLine="640" w:firstLineChars="200"/>
        <w:textAlignment w:val="auto"/>
        <w:outlineLvl w:val="9"/>
        <w:rPr>
          <w:rFonts w:hint="eastAsia" w:ascii="仿宋_GB2312" w:hAnsi="Calibri" w:eastAsia="仿宋_GB2312"/>
          <w:color w:val="auto"/>
          <w:sz w:val="32"/>
          <w:szCs w:val="32"/>
          <w:lang w:val="en-US" w:eastAsia="zh-CN"/>
        </w:rPr>
      </w:pPr>
      <w:r>
        <w:rPr>
          <w:rFonts w:hint="eastAsia" w:ascii="仿宋_GB2312" w:hAnsi="Calibri" w:eastAsia="仿宋_GB2312"/>
          <w:color w:val="auto"/>
          <w:sz w:val="32"/>
          <w:szCs w:val="32"/>
          <w:lang w:val="en-US" w:eastAsia="zh-CN"/>
        </w:rPr>
        <w:t>公共机构节能专项资金</w:t>
      </w:r>
    </w:p>
    <w:p>
      <w:pPr>
        <w:widowControl w:val="0"/>
        <w:wordWrap/>
        <w:snapToGrid/>
        <w:spacing w:line="500" w:lineRule="exact"/>
        <w:ind w:firstLine="640" w:firstLineChars="200"/>
        <w:textAlignment w:val="auto"/>
        <w:outlineLvl w:val="9"/>
        <w:rPr>
          <w:rFonts w:hint="eastAsia" w:ascii="仿宋_GB2312" w:hAnsi="Calibri" w:eastAsia="仿宋_GB2312"/>
          <w:color w:val="auto"/>
          <w:sz w:val="32"/>
          <w:szCs w:val="32"/>
          <w:lang w:val="en-US" w:eastAsia="zh-CN"/>
        </w:rPr>
      </w:pPr>
      <w:r>
        <w:rPr>
          <w:rFonts w:hint="eastAsia" w:ascii="仿宋_GB2312" w:hAnsi="Calibri" w:eastAsia="仿宋_GB2312"/>
          <w:color w:val="auto"/>
          <w:sz w:val="32"/>
          <w:szCs w:val="32"/>
          <w:lang w:val="en-US" w:eastAsia="zh-CN"/>
        </w:rPr>
        <w:t>用于</w:t>
      </w:r>
      <w:r>
        <w:rPr>
          <w:rFonts w:eastAsia="仿宋_GB2312"/>
          <w:color w:val="auto"/>
          <w:sz w:val="32"/>
          <w:szCs w:val="32"/>
        </w:rPr>
        <w:t>乡村绿色照明试点项目</w:t>
      </w:r>
      <w:r>
        <w:rPr>
          <w:rFonts w:hint="eastAsia" w:eastAsia="仿宋_GB2312"/>
          <w:color w:val="auto"/>
          <w:sz w:val="32"/>
          <w:szCs w:val="32"/>
          <w:lang w:eastAsia="zh-CN"/>
        </w:rPr>
        <w:t>和</w:t>
      </w:r>
      <w:r>
        <w:rPr>
          <w:rFonts w:eastAsia="仿宋_GB2312"/>
          <w:color w:val="auto"/>
          <w:sz w:val="32"/>
          <w:szCs w:val="32"/>
        </w:rPr>
        <w:t>第一批国家级节能示范单位的补助</w:t>
      </w:r>
      <w:r>
        <w:rPr>
          <w:rFonts w:hint="eastAsia" w:eastAsia="仿宋_GB2312"/>
          <w:color w:val="auto"/>
          <w:sz w:val="32"/>
          <w:szCs w:val="32"/>
          <w:lang w:eastAsia="zh-CN"/>
        </w:rPr>
        <w:t>，有力的</w:t>
      </w:r>
      <w:r>
        <w:rPr>
          <w:rFonts w:hint="eastAsia" w:ascii="仿宋_GB2312" w:hAnsi="Calibri" w:eastAsia="仿宋_GB2312"/>
          <w:color w:val="auto"/>
          <w:sz w:val="32"/>
          <w:szCs w:val="32"/>
          <w:lang w:val="en-US" w:eastAsia="zh-CN"/>
        </w:rPr>
        <w:t>指导、宣传、推动了全区公共机构节能工作项目的开展</w:t>
      </w:r>
    </w:p>
    <w:p>
      <w:pPr>
        <w:widowControl w:val="0"/>
        <w:wordWrap/>
        <w:snapToGrid/>
        <w:spacing w:line="500" w:lineRule="exact"/>
        <w:ind w:firstLine="640" w:firstLineChars="200"/>
        <w:textAlignment w:val="auto"/>
        <w:outlineLvl w:val="9"/>
        <w:rPr>
          <w:rFonts w:hint="eastAsia" w:ascii="仿宋_GB2312" w:hAnsi="Calibri" w:eastAsia="仿宋_GB2312"/>
          <w:color w:val="auto"/>
          <w:sz w:val="32"/>
          <w:szCs w:val="32"/>
          <w:lang w:val="en-US" w:eastAsia="zh-CN"/>
        </w:rPr>
      </w:pPr>
      <w:r>
        <w:rPr>
          <w:rFonts w:hint="eastAsia" w:ascii="仿宋_GB2312" w:eastAsia="仿宋_GB2312"/>
          <w:color w:val="auto"/>
          <w:sz w:val="32"/>
          <w:szCs w:val="32"/>
          <w:lang w:eastAsia="zh-CN"/>
        </w:rPr>
        <w:t>无</w:t>
      </w:r>
      <w:r>
        <w:rPr>
          <w:rFonts w:hint="eastAsia" w:ascii="仿宋_GB2312" w:eastAsia="仿宋_GB2312"/>
          <w:color w:val="auto"/>
          <w:sz w:val="32"/>
          <w:szCs w:val="32"/>
        </w:rPr>
        <w:t>其他有关说明内容</w:t>
      </w:r>
      <w:r>
        <w:rPr>
          <w:rFonts w:hint="eastAsia" w:ascii="仿宋_GB2312" w:hAnsi="Calibri" w:eastAsia="仿宋_GB2312"/>
          <w:color w:val="auto"/>
          <w:sz w:val="32"/>
          <w:szCs w:val="32"/>
        </w:rPr>
        <w:t>。</w:t>
      </w:r>
    </w:p>
    <w:p>
      <w:pPr>
        <w:widowControl w:val="0"/>
        <w:wordWrap/>
        <w:adjustRightInd/>
        <w:snapToGrid/>
        <w:spacing w:line="500" w:lineRule="exact"/>
        <w:ind w:firstLine="0" w:firstLineChars="0"/>
        <w:jc w:val="center"/>
        <w:textAlignment w:val="auto"/>
        <w:outlineLvl w:val="0"/>
        <w:rPr>
          <w:rFonts w:hint="eastAsia" w:ascii="黑体" w:hAnsi="黑体" w:eastAsia="黑体"/>
          <w:b w:val="0"/>
          <w:color w:val="auto"/>
          <w:sz w:val="32"/>
          <w:szCs w:val="32"/>
        </w:rPr>
      </w:pPr>
    </w:p>
    <w:p>
      <w:pPr>
        <w:widowControl w:val="0"/>
        <w:wordWrap/>
        <w:adjustRightInd/>
        <w:snapToGrid/>
        <w:spacing w:line="500" w:lineRule="exact"/>
        <w:ind w:firstLine="0" w:firstLineChars="0"/>
        <w:jc w:val="center"/>
        <w:textAlignment w:val="auto"/>
        <w:outlineLvl w:val="0"/>
        <w:rPr>
          <w:rFonts w:hint="eastAsia" w:ascii="黑体" w:hAnsi="黑体" w:eastAsia="黑体"/>
          <w:b w:val="0"/>
          <w:color w:val="auto"/>
          <w:sz w:val="32"/>
          <w:szCs w:val="32"/>
        </w:rPr>
      </w:pPr>
      <w:r>
        <w:rPr>
          <w:rFonts w:hint="eastAsia" w:ascii="黑体" w:hAnsi="黑体" w:eastAsia="黑体"/>
          <w:b w:val="0"/>
          <w:color w:val="auto"/>
          <w:sz w:val="32"/>
          <w:szCs w:val="32"/>
        </w:rPr>
        <w:t>第三部分 专业名词解释</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财政拨款收入：指同级财政当年拨付的资金。</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上级补助收入：指事业单位从主管部门和上级单位取得的非财政补助收入。</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事业收入：指事业单位开展专业业务活动及其辅助活动所取得的收入。</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经营收入：指事业单位在专业业务活动及其辅助活动之外开展非独立核算经营活动取得的收入。</w:t>
      </w:r>
      <w:bookmarkStart w:id="0" w:name="_GoBack"/>
      <w:bookmarkEnd w:id="0"/>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附属单位</w:t>
      </w:r>
      <w:r>
        <w:rPr>
          <w:rFonts w:hint="eastAsia" w:ascii="仿宋_GB2312" w:eastAsia="仿宋_GB2312"/>
          <w:color w:val="auto"/>
          <w:sz w:val="32"/>
          <w:szCs w:val="32"/>
          <w:lang w:eastAsia="zh-CN"/>
        </w:rPr>
        <w:t>上缴收入</w:t>
      </w:r>
      <w:r>
        <w:rPr>
          <w:rFonts w:hint="eastAsia" w:ascii="仿宋_GB2312" w:eastAsia="仿宋_GB2312"/>
          <w:color w:val="auto"/>
          <w:sz w:val="32"/>
          <w:szCs w:val="32"/>
        </w:rPr>
        <w:t>：指事业单位附属的独立核算单位按有关规定上缴的收入。</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其他收入：指除上述“财政拨款收入”、“事业收入”、“经营收入”、“附属单位</w:t>
      </w:r>
      <w:r>
        <w:rPr>
          <w:rFonts w:hint="eastAsia" w:ascii="仿宋_GB2312" w:eastAsia="仿宋_GB2312"/>
          <w:color w:val="auto"/>
          <w:sz w:val="32"/>
          <w:szCs w:val="32"/>
          <w:lang w:eastAsia="zh-CN"/>
        </w:rPr>
        <w:t>上缴收入</w:t>
      </w:r>
      <w:r>
        <w:rPr>
          <w:rFonts w:hint="eastAsia" w:ascii="仿宋_GB2312" w:eastAsia="仿宋_GB2312"/>
          <w:color w:val="auto"/>
          <w:sz w:val="32"/>
          <w:szCs w:val="32"/>
        </w:rPr>
        <w:t>”等之外取得的收入。</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结余分配：反映单位当年结余的分配情况。</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基本支出：指为保障机构正常运转、完成日常工作任务而发生的人员支出和公用支出。</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项目支出：指在基本支出之外为完成特定行政任务和事业发展目标所发生的支出。</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经营支出：指事业单位在专业业务活动及其辅助活动之外开展非独立核算经营活动发生的支出。</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对附属单位补助支出：指事业单位发生的用非财政预算资金对附属单位的补助支出。</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本单位支出功能分类说明</w:t>
      </w:r>
      <w:r>
        <w:rPr>
          <w:rFonts w:hint="eastAsia" w:ascii="仿宋_GB2312" w:hAnsi="Calibri" w:eastAsia="仿宋_GB2312"/>
          <w:color w:val="auto"/>
          <w:sz w:val="32"/>
          <w:szCs w:val="32"/>
        </w:rPr>
        <w:t>。</w:t>
      </w:r>
      <w:r>
        <w:rPr>
          <w:rFonts w:hint="eastAsia" w:ascii="仿宋_GB2312" w:eastAsia="仿宋_GB2312"/>
          <w:color w:val="auto"/>
          <w:sz w:val="32"/>
          <w:szCs w:val="32"/>
        </w:rPr>
        <w:t>2010301：指行政运行。2010303：指机关服务。2010304</w:t>
      </w:r>
      <w:r>
        <w:rPr>
          <w:rFonts w:hint="eastAsia" w:ascii="仿宋_GB2312" w:eastAsia="仿宋_GB2312"/>
          <w:color w:val="auto"/>
          <w:sz w:val="32"/>
          <w:szCs w:val="32"/>
          <w:lang w:eastAsia="zh-CN"/>
        </w:rPr>
        <w:t>：指专项服务。2010399：指其他政府办公厅（室）及相关机构事务支出。2080504：指未归口管理的行政单位离退休。2080505：指机关事业单位基本养老保险缴费支出。2080506：指机关事业单位职业年金缴费支出。2080599：其他行政事业单位离退休支出。2080699：指其他企业改革发展补助。2110199：指其他环境保护管理事务支出。2111001：指能源节约利用。</w:t>
      </w:r>
    </w:p>
    <w:p>
      <w:pPr>
        <w:widowControl w:val="0"/>
        <w:wordWrap/>
        <w:snapToGrid/>
        <w:spacing w:line="500" w:lineRule="exact"/>
        <w:ind w:firstLine="643" w:firstLineChars="200"/>
        <w:textAlignment w:val="auto"/>
        <w:outlineLvl w:val="9"/>
        <w:rPr>
          <w:rFonts w:hint="eastAsia" w:ascii="仿宋_GB2312" w:eastAsia="仿宋_GB2312"/>
          <w:b/>
          <w:color w:val="auto"/>
          <w:sz w:val="32"/>
          <w:szCs w:val="32"/>
        </w:rPr>
      </w:pPr>
    </w:p>
    <w:p>
      <w:pPr>
        <w:widowControl w:val="0"/>
        <w:wordWrap/>
        <w:adjustRightInd/>
        <w:snapToGrid/>
        <w:spacing w:line="500" w:lineRule="exact"/>
        <w:ind w:firstLine="0" w:firstLineChars="0"/>
        <w:jc w:val="center"/>
        <w:textAlignment w:val="auto"/>
        <w:outlineLvl w:val="0"/>
        <w:rPr>
          <w:rFonts w:hint="eastAsia" w:ascii="黑体" w:hAnsi="黑体" w:eastAsia="黑体"/>
          <w:b w:val="0"/>
          <w:color w:val="auto"/>
          <w:sz w:val="32"/>
          <w:szCs w:val="32"/>
        </w:rPr>
      </w:pPr>
      <w:r>
        <w:rPr>
          <w:rFonts w:hint="eastAsia" w:ascii="黑体" w:hAnsi="黑体" w:eastAsia="黑体"/>
          <w:b w:val="0"/>
          <w:color w:val="auto"/>
          <w:sz w:val="32"/>
          <w:szCs w:val="32"/>
        </w:rPr>
        <w:t>第四部分 部门决算报表（见附表）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一、报表封面</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二、《收入支出决算总表》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三、《收入决算表》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四、《支出决算表》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五、《收入支出决算表》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六、《项目收入支出决算表》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七、《行政事业类项目收入支出决算表》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八、《基本建设类项目收入支出决算表》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九、《支出决算明细表》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十、《基本支出决算明细表》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十一、《项目支出决算明细表》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十二、《财政专户管理资金收入支出决算表》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十三、《财政拨款收入支出决算总表》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十四、《一般公共预算财政拨款收入支出决算表》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十五、《一般公共预算财政拨款支出决算明细表》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十六、《一般公共预算财政拨款基本支出决算明细表》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十七、《一般公共预算财政拨款项目支出决算明细表》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十八、《政府性基金预算财政拨款收入支出决算表》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十九、《政府性基金预算财政拨款支出决算明细表》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二十、《政府性基金预算财政拨款基本支出决算明细表》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二十一、《政府性基金预算财政拨款项目支出决算明细表》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二十二、《资产负债简表》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二十三、《资产情况表》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二十四、《国有资产收益征缴情况表》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二十五、《基本数字表》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二十六、《机构人员情况表》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二十七、《非税收入征缴情况表》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二十八、《部门决算相关信息统计表》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二十九、《政府采购情况表》</w:t>
      </w:r>
    </w:p>
    <w:p>
      <w:pPr>
        <w:widowControl w:val="0"/>
        <w:wordWrap/>
        <w:snapToGrid/>
        <w:spacing w:line="50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三十、《</w:t>
      </w:r>
      <w:r>
        <w:rPr>
          <w:rFonts w:hint="eastAsia" w:ascii="仿宋_GB2312" w:eastAsia="仿宋_GB2312"/>
          <w:color w:val="auto"/>
          <w:sz w:val="32"/>
          <w:szCs w:val="32"/>
          <w:lang w:val="en-US" w:eastAsia="zh-CN"/>
        </w:rPr>
        <w:t>2017</w:t>
      </w:r>
      <w:r>
        <w:rPr>
          <w:rFonts w:hint="eastAsia" w:ascii="仿宋_GB2312" w:eastAsia="仿宋_GB2312"/>
          <w:color w:val="auto"/>
          <w:sz w:val="32"/>
          <w:szCs w:val="32"/>
        </w:rPr>
        <w:t>年度一般公共预算“三公”经费支出情况表》</w:t>
      </w:r>
    </w:p>
    <w:p>
      <w:pPr>
        <w:widowControl w:val="0"/>
        <w:wordWrap/>
        <w:snapToGrid/>
        <w:textAlignment w:val="auto"/>
        <w:outlineLvl w:val="9"/>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5355059">
    <w:nsid w:val="5B83A8B3"/>
    <w:multiLevelType w:val="singleLevel"/>
    <w:tmpl w:val="5B83A8B3"/>
    <w:lvl w:ilvl="0" w:tentative="1">
      <w:start w:val="2"/>
      <w:numFmt w:val="chineseCounting"/>
      <w:suff w:val="nothing"/>
      <w:lvlText w:val="%1、"/>
      <w:lvlJc w:val="left"/>
    </w:lvl>
  </w:abstractNum>
  <w:abstractNum w:abstractNumId="1535816301">
    <w:nsid w:val="5B8AB26D"/>
    <w:multiLevelType w:val="singleLevel"/>
    <w:tmpl w:val="5B8AB26D"/>
    <w:lvl w:ilvl="0" w:tentative="1">
      <w:start w:val="5"/>
      <w:numFmt w:val="decimal"/>
      <w:suff w:val="nothing"/>
      <w:lvlText w:val="%1."/>
      <w:lvlJc w:val="left"/>
    </w:lvl>
  </w:abstractNum>
  <w:abstractNum w:abstractNumId="1535815631">
    <w:nsid w:val="5B8AAFCF"/>
    <w:multiLevelType w:val="singleLevel"/>
    <w:tmpl w:val="5B8AAFCF"/>
    <w:lvl w:ilvl="0" w:tentative="1">
      <w:start w:val="3"/>
      <w:numFmt w:val="decimal"/>
      <w:suff w:val="nothing"/>
      <w:lvlText w:val="%1."/>
      <w:lvlJc w:val="left"/>
    </w:lvl>
  </w:abstractNum>
  <w:abstractNum w:abstractNumId="1535354383">
    <w:nsid w:val="5B83A60F"/>
    <w:multiLevelType w:val="singleLevel"/>
    <w:tmpl w:val="5B83A60F"/>
    <w:lvl w:ilvl="0" w:tentative="1">
      <w:start w:val="1"/>
      <w:numFmt w:val="chineseCounting"/>
      <w:suff w:val="nothing"/>
      <w:lvlText w:val="%1、"/>
      <w:lvlJc w:val="left"/>
    </w:lvl>
  </w:abstractNum>
  <w:abstractNum w:abstractNumId="1535816037">
    <w:nsid w:val="5B8AB165"/>
    <w:multiLevelType w:val="singleLevel"/>
    <w:tmpl w:val="5B8AB165"/>
    <w:lvl w:ilvl="0" w:tentative="1">
      <w:start w:val="4"/>
      <w:numFmt w:val="decimal"/>
      <w:suff w:val="nothing"/>
      <w:lvlText w:val="%1."/>
      <w:lvlJc w:val="left"/>
    </w:lvl>
  </w:abstractNum>
  <w:abstractNum w:abstractNumId="1535354971">
    <w:nsid w:val="5B83A85B"/>
    <w:multiLevelType w:val="singleLevel"/>
    <w:tmpl w:val="5B83A85B"/>
    <w:lvl w:ilvl="0" w:tentative="1">
      <w:start w:val="1"/>
      <w:numFmt w:val="chineseCounting"/>
      <w:suff w:val="nothing"/>
      <w:lvlText w:val="%1、"/>
      <w:lvlJc w:val="left"/>
    </w:lvl>
  </w:abstractNum>
  <w:abstractNum w:abstractNumId="1535816503">
    <w:nsid w:val="5B8AB337"/>
    <w:multiLevelType w:val="singleLevel"/>
    <w:tmpl w:val="5B8AB337"/>
    <w:lvl w:ilvl="0" w:tentative="1">
      <w:start w:val="6"/>
      <w:numFmt w:val="decimal"/>
      <w:suff w:val="nothing"/>
      <w:lvlText w:val="%1."/>
      <w:lvlJc w:val="left"/>
    </w:lvl>
  </w:abstractNum>
  <w:abstractNum w:abstractNumId="1535354772">
    <w:nsid w:val="5B83A794"/>
    <w:multiLevelType w:val="singleLevel"/>
    <w:tmpl w:val="5B83A794"/>
    <w:lvl w:ilvl="0" w:tentative="1">
      <w:start w:val="2"/>
      <w:numFmt w:val="chineseCounting"/>
      <w:suff w:val="nothing"/>
      <w:lvlText w:val="%1、"/>
      <w:lvlJc w:val="left"/>
    </w:lvl>
  </w:abstractNum>
  <w:num w:numId="1">
    <w:abstractNumId w:val="1535354383"/>
  </w:num>
  <w:num w:numId="2">
    <w:abstractNumId w:val="1535354772"/>
  </w:num>
  <w:num w:numId="3">
    <w:abstractNumId w:val="1535354971"/>
  </w:num>
  <w:num w:numId="4">
    <w:abstractNumId w:val="1535355059"/>
  </w:num>
  <w:num w:numId="5">
    <w:abstractNumId w:val="1535815631"/>
  </w:num>
  <w:num w:numId="6">
    <w:abstractNumId w:val="1535816037"/>
  </w:num>
  <w:num w:numId="7">
    <w:abstractNumId w:val="1535816301"/>
  </w:num>
  <w:num w:numId="8">
    <w:abstractNumId w:val="15358165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uiPriority w:val="0"/>
    <w:pPr>
      <w:spacing w:before="100" w:beforeAutospacing="1" w:after="100" w:afterAutospacing="1"/>
      <w:ind w:left="0" w:right="0"/>
      <w:jc w:val="left"/>
    </w:pPr>
    <w:rPr>
      <w:kern w:val="0"/>
      <w:sz w:val="24"/>
      <w:lang w:val="en-US" w:eastAsia="zh-CN"/>
    </w:rPr>
  </w:style>
  <w:style w:type="character" w:styleId="6">
    <w:name w:val="page number"/>
    <w:basedOn w:val="5"/>
    <w:uiPriority w:val="0"/>
    <w:rPr/>
  </w:style>
  <w:style w:type="paragraph" w:customStyle="1" w:styleId="7">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2018-06-29T11:29:00Z</dcterms:created>
  <dc:creator>GXR</dc:creator>
  <cp:lastModifiedBy>ad</cp:lastModifiedBy>
  <cp:lastPrinted>2018-09-03T08:55:00Z</cp:lastPrinted>
  <dcterms:modified xsi:type="dcterms:W3CDTF">2018-09-20T09:28:03Z</dcterms:modified>
  <dc:title>2017年度自治区机关事务管理局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