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2018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项目名称：新疆迎宾馆2018年专项补助经费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实施单位（公章）：新疆迎宾馆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主管部门（公章）：新疆维吾尔自治区机关事务管理局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项目负责人（签章）：岳勤智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 2019  年 1  月 23 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新疆迎宾馆隶属机关事务管理局下的差额补贴事业单位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在确保完成任务接待的同时，完成以下目标：1、贯彻执行中央八项规定的同时保证每项任务接待圆满完成；2、全年围绕新疆工作总目标安排部署各项工作；3、进一步收集、汇总、整理和提供有关任务接待服务统计数据；4、进一步加强联系指导，提升任务接待工作整体水平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下达新疆迎宾馆专项业务补助费1980万元。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资金使用率达到100%。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6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spacing w:val="-4"/>
          <w:sz w:val="32"/>
          <w:szCs w:val="32"/>
        </w:rPr>
        <w:t>严格遵守《中华人民共和国会计法》和相关财务制度。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全年完成任务接待148批次，完成亚欧博览会、中央纪委巡视组及重要外事接待。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为保证任务接待顺利进行，各级党委政府及上级管理部门在大型接待任务中实时监督。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通过项目的实施保障任务顺利完成，并将园林绿化植被最大化，实现绿色环保效益。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（如项目绩效目标已完成，可不用填写该部分。）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保障每一次接待任务圆满完成。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通过项目实施在保障接待完成的情况同时实现利益最大化，并能实现绿色环保的社会效益。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通过项目的实施，顺利完成接待任务，受到党和国家领导人高度赞扬。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6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下达新疆迎宾馆2018年专项补助经费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新疆迎宾馆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1980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1980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1980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1980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4"/>
              </w:rPr>
              <w:t>1、贯彻执行中央八项规定的同时保证每项任务接待圆满完成；2、全年围绕新疆工作总目标安排部署各项工作；3、进一步收集、汇总、整理和提供有关任务接待服务统计数据；4、进一步加强联系指导，提升任务接待工作整体水平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18"/>
                <w:rFonts w:hint="eastAsia" w:ascii="仿宋" w:hAnsi="仿宋" w:eastAsia="仿宋"/>
                <w:b w:val="0"/>
                <w:spacing w:val="-4"/>
                <w:sz w:val="24"/>
              </w:rPr>
              <w:t>1、贯彻执行中央八项规定的同时保证每项任务接待圆满完成；2、全年围绕新疆工作总目标安排部署各项工作；3、进一步收集、汇总、整理和提供有关任务接待服务统计数据；4、进一步加强联系指导，提升任务接待工作整体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指标1：全年完成接待任务148批次，通过项目的实施，保证任务圆满完成。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项目总投资1980万元。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项目总投资1980万元。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指标2：完成国家级接待任务。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国家级接待任务13批次。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国家级接待任务13批次。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指标3：完成中国亚欧博览会、中央纪委巡视组及重要外事接待。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通过项目的实施，保证任务圆满完成。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通过项目的实施，保证任务圆满完成。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指标1：提高接待水平，确保任务高质量完成。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确保领导满意度达95%以上。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确保领导满意度达95%以上。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指标1：加强经费审批和控制，规范指出标准与范围，及时更新台账，及时对实物进行盘点，确保账实相符。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资金使用有效率达100%.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资金使用有效率达100%.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指标2：支出符合部门预算批复用途，无残留、无挪用、无占用。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项目总投资1980万。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项目总投资1980万。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贯彻中央八项规定，坚持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厉行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节约，反对浪费，结合实际工作，多措并举监督“三公”经费管理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实现科学化、规范化管理，资金使用率达到100%。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实现科学化、规范化管理，资金使用率达到100%。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指标1：在保障任务接待的同时注重单位园林环境建设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全年投入园林绿化等建设资金占项目资金比重20%。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全年投入园林绿化等建设资金占项目资金比重20%。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指标1：受到来往宾客高度赞扬。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通过项目的实施，长期保证任务接待的需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求。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通过项目的实施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长期保证任务接待的需求。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汉仪中宋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7FDDF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6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7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8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 w:eastAsia="宋体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="Calibri" w:hAnsi="Calibri" w:eastAsia="宋体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0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="Calibri" w:hAnsi="Calibri" w:eastAsia="宋体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1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="Calibri" w:hAnsi="Calibri" w:eastAsia="宋体"/>
      <w:kern w:val="0"/>
      <w:sz w:val="24"/>
    </w:rPr>
  </w:style>
  <w:style w:type="paragraph" w:styleId="9">
    <w:name w:val="heading 8"/>
    <w:basedOn w:val="1"/>
    <w:next w:val="1"/>
    <w:link w:val="32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="Calibri" w:hAnsi="Calibri" w:eastAsia="宋体"/>
      <w:i/>
      <w:iCs/>
      <w:kern w:val="0"/>
      <w:sz w:val="24"/>
    </w:rPr>
  </w:style>
  <w:style w:type="paragraph" w:styleId="10">
    <w:name w:val="heading 9"/>
    <w:basedOn w:val="1"/>
    <w:next w:val="1"/>
    <w:link w:val="33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 w:eastAsia="宋体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5"/>
    <w:qFormat/>
    <w:uiPriority w:val="11"/>
    <w:pPr>
      <w:widowControl/>
      <w:spacing w:after="60"/>
      <w:jc w:val="center"/>
      <w:outlineLvl w:val="1"/>
    </w:pPr>
    <w:rPr>
      <w:rFonts w:ascii="Cambria" w:hAnsi="Cambria" w:eastAsia="宋体"/>
      <w:kern w:val="0"/>
      <w:sz w:val="24"/>
    </w:rPr>
  </w:style>
  <w:style w:type="paragraph" w:styleId="15">
    <w:name w:val="Title"/>
    <w:basedOn w:val="1"/>
    <w:next w:val="1"/>
    <w:link w:val="34"/>
    <w:qFormat/>
    <w:uiPriority w:val="1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="Calibri" w:hAnsi="Calibri"/>
      <w:b/>
      <w:i/>
      <w:iCs/>
    </w:rPr>
  </w:style>
  <w:style w:type="paragraph" w:customStyle="1" w:styleId="20">
    <w:name w:val="No Spacing"/>
    <w:basedOn w:val="1"/>
    <w:qFormat/>
    <w:uiPriority w:val="1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2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22">
    <w:name w:val="Quote"/>
    <w:basedOn w:val="1"/>
    <w:next w:val="1"/>
    <w:link w:val="36"/>
    <w:qFormat/>
    <w:uiPriority w:val="29"/>
    <w:pPr>
      <w:widowControl/>
      <w:jc w:val="left"/>
    </w:pPr>
    <w:rPr>
      <w:rFonts w:ascii="Calibri" w:hAnsi="Calibri" w:eastAsia="宋体"/>
      <w:i/>
      <w:kern w:val="0"/>
      <w:sz w:val="24"/>
    </w:rPr>
  </w:style>
  <w:style w:type="paragraph" w:customStyle="1" w:styleId="23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="Calibri" w:hAnsi="Calibri" w:eastAsia="宋体"/>
      <w:b/>
      <w:i/>
      <w:kern w:val="0"/>
      <w:sz w:val="24"/>
      <w:szCs w:val="22"/>
    </w:rPr>
  </w:style>
  <w:style w:type="paragraph" w:customStyle="1" w:styleId="24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25">
    <w:name w:val="标题 1 Char"/>
    <w:basedOn w:val="17"/>
    <w:link w:val="2"/>
    <w:qFormat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6">
    <w:name w:val="标题 2 Char"/>
    <w:basedOn w:val="17"/>
    <w:link w:val="3"/>
    <w:semiHidden/>
    <w:qFormat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7">
    <w:name w:val="标题 3 Char"/>
    <w:basedOn w:val="17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8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9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0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31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32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33">
    <w:name w:val="标题 9 Char"/>
    <w:basedOn w:val="17"/>
    <w:link w:val="10"/>
    <w:semiHidden/>
    <w:qFormat/>
    <w:uiPriority w:val="9"/>
    <w:rPr>
      <w:rFonts w:ascii="Cambria" w:hAnsi="Cambria" w:eastAsia="宋体"/>
    </w:rPr>
  </w:style>
  <w:style w:type="character" w:customStyle="1" w:styleId="34">
    <w:name w:val="标题 Char"/>
    <w:basedOn w:val="17"/>
    <w:link w:val="15"/>
    <w:qFormat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5">
    <w:name w:val="副标题 Char"/>
    <w:basedOn w:val="17"/>
    <w:link w:val="14"/>
    <w:qFormat/>
    <w:uiPriority w:val="11"/>
    <w:rPr>
      <w:rFonts w:ascii="Cambria" w:hAnsi="Cambria" w:eastAsia="宋体"/>
      <w:sz w:val="24"/>
      <w:szCs w:val="24"/>
    </w:rPr>
  </w:style>
  <w:style w:type="character" w:customStyle="1" w:styleId="36">
    <w:name w:val="引用 Char"/>
    <w:basedOn w:val="17"/>
    <w:link w:val="22"/>
    <w:qFormat/>
    <w:uiPriority w:val="29"/>
    <w:rPr>
      <w:i/>
      <w:sz w:val="24"/>
      <w:szCs w:val="24"/>
    </w:rPr>
  </w:style>
  <w:style w:type="character" w:customStyle="1" w:styleId="37">
    <w:name w:val="明显引用 Char"/>
    <w:basedOn w:val="17"/>
    <w:link w:val="23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="Cambria" w:hAnsi="Cambria" w:eastAsia="宋体"/>
      <w:b/>
      <w:i/>
      <w:sz w:val="24"/>
      <w:szCs w:val="24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347</Words>
  <Characters>1979</Characters>
  <Lines>16</Lines>
  <Paragraphs>4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2019-01-23T17:11:00Z</dcterms:created>
  <dc:creator>赵 恺（预算处）</dc:creator>
  <cp:lastModifiedBy>user</cp:lastModifiedBy>
  <cp:lastPrinted>2019-01-31T00:25:00Z</cp:lastPrinted>
  <dcterms:modified xsi:type="dcterms:W3CDTF">2024-08-12T13:26:32Z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