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2018年度新疆维吾尔自治区机关事务</w:t>
      </w:r>
      <w:r>
        <w:rPr>
          <w:rFonts w:hint="eastAsia" w:ascii="方正小标宋_GBK" w:hAnsi="宋体" w:eastAsia="方正小标宋_GBK"/>
          <w:sz w:val="44"/>
          <w:szCs w:val="44"/>
          <w:lang w:val="en-US" w:eastAsia="zh-CN"/>
        </w:rPr>
        <w:t xml:space="preserve">   </w:t>
      </w:r>
      <w:r>
        <w:rPr>
          <w:rFonts w:hint="eastAsia" w:ascii="方正小标宋_GBK" w:hAnsi="宋体" w:eastAsia="方正小标宋_GBK"/>
          <w:sz w:val="44"/>
          <w:szCs w:val="44"/>
        </w:rPr>
        <w:t>管理局部门决算公开说明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wordWrap/>
        <w:spacing w:before="0" w:after="0" w:line="560" w:lineRule="exact"/>
        <w:ind w:firstLine="675" w:firstLineChars="211"/>
        <w:jc w:val="left"/>
        <w:textAlignment w:val="auto"/>
        <w:outlineLvl w:val="9"/>
        <w:rPr>
          <w:rFonts w:hint="eastAsia" w:ascii="仿宋_GB2312" w:hAnsi="宋体" w:eastAsia="仿宋_GB2312"/>
          <w:color w:val="auto"/>
          <w:kern w:val="0"/>
          <w:sz w:val="32"/>
          <w:szCs w:val="32"/>
        </w:rPr>
      </w:pPr>
      <w:r>
        <w:rPr>
          <w:rFonts w:hint="eastAsia" w:ascii="仿宋_GB2312" w:hAnsi="宋体" w:eastAsia="仿宋_GB2312"/>
          <w:color w:val="auto"/>
          <w:kern w:val="0"/>
          <w:sz w:val="32"/>
          <w:szCs w:val="32"/>
        </w:rPr>
        <w:t>1</w:t>
      </w:r>
      <w:r>
        <w:rPr>
          <w:rFonts w:hint="eastAsia" w:ascii="仿宋_GB2312" w:hAnsi="宋体" w:eastAsia="仿宋_GB2312"/>
          <w:color w:val="auto"/>
          <w:kern w:val="0"/>
          <w:sz w:val="32"/>
          <w:szCs w:val="32"/>
          <w:lang w:eastAsia="zh-CN"/>
        </w:rPr>
        <w:t>.</w:t>
      </w:r>
      <w:r>
        <w:rPr>
          <w:rFonts w:hint="eastAsia" w:ascii="仿宋_GB2312" w:hAnsi="宋体" w:eastAsia="仿宋_GB2312"/>
          <w:color w:val="auto"/>
          <w:kern w:val="0"/>
          <w:sz w:val="32"/>
          <w:szCs w:val="32"/>
        </w:rPr>
        <w:t>负责区级机关事务的管理、保障、服务工作。根据党和国家的有关政策、规章制度，拟订自治区机关事务管理工作的政策、规划和规章制度并组织实施。</w:t>
      </w:r>
    </w:p>
    <w:p>
      <w:pPr>
        <w:widowControl/>
        <w:wordWrap/>
        <w:adjustRightInd/>
        <w:snapToGrid/>
        <w:spacing w:before="0" w:after="0" w:line="560" w:lineRule="exact"/>
        <w:ind w:left="0" w:leftChars="0" w:right="0" w:firstLine="675" w:firstLineChars="211"/>
        <w:jc w:val="left"/>
        <w:textAlignment w:val="auto"/>
        <w:outlineLvl w:val="9"/>
        <w:rPr>
          <w:rFonts w:hint="eastAsia" w:ascii="仿宋_GB2312" w:hAnsi="宋体" w:eastAsia="仿宋_GB2312"/>
          <w:color w:val="auto"/>
          <w:kern w:val="0"/>
          <w:sz w:val="32"/>
          <w:szCs w:val="32"/>
          <w:lang w:val="en-US" w:eastAsia="zh-CN"/>
        </w:rPr>
      </w:pPr>
      <w:r>
        <w:rPr>
          <w:rFonts w:hint="eastAsia" w:ascii="仿宋_GB2312" w:hAnsi="宋体" w:eastAsia="仿宋_GB2312"/>
          <w:color w:val="auto"/>
          <w:kern w:val="0"/>
          <w:sz w:val="32"/>
          <w:szCs w:val="32"/>
        </w:rPr>
        <w:t>2</w:t>
      </w:r>
      <w:r>
        <w:rPr>
          <w:rFonts w:hint="eastAsia" w:ascii="仿宋_GB2312" w:hAnsi="宋体" w:eastAsia="仿宋_GB2312"/>
          <w:color w:val="auto"/>
          <w:kern w:val="0"/>
          <w:sz w:val="32"/>
          <w:szCs w:val="32"/>
          <w:lang w:eastAsia="zh-CN"/>
        </w:rPr>
        <w:t>.</w:t>
      </w:r>
      <w:r>
        <w:rPr>
          <w:rFonts w:hint="eastAsia" w:ascii="仿宋_GB2312" w:hAnsi="宋体" w:eastAsia="仿宋_GB2312"/>
          <w:color w:val="auto"/>
          <w:kern w:val="0"/>
          <w:sz w:val="32"/>
          <w:szCs w:val="32"/>
        </w:rPr>
        <w:t>负责自治区区级机关及部分事业单位公产房屋的建设管理，编制基建计划，制定相应管理制度；承担自治区区级领导住房的建设、维修管理；审批房屋修缮项目和分配房屋修缮经费；负责区级机关周转房的统一管理。</w:t>
      </w:r>
      <w:r>
        <w:rPr>
          <w:rFonts w:hint="eastAsia" w:ascii="仿宋_GB2312" w:hAnsi="宋体" w:eastAsia="仿宋_GB2312"/>
          <w:color w:val="auto"/>
          <w:kern w:val="0"/>
          <w:sz w:val="32"/>
          <w:szCs w:val="32"/>
          <w:lang w:val="en-US" w:eastAsia="zh-CN"/>
        </w:rPr>
        <w:t xml:space="preserve">        </w:t>
      </w:r>
    </w:p>
    <w:p>
      <w:pPr>
        <w:widowControl/>
        <w:wordWrap/>
        <w:adjustRightInd/>
        <w:snapToGrid/>
        <w:spacing w:before="0" w:after="0" w:line="560" w:lineRule="exact"/>
        <w:ind w:left="0" w:leftChars="0" w:right="0" w:firstLine="675" w:firstLineChars="211"/>
        <w:jc w:val="left"/>
        <w:textAlignment w:val="auto"/>
        <w:outlineLvl w:val="9"/>
        <w:rPr>
          <w:rFonts w:hint="eastAsia" w:ascii="仿宋_GB2312" w:hAnsi="宋体" w:eastAsia="仿宋_GB2312"/>
          <w:color w:val="auto"/>
          <w:kern w:val="0"/>
          <w:sz w:val="32"/>
          <w:szCs w:val="32"/>
        </w:rPr>
      </w:pPr>
      <w:r>
        <w:rPr>
          <w:rFonts w:hint="eastAsia" w:ascii="仿宋_GB2312" w:hAnsi="宋体" w:eastAsia="仿宋_GB2312"/>
          <w:color w:val="auto"/>
          <w:kern w:val="0"/>
          <w:sz w:val="32"/>
          <w:szCs w:val="32"/>
        </w:rPr>
        <w:t>3</w:t>
      </w:r>
      <w:r>
        <w:rPr>
          <w:rFonts w:hint="eastAsia" w:ascii="仿宋_GB2312" w:hAnsi="宋体" w:eastAsia="仿宋_GB2312"/>
          <w:color w:val="auto"/>
          <w:kern w:val="0"/>
          <w:sz w:val="32"/>
          <w:szCs w:val="32"/>
          <w:lang w:eastAsia="zh-CN"/>
        </w:rPr>
        <w:t>.</w:t>
      </w:r>
      <w:r>
        <w:rPr>
          <w:rFonts w:hint="eastAsia" w:ascii="仿宋_GB2312" w:hAnsi="宋体" w:eastAsia="仿宋_GB2312"/>
          <w:color w:val="auto"/>
          <w:kern w:val="0"/>
          <w:sz w:val="32"/>
          <w:szCs w:val="32"/>
        </w:rPr>
        <w:t>拟订自治区机关后勤体制改革的政策办法并组织实施；指导区级机关后勤管理工作和后勤服务单位的业务工作，推动机关后勤服务单位的改革和发展。</w:t>
      </w:r>
    </w:p>
    <w:p>
      <w:pPr>
        <w:widowControl/>
        <w:wordWrap/>
        <w:adjustRightInd/>
        <w:snapToGrid/>
        <w:spacing w:before="0" w:after="0" w:line="560" w:lineRule="exact"/>
        <w:ind w:left="0" w:leftChars="0" w:right="0" w:firstLine="675" w:firstLineChars="211"/>
        <w:jc w:val="left"/>
        <w:textAlignment w:val="auto"/>
        <w:outlineLvl w:val="9"/>
        <w:rPr>
          <w:rFonts w:hint="eastAsia" w:ascii="仿宋_GB2312" w:hAnsi="宋体" w:eastAsia="仿宋_GB2312"/>
          <w:color w:val="auto"/>
          <w:kern w:val="0"/>
          <w:sz w:val="32"/>
          <w:szCs w:val="32"/>
        </w:rPr>
      </w:pPr>
      <w:r>
        <w:rPr>
          <w:rFonts w:hint="eastAsia" w:ascii="仿宋_GB2312" w:hAnsi="宋体" w:eastAsia="仿宋_GB2312"/>
          <w:color w:val="auto"/>
          <w:kern w:val="0"/>
          <w:sz w:val="32"/>
          <w:szCs w:val="32"/>
        </w:rPr>
        <w:t>4</w:t>
      </w:r>
      <w:r>
        <w:rPr>
          <w:rFonts w:hint="eastAsia" w:ascii="仿宋_GB2312" w:hAnsi="宋体" w:eastAsia="仿宋_GB2312"/>
          <w:color w:val="auto"/>
          <w:kern w:val="0"/>
          <w:sz w:val="32"/>
          <w:szCs w:val="32"/>
          <w:lang w:eastAsia="zh-CN"/>
        </w:rPr>
        <w:t>.</w:t>
      </w:r>
      <w:r>
        <w:rPr>
          <w:rFonts w:hint="eastAsia" w:ascii="仿宋_GB2312" w:hAnsi="宋体" w:eastAsia="仿宋_GB2312"/>
          <w:color w:val="auto"/>
          <w:kern w:val="0"/>
          <w:sz w:val="32"/>
          <w:szCs w:val="32"/>
        </w:rPr>
        <w:t>负责自治区区级机关、事业单位、社会团体有关节约能源监督管理工作；会同有关部门制定自治区区级公共机构节能规划、规章制度并组织实施；组织开展能耗统计、监测和评价考核工作；负责推进、指导、协调、监督各地州市的公共机构节能工作。</w:t>
      </w:r>
    </w:p>
    <w:p>
      <w:pPr>
        <w:widowControl/>
        <w:wordWrap/>
        <w:adjustRightInd/>
        <w:snapToGrid/>
        <w:spacing w:before="0" w:after="0" w:line="560" w:lineRule="exact"/>
        <w:ind w:left="0" w:leftChars="0" w:right="0" w:firstLine="675" w:firstLineChars="211"/>
        <w:jc w:val="left"/>
        <w:textAlignment w:val="auto"/>
        <w:outlineLvl w:val="9"/>
        <w:rPr>
          <w:rFonts w:hint="eastAsia" w:ascii="仿宋_GB2312" w:hAnsi="宋体" w:eastAsia="仿宋_GB2312"/>
          <w:color w:val="auto"/>
          <w:kern w:val="0"/>
          <w:sz w:val="32"/>
          <w:szCs w:val="32"/>
        </w:rPr>
      </w:pPr>
      <w:r>
        <w:rPr>
          <w:rFonts w:hint="eastAsia" w:ascii="仿宋_GB2312" w:hAnsi="宋体" w:eastAsia="仿宋_GB2312"/>
          <w:color w:val="auto"/>
          <w:kern w:val="0"/>
          <w:sz w:val="32"/>
          <w:szCs w:val="32"/>
        </w:rPr>
        <w:t>5</w:t>
      </w:r>
      <w:r>
        <w:rPr>
          <w:rFonts w:hint="eastAsia" w:ascii="仿宋_GB2312" w:hAnsi="宋体" w:eastAsia="仿宋_GB2312"/>
          <w:color w:val="auto"/>
          <w:kern w:val="0"/>
          <w:sz w:val="32"/>
          <w:szCs w:val="32"/>
          <w:lang w:eastAsia="zh-CN"/>
        </w:rPr>
        <w:t>.</w:t>
      </w:r>
      <w:r>
        <w:rPr>
          <w:rFonts w:hint="eastAsia" w:ascii="仿宋_GB2312" w:hAnsi="宋体" w:eastAsia="仿宋_GB2312"/>
          <w:color w:val="auto"/>
          <w:kern w:val="0"/>
          <w:sz w:val="32"/>
          <w:szCs w:val="32"/>
        </w:rPr>
        <w:t>组织实施机关后勤干部岗位培训，管理机关后勤工人有关技术培训、考核和技师考评工作。</w:t>
      </w:r>
    </w:p>
    <w:p>
      <w:pPr>
        <w:widowControl/>
        <w:wordWrap/>
        <w:adjustRightInd/>
        <w:snapToGrid/>
        <w:spacing w:before="0" w:after="0" w:line="560" w:lineRule="exact"/>
        <w:ind w:left="0" w:leftChars="0" w:right="0" w:firstLine="675" w:firstLineChars="211"/>
        <w:jc w:val="left"/>
        <w:textAlignment w:val="auto"/>
        <w:outlineLvl w:val="9"/>
        <w:rPr>
          <w:rFonts w:hint="eastAsia" w:ascii="仿宋_GB2312" w:hAnsi="宋体" w:eastAsia="仿宋_GB2312"/>
          <w:color w:val="auto"/>
          <w:kern w:val="0"/>
          <w:sz w:val="32"/>
          <w:szCs w:val="32"/>
        </w:rPr>
      </w:pPr>
      <w:r>
        <w:rPr>
          <w:rFonts w:hint="eastAsia" w:ascii="仿宋_GB2312" w:hAnsi="宋体" w:eastAsia="仿宋_GB2312"/>
          <w:color w:val="auto"/>
          <w:kern w:val="0"/>
          <w:sz w:val="32"/>
          <w:szCs w:val="32"/>
        </w:rPr>
        <w:t>6</w:t>
      </w:r>
      <w:r>
        <w:rPr>
          <w:rFonts w:hint="eastAsia" w:ascii="仿宋_GB2312" w:hAnsi="宋体" w:eastAsia="仿宋_GB2312"/>
          <w:color w:val="auto"/>
          <w:kern w:val="0"/>
          <w:sz w:val="32"/>
          <w:szCs w:val="32"/>
          <w:lang w:eastAsia="zh-CN"/>
        </w:rPr>
        <w:t>.</w:t>
      </w:r>
      <w:r>
        <w:rPr>
          <w:rFonts w:hint="eastAsia" w:ascii="仿宋_GB2312" w:hAnsi="宋体" w:eastAsia="仿宋_GB2312"/>
          <w:color w:val="auto"/>
          <w:kern w:val="0"/>
          <w:sz w:val="32"/>
          <w:szCs w:val="32"/>
        </w:rPr>
        <w:t>负责拟订自治区内宾接待工作的有关制度、规定和接待服务标准；承办来疆的副省级以上领导同志的接待服务工作；负责制定自治区副省级以上领导同志的有关生活服务标准；承办自治区重大活动和召开大型会议的接待服务工作。</w:t>
      </w:r>
    </w:p>
    <w:p>
      <w:pPr>
        <w:widowControl/>
        <w:wordWrap/>
        <w:adjustRightInd/>
        <w:snapToGrid/>
        <w:spacing w:before="0" w:after="0" w:line="560" w:lineRule="exact"/>
        <w:ind w:left="0" w:leftChars="0" w:right="0" w:firstLine="675" w:firstLineChars="211"/>
        <w:jc w:val="left"/>
        <w:textAlignment w:val="auto"/>
        <w:outlineLvl w:val="9"/>
        <w:rPr>
          <w:rFonts w:hint="eastAsia" w:ascii="仿宋_GB2312" w:hAnsi="宋体" w:eastAsia="仿宋_GB2312"/>
          <w:color w:val="auto"/>
          <w:kern w:val="0"/>
          <w:sz w:val="32"/>
          <w:szCs w:val="32"/>
        </w:rPr>
      </w:pPr>
      <w:r>
        <w:rPr>
          <w:rFonts w:hint="eastAsia" w:ascii="仿宋_GB2312" w:hAnsi="宋体" w:eastAsia="仿宋_GB2312"/>
          <w:color w:val="auto"/>
          <w:kern w:val="0"/>
          <w:sz w:val="32"/>
          <w:szCs w:val="32"/>
        </w:rPr>
        <w:t>7</w:t>
      </w:r>
      <w:r>
        <w:rPr>
          <w:rFonts w:hint="eastAsia" w:ascii="仿宋_GB2312" w:hAnsi="宋体" w:eastAsia="仿宋_GB2312"/>
          <w:color w:val="auto"/>
          <w:kern w:val="0"/>
          <w:sz w:val="32"/>
          <w:szCs w:val="32"/>
          <w:lang w:eastAsia="zh-CN"/>
        </w:rPr>
        <w:t>.</w:t>
      </w:r>
      <w:r>
        <w:rPr>
          <w:rFonts w:hint="eastAsia" w:ascii="仿宋_GB2312" w:hAnsi="宋体" w:eastAsia="仿宋_GB2312"/>
          <w:color w:val="auto"/>
          <w:kern w:val="0"/>
          <w:sz w:val="32"/>
          <w:szCs w:val="32"/>
        </w:rPr>
        <w:t>承担各地州市政府（行署）驻乌办事处的管理和协调工作，拟订相关规章制度和管理办法。</w:t>
      </w:r>
    </w:p>
    <w:p>
      <w:pPr>
        <w:wordWrap/>
        <w:adjustRightInd/>
        <w:snapToGrid/>
        <w:spacing w:before="0" w:after="0" w:line="560" w:lineRule="exact"/>
        <w:ind w:left="0" w:leftChars="0" w:right="0" w:firstLine="640" w:firstLineChars="200"/>
        <w:textAlignment w:val="auto"/>
        <w:outlineLvl w:val="9"/>
        <w:rPr>
          <w:rFonts w:ascii="仿宋_GB2312" w:eastAsia="仿宋_GB2312"/>
          <w:sz w:val="32"/>
          <w:szCs w:val="32"/>
        </w:rPr>
      </w:pPr>
      <w:r>
        <w:rPr>
          <w:rFonts w:hint="eastAsia" w:ascii="仿宋_GB2312" w:hAnsi="宋体" w:eastAsia="仿宋_GB2312"/>
          <w:color w:val="auto"/>
          <w:kern w:val="0"/>
          <w:sz w:val="32"/>
          <w:szCs w:val="32"/>
        </w:rPr>
        <w:t>8</w:t>
      </w:r>
      <w:r>
        <w:rPr>
          <w:rFonts w:hint="eastAsia" w:ascii="仿宋_GB2312" w:hAnsi="宋体" w:eastAsia="仿宋_GB2312"/>
          <w:color w:val="auto"/>
          <w:kern w:val="0"/>
          <w:sz w:val="32"/>
          <w:szCs w:val="32"/>
          <w:lang w:eastAsia="zh-CN"/>
        </w:rPr>
        <w:t>.</w:t>
      </w:r>
      <w:r>
        <w:rPr>
          <w:rFonts w:hint="eastAsia" w:ascii="仿宋_GB2312" w:hAnsi="宋体" w:eastAsia="仿宋_GB2312"/>
          <w:color w:val="auto"/>
          <w:kern w:val="0"/>
          <w:sz w:val="32"/>
          <w:szCs w:val="32"/>
        </w:rPr>
        <w:t>承办自治区党委、人民政府交办的其他事项。</w:t>
      </w:r>
    </w:p>
    <w:p>
      <w:pPr>
        <w:wordWrap/>
        <w:adjustRightInd/>
        <w:snapToGrid/>
        <w:spacing w:before="0" w:after="0" w:line="560" w:lineRule="exact"/>
        <w:ind w:left="0" w:leftChars="0" w:right="0" w:firstLine="640" w:firstLineChars="200"/>
        <w:textAlignment w:val="auto"/>
        <w:outlineLvl w:val="9"/>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ordWrap/>
        <w:adjustRightInd/>
        <w:snapToGrid/>
        <w:spacing w:before="0" w:after="0" w:line="56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从决算单位构成看，新疆维吾尔自治区机关事务管理局部门决算包括：新疆维吾尔自治区机关事务管理局部门本级决算、所属单位决算等。</w:t>
      </w:r>
    </w:p>
    <w:p>
      <w:pPr>
        <w:wordWrap/>
        <w:adjustRightInd/>
        <w:snapToGrid/>
        <w:spacing w:before="0" w:after="0" w:line="560" w:lineRule="exact"/>
        <w:ind w:left="0" w:leftChars="0" w:right="0" w:firstLine="640" w:firstLineChars="200"/>
        <w:textAlignment w:val="auto"/>
        <w:outlineLvl w:val="9"/>
        <w:rPr>
          <w:rFonts w:ascii="仿宋_GB2312" w:eastAsia="仿宋_GB2312"/>
          <w:sz w:val="32"/>
          <w:szCs w:val="32"/>
        </w:rPr>
      </w:pPr>
      <w:r>
        <w:rPr>
          <w:rFonts w:hint="eastAsia" w:ascii="仿宋_GB2312" w:eastAsia="仿宋_GB2312"/>
          <w:sz w:val="32"/>
          <w:szCs w:val="32"/>
        </w:rPr>
        <w:t>新疆维吾尔自治区机关事务管理局编制数408个，包括行政编制79个，事业编制329个。年末实有人数270人，其中：行政在职76人，事业在职194人。</w:t>
      </w:r>
    </w:p>
    <w:p>
      <w:pPr>
        <w:wordWrap/>
        <w:adjustRightInd/>
        <w:snapToGrid/>
        <w:spacing w:before="0" w:after="0" w:line="560" w:lineRule="exact"/>
        <w:ind w:left="0" w:leftChars="0" w:right="0" w:firstLine="640" w:firstLineChars="200"/>
        <w:textAlignment w:val="auto"/>
        <w:outlineLvl w:val="9"/>
        <w:rPr>
          <w:rFonts w:ascii="仿宋_GB2312" w:eastAsia="仿宋_GB2312"/>
          <w:spacing w:val="-6"/>
          <w:sz w:val="32"/>
          <w:szCs w:val="32"/>
        </w:rPr>
      </w:pPr>
      <w:r>
        <w:rPr>
          <w:rFonts w:hint="eastAsia" w:ascii="仿宋_GB2312" w:eastAsia="仿宋_GB2312"/>
          <w:sz w:val="32"/>
          <w:szCs w:val="32"/>
        </w:rPr>
        <w:t>纳入新疆维吾尔自治区机关事务管理局2018年部门决算编制范围的单位名单见下表</w:t>
      </w:r>
      <w:r>
        <w:rPr>
          <w:rFonts w:hint="eastAsia" w:ascii="仿宋_GB2312" w:eastAsia="仿宋_GB2312"/>
          <w:spacing w:val="-6"/>
          <w:sz w:val="32"/>
          <w:szCs w:val="32"/>
        </w:rPr>
        <w:t>：</w:t>
      </w:r>
    </w:p>
    <w:p>
      <w:pPr>
        <w:spacing w:line="500" w:lineRule="exact"/>
        <w:ind w:firstLine="616" w:firstLineChars="200"/>
        <w:rPr>
          <w:rFonts w:ascii="仿宋_GB2312" w:eastAsia="仿宋_GB2312"/>
          <w:spacing w:val="-6"/>
          <w:sz w:val="32"/>
          <w:szCs w:val="32"/>
        </w:rPr>
      </w:pPr>
    </w:p>
    <w:tbl>
      <w:tblPr>
        <w:tblW w:w="94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7512"/>
        <w:gridCol w:w="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88" w:type="dxa"/>
            <w:vAlign w:val="center"/>
          </w:tcPr>
          <w:p>
            <w:pPr>
              <w:spacing w:line="500" w:lineRule="exact"/>
              <w:rPr>
                <w:rFonts w:ascii="仿宋_GB2312" w:eastAsia="仿宋_GB2312"/>
                <w:sz w:val="32"/>
                <w:szCs w:val="32"/>
              </w:rPr>
            </w:pPr>
            <w:r>
              <w:rPr>
                <w:rFonts w:hint="eastAsia" w:ascii="仿宋_GB2312" w:eastAsia="仿宋_GB2312"/>
                <w:sz w:val="32"/>
                <w:szCs w:val="32"/>
              </w:rPr>
              <w:t>序号</w:t>
            </w:r>
          </w:p>
        </w:tc>
        <w:tc>
          <w:tcPr>
            <w:tcW w:w="7512" w:type="dxa"/>
            <w:vAlign w:val="center"/>
          </w:tcPr>
          <w:p>
            <w:pPr>
              <w:spacing w:line="500" w:lineRule="exact"/>
              <w:ind w:firstLine="640" w:firstLineChars="200"/>
              <w:rPr>
                <w:rFonts w:ascii="仿宋_GB2312" w:eastAsia="仿宋_GB2312"/>
                <w:sz w:val="32"/>
                <w:szCs w:val="32"/>
              </w:rPr>
            </w:pPr>
            <w:r>
              <w:rPr>
                <w:rFonts w:hint="eastAsia" w:ascii="仿宋_GB2312" w:eastAsia="仿宋_GB2312"/>
                <w:sz w:val="32"/>
                <w:szCs w:val="32"/>
              </w:rPr>
              <w:t xml:space="preserve">              单位名称</w:t>
            </w:r>
          </w:p>
        </w:tc>
        <w:tc>
          <w:tcPr>
            <w:tcW w:w="964" w:type="dxa"/>
            <w:vAlign w:val="center"/>
          </w:tcPr>
          <w:p>
            <w:pPr>
              <w:spacing w:line="500" w:lineRule="exact"/>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88" w:type="dxa"/>
            <w:vAlign w:val="center"/>
          </w:tcPr>
          <w:p>
            <w:pPr>
              <w:spacing w:line="500" w:lineRule="exact"/>
              <w:rPr>
                <w:rFonts w:ascii="仿宋_GB2312" w:eastAsia="仿宋_GB2312"/>
                <w:sz w:val="32"/>
                <w:szCs w:val="32"/>
              </w:rPr>
            </w:pPr>
            <w:r>
              <w:rPr>
                <w:rFonts w:hint="eastAsia" w:ascii="仿宋_GB2312" w:eastAsia="仿宋_GB2312"/>
                <w:sz w:val="32"/>
                <w:szCs w:val="32"/>
              </w:rPr>
              <w:t xml:space="preserve">  1</w:t>
            </w:r>
          </w:p>
        </w:tc>
        <w:tc>
          <w:tcPr>
            <w:tcW w:w="7512" w:type="dxa"/>
            <w:vAlign w:val="center"/>
          </w:tcPr>
          <w:p>
            <w:pPr>
              <w:spacing w:line="500" w:lineRule="exact"/>
              <w:rPr>
                <w:rFonts w:ascii="仿宋_GB2312" w:eastAsia="仿宋_GB2312"/>
                <w:sz w:val="32"/>
                <w:szCs w:val="32"/>
              </w:rPr>
            </w:pPr>
            <w:r>
              <w:rPr>
                <w:rFonts w:hint="eastAsia" w:ascii="仿宋_GB2312" w:eastAsia="仿宋_GB2312"/>
                <w:sz w:val="32"/>
                <w:szCs w:val="32"/>
              </w:rPr>
              <w:t>新疆维吾尔自治区机关事务管理局</w:t>
            </w:r>
            <w:r>
              <w:rPr>
                <w:rFonts w:ascii="仿宋_GB2312" w:eastAsia="仿宋_GB2312"/>
                <w:sz w:val="32"/>
                <w:szCs w:val="32"/>
              </w:rPr>
              <w:t xml:space="preserve"> </w:t>
            </w:r>
          </w:p>
        </w:tc>
        <w:tc>
          <w:tcPr>
            <w:tcW w:w="964" w:type="dxa"/>
            <w:vAlign w:val="center"/>
          </w:tcPr>
          <w:p>
            <w:pPr>
              <w:spacing w:line="50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88" w:type="dxa"/>
            <w:vAlign w:val="top"/>
          </w:tcPr>
          <w:p>
            <w:pPr>
              <w:numPr>
                <w:numId w:val="0"/>
              </w:numPr>
              <w:wordWrap/>
              <w:snapToGrid w:val="0"/>
              <w:spacing w:before="0" w:after="0" w:line="560" w:lineRule="exact"/>
              <w:ind w:left="0" w:leftChars="0" w:firstLine="0" w:firstLineChars="0"/>
              <w:textAlignment w:val="auto"/>
              <w:outlineLvl w:val="9"/>
              <w:rPr>
                <w:rFonts w:ascii="仿宋_GB2312" w:eastAsia="仿宋_GB2312"/>
                <w:sz w:val="32"/>
                <w:szCs w:val="32"/>
              </w:rPr>
            </w:pPr>
            <w:r>
              <w:rPr>
                <w:rFonts w:hint="eastAsia" w:ascii="仿宋_GB2312" w:hAnsi="仿宋" w:eastAsia="仿宋_GB2312"/>
                <w:color w:val="auto"/>
                <w:sz w:val="32"/>
                <w:szCs w:val="32"/>
                <w:lang w:val="en-US" w:eastAsia="zh-CN"/>
              </w:rPr>
              <w:t xml:space="preserve">  2</w:t>
            </w:r>
          </w:p>
        </w:tc>
        <w:tc>
          <w:tcPr>
            <w:tcW w:w="7512" w:type="dxa"/>
            <w:vAlign w:val="top"/>
          </w:tcPr>
          <w:p>
            <w:pPr>
              <w:numPr>
                <w:numId w:val="0"/>
              </w:numPr>
              <w:wordWrap/>
              <w:snapToGrid w:val="0"/>
              <w:spacing w:before="0" w:after="0" w:line="560" w:lineRule="exact"/>
              <w:ind w:left="0" w:leftChars="0" w:firstLine="0" w:firstLineChars="0"/>
              <w:textAlignment w:val="auto"/>
              <w:outlineLvl w:val="9"/>
              <w:rPr>
                <w:rFonts w:ascii="仿宋_GB2312" w:eastAsia="仿宋_GB2312"/>
                <w:sz w:val="32"/>
                <w:szCs w:val="32"/>
              </w:rPr>
            </w:pPr>
            <w:r>
              <w:rPr>
                <w:rFonts w:hint="eastAsia" w:ascii="仿宋_GB2312" w:hAnsi="仿宋" w:eastAsia="仿宋_GB2312"/>
                <w:color w:val="auto"/>
                <w:sz w:val="32"/>
                <w:szCs w:val="32"/>
                <w:lang w:val="en-US" w:eastAsia="zh-CN"/>
              </w:rPr>
              <w:t>新疆维吾尔自治区机关事务管理局机关服务中心</w:t>
            </w:r>
          </w:p>
        </w:tc>
        <w:tc>
          <w:tcPr>
            <w:tcW w:w="964" w:type="dxa"/>
            <w:vAlign w:val="center"/>
          </w:tcPr>
          <w:p>
            <w:pPr>
              <w:spacing w:line="50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88" w:type="dxa"/>
            <w:vAlign w:val="top"/>
          </w:tcPr>
          <w:p>
            <w:pPr>
              <w:numPr>
                <w:numId w:val="0"/>
              </w:numPr>
              <w:wordWrap/>
              <w:snapToGrid w:val="0"/>
              <w:spacing w:before="0" w:after="0" w:line="560" w:lineRule="exact"/>
              <w:ind w:left="0" w:leftChars="0" w:firstLine="0" w:firstLineChars="0"/>
              <w:textAlignment w:val="auto"/>
              <w:outlineLvl w:val="9"/>
              <w:rPr>
                <w:rFonts w:ascii="仿宋_GB2312" w:eastAsia="仿宋_GB2312"/>
                <w:sz w:val="32"/>
                <w:szCs w:val="32"/>
              </w:rPr>
            </w:pPr>
            <w:r>
              <w:rPr>
                <w:rFonts w:hint="eastAsia" w:ascii="仿宋_GB2312" w:hAnsi="仿宋" w:eastAsia="仿宋_GB2312"/>
                <w:color w:val="auto"/>
                <w:sz w:val="32"/>
                <w:szCs w:val="32"/>
                <w:lang w:val="en-US" w:eastAsia="zh-CN"/>
              </w:rPr>
              <w:t xml:space="preserve">  3</w:t>
            </w:r>
          </w:p>
        </w:tc>
        <w:tc>
          <w:tcPr>
            <w:tcW w:w="7512" w:type="dxa"/>
            <w:vAlign w:val="top"/>
          </w:tcPr>
          <w:p>
            <w:pPr>
              <w:numPr>
                <w:numId w:val="0"/>
              </w:numPr>
              <w:wordWrap/>
              <w:snapToGrid w:val="0"/>
              <w:spacing w:before="0" w:after="0" w:line="560" w:lineRule="exact"/>
              <w:ind w:left="0" w:leftChars="0" w:firstLine="0" w:firstLineChars="0"/>
              <w:textAlignment w:val="auto"/>
              <w:outlineLvl w:val="9"/>
              <w:rPr>
                <w:rFonts w:ascii="仿宋_GB2312" w:eastAsia="仿宋_GB2312"/>
                <w:sz w:val="32"/>
                <w:szCs w:val="32"/>
              </w:rPr>
            </w:pPr>
            <w:r>
              <w:rPr>
                <w:rFonts w:hint="eastAsia" w:ascii="仿宋_GB2312" w:hAnsi="仿宋" w:eastAsia="仿宋_GB2312"/>
                <w:color w:val="auto"/>
                <w:sz w:val="32"/>
                <w:szCs w:val="32"/>
                <w:lang w:val="en-US" w:eastAsia="zh-CN"/>
              </w:rPr>
              <w:t>新疆维吾尔自治区机关事务管理局省级住宅管理中心</w:t>
            </w:r>
          </w:p>
        </w:tc>
        <w:tc>
          <w:tcPr>
            <w:tcW w:w="964" w:type="dxa"/>
            <w:vAlign w:val="center"/>
          </w:tcPr>
          <w:p>
            <w:pPr>
              <w:spacing w:line="50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88" w:type="dxa"/>
            <w:vAlign w:val="top"/>
          </w:tcPr>
          <w:p>
            <w:pPr>
              <w:numPr>
                <w:numId w:val="0"/>
              </w:numPr>
              <w:wordWrap/>
              <w:snapToGrid w:val="0"/>
              <w:spacing w:before="0" w:after="0" w:line="560" w:lineRule="exact"/>
              <w:ind w:left="0" w:leftChars="0" w:firstLine="0" w:firstLineChars="0"/>
              <w:textAlignment w:val="auto"/>
              <w:outlineLvl w:val="9"/>
              <w:rPr>
                <w:rFonts w:hint="eastAsia" w:ascii="仿宋_GB2312" w:eastAsia="仿宋_GB2312"/>
                <w:sz w:val="32"/>
                <w:szCs w:val="32"/>
                <w:lang w:val="en-US" w:eastAsia="zh-CN"/>
              </w:rPr>
            </w:pPr>
            <w:r>
              <w:rPr>
                <w:rFonts w:hint="eastAsia" w:ascii="仿宋_GB2312" w:hAnsi="仿宋" w:eastAsia="仿宋_GB2312"/>
                <w:color w:val="auto"/>
                <w:sz w:val="32"/>
                <w:szCs w:val="32"/>
                <w:lang w:val="en-US" w:eastAsia="zh-CN"/>
              </w:rPr>
              <w:t xml:space="preserve">  5</w:t>
            </w:r>
          </w:p>
        </w:tc>
        <w:tc>
          <w:tcPr>
            <w:tcW w:w="7512" w:type="dxa"/>
            <w:vAlign w:val="top"/>
          </w:tcPr>
          <w:p>
            <w:pPr>
              <w:numPr>
                <w:numId w:val="0"/>
              </w:numPr>
              <w:wordWrap/>
              <w:snapToGrid w:val="0"/>
              <w:spacing w:before="0" w:after="0" w:line="560" w:lineRule="exact"/>
              <w:ind w:left="0" w:leftChars="0" w:firstLine="0" w:firstLineChars="0"/>
              <w:textAlignment w:val="auto"/>
              <w:outlineLvl w:val="9"/>
              <w:rPr>
                <w:rFonts w:ascii="仿宋_GB2312" w:eastAsia="仿宋_GB2312"/>
                <w:sz w:val="32"/>
                <w:szCs w:val="32"/>
              </w:rPr>
            </w:pPr>
            <w:r>
              <w:rPr>
                <w:rFonts w:hint="eastAsia" w:ascii="仿宋_GB2312" w:hAnsi="仿宋" w:eastAsia="仿宋_GB2312"/>
                <w:color w:val="auto"/>
                <w:sz w:val="32"/>
                <w:szCs w:val="32"/>
                <w:lang w:val="en-US" w:eastAsia="zh-CN"/>
              </w:rPr>
              <w:t>新疆维吾尔自治区机关事务管理局公务用房服务中心</w:t>
            </w:r>
          </w:p>
        </w:tc>
        <w:tc>
          <w:tcPr>
            <w:tcW w:w="964" w:type="dxa"/>
            <w:vAlign w:val="center"/>
          </w:tcPr>
          <w:p>
            <w:pPr>
              <w:spacing w:line="50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88" w:type="dxa"/>
            <w:vAlign w:val="top"/>
          </w:tcPr>
          <w:p>
            <w:pPr>
              <w:numPr>
                <w:numId w:val="0"/>
              </w:numPr>
              <w:wordWrap/>
              <w:snapToGrid w:val="0"/>
              <w:spacing w:before="0" w:after="0" w:line="560" w:lineRule="exact"/>
              <w:ind w:left="0" w:leftChars="0" w:firstLine="0" w:firstLineChars="0"/>
              <w:textAlignment w:val="auto"/>
              <w:outlineLvl w:val="9"/>
              <w:rPr>
                <w:rFonts w:hint="eastAsia" w:ascii="仿宋_GB2312" w:eastAsia="仿宋_GB2312"/>
                <w:sz w:val="32"/>
                <w:szCs w:val="32"/>
                <w:lang w:val="en-US" w:eastAsia="zh-CN"/>
              </w:rPr>
            </w:pPr>
            <w:r>
              <w:rPr>
                <w:rFonts w:hint="eastAsia" w:ascii="仿宋_GB2312" w:hAnsi="仿宋" w:eastAsia="仿宋_GB2312"/>
                <w:color w:val="auto"/>
                <w:sz w:val="32"/>
                <w:szCs w:val="32"/>
                <w:lang w:val="en-US" w:eastAsia="zh-CN"/>
              </w:rPr>
              <w:t xml:space="preserve">  6</w:t>
            </w:r>
          </w:p>
        </w:tc>
        <w:tc>
          <w:tcPr>
            <w:tcW w:w="7512" w:type="dxa"/>
            <w:vAlign w:val="top"/>
          </w:tcPr>
          <w:p>
            <w:pPr>
              <w:numPr>
                <w:numId w:val="0"/>
              </w:numPr>
              <w:wordWrap/>
              <w:snapToGrid w:val="0"/>
              <w:spacing w:before="0" w:after="0" w:line="560" w:lineRule="exact"/>
              <w:ind w:left="0" w:leftChars="0" w:firstLine="0" w:firstLineChars="0"/>
              <w:textAlignment w:val="auto"/>
              <w:outlineLvl w:val="9"/>
              <w:rPr>
                <w:rFonts w:ascii="仿宋_GB2312" w:eastAsia="仿宋_GB2312"/>
                <w:sz w:val="32"/>
                <w:szCs w:val="32"/>
              </w:rPr>
            </w:pPr>
            <w:r>
              <w:rPr>
                <w:rFonts w:hint="eastAsia" w:ascii="仿宋_GB2312" w:hAnsi="仿宋" w:eastAsia="仿宋_GB2312"/>
                <w:color w:val="auto"/>
                <w:sz w:val="32"/>
                <w:szCs w:val="32"/>
                <w:lang w:val="en-US" w:eastAsia="zh-CN"/>
              </w:rPr>
              <w:t>新疆迎宾馆</w:t>
            </w:r>
          </w:p>
        </w:tc>
        <w:tc>
          <w:tcPr>
            <w:tcW w:w="964" w:type="dxa"/>
            <w:vAlign w:val="center"/>
          </w:tcPr>
          <w:p>
            <w:pPr>
              <w:spacing w:line="500" w:lineRule="exact"/>
              <w:rPr>
                <w:rFonts w:ascii="仿宋_GB2312" w:eastAsia="仿宋_GB2312"/>
                <w:sz w:val="32"/>
                <w:szCs w:val="32"/>
              </w:rPr>
            </w:pPr>
          </w:p>
        </w:tc>
      </w:tr>
    </w:tbl>
    <w:p>
      <w:pPr>
        <w:spacing w:line="500" w:lineRule="exact"/>
        <w:ind w:firstLine="627"/>
        <w:jc w:val="center"/>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sz w:val="32"/>
          <w:szCs w:val="32"/>
        </w:rPr>
      </w:pPr>
      <w:r>
        <w:rPr>
          <w:rFonts w:hint="eastAsia" w:ascii="仿宋_GB2312" w:eastAsia="仿宋_GB2312"/>
          <w:sz w:val="32"/>
          <w:szCs w:val="32"/>
        </w:rPr>
        <w:t>2018年度收入21,919.76万元,与上年相比，</w:t>
      </w:r>
      <w:r>
        <w:rPr>
          <w:rFonts w:hint="eastAsia" w:ascii="仿宋_GB2312" w:eastAsia="仿宋_GB2312"/>
          <w:sz w:val="32"/>
          <w:szCs w:val="32"/>
          <w:lang w:val="en-US" w:eastAsia="zh-CN"/>
        </w:rPr>
        <w:t>减少</w:t>
      </w:r>
      <w:r>
        <w:rPr>
          <w:rFonts w:hint="eastAsia" w:ascii="仿宋_GB2312" w:eastAsia="仿宋_GB2312"/>
          <w:sz w:val="32"/>
          <w:szCs w:val="32"/>
        </w:rPr>
        <w:t>3040.58万元，降低12.18%，增减变化主要原因是：</w:t>
      </w:r>
      <w:r>
        <w:rPr>
          <w:rFonts w:hint="eastAsia" w:ascii="仿宋_GB2312" w:eastAsia="仿宋_GB2312"/>
          <w:sz w:val="32"/>
          <w:szCs w:val="32"/>
          <w:lang w:val="en-US" w:eastAsia="zh-CN"/>
        </w:rPr>
        <w:t>机关服务费及专项服务费减少</w:t>
      </w:r>
      <w:r>
        <w:rPr>
          <w:rFonts w:hint="eastAsia" w:ascii="仿宋_GB2312" w:eastAsia="仿宋_GB2312"/>
          <w:sz w:val="32"/>
          <w:szCs w:val="32"/>
        </w:rPr>
        <w:t>；支出23,298.79万元,与上年相比，</w:t>
      </w:r>
      <w:r>
        <w:rPr>
          <w:rFonts w:hint="eastAsia" w:ascii="仿宋_GB2312" w:eastAsia="仿宋_GB2312"/>
          <w:sz w:val="32"/>
          <w:szCs w:val="32"/>
          <w:lang w:val="en-US" w:eastAsia="zh-CN"/>
        </w:rPr>
        <w:t>减少</w:t>
      </w:r>
      <w:r>
        <w:rPr>
          <w:rFonts w:hint="eastAsia" w:ascii="仿宋_GB2312" w:eastAsia="仿宋_GB2312"/>
          <w:sz w:val="32"/>
          <w:szCs w:val="32"/>
        </w:rPr>
        <w:t>2681.34万元，降低10.32%，增减变化主要原因：是</w:t>
      </w:r>
      <w:r>
        <w:rPr>
          <w:rFonts w:hint="eastAsia" w:ascii="仿宋_GB2312" w:eastAsia="仿宋_GB2312"/>
          <w:sz w:val="32"/>
          <w:szCs w:val="32"/>
          <w:lang w:val="en-US" w:eastAsia="zh-CN"/>
        </w:rPr>
        <w:t>机关服务费和专项服务费支出降低</w:t>
      </w:r>
      <w:r>
        <w:rPr>
          <w:rFonts w:hint="eastAsia" w:ascii="仿宋_GB2312" w:eastAsia="仿宋_GB2312"/>
          <w:sz w:val="32"/>
          <w:szCs w:val="32"/>
        </w:rPr>
        <w:t>；结余5,058.43万元，与上年相比，</w:t>
      </w:r>
      <w:r>
        <w:rPr>
          <w:rFonts w:hint="eastAsia" w:ascii="仿宋_GB2312" w:eastAsia="仿宋_GB2312"/>
          <w:sz w:val="32"/>
          <w:szCs w:val="32"/>
          <w:lang w:val="en-US" w:eastAsia="zh-CN"/>
        </w:rPr>
        <w:t>减少</w:t>
      </w:r>
      <w:r>
        <w:rPr>
          <w:rFonts w:hint="eastAsia" w:ascii="仿宋_GB2312" w:eastAsia="仿宋_GB2312"/>
          <w:sz w:val="32"/>
          <w:szCs w:val="32"/>
        </w:rPr>
        <w:t>1326.01万元，降低20.77%。增减变化主要原因是</w:t>
      </w:r>
      <w:r>
        <w:rPr>
          <w:rFonts w:hint="eastAsia" w:ascii="仿宋_GB2312" w:eastAsia="仿宋_GB2312"/>
          <w:sz w:val="32"/>
          <w:szCs w:val="32"/>
          <w:lang w:eastAsia="zh-CN"/>
        </w:rPr>
        <w:t>：</w:t>
      </w:r>
      <w:r>
        <w:rPr>
          <w:rFonts w:hint="eastAsia" w:ascii="仿宋_GB2312" w:eastAsia="仿宋_GB2312"/>
          <w:color w:val="auto"/>
          <w:sz w:val="32"/>
          <w:szCs w:val="32"/>
          <w:lang w:eastAsia="zh-CN"/>
        </w:rPr>
        <w:t>民族团结一家亲、“访恵聚”、南疆支教工作补贴</w:t>
      </w:r>
      <w:r>
        <w:rPr>
          <w:rFonts w:hint="eastAsia" w:ascii="仿宋_GB2312" w:eastAsia="仿宋_GB2312"/>
          <w:color w:val="auto"/>
          <w:sz w:val="32"/>
          <w:szCs w:val="32"/>
          <w:lang w:val="en-US" w:eastAsia="zh-CN"/>
        </w:rPr>
        <w:t>年底前已将2018年全年资金计划执行完成</w:t>
      </w:r>
      <w:r>
        <w:rPr>
          <w:rFonts w:hint="eastAsia" w:ascii="仿宋_GB2312" w:eastAsia="仿宋_GB2312"/>
          <w:sz w:val="32"/>
          <w:szCs w:val="32"/>
        </w:rPr>
        <w:t>。</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本年收入合计21,919.76万元，其中：财政拨款收入16,354.51万元，占74.61%；上级补助收入0.00万元，占0.00%；事业收入0万元</w:t>
      </w:r>
      <w:r>
        <w:rPr>
          <w:rFonts w:hint="eastAsia" w:ascii="仿宋_GB2312" w:eastAsia="仿宋_GB2312"/>
          <w:sz w:val="32"/>
          <w:szCs w:val="32"/>
          <w:lang w:eastAsia="zh-CN"/>
        </w:rPr>
        <w:t>，</w:t>
      </w:r>
      <w:bookmarkStart w:id="0" w:name="_GoBack"/>
      <w:bookmarkEnd w:id="0"/>
      <w:r>
        <w:rPr>
          <w:rFonts w:hint="eastAsia" w:ascii="仿宋_GB2312" w:eastAsia="仿宋_GB2312"/>
          <w:sz w:val="32"/>
          <w:szCs w:val="32"/>
        </w:rPr>
        <w:t>占0%；经营收入3,549.68万元，占16.19%；附属单位缴款</w:t>
      </w:r>
      <w:r>
        <w:rPr>
          <w:rFonts w:hint="eastAsia" w:ascii="仿宋_GB2312" w:eastAsia="仿宋_GB2312"/>
          <w:sz w:val="32"/>
          <w:szCs w:val="32"/>
          <w:lang w:val="en-US" w:eastAsia="zh-CN"/>
        </w:rPr>
        <w:t>0</w:t>
      </w:r>
      <w:r>
        <w:rPr>
          <w:rFonts w:hint="eastAsia" w:ascii="仿宋_GB2312" w:eastAsia="仿宋_GB2312"/>
          <w:sz w:val="32"/>
          <w:szCs w:val="32"/>
        </w:rPr>
        <w:t>万元，占0%；其他收入2,015.56万元，占9.20%。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与年初预算数相比情况：本年收入年初预算数14,903.83万元，决算数21,919.76万元，预决算差异率47.07%，差异主要原因</w:t>
      </w:r>
      <w:r>
        <w:rPr>
          <w:rFonts w:hint="eastAsia" w:ascii="仿宋_GB2312" w:eastAsia="仿宋_GB2312"/>
          <w:sz w:val="32"/>
          <w:szCs w:val="32"/>
          <w:lang w:eastAsia="zh-CN"/>
        </w:rPr>
        <w:t>：</w:t>
      </w:r>
      <w:r>
        <w:rPr>
          <w:rFonts w:hint="eastAsia" w:ascii="仿宋_GB2312" w:eastAsia="仿宋_GB2312"/>
          <w:color w:val="auto"/>
          <w:sz w:val="32"/>
          <w:szCs w:val="32"/>
        </w:rPr>
        <w:t>与预算</w:t>
      </w:r>
      <w:r>
        <w:rPr>
          <w:rFonts w:hint="eastAsia" w:ascii="仿宋_GB2312" w:eastAsia="仿宋_GB2312"/>
          <w:color w:val="auto"/>
          <w:sz w:val="32"/>
          <w:szCs w:val="32"/>
          <w:lang w:eastAsia="zh-CN"/>
        </w:rPr>
        <w:t>数相比增加了民族团结一家亲、“访恵聚”、南疆支教工作补贴、610办、关工委临时办公场所租赁费和办公用房维修经费、机关事业单位工作人员基本工资标准和增加离休人员费补助经费、振宇基地人员移交相关经费</w:t>
      </w:r>
      <w:r>
        <w:rPr>
          <w:rFonts w:hint="eastAsia" w:ascii="仿宋_GB2312" w:eastAsia="仿宋_GB2312"/>
          <w:sz w:val="32"/>
          <w:szCs w:val="32"/>
        </w:rPr>
        <w:t>。</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本年支出合计23,298.79万元，其中：基本支出4,785.75万元，占20.54%；项目支出14,963.35万元，占64.22%；上缴上级支出0万元，占0%；</w:t>
      </w:r>
      <w:r>
        <w:rPr>
          <w:rFonts w:hint="eastAsia" w:ascii="仿宋_GB2312" w:eastAsia="仿宋_GB2312"/>
          <w:spacing w:val="-6"/>
          <w:sz w:val="32"/>
          <w:szCs w:val="32"/>
        </w:rPr>
        <w:t>经营支出3,549.68万元，占15.24%；对附属单位补助支出0万元，占0%。</w:t>
      </w:r>
    </w:p>
    <w:p>
      <w:pPr>
        <w:spacing w:line="540" w:lineRule="exact"/>
        <w:ind w:firstLine="640" w:firstLineChars="200"/>
        <w:rPr>
          <w:rFonts w:hint="eastAsia" w:ascii="仿宋_GB2312" w:eastAsia="仿宋_GB2312"/>
          <w:color w:val="auto"/>
          <w:sz w:val="32"/>
          <w:szCs w:val="32"/>
        </w:rPr>
      </w:pPr>
      <w:r>
        <w:rPr>
          <w:rFonts w:hint="eastAsia" w:ascii="仿宋_GB2312" w:eastAsia="仿宋_GB2312"/>
          <w:sz w:val="32"/>
          <w:szCs w:val="32"/>
        </w:rPr>
        <w:t>与年初预算数相比情况：本年支出年初预算数14,903.83万元，决算数23,298.79万元，预决算差异率56.33%，差异主要原因</w:t>
      </w:r>
      <w:r>
        <w:rPr>
          <w:rFonts w:hint="eastAsia" w:ascii="仿宋_GB2312" w:eastAsia="仿宋_GB2312"/>
          <w:sz w:val="32"/>
          <w:szCs w:val="32"/>
          <w:lang w:eastAsia="zh-CN"/>
        </w:rPr>
        <w:t>：</w:t>
      </w:r>
      <w:r>
        <w:rPr>
          <w:rFonts w:hint="eastAsia" w:ascii="仿宋_GB2312" w:eastAsia="仿宋_GB2312"/>
          <w:color w:val="auto"/>
          <w:sz w:val="32"/>
          <w:szCs w:val="32"/>
        </w:rPr>
        <w:t>与预算</w:t>
      </w:r>
      <w:r>
        <w:rPr>
          <w:rFonts w:hint="eastAsia" w:ascii="仿宋_GB2312" w:eastAsia="仿宋_GB2312"/>
          <w:color w:val="auto"/>
          <w:sz w:val="32"/>
          <w:szCs w:val="32"/>
          <w:lang w:eastAsia="zh-CN"/>
        </w:rPr>
        <w:t>数相比增加了民族团结一家亲、“访恵聚”、南疆支教工作补贴、610办、关工委临时办公场所租赁费和办公用房维修经费、机关事业单位工作人员基本工资标准和增加离休人员费补助经费、振宇基地人员移交相关经费</w:t>
      </w:r>
      <w:r>
        <w:rPr>
          <w:rFonts w:hint="eastAsia" w:ascii="仿宋_GB2312" w:eastAsia="仿宋_GB2312"/>
          <w:sz w:val="32"/>
          <w:szCs w:val="32"/>
        </w:rPr>
        <w:t>。</w:t>
      </w:r>
      <w:r>
        <w:rPr>
          <w:rFonts w:hint="eastAsia" w:ascii="仿宋_GB2312" w:eastAsia="仿宋_GB2312"/>
          <w:color w:val="auto"/>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2018年度财政拨款收入16,354.51万元，与上年相比，</w:t>
      </w:r>
      <w:r>
        <w:rPr>
          <w:rFonts w:hint="eastAsia" w:ascii="仿宋_GB2312" w:eastAsia="仿宋_GB2312"/>
          <w:sz w:val="32"/>
          <w:szCs w:val="32"/>
          <w:lang w:val="en-US" w:eastAsia="zh-CN"/>
        </w:rPr>
        <w:t>减少</w:t>
      </w:r>
      <w:r>
        <w:rPr>
          <w:rFonts w:hint="eastAsia" w:ascii="仿宋_GB2312" w:eastAsia="仿宋_GB2312"/>
          <w:sz w:val="32"/>
          <w:szCs w:val="32"/>
        </w:rPr>
        <w:t>4531.11万元，降低21.69%。增减变化的主要原因是：</w:t>
      </w:r>
      <w:r>
        <w:rPr>
          <w:rFonts w:hint="eastAsia" w:ascii="仿宋_GB2312" w:eastAsia="仿宋_GB2312"/>
          <w:sz w:val="32"/>
          <w:szCs w:val="32"/>
          <w:lang w:val="en-US" w:eastAsia="zh-CN"/>
        </w:rPr>
        <w:t>机关本级财政拨款收入减少较多，振宇基地项目、安防项目工程、昆仑宾馆维修等项目结束今年未拨付相关资金</w:t>
      </w:r>
      <w:r>
        <w:rPr>
          <w:rFonts w:hint="eastAsia" w:ascii="仿宋_GB2312" w:eastAsia="仿宋_GB2312"/>
          <w:sz w:val="32"/>
          <w:szCs w:val="32"/>
        </w:rPr>
        <w:t>。财政拨款支出17,505.53万元，与上年相比，</w:t>
      </w:r>
      <w:r>
        <w:rPr>
          <w:rFonts w:hint="eastAsia" w:ascii="仿宋_GB2312" w:eastAsia="仿宋_GB2312"/>
          <w:sz w:val="32"/>
          <w:szCs w:val="32"/>
          <w:lang w:val="en-US" w:eastAsia="zh-CN"/>
        </w:rPr>
        <w:t>减少</w:t>
      </w:r>
      <w:r>
        <w:rPr>
          <w:rFonts w:hint="eastAsia" w:ascii="仿宋_GB2312" w:eastAsia="仿宋_GB2312"/>
          <w:sz w:val="32"/>
          <w:szCs w:val="32"/>
        </w:rPr>
        <w:t>4293.83万元，降低19.7%，增减变化的主要原因是：</w:t>
      </w:r>
      <w:r>
        <w:rPr>
          <w:rFonts w:hint="eastAsia" w:ascii="仿宋_GB2312" w:eastAsia="仿宋_GB2312"/>
          <w:sz w:val="32"/>
          <w:szCs w:val="32"/>
          <w:lang w:val="en-US" w:eastAsia="zh-CN"/>
        </w:rPr>
        <w:t>本年建设工程支出减少，振宇基地项目、安防项目工程、昆仑宾馆维修等项目结束今年未拨付相关工程资金</w:t>
      </w:r>
      <w:r>
        <w:rPr>
          <w:rFonts w:hint="eastAsia" w:ascii="仿宋_GB2312" w:eastAsia="仿宋_GB2312"/>
          <w:sz w:val="32"/>
          <w:szCs w:val="32"/>
        </w:rPr>
        <w:t>。其中：基本支出4,690.24万元，项目支出12,815.28万元。财政拨款结转结余3,738.72万元，与上年相比，</w:t>
      </w:r>
      <w:r>
        <w:rPr>
          <w:rFonts w:hint="eastAsia" w:ascii="仿宋_GB2312" w:eastAsia="仿宋_GB2312"/>
          <w:sz w:val="32"/>
          <w:szCs w:val="32"/>
          <w:lang w:val="en-US" w:eastAsia="zh-CN"/>
        </w:rPr>
        <w:t>减少</w:t>
      </w:r>
      <w:r>
        <w:rPr>
          <w:rFonts w:hint="eastAsia" w:ascii="仿宋_GB2312" w:eastAsia="仿宋_GB2312"/>
          <w:sz w:val="32"/>
          <w:szCs w:val="32"/>
        </w:rPr>
        <w:t>1151.01万元，降低23.54%。增减变化的主要原因是：</w:t>
      </w:r>
      <w:r>
        <w:rPr>
          <w:rFonts w:hint="eastAsia" w:ascii="仿宋_GB2312" w:eastAsia="仿宋_GB2312"/>
          <w:sz w:val="32"/>
          <w:szCs w:val="32"/>
          <w:lang w:val="en-US" w:eastAsia="zh-CN"/>
        </w:rPr>
        <w:t>本年建设工程支出减少，振宇基地项目、安防项目工程、昆仑宾馆维修等项目结束今年未有结余资金</w:t>
      </w:r>
      <w:r>
        <w:rPr>
          <w:rFonts w:hint="eastAsia" w:ascii="仿宋_GB2312" w:eastAsia="仿宋_GB2312"/>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12,664.83万元，决算数16,354.51万元，预决算差异率29.13%，差异主要原因。财政拨款支出年初预算数12,664.83万元，决算数17,505.53万元，预决算差异率38.22%，差异主要原因</w:t>
      </w:r>
      <w:r>
        <w:rPr>
          <w:rFonts w:hint="eastAsia" w:ascii="仿宋_GB2312" w:eastAsia="仿宋_GB2312"/>
          <w:sz w:val="32"/>
          <w:szCs w:val="32"/>
          <w:lang w:val="en-US" w:eastAsia="zh-CN"/>
        </w:rPr>
        <w:t>主要追加</w:t>
      </w:r>
      <w:r>
        <w:rPr>
          <w:rFonts w:hint="eastAsia" w:ascii="仿宋_GB2312" w:eastAsia="仿宋_GB2312"/>
          <w:color w:val="auto"/>
          <w:sz w:val="32"/>
          <w:szCs w:val="32"/>
          <w:lang w:eastAsia="zh-CN"/>
        </w:rPr>
        <w:t>民族团结一家亲、“访恵聚”、南疆支教工作补贴、610办、关工委临时办公场所租赁费和办公用房维修经费、机关事业单位工作人员基本工资标准和增加离休人员费补助经费、振宇基地人员移交相关经费</w:t>
      </w:r>
      <w:r>
        <w:rPr>
          <w:rFonts w:hint="eastAsia" w:ascii="仿宋_GB2312" w:eastAsia="仿宋_GB2312"/>
          <w:sz w:val="32"/>
          <w:szCs w:val="32"/>
        </w:rPr>
        <w:t>。</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2018年度一般公共预算财政拨款收入16,354.51万元。与上年相比，</w:t>
      </w:r>
      <w:r>
        <w:rPr>
          <w:rFonts w:hint="eastAsia" w:ascii="仿宋_GB2312" w:eastAsia="仿宋_GB2312"/>
          <w:sz w:val="32"/>
          <w:szCs w:val="32"/>
          <w:lang w:val="en-US" w:eastAsia="zh-CN"/>
        </w:rPr>
        <w:t>减少</w:t>
      </w:r>
      <w:r>
        <w:rPr>
          <w:rFonts w:hint="eastAsia" w:ascii="仿宋_GB2312" w:eastAsia="仿宋_GB2312"/>
          <w:sz w:val="32"/>
          <w:szCs w:val="32"/>
        </w:rPr>
        <w:t>4531.11万元，降低21.69%。增减变化的主要原因是：</w:t>
      </w:r>
      <w:r>
        <w:rPr>
          <w:rFonts w:hint="eastAsia" w:ascii="仿宋_GB2312" w:eastAsia="仿宋_GB2312"/>
          <w:sz w:val="32"/>
          <w:szCs w:val="32"/>
          <w:lang w:val="en-US" w:eastAsia="zh-CN"/>
        </w:rPr>
        <w:t>本年建设工程支出减少，振宇基地项目、安防项目工程、昆仑宾馆维修等项目结束今年未拨付相关工程资金</w:t>
      </w:r>
      <w:r>
        <w:rPr>
          <w:rFonts w:hint="eastAsia" w:ascii="仿宋_GB2312" w:eastAsia="仿宋_GB2312"/>
          <w:sz w:val="32"/>
          <w:szCs w:val="32"/>
        </w:rPr>
        <w:t>。一般公共预算财政拨款支出17,505.53万元。与上年相比，</w:t>
      </w:r>
      <w:r>
        <w:rPr>
          <w:rFonts w:hint="eastAsia" w:ascii="仿宋_GB2312" w:eastAsia="仿宋_GB2312"/>
          <w:sz w:val="32"/>
          <w:szCs w:val="32"/>
          <w:lang w:val="en-US" w:eastAsia="zh-CN"/>
        </w:rPr>
        <w:t>减少</w:t>
      </w:r>
      <w:r>
        <w:rPr>
          <w:rFonts w:hint="eastAsia" w:ascii="仿宋_GB2312" w:eastAsia="仿宋_GB2312"/>
          <w:sz w:val="32"/>
          <w:szCs w:val="32"/>
        </w:rPr>
        <w:t>4293.83万元，降低19.7%。增减变化的主要原因是：</w:t>
      </w:r>
      <w:r>
        <w:rPr>
          <w:rFonts w:hint="eastAsia" w:ascii="仿宋_GB2312" w:eastAsia="仿宋_GB2312"/>
          <w:sz w:val="32"/>
          <w:szCs w:val="32"/>
          <w:lang w:val="en-US" w:eastAsia="zh-CN"/>
        </w:rPr>
        <w:t>本年建设工程支出减少，振宇基地项目、安防项目工程、昆仑宾馆维修等项目结束今年未拨付相关工程资金</w:t>
      </w:r>
      <w:r>
        <w:rPr>
          <w:rFonts w:hint="eastAsia" w:ascii="仿宋_GB2312" w:eastAsia="仿宋_GB2312"/>
          <w:sz w:val="32"/>
          <w:szCs w:val="32"/>
        </w:rPr>
        <w:t>。其中：按功能分类科目（按类级科目公开），</w:t>
      </w:r>
      <w:r>
        <w:rPr>
          <w:rFonts w:hint="eastAsia" w:ascii="仿宋_GB2312" w:eastAsia="仿宋_GB2312"/>
          <w:sz w:val="32"/>
          <w:szCs w:val="32"/>
          <w:lang w:val="en-US" w:eastAsia="zh-CN"/>
        </w:rPr>
        <w:t>201</w:t>
      </w:r>
      <w:r>
        <w:rPr>
          <w:rFonts w:hint="eastAsia" w:ascii="仿宋_GB2312" w:eastAsia="仿宋_GB2312"/>
          <w:sz w:val="32"/>
          <w:szCs w:val="32"/>
        </w:rPr>
        <w:t>支出</w:t>
      </w:r>
      <w:r>
        <w:rPr>
          <w:rFonts w:hint="eastAsia" w:ascii="仿宋_GB2312" w:eastAsia="仿宋_GB2312"/>
          <w:sz w:val="32"/>
          <w:szCs w:val="32"/>
          <w:lang w:val="en-US" w:eastAsia="zh-CN"/>
        </w:rPr>
        <w:t>14547.21</w:t>
      </w:r>
      <w:r>
        <w:rPr>
          <w:rFonts w:hint="eastAsia" w:ascii="仿宋_GB2312" w:eastAsia="仿宋_GB2312"/>
          <w:sz w:val="32"/>
          <w:szCs w:val="32"/>
        </w:rPr>
        <w:t>万元，</w:t>
      </w:r>
      <w:r>
        <w:rPr>
          <w:rFonts w:hint="eastAsia" w:ascii="仿宋_GB2312" w:eastAsia="仿宋_GB2312"/>
          <w:sz w:val="32"/>
          <w:szCs w:val="32"/>
          <w:lang w:val="en-US" w:eastAsia="zh-CN"/>
        </w:rPr>
        <w:t>208</w:t>
      </w:r>
      <w:r>
        <w:rPr>
          <w:rFonts w:hint="eastAsia" w:ascii="仿宋_GB2312" w:eastAsia="仿宋_GB2312"/>
          <w:sz w:val="32"/>
          <w:szCs w:val="32"/>
        </w:rPr>
        <w:t>支出</w:t>
      </w:r>
      <w:r>
        <w:rPr>
          <w:rFonts w:hint="eastAsia" w:ascii="仿宋_GB2312" w:eastAsia="仿宋_GB2312"/>
          <w:sz w:val="32"/>
          <w:szCs w:val="32"/>
          <w:lang w:val="en-US" w:eastAsia="zh-CN"/>
        </w:rPr>
        <w:t>356.62</w:t>
      </w:r>
      <w:r>
        <w:rPr>
          <w:rFonts w:hint="eastAsia" w:ascii="仿宋_GB2312" w:eastAsia="仿宋_GB2312"/>
          <w:sz w:val="32"/>
          <w:szCs w:val="32"/>
        </w:rPr>
        <w:t>万元。按经济分类科目（按类级科目公开），工资福利支出3,513.12万元，商品和服务支出11,213.25万元，对个人和家庭的支出557.44万元，债务利息及费用支出0万元，资本性支出（基本建设）支出2,216.43万元，资本性支出5.28万元，对企业补助（基本建设）支出0万元，对企业补助支出0万元，对社会保障基金补助支出0万元，其他支出0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与年初预算数相比情况：一般公共预算财政拨款收入年初预算数12,664.83万元，决算数16,354.51万元，预决算差异率29.13%，差异主要原因</w:t>
      </w:r>
      <w:r>
        <w:rPr>
          <w:rFonts w:hint="eastAsia" w:ascii="仿宋_GB2312" w:eastAsia="仿宋_GB2312"/>
          <w:sz w:val="32"/>
          <w:szCs w:val="32"/>
          <w:lang w:eastAsia="zh-CN"/>
        </w:rPr>
        <w:t>：</w:t>
      </w:r>
      <w:r>
        <w:rPr>
          <w:rFonts w:hint="eastAsia" w:ascii="仿宋_GB2312" w:eastAsia="仿宋_GB2312"/>
          <w:color w:val="auto"/>
          <w:sz w:val="32"/>
          <w:szCs w:val="32"/>
        </w:rPr>
        <w:t>与预算</w:t>
      </w:r>
      <w:r>
        <w:rPr>
          <w:rFonts w:hint="eastAsia" w:ascii="仿宋_GB2312" w:eastAsia="仿宋_GB2312"/>
          <w:color w:val="auto"/>
          <w:sz w:val="32"/>
          <w:szCs w:val="32"/>
          <w:lang w:eastAsia="zh-CN"/>
        </w:rPr>
        <w:t>数相比增加了民族团结一家亲、“访恵聚”、南疆支教工作补贴、610办、关工委临时办公场所租赁费和办公用房维修经费、机关事业单位工作人员基本工资标准和增加离休人员费补助经费、振宇基地人员移交</w:t>
      </w:r>
      <w:r>
        <w:rPr>
          <w:rFonts w:hint="eastAsia" w:ascii="仿宋_GB2312" w:eastAsia="仿宋_GB2312"/>
          <w:color w:val="auto"/>
          <w:sz w:val="32"/>
          <w:szCs w:val="32"/>
          <w:lang w:val="en-US" w:eastAsia="zh-CN"/>
        </w:rPr>
        <w:t>等</w:t>
      </w:r>
      <w:r>
        <w:rPr>
          <w:rFonts w:hint="eastAsia" w:ascii="仿宋_GB2312" w:eastAsia="仿宋_GB2312"/>
          <w:color w:val="auto"/>
          <w:sz w:val="32"/>
          <w:szCs w:val="32"/>
          <w:lang w:eastAsia="zh-CN"/>
        </w:rPr>
        <w:t>相关经费</w:t>
      </w:r>
      <w:r>
        <w:rPr>
          <w:rFonts w:hint="eastAsia" w:ascii="仿宋_GB2312" w:eastAsia="仿宋_GB2312"/>
          <w:sz w:val="32"/>
          <w:szCs w:val="32"/>
        </w:rPr>
        <w:t>。一般公共预算财政拨款支出年初预算数12,664.83万元，决算数17,505.53万元，预决算差异率38.22%，差异主要原因</w:t>
      </w:r>
      <w:r>
        <w:rPr>
          <w:rFonts w:hint="eastAsia" w:ascii="仿宋_GB2312" w:eastAsia="仿宋_GB2312"/>
          <w:sz w:val="32"/>
          <w:szCs w:val="32"/>
          <w:lang w:eastAsia="zh-CN"/>
        </w:rPr>
        <w:t>：</w:t>
      </w:r>
      <w:r>
        <w:rPr>
          <w:rFonts w:hint="eastAsia" w:ascii="仿宋_GB2312" w:eastAsia="仿宋_GB2312"/>
          <w:color w:val="auto"/>
          <w:sz w:val="32"/>
          <w:szCs w:val="32"/>
        </w:rPr>
        <w:t>与预算</w:t>
      </w:r>
      <w:r>
        <w:rPr>
          <w:rFonts w:hint="eastAsia" w:ascii="仿宋_GB2312" w:eastAsia="仿宋_GB2312"/>
          <w:color w:val="auto"/>
          <w:sz w:val="32"/>
          <w:szCs w:val="32"/>
          <w:lang w:eastAsia="zh-CN"/>
        </w:rPr>
        <w:t>数相比增加了民族团结一家亲、“访恵聚”、南疆支教工作补贴、610办、关工委临时办公场所租赁费和办公用房维修经费、机关事业单位工作人员基本工资标准和增加离休人员费补助经费、振宇基地人员移交</w:t>
      </w:r>
      <w:r>
        <w:rPr>
          <w:rFonts w:hint="eastAsia" w:ascii="仿宋_GB2312" w:eastAsia="仿宋_GB2312"/>
          <w:color w:val="auto"/>
          <w:sz w:val="32"/>
          <w:szCs w:val="32"/>
          <w:lang w:val="en-US" w:eastAsia="zh-CN"/>
        </w:rPr>
        <w:t>等</w:t>
      </w:r>
      <w:r>
        <w:rPr>
          <w:rFonts w:hint="eastAsia" w:ascii="仿宋_GB2312" w:eastAsia="仿宋_GB2312"/>
          <w:color w:val="auto"/>
          <w:sz w:val="32"/>
          <w:szCs w:val="32"/>
          <w:lang w:eastAsia="zh-CN"/>
        </w:rPr>
        <w:t>相关</w:t>
      </w:r>
      <w:r>
        <w:rPr>
          <w:rFonts w:hint="eastAsia" w:ascii="仿宋_GB2312" w:eastAsia="仿宋_GB2312"/>
          <w:color w:val="auto"/>
          <w:sz w:val="32"/>
          <w:szCs w:val="32"/>
          <w:lang w:val="en-US" w:eastAsia="zh-CN"/>
        </w:rPr>
        <w:t>追加</w:t>
      </w:r>
      <w:r>
        <w:rPr>
          <w:rFonts w:hint="eastAsia" w:ascii="仿宋_GB2312" w:eastAsia="仿宋_GB2312"/>
          <w:color w:val="auto"/>
          <w:sz w:val="32"/>
          <w:szCs w:val="32"/>
          <w:lang w:eastAsia="zh-CN"/>
        </w:rPr>
        <w:t>经费</w:t>
      </w:r>
      <w:r>
        <w:rPr>
          <w:rFonts w:hint="eastAsia" w:ascii="仿宋_GB2312" w:eastAsia="仿宋_GB2312"/>
          <w:sz w:val="32"/>
          <w:szCs w:val="32"/>
        </w:rPr>
        <w:t>。</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w:t>
      </w:r>
      <w:r>
        <w:rPr>
          <w:rFonts w:hint="eastAsia" w:ascii="仿宋_GB2312" w:eastAsia="仿宋_GB2312"/>
          <w:sz w:val="32"/>
          <w:szCs w:val="32"/>
          <w:lang w:val="en-US" w:eastAsia="zh-CN"/>
        </w:rPr>
        <w:t>增加</w:t>
      </w:r>
      <w:r>
        <w:rPr>
          <w:rFonts w:hint="eastAsia" w:ascii="仿宋_GB2312" w:eastAsia="仿宋_GB2312"/>
          <w:sz w:val="32"/>
          <w:szCs w:val="32"/>
        </w:rPr>
        <w:t>0%。增减变化的主要原因是：</w:t>
      </w:r>
      <w:r>
        <w:rPr>
          <w:rFonts w:hint="eastAsia" w:ascii="仿宋_GB2312" w:eastAsia="仿宋_GB2312"/>
          <w:sz w:val="32"/>
          <w:szCs w:val="32"/>
          <w:lang w:val="en-US" w:eastAsia="zh-CN"/>
        </w:rPr>
        <w:t>无政府性基金收支</w:t>
      </w:r>
      <w:r>
        <w:rPr>
          <w:rFonts w:hint="eastAsia" w:ascii="仿宋_GB2312" w:eastAsia="仿宋_GB2312"/>
          <w:sz w:val="32"/>
          <w:szCs w:val="32"/>
        </w:rPr>
        <w:t>。政府性基金预算支出0万元。与上年相比，减少0万元，降低0%。增减变化的主要原因是：</w:t>
      </w:r>
      <w:r>
        <w:rPr>
          <w:rFonts w:hint="eastAsia" w:ascii="仿宋_GB2312" w:eastAsia="仿宋_GB2312"/>
          <w:sz w:val="32"/>
          <w:szCs w:val="32"/>
          <w:lang w:val="en-US" w:eastAsia="zh-CN"/>
        </w:rPr>
        <w:t>无政府性基金收支</w:t>
      </w:r>
      <w:r>
        <w:rPr>
          <w:rFonts w:hint="eastAsia" w:ascii="仿宋_GB2312" w:eastAsia="仿宋_GB2312"/>
          <w:sz w:val="32"/>
          <w:szCs w:val="32"/>
        </w:rPr>
        <w:t>。主要原因是：</w:t>
      </w:r>
      <w:r>
        <w:rPr>
          <w:rFonts w:hint="eastAsia" w:ascii="仿宋_GB2312" w:eastAsia="仿宋_GB2312"/>
          <w:sz w:val="32"/>
          <w:szCs w:val="32"/>
          <w:lang w:val="en-US" w:eastAsia="zh-CN"/>
        </w:rPr>
        <w:t>无政府性基金收支</w:t>
      </w:r>
      <w:r>
        <w:rPr>
          <w:rFonts w:hint="eastAsia" w:ascii="仿宋_GB2312" w:eastAsia="仿宋_GB2312"/>
          <w:sz w:val="32"/>
          <w:szCs w:val="32"/>
        </w:rPr>
        <w:t>。政府性基金预算支出0万元。与上年相比，增加0万元，增长0%</w:t>
      </w:r>
      <w:r>
        <w:rPr>
          <w:rFonts w:hint="eastAsia" w:ascii="仿宋_GB2312" w:eastAsia="仿宋_GB2312"/>
          <w:sz w:val="32"/>
          <w:szCs w:val="32"/>
          <w:lang w:eastAsia="zh-CN"/>
        </w:rPr>
        <w:t>，</w:t>
      </w:r>
      <w:r>
        <w:rPr>
          <w:rFonts w:hint="eastAsia" w:ascii="仿宋_GB2312" w:eastAsia="仿宋_GB2312"/>
          <w:sz w:val="32"/>
          <w:szCs w:val="32"/>
          <w:lang w:val="en-US" w:eastAsia="zh-CN"/>
        </w:rPr>
        <w:t>减少0万元，减少0%</w:t>
      </w:r>
      <w:r>
        <w:rPr>
          <w:rFonts w:hint="eastAsia" w:ascii="仿宋_GB2312" w:eastAsia="仿宋_GB2312"/>
          <w:sz w:val="32"/>
          <w:szCs w:val="32"/>
        </w:rPr>
        <w:t>。增减变化的主要原因是：</w:t>
      </w:r>
      <w:r>
        <w:rPr>
          <w:rFonts w:hint="eastAsia" w:ascii="仿宋_GB2312" w:eastAsia="仿宋_GB2312"/>
          <w:sz w:val="32"/>
          <w:szCs w:val="32"/>
          <w:lang w:val="en-US" w:eastAsia="zh-CN"/>
        </w:rPr>
        <w:t>自治区机关事务管理局无政府性基金收支</w:t>
      </w:r>
      <w:r>
        <w:rPr>
          <w:rFonts w:hint="eastAsia" w:ascii="仿宋_GB2312" w:eastAsia="仿宋_GB2312"/>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与年初预算数相比情况：</w:t>
      </w:r>
      <w:r>
        <w:rPr>
          <w:rFonts w:hint="eastAsia" w:ascii="仿宋_GB2312" w:eastAsia="仿宋_GB2312"/>
          <w:sz w:val="32"/>
          <w:szCs w:val="32"/>
          <w:lang w:val="en-US" w:eastAsia="zh-CN"/>
        </w:rPr>
        <w:t>自治区机关事务管理局2018年无政府性基金收支。</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年末结转结余5,058.43万元。与上年相比，</w:t>
      </w:r>
      <w:r>
        <w:rPr>
          <w:rFonts w:hint="eastAsia" w:ascii="仿宋_GB2312" w:eastAsia="仿宋_GB2312"/>
          <w:sz w:val="32"/>
          <w:szCs w:val="32"/>
          <w:lang w:val="en-US" w:eastAsia="zh-CN"/>
        </w:rPr>
        <w:t>降低</w:t>
      </w:r>
      <w:r>
        <w:rPr>
          <w:rFonts w:hint="eastAsia" w:ascii="仿宋_GB2312" w:eastAsia="仿宋_GB2312"/>
          <w:sz w:val="32"/>
          <w:szCs w:val="32"/>
        </w:rPr>
        <w:t>1326.01万元，降低20.77%。</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其中财政拨款结转结余3,738.72万元。与上年相比，</w:t>
      </w:r>
      <w:r>
        <w:rPr>
          <w:rFonts w:hint="eastAsia" w:ascii="仿宋_GB2312" w:eastAsia="仿宋_GB2312"/>
          <w:sz w:val="32"/>
          <w:szCs w:val="32"/>
          <w:lang w:val="en-US" w:eastAsia="zh-CN"/>
        </w:rPr>
        <w:t>降低</w:t>
      </w:r>
      <w:r>
        <w:rPr>
          <w:rFonts w:hint="eastAsia" w:ascii="仿宋_GB2312" w:eastAsia="仿宋_GB2312"/>
          <w:sz w:val="32"/>
          <w:szCs w:val="32"/>
        </w:rPr>
        <w:t>1151.01万元，降低23.54%。</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2018年度一般公共预算“三公”经费支出决算38.81万元，比上年增加2.76万元，增长7.66%，增加原因</w:t>
      </w:r>
      <w:r>
        <w:rPr>
          <w:rFonts w:hint="eastAsia" w:ascii="仿宋_GB2312" w:eastAsia="仿宋_GB2312"/>
          <w:sz w:val="32"/>
          <w:szCs w:val="32"/>
          <w:lang w:val="en-US" w:eastAsia="zh-CN"/>
        </w:rPr>
        <w:t>省管中心三公经费增加，根据新党编办2017年17号文件精神，设立新疆维吾尔自治区省级干部住宅小区管理服务中心，撤销自治区机关事务管理局东梁、幸福路、九家湾三个大院管理服务中心。原自治区机关事务管理局东梁大院管理服务中心账务并入，汽车数量增加</w:t>
      </w:r>
      <w:r>
        <w:rPr>
          <w:rFonts w:hint="eastAsia" w:ascii="仿宋_GB2312" w:eastAsia="仿宋_GB2312"/>
          <w:sz w:val="32"/>
          <w:szCs w:val="32"/>
        </w:rPr>
        <w:t>。其中，因公出国（境）费支出0万元，占0%，比上年增加0万元，降低0%，减少原因</w:t>
      </w:r>
      <w:r>
        <w:rPr>
          <w:rFonts w:hint="eastAsia" w:ascii="仿宋_GB2312" w:eastAsia="仿宋_GB2312"/>
          <w:sz w:val="32"/>
          <w:szCs w:val="32"/>
          <w:lang w:eastAsia="zh-CN"/>
        </w:rPr>
        <w:t>：</w:t>
      </w:r>
      <w:r>
        <w:rPr>
          <w:rFonts w:hint="eastAsia" w:ascii="仿宋_GB2312" w:eastAsia="仿宋_GB2312"/>
          <w:sz w:val="32"/>
          <w:szCs w:val="32"/>
          <w:lang w:val="en-US" w:eastAsia="zh-CN"/>
        </w:rPr>
        <w:t>无</w:t>
      </w:r>
      <w:r>
        <w:rPr>
          <w:rFonts w:hint="eastAsia" w:ascii="仿宋_GB2312" w:eastAsia="仿宋_GB2312"/>
          <w:sz w:val="32"/>
          <w:szCs w:val="32"/>
        </w:rPr>
        <w:t>；公务用车购置及运行维护费支出38.45万元，占99.07%，比上年减少0.38万元，降低0.97%，减少原因是</w:t>
      </w:r>
      <w:r>
        <w:rPr>
          <w:rFonts w:hint="eastAsia" w:ascii="仿宋_GB2312" w:eastAsia="仿宋_GB2312"/>
          <w:sz w:val="32"/>
          <w:szCs w:val="32"/>
          <w:lang w:val="en-US" w:eastAsia="zh-CN"/>
        </w:rPr>
        <w:t>严格按照公务用车管理制度执行，降低车辆运行成本</w:t>
      </w:r>
      <w:r>
        <w:rPr>
          <w:rFonts w:hint="eastAsia" w:ascii="仿宋_GB2312" w:eastAsia="仿宋_GB2312"/>
          <w:sz w:val="32"/>
          <w:szCs w:val="32"/>
        </w:rPr>
        <w:t>；公务接待费支出0.36万元，占0.93%，比上年增加0万元，增加0%，减少原因是</w:t>
      </w:r>
      <w:r>
        <w:rPr>
          <w:rFonts w:hint="eastAsia" w:ascii="仿宋_GB2312" w:eastAsia="仿宋_GB2312"/>
          <w:sz w:val="32"/>
          <w:szCs w:val="32"/>
          <w:lang w:val="en-US" w:eastAsia="zh-CN"/>
        </w:rPr>
        <w:t>严格执行自治区党委政府公务接待管理办法，减少三公经费支出</w:t>
      </w:r>
      <w:r>
        <w:rPr>
          <w:rFonts w:hint="eastAsia" w:ascii="仿宋_GB2312" w:eastAsia="仿宋_GB2312"/>
          <w:sz w:val="32"/>
          <w:szCs w:val="32"/>
        </w:rPr>
        <w:t>。具体情况如下：</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因公出国（境）费支出0万元。新疆维吾尔自治区机关事务管理局全年使用一般公共预算财政拨款安排的出国（境）团组0个，累计0人次。开支内容包括：</w:t>
      </w:r>
      <w:r>
        <w:rPr>
          <w:rFonts w:hint="eastAsia" w:ascii="仿宋_GB2312" w:eastAsia="仿宋_GB2312"/>
          <w:sz w:val="32"/>
          <w:szCs w:val="32"/>
          <w:lang w:val="en-US" w:eastAsia="zh-CN"/>
        </w:rPr>
        <w:t>无</w:t>
      </w:r>
      <w:r>
        <w:rPr>
          <w:rFonts w:hint="eastAsia" w:ascii="仿宋_GB2312" w:eastAsia="仿宋_GB2312"/>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公务用车购置及运行维护费38.45万元,其中，公务用车购置0万元，公务用车运行维护费38.45万元。主要用于公务用车运行维护等。单位一般公共财政拨款安排的公务用车购置量0辆，保有量为10辆。</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公务接待费0.36万元。具体是：国内公务接待支出0.36万元，主要是国内公务接待</w:t>
      </w:r>
      <w:r>
        <w:rPr>
          <w:rFonts w:hint="eastAsia" w:ascii="仿宋_GB2312" w:eastAsia="仿宋_GB2312"/>
          <w:sz w:val="32"/>
          <w:szCs w:val="32"/>
          <w:lang w:val="en-US" w:eastAsia="zh-CN"/>
        </w:rPr>
        <w:t>支出。</w:t>
      </w:r>
      <w:r>
        <w:rPr>
          <w:rFonts w:hint="eastAsia" w:ascii="仿宋_GB2312" w:eastAsia="仿宋_GB2312"/>
          <w:sz w:val="32"/>
          <w:szCs w:val="32"/>
        </w:rPr>
        <w:t>新疆维吾尔自治区机关事务管理局国内公务接待6批次，47人次。</w:t>
      </w:r>
    </w:p>
    <w:p>
      <w:pPr>
        <w:spacing w:line="540" w:lineRule="exact"/>
        <w:ind w:firstLine="640" w:firstLineChars="200"/>
        <w:rPr>
          <w:rFonts w:ascii="仿宋_GB2312" w:hAnsi="宋体" w:eastAsia="仿宋_GB2312" w:cs="宋体"/>
          <w:kern w:val="0"/>
          <w:sz w:val="32"/>
          <w:szCs w:val="32"/>
        </w:rPr>
      </w:pPr>
      <w:r>
        <w:rPr>
          <w:rFonts w:hint="eastAsia" w:ascii="仿宋_GB2312" w:eastAsia="仿宋_GB2312"/>
          <w:sz w:val="32"/>
          <w:szCs w:val="32"/>
        </w:rPr>
        <w:t>与年初预算数相比情况：一般公共预算“三公”经费支出年初预算数51.85万元，决算数38.81万元，预决算差异率-25.15%，差异主要原因</w:t>
      </w:r>
      <w:r>
        <w:rPr>
          <w:rFonts w:hint="eastAsia" w:ascii="仿宋_GB2312" w:eastAsia="仿宋_GB2312"/>
          <w:sz w:val="32"/>
          <w:szCs w:val="32"/>
          <w:lang w:val="en-US" w:eastAsia="zh-CN"/>
        </w:rPr>
        <w:t>严格控制三公经费支出，</w:t>
      </w:r>
      <w:r>
        <w:rPr>
          <w:rFonts w:hint="eastAsia" w:ascii="仿宋_GB2312" w:eastAsia="仿宋_GB2312"/>
          <w:sz w:val="32"/>
          <w:szCs w:val="32"/>
        </w:rPr>
        <w:t>严格控制公车运行费用，降低公务用车使用频率。</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预算数0万元，决算数0万元，预决算差异率0%，差异主要原因</w:t>
      </w:r>
      <w:r>
        <w:rPr>
          <w:rFonts w:hint="eastAsia" w:ascii="仿宋_GB2312" w:eastAsia="仿宋_GB2312"/>
          <w:sz w:val="32"/>
          <w:szCs w:val="32"/>
          <w:lang w:val="en-US" w:eastAsia="zh-CN"/>
        </w:rPr>
        <w:t>无</w:t>
      </w:r>
      <w:r>
        <w:rPr>
          <w:rFonts w:hint="eastAsia" w:ascii="仿宋_GB2312" w:eastAsia="仿宋_GB2312"/>
          <w:sz w:val="32"/>
          <w:szCs w:val="32"/>
        </w:rPr>
        <w:t>；</w:t>
      </w:r>
      <w:r>
        <w:rPr>
          <w:rFonts w:hint="eastAsia" w:ascii="仿宋_GB2312" w:hAnsi="宋体" w:eastAsia="仿宋_GB2312" w:cs="宋体"/>
          <w:kern w:val="0"/>
          <w:sz w:val="32"/>
          <w:szCs w:val="32"/>
        </w:rPr>
        <w:t>公务用车购置</w:t>
      </w:r>
      <w:r>
        <w:rPr>
          <w:rFonts w:hint="eastAsia" w:ascii="仿宋_GB2312" w:eastAsia="仿宋_GB2312"/>
          <w:sz w:val="32"/>
          <w:szCs w:val="32"/>
        </w:rPr>
        <w:t>预算数0万元，决算数0万元，预决算差异率0%，差异主要原因</w:t>
      </w:r>
      <w:r>
        <w:rPr>
          <w:rFonts w:hint="eastAsia" w:ascii="仿宋_GB2312" w:eastAsia="仿宋_GB2312"/>
          <w:sz w:val="32"/>
          <w:szCs w:val="32"/>
          <w:lang w:eastAsia="zh-CN"/>
        </w:rPr>
        <w:t>：</w:t>
      </w:r>
      <w:r>
        <w:rPr>
          <w:rFonts w:hint="eastAsia" w:ascii="仿宋_GB2312" w:eastAsia="仿宋_GB2312"/>
          <w:sz w:val="32"/>
          <w:szCs w:val="32"/>
          <w:lang w:val="en-US" w:eastAsia="zh-CN"/>
        </w:rPr>
        <w:t>无</w:t>
      </w:r>
      <w:r>
        <w:rPr>
          <w:rFonts w:hint="eastAsia" w:ascii="仿宋_GB2312" w:eastAsia="仿宋_GB2312"/>
          <w:sz w:val="32"/>
          <w:szCs w:val="32"/>
        </w:rPr>
        <w:t>；</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预算数50.40万元，决算数38.45万元，预决算差异率-23.71%，差异主要原因</w:t>
      </w:r>
      <w:r>
        <w:rPr>
          <w:rFonts w:hint="eastAsia" w:ascii="仿宋_GB2312" w:eastAsia="仿宋_GB2312"/>
          <w:sz w:val="32"/>
          <w:szCs w:val="32"/>
          <w:lang w:eastAsia="zh-CN"/>
        </w:rPr>
        <w:t>：</w:t>
      </w:r>
      <w:r>
        <w:rPr>
          <w:rFonts w:hint="eastAsia" w:ascii="仿宋_GB2312" w:eastAsia="仿宋_GB2312"/>
          <w:sz w:val="32"/>
          <w:szCs w:val="32"/>
        </w:rPr>
        <w:t>严格控制公车运行费用，降低公务用车使用频率；</w:t>
      </w:r>
      <w:r>
        <w:rPr>
          <w:rFonts w:hint="eastAsia" w:ascii="仿宋_GB2312" w:hAnsi="宋体" w:eastAsia="仿宋_GB2312" w:cs="宋体"/>
          <w:kern w:val="0"/>
          <w:sz w:val="32"/>
          <w:szCs w:val="32"/>
        </w:rPr>
        <w:t>公务接待费</w:t>
      </w:r>
      <w:r>
        <w:rPr>
          <w:rFonts w:hint="eastAsia" w:ascii="仿宋_GB2312" w:eastAsia="仿宋_GB2312"/>
          <w:sz w:val="32"/>
          <w:szCs w:val="32"/>
        </w:rPr>
        <w:t>预算数1.45万元，决算数0.36万元，预决算差异率-75.17%，差异主要原因</w:t>
      </w:r>
      <w:r>
        <w:rPr>
          <w:rFonts w:hint="eastAsia" w:ascii="仿宋_GB2312" w:eastAsia="仿宋_GB2312"/>
          <w:sz w:val="32"/>
          <w:szCs w:val="32"/>
          <w:lang w:eastAsia="zh-CN"/>
        </w:rPr>
        <w:t>：</w:t>
      </w:r>
      <w:r>
        <w:rPr>
          <w:rFonts w:hint="eastAsia" w:ascii="仿宋_GB2312" w:eastAsia="仿宋_GB2312"/>
          <w:sz w:val="32"/>
          <w:szCs w:val="32"/>
        </w:rPr>
        <w:t>严格控制公务接待审批，降低公务接待。</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2018年度新疆维吾尔自治区机关事务管理局（行政单位和参照公务员法管理事业单位）机关运行经费支出380.52万元，比上年增加149.08万元，增长64.41%，主要原因是</w:t>
      </w:r>
      <w:r>
        <w:rPr>
          <w:rFonts w:hint="eastAsia" w:ascii="仿宋_GB2312" w:eastAsia="仿宋_GB2312"/>
          <w:sz w:val="32"/>
          <w:szCs w:val="32"/>
          <w:lang w:eastAsia="zh-CN"/>
        </w:rPr>
        <w:t>：</w:t>
      </w:r>
      <w:r>
        <w:rPr>
          <w:rFonts w:hint="eastAsia" w:ascii="仿宋_GB2312" w:eastAsia="仿宋_GB2312"/>
          <w:sz w:val="32"/>
          <w:szCs w:val="32"/>
          <w:lang w:val="en-US" w:eastAsia="zh-CN"/>
        </w:rPr>
        <w:t>人员增加，机关运行成本增加</w:t>
      </w:r>
      <w:r>
        <w:rPr>
          <w:rFonts w:hint="eastAsia" w:ascii="仿宋_GB2312" w:eastAsia="仿宋_GB2312"/>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新疆维吾尔自治区机关事务管理局（事业单位）日常公用经费676.15万元，比上年增加321.29万元，增长90.54%，主要原因是</w:t>
      </w:r>
      <w:r>
        <w:rPr>
          <w:rFonts w:hint="eastAsia" w:ascii="仿宋_GB2312" w:eastAsia="仿宋_GB2312"/>
          <w:sz w:val="32"/>
          <w:szCs w:val="32"/>
          <w:lang w:eastAsia="zh-CN"/>
        </w:rPr>
        <w:t>：</w:t>
      </w:r>
      <w:r>
        <w:rPr>
          <w:rFonts w:hint="eastAsia" w:ascii="仿宋_GB2312" w:eastAsia="仿宋_GB2312"/>
          <w:sz w:val="32"/>
          <w:szCs w:val="32"/>
          <w:lang w:val="en-US" w:eastAsia="zh-CN"/>
        </w:rPr>
        <w:t>今年物耗、能耗费用较大</w:t>
      </w:r>
      <w:r>
        <w:rPr>
          <w:rFonts w:hint="eastAsia" w:ascii="仿宋_GB2312" w:eastAsia="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2018年度政府采购支出总额0万元，其中：政府采购货物支出0万元、政府采购工程支出0万元、政府采购服务支出0万元。</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（一）国有资产占用情况说明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截至2018年12月31日，单位共有车辆23辆，价值518.25万元，其中：部级领导干部用车0辆、主要领导干部用车0辆、机要通信用车0辆、应急保障用车0辆、执法执勤用车0辆、特种专业技术用车0辆、离退休干部用车0辆、其他用车</w:t>
      </w:r>
      <w:r>
        <w:rPr>
          <w:rFonts w:hint="eastAsia" w:ascii="仿宋_GB2312" w:eastAsia="仿宋_GB2312"/>
          <w:sz w:val="32"/>
          <w:szCs w:val="32"/>
          <w:lang w:val="en-US" w:eastAsia="zh-CN"/>
        </w:rPr>
        <w:t>1</w:t>
      </w:r>
      <w:r>
        <w:rPr>
          <w:rFonts w:hint="eastAsia" w:ascii="仿宋_GB2312" w:eastAsia="仿宋_GB2312"/>
          <w:sz w:val="32"/>
          <w:szCs w:val="32"/>
        </w:rPr>
        <w:t>3辆，其他用车主要是：</w:t>
      </w:r>
      <w:r>
        <w:rPr>
          <w:rFonts w:hint="eastAsia" w:ascii="仿宋_GB2312" w:eastAsia="仿宋_GB2312"/>
          <w:sz w:val="32"/>
          <w:szCs w:val="32"/>
          <w:lang w:val="en-US" w:eastAsia="zh-CN"/>
        </w:rPr>
        <w:t>迎宾馆13辆其他用车</w:t>
      </w:r>
      <w:r>
        <w:rPr>
          <w:rFonts w:hint="eastAsia" w:ascii="仿宋_GB2312" w:eastAsia="仿宋_GB2312"/>
          <w:sz w:val="32"/>
          <w:szCs w:val="32"/>
        </w:rPr>
        <w:t>；单位价值50万元以上通用设备10台（套）、单位价值100万元以上专用设备1台（套）。</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2018年度，本部门单位预算绩效自评情况：自述有关预算绩效管理和绩效自评开展情况。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自治区公共机构</w:t>
      </w:r>
      <w:r>
        <w:rPr>
          <w:rFonts w:hint="eastAsia" w:ascii="仿宋_GB2312" w:eastAsia="仿宋_GB2312"/>
          <w:sz w:val="32"/>
          <w:szCs w:val="32"/>
          <w:lang w:eastAsia="zh-CN"/>
        </w:rPr>
        <w:t>节能考核</w:t>
      </w:r>
      <w:r>
        <w:rPr>
          <w:rFonts w:hint="eastAsia" w:ascii="仿宋_GB2312" w:eastAsia="仿宋_GB2312"/>
          <w:sz w:val="32"/>
          <w:szCs w:val="32"/>
        </w:rPr>
        <w:t>项目绩效自评综述：根据年初设定的绩效目标，自治区公共机构</w:t>
      </w:r>
      <w:r>
        <w:rPr>
          <w:rFonts w:hint="eastAsia" w:ascii="仿宋_GB2312" w:eastAsia="仿宋_GB2312"/>
          <w:sz w:val="32"/>
          <w:szCs w:val="32"/>
          <w:lang w:eastAsia="zh-CN"/>
        </w:rPr>
        <w:t>节能考核</w:t>
      </w:r>
      <w:r>
        <w:rPr>
          <w:rFonts w:hint="eastAsia" w:ascii="仿宋_GB2312" w:eastAsia="仿宋_GB2312"/>
          <w:sz w:val="32"/>
          <w:szCs w:val="32"/>
        </w:rPr>
        <w:t>项目绩效自评得分为</w:t>
      </w:r>
      <w:r>
        <w:rPr>
          <w:rFonts w:hint="eastAsia" w:ascii="仿宋_GB2312" w:eastAsia="仿宋_GB2312"/>
          <w:sz w:val="32"/>
          <w:szCs w:val="32"/>
          <w:lang w:val="en-US" w:eastAsia="zh-CN"/>
        </w:rPr>
        <w:t>90</w:t>
      </w:r>
      <w:r>
        <w:rPr>
          <w:rFonts w:hint="eastAsia" w:ascii="仿宋_GB2312" w:eastAsia="仿宋_GB2312"/>
          <w:sz w:val="32"/>
          <w:szCs w:val="32"/>
        </w:rPr>
        <w:t>分。项目全年预算数为</w:t>
      </w:r>
      <w:r>
        <w:rPr>
          <w:rFonts w:hint="eastAsia" w:ascii="仿宋_GB2312" w:eastAsia="仿宋_GB2312"/>
          <w:sz w:val="32"/>
          <w:szCs w:val="32"/>
          <w:lang w:val="en-US" w:eastAsia="zh-CN"/>
        </w:rPr>
        <w:t>100</w:t>
      </w:r>
      <w:r>
        <w:rPr>
          <w:rFonts w:hint="eastAsia" w:ascii="仿宋_GB2312" w:eastAsia="仿宋_GB2312"/>
          <w:sz w:val="32"/>
          <w:szCs w:val="32"/>
        </w:rPr>
        <w:t>万元，执行数为</w:t>
      </w:r>
      <w:r>
        <w:rPr>
          <w:rFonts w:hint="eastAsia" w:ascii="仿宋_GB2312" w:eastAsia="仿宋_GB2312"/>
          <w:sz w:val="32"/>
          <w:szCs w:val="32"/>
          <w:lang w:val="en-US" w:eastAsia="zh-CN"/>
        </w:rPr>
        <w:t>100</w:t>
      </w:r>
      <w:r>
        <w:rPr>
          <w:rFonts w:hint="eastAsia" w:ascii="仿宋_GB2312" w:eastAsia="仿宋_GB2312"/>
          <w:sz w:val="32"/>
          <w:szCs w:val="32"/>
        </w:rPr>
        <w:t>万元，完成预算的</w:t>
      </w:r>
      <w:r>
        <w:rPr>
          <w:rFonts w:hint="eastAsia" w:ascii="仿宋_GB2312" w:eastAsia="仿宋_GB2312"/>
          <w:sz w:val="32"/>
          <w:szCs w:val="32"/>
          <w:lang w:val="en-US" w:eastAsia="zh-CN"/>
        </w:rPr>
        <w:t>80</w:t>
      </w:r>
      <w:r>
        <w:rPr>
          <w:rFonts w:hint="eastAsia" w:ascii="仿宋_GB2312" w:eastAsia="仿宋_GB2312"/>
          <w:sz w:val="32"/>
          <w:szCs w:val="32"/>
        </w:rPr>
        <w:t>%。主要产出和效果：一是</w:t>
      </w:r>
      <w:r>
        <w:rPr>
          <w:rFonts w:hint="eastAsia" w:ascii="仿宋_GB2312" w:eastAsia="仿宋_GB2312"/>
          <w:sz w:val="32"/>
          <w:szCs w:val="32"/>
          <w:lang w:val="en-US" w:eastAsia="zh-CN"/>
        </w:rPr>
        <w:t>截至2019年6月，完成自治区机关事务</w:t>
      </w:r>
      <w:r>
        <w:rPr>
          <w:rFonts w:hint="eastAsia" w:ascii="仿宋_GB2312" w:eastAsia="仿宋_GB2312"/>
          <w:sz w:val="32"/>
          <w:szCs w:val="32"/>
          <w:lang w:val="zh-CN" w:eastAsia="zh-CN"/>
        </w:rPr>
        <w:t>管理局机关及局属单位</w:t>
      </w:r>
      <w:r>
        <w:rPr>
          <w:rFonts w:hint="eastAsia" w:ascii="仿宋_GB2312" w:eastAsia="仿宋_GB2312"/>
          <w:sz w:val="32"/>
          <w:szCs w:val="32"/>
          <w:lang w:val="en-US" w:eastAsia="zh-CN"/>
        </w:rPr>
        <w:t>创建国家级</w:t>
      </w:r>
      <w:r>
        <w:rPr>
          <w:rFonts w:hint="eastAsia" w:ascii="仿宋_GB2312" w:eastAsia="仿宋_GB2312"/>
          <w:sz w:val="32"/>
          <w:szCs w:val="32"/>
          <w:lang w:val="zh-CN" w:eastAsia="zh-CN"/>
        </w:rPr>
        <w:t>节约型</w:t>
      </w:r>
      <w:r>
        <w:rPr>
          <w:rFonts w:hint="eastAsia" w:ascii="仿宋_GB2312" w:eastAsia="仿宋_GB2312"/>
          <w:sz w:val="32"/>
          <w:szCs w:val="32"/>
          <w:lang w:val="en-US" w:eastAsia="zh-CN"/>
        </w:rPr>
        <w:t>公共机构</w:t>
      </w:r>
      <w:r>
        <w:rPr>
          <w:rFonts w:hint="eastAsia" w:ascii="仿宋_GB2312" w:eastAsia="仿宋_GB2312"/>
          <w:sz w:val="32"/>
          <w:szCs w:val="32"/>
          <w:lang w:val="zh-CN" w:eastAsia="zh-CN"/>
        </w:rPr>
        <w:t>示范单位</w:t>
      </w:r>
      <w:r>
        <w:rPr>
          <w:rFonts w:hint="eastAsia" w:ascii="仿宋_GB2312" w:eastAsia="仿宋_GB2312"/>
          <w:sz w:val="32"/>
          <w:szCs w:val="32"/>
          <w:lang w:val="en-US" w:eastAsia="zh-CN"/>
        </w:rPr>
        <w:t>创建各项节能改造项目，成功获评国家级节约型公共机构示范单位</w:t>
      </w:r>
      <w:r>
        <w:rPr>
          <w:rFonts w:hint="eastAsia" w:ascii="仿宋_GB2312" w:eastAsia="仿宋_GB2312"/>
          <w:sz w:val="32"/>
          <w:szCs w:val="32"/>
        </w:rPr>
        <w:t>；二是</w:t>
      </w:r>
      <w:r>
        <w:rPr>
          <w:rFonts w:hint="eastAsia" w:ascii="仿宋_GB2312" w:eastAsia="仿宋_GB2312"/>
          <w:sz w:val="32"/>
          <w:szCs w:val="32"/>
          <w:lang w:val="en-US" w:eastAsia="zh-CN"/>
        </w:rPr>
        <w:t>完成</w:t>
      </w:r>
      <w:r>
        <w:rPr>
          <w:rFonts w:hint="eastAsia" w:ascii="仿宋_GB2312" w:eastAsia="仿宋_GB2312"/>
          <w:sz w:val="32"/>
          <w:szCs w:val="32"/>
          <w:lang w:val="zh-CN" w:eastAsia="zh-CN"/>
        </w:rPr>
        <w:t>对全区</w:t>
      </w:r>
      <w:r>
        <w:rPr>
          <w:rFonts w:hint="eastAsia" w:ascii="Times New Roman" w:hAnsi="Times New Roman" w:eastAsia="仿宋_GB2312" w:cs="Times New Roman"/>
          <w:sz w:val="32"/>
          <w:szCs w:val="32"/>
          <w:lang w:val="en-US" w:eastAsia="zh-CN"/>
        </w:rPr>
        <w:t>37家国家级、65家自治区级节约型示范单位创建工作进行</w:t>
      </w:r>
      <w:r>
        <w:rPr>
          <w:rFonts w:hint="eastAsia" w:ascii="Times New Roman" w:hAnsi="Times New Roman" w:eastAsia="仿宋_GB2312" w:cs="Times New Roman"/>
          <w:sz w:val="32"/>
          <w:szCs w:val="32"/>
          <w:lang w:val="zh-CN" w:eastAsia="zh-CN"/>
        </w:rPr>
        <w:t>评价、验收、授牌</w:t>
      </w:r>
      <w:r>
        <w:rPr>
          <w:rFonts w:hint="eastAsia" w:ascii="仿宋_GB2312" w:eastAsia="仿宋_GB2312"/>
          <w:sz w:val="32"/>
          <w:szCs w:val="32"/>
        </w:rPr>
        <w:t>。下一步改进措施：一是</w:t>
      </w:r>
      <w:r>
        <w:rPr>
          <w:rFonts w:hint="eastAsia" w:ascii="Times New Roman" w:hAnsi="Times New Roman" w:eastAsia="仿宋_GB2312" w:cs="Times New Roman"/>
          <w:spacing w:val="0"/>
          <w:sz w:val="32"/>
          <w:szCs w:val="32"/>
          <w:lang w:val="en-US" w:eastAsia="zh-CN"/>
        </w:rPr>
        <w:t>加强</w:t>
      </w:r>
      <w:r>
        <w:rPr>
          <w:rFonts w:hint="default" w:ascii="Times New Roman" w:hAnsi="Times New Roman" w:eastAsia="仿宋_GB2312" w:cs="Times New Roman"/>
          <w:spacing w:val="0"/>
          <w:sz w:val="32"/>
          <w:szCs w:val="32"/>
          <w:lang w:val="en-US" w:eastAsia="zh-CN"/>
        </w:rPr>
        <w:t>项目</w:t>
      </w:r>
      <w:r>
        <w:rPr>
          <w:rFonts w:hint="eastAsia" w:eastAsia="仿宋_GB2312" w:cs="Times New Roman"/>
          <w:spacing w:val="0"/>
          <w:sz w:val="32"/>
          <w:szCs w:val="32"/>
          <w:lang w:val="en-US" w:eastAsia="zh-CN"/>
        </w:rPr>
        <w:t>监督管理，总结创建工作经验，改进工作方法；</w:t>
      </w:r>
      <w:r>
        <w:rPr>
          <w:rFonts w:hint="eastAsia" w:ascii="仿宋_GB2312" w:eastAsia="仿宋_GB2312"/>
          <w:sz w:val="32"/>
          <w:szCs w:val="32"/>
        </w:rPr>
        <w:t>二是</w:t>
      </w:r>
      <w:r>
        <w:rPr>
          <w:rFonts w:hint="eastAsia" w:eastAsia="仿宋_GB2312" w:cs="Times New Roman"/>
          <w:spacing w:val="0"/>
          <w:sz w:val="32"/>
          <w:szCs w:val="32"/>
          <w:lang w:val="en-US" w:eastAsia="zh-CN"/>
        </w:rPr>
        <w:t>提高创建单位公共积极性，发挥专项资金项目更大效益</w:t>
      </w:r>
      <w:r>
        <w:rPr>
          <w:rFonts w:hint="eastAsia" w:ascii="仿宋_GB2312" w:eastAsia="仿宋_GB2312"/>
          <w:sz w:val="32"/>
          <w:szCs w:val="32"/>
        </w:rPr>
        <w:t>。有关项目自评情况可以附项目支出绩效自评表。</w:t>
      </w:r>
    </w:p>
    <w:p>
      <w:pPr>
        <w:spacing w:line="54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乡村绿色照明维护项目绩效自评综述：根据年初设定的绩效目标，乡村绿色照明维护项目绩效自评得分为92分。项目全年预算数为400万元，执行数为400万元，完成预算的80%。主要产出和效果：一是在本年度内，完成2014年、2015年南疆四地州上报的621盏已不能正常运行的太阳能路灯的检测维修工作；二是2018-2020年，每年对2014年、2015年南疆四地州乡村绿色照明项目的太阳能路灯开展巡检维护工作。下一步改进措施：督促乡村绿色照明第三方维保</w:t>
      </w:r>
      <w:r>
        <w:rPr>
          <w:rFonts w:hint="default" w:ascii="Times New Roman" w:hAnsi="Times New Roman" w:eastAsia="仿宋_GB2312" w:cs="Times New Roman"/>
          <w:sz w:val="32"/>
          <w:szCs w:val="32"/>
          <w:lang w:val="en-US" w:eastAsia="zh-CN"/>
        </w:rPr>
        <w:t>任务，</w:t>
      </w:r>
      <w:r>
        <w:rPr>
          <w:rFonts w:hint="eastAsia" w:ascii="Times New Roman" w:hAnsi="Times New Roman" w:eastAsia="仿宋_GB2312" w:cs="Times New Roman"/>
          <w:sz w:val="32"/>
          <w:szCs w:val="32"/>
          <w:lang w:val="en-US" w:eastAsia="zh-CN"/>
        </w:rPr>
        <w:t>加快项目实施</w:t>
      </w:r>
      <w:r>
        <w:rPr>
          <w:rFonts w:hint="default" w:ascii="Times New Roman" w:hAnsi="Times New Roman" w:eastAsia="仿宋_GB2312" w:cs="Times New Roman"/>
          <w:sz w:val="32"/>
          <w:szCs w:val="32"/>
          <w:lang w:val="en-US" w:eastAsia="zh-CN"/>
        </w:rPr>
        <w:t>进度，形成支付实物量</w:t>
      </w:r>
      <w:r>
        <w:rPr>
          <w:rFonts w:hint="eastAsia" w:ascii="Times New Roman" w:hAnsi="Times New Roman" w:eastAsia="仿宋_GB2312" w:cs="Times New Roman"/>
          <w:sz w:val="32"/>
          <w:szCs w:val="32"/>
          <w:lang w:val="en-US" w:eastAsia="zh-CN"/>
        </w:rPr>
        <w:t>。有关项目自评情况可以附项目支出绩效自评表。</w:t>
      </w:r>
    </w:p>
    <w:p>
      <w:pPr>
        <w:spacing w:line="540" w:lineRule="exact"/>
        <w:ind w:firstLine="640" w:firstLineChars="200"/>
        <w:rPr>
          <w:rFonts w:hint="eastAsia" w:ascii="Times New Roman" w:hAnsi="Times New Roman" w:eastAsia="仿宋_GB2312" w:cs="Times New Roman"/>
          <w:sz w:val="32"/>
          <w:szCs w:val="32"/>
          <w:lang w:val="en-US" w:eastAsia="zh-CN"/>
        </w:rPr>
      </w:pPr>
    </w:p>
    <w:p>
      <w:pPr>
        <w:spacing w:line="540" w:lineRule="exact"/>
        <w:jc w:val="center"/>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rPr>
        <w:t>。</w:t>
      </w:r>
      <w:r>
        <w:rPr>
          <w:rFonts w:hint="eastAsia" w:ascii="仿宋_GB2312" w:eastAsia="仿宋_GB2312"/>
          <w:color w:val="auto"/>
          <w:sz w:val="32"/>
          <w:szCs w:val="32"/>
        </w:rPr>
        <w:t>2010301：指行政运行。2010303：指机关服务。2010304</w:t>
      </w:r>
      <w:r>
        <w:rPr>
          <w:rFonts w:hint="eastAsia" w:ascii="仿宋_GB2312" w:eastAsia="仿宋_GB2312"/>
          <w:color w:val="auto"/>
          <w:sz w:val="32"/>
          <w:szCs w:val="32"/>
          <w:lang w:eastAsia="zh-CN"/>
        </w:rPr>
        <w:t>：指专项服务。2010399：指其他政府办公厅（室）及相关机构事务支出。2080504：指未归口管理的行政单位离退休。2080505：指机关事业单位基本养老保险缴费支出。2080506：指机关事业单位职业年金缴费支出。2080599：其他行政事业单位离退休支出。2080699：指其他企业改革发展补助。2110199：指其他环境保护管理事务支出。2111001：指能源节约利用。</w:t>
      </w:r>
    </w:p>
    <w:p>
      <w:pPr>
        <w:spacing w:line="540" w:lineRule="exact"/>
        <w:ind w:firstLine="640" w:firstLineChars="200"/>
        <w:rPr>
          <w:rFonts w:ascii="仿宋_GB2312" w:hAnsi="Calibri"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华文仿宋">
    <w:altName w:val="仿宋"/>
    <w:panose1 w:val="02010600040101010101"/>
    <w:charset w:val="86"/>
    <w:family w:val="auto"/>
    <w:pitch w:val="default"/>
    <w:sig w:usb0="00000287" w:usb1="080F0000" w:usb2="00000000" w:usb3="00000000" w:csb0="0004009F" w:csb1="DFD70000"/>
  </w:font>
  <w:font w:name="Verdana">
    <w:panose1 w:val="020B0604030504040204"/>
    <w:charset w:val="00"/>
    <w:family w:val="auto"/>
    <w:pitch w:val="default"/>
    <w:sig w:usb0="A10006FF" w:usb1="4000205B" w:usb2="00000010" w:usb3="00000000" w:csb0="2000019F" w:csb1="00000000"/>
  </w:font>
  <w:font w:name="方正黑体简体">
    <w:altName w:val="黑体"/>
    <w:panose1 w:val="03000509000000000000"/>
    <w:charset w:val="86"/>
    <w:family w:val="auto"/>
    <w:pitch w:val="default"/>
    <w:sig w:usb0="00000000" w:usb1="080E0000" w:usb2="00000010" w:usb3="00000000" w:csb0="00040000" w:csb1="00000000"/>
  </w:font>
  <w:font w:name="方正仿宋简体">
    <w:altName w:val="微软雅黑"/>
    <w:panose1 w:val="03000509000000000000"/>
    <w:charset w:val="86"/>
    <w:family w:val="auto"/>
    <w:pitch w:val="default"/>
    <w:sig w:usb0="00000000" w:usb1="080E0000" w:usb2="00000010" w:usb3="00000000" w:csb0="00040000" w:csb1="00000000"/>
  </w:font>
  <w:font w:name="Cambria Math">
    <w:panose1 w:val="02040503050406030204"/>
    <w:charset w:val="00"/>
    <w:family w:val="auto"/>
    <w:pitch w:val="default"/>
    <w:sig w:usb0="E00002FF" w:usb1="420024FF" w:usb2="00000000" w:usb3="00000000" w:csb0="2000019F" w:csb1="00000000"/>
  </w:font>
  <w:font w:name="Cambria">
    <w:panose1 w:val="02040503050406030204"/>
    <w:charset w:val="00"/>
    <w:family w:val="auto"/>
    <w:pitch w:val="default"/>
    <w:sig w:usb0="E00002FF" w:usb1="400004FF" w:usb2="00000000" w:usb3="00000000" w:csb0="2000019F" w:csb1="00000000"/>
  </w:font>
  <w:font w:name="Calibri Light">
    <w:panose1 w:val="020F0302020204030204"/>
    <w:charset w:val="00"/>
    <w:family w:val="auto"/>
    <w:pitch w:val="default"/>
    <w:sig w:usb0="A00002EF" w:usb1="4000207B" w:usb2="00000000" w:usb3="00000000" w:csb0="2000019F" w:csb1="00000000"/>
  </w:font>
  <w:font w:name="Helvetica">
    <w:altName w:val="Microsoft Sans Serif"/>
    <w:panose1 w:val="020B0604020202020204"/>
    <w:charset w:val="00"/>
    <w:family w:val="auto"/>
    <w:pitch w:val="default"/>
    <w:sig w:usb0="E0002AFF" w:usb1="C0007843" w:usb2="00000009" w:usb3="00000000" w:csb0="000001FF" w:csb1="00000000"/>
  </w:font>
  <w:font w:name="Microsoft Sans Serif">
    <w:panose1 w:val="020B0604020202020204"/>
    <w:charset w:val="00"/>
    <w:family w:val="auto"/>
    <w:pitch w:val="default"/>
    <w:sig w:usb0="E1002AFF" w:usb1="C0000002" w:usb2="00000008" w:usb3="00000000" w:csb0="200101FF" w:csb1="20280000"/>
  </w:font>
  <w:font w:name="hakuyoxingshu7000">
    <w:altName w:val="宋体"/>
    <w:panose1 w:val="02000600000000000000"/>
    <w:charset w:val="86"/>
    <w:family w:val="auto"/>
    <w:pitch w:val="default"/>
    <w:sig w:usb0="FFFFFFFF" w:usb1="E9FFFFFF" w:usb2="0000003F" w:usb3="00000000" w:csb0="603F00FF" w:csb1="FFFF0000"/>
  </w:font>
  <w:font w:name="Impact">
    <w:panose1 w:val="020B0806030902050204"/>
    <w:charset w:val="00"/>
    <w:family w:val="auto"/>
    <w:pitch w:val="default"/>
    <w:sig w:usb0="00000287" w:usb1="00000000" w:usb2="00000000" w:usb3="00000000" w:csb0="2000009F" w:csb1="DFD70000"/>
  </w:font>
  <w:font w:name="Lucida Sans">
    <w:altName w:val="Lucida Sans Unicode"/>
    <w:panose1 w:val="020B0602030504020204"/>
    <w:charset w:val="00"/>
    <w:family w:val="auto"/>
    <w:pitch w:val="default"/>
    <w:sig w:usb0="00000003"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新宋体">
    <w:panose1 w:val="02010609030101010101"/>
    <w:charset w:val="86"/>
    <w:family w:val="auto"/>
    <w:pitch w:val="default"/>
    <w:sig w:usb0="00000003" w:usb1="288F0000" w:usb2="00000006" w:usb3="00000000" w:csb0="00040001" w:csb1="00000000"/>
  </w:font>
  <w:font w:name="MingLiU">
    <w:panose1 w:val="02020509000000000000"/>
    <w:charset w:val="88"/>
    <w:family w:val="auto"/>
    <w:pitch w:val="default"/>
    <w:sig w:usb0="A00002FF" w:usb1="28CFFCFA" w:usb2="00000016" w:usb3="00000000" w:csb0="00100001" w:csb1="00000000"/>
  </w:font>
  <w:font w:name="Gungsuh">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方正兰亭超细黑简体">
    <w:altName w:val="黑体"/>
    <w:panose1 w:val="02000000000000000000"/>
    <w:charset w:val="86"/>
    <w:family w:val="auto"/>
    <w:pitch w:val="default"/>
    <w:sig w:usb0="00000001" w:usb1="08000000" w:usb2="00000000" w:usb3="00000000" w:csb0="00040000" w:csb1="00000000"/>
  </w:font>
  <w:font w:name="方正楷体简体">
    <w:altName w:val="宋体"/>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1" w:usb1="080E0000" w:usb2="00000000" w:usb3="00000000" w:csb0="00040000" w:csb1="00000000"/>
  </w:font>
  <w:font w:name="华文楷体">
    <w:altName w:val="楷体_GB2312"/>
    <w:panose1 w:val="02010600040101010101"/>
    <w:charset w:val="86"/>
    <w:family w:val="auto"/>
    <w:pitch w:val="default"/>
    <w:sig w:usb0="00000287" w:usb1="080F0000" w:usb2="00000000" w:usb3="00000000" w:csb0="0004009F" w:csb1="DFD70000"/>
  </w:font>
  <w:font w:name="??_GB2312">
    <w:altName w:val="Latha"/>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Latha">
    <w:panose1 w:val="020B0604020202020204"/>
    <w:charset w:val="00"/>
    <w:family w:val="auto"/>
    <w:pitch w:val="default"/>
    <w:sig w:usb0="00100003" w:usb1="00000000" w:usb2="00000000" w:usb3="00000000" w:csb0="00000001" w:csb1="00000000"/>
  </w:font>
  <w:font w:name="附件一">
    <w:altName w:val="宋体"/>
    <w:panose1 w:val="00000000000000000000"/>
    <w:charset w:val="86"/>
    <w:family w:val="auto"/>
    <w:pitch w:val="default"/>
    <w:sig w:usb0="00000000" w:usb1="00000000" w:usb2="00000000" w:usb3="00000000" w:csb0="00040001" w:csb1="00000000"/>
  </w:font>
  <w:font w:name="华文行楷">
    <w:altName w:val="微软雅黑"/>
    <w:panose1 w:val="02010800040101010101"/>
    <w:charset w:val="86"/>
    <w:family w:val="auto"/>
    <w:pitch w:val="default"/>
    <w:sig w:usb0="00000001" w:usb1="080F0000" w:usb2="00000000" w:usb3="00000000" w:csb0="00040000" w:csb1="00000000"/>
  </w:font>
  <w:font w:name="方正黑体_GBK">
    <w:altName w:val="黑体"/>
    <w:panose1 w:val="03000509000000000000"/>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方正黑体">
    <w:altName w:val="黑体"/>
    <w:panose1 w:val="03000509000000000000"/>
    <w:charset w:val="86"/>
    <w:family w:val="auto"/>
    <w:pitch w:val="default"/>
    <w:sig w:usb0="00000000" w:usb1="00000000" w:usb2="00000000" w:usb3="00000000" w:csb0="00040000" w:csb1="00000000"/>
  </w:font>
  <w:font w:name="Dotum">
    <w:panose1 w:val="020B0600000101010101"/>
    <w:charset w:val="81"/>
    <w:family w:val="auto"/>
    <w:pitch w:val="default"/>
    <w:sig w:usb0="B00002AF" w:usb1="69D77CFB" w:usb2="00000030" w:usb3="00000000" w:csb0="4008009F" w:csb1="DFD70000"/>
  </w:font>
  <w:font w:name="MV Boli">
    <w:panose1 w:val="02000500030200090000"/>
    <w:charset w:val="00"/>
    <w:family w:val="auto"/>
    <w:pitch w:val="default"/>
    <w:sig w:usb0="00000003" w:usb1="00000000" w:usb2="00000100" w:usb3="00000000" w:csb0="00000001" w:csb1="00000000"/>
  </w:font>
  <w:font w:name="Palatino Linotype">
    <w:panose1 w:val="02040502050505030304"/>
    <w:charset w:val="00"/>
    <w:family w:val="auto"/>
    <w:pitch w:val="default"/>
    <w:sig w:usb0="E0000287" w:usb1="40000013" w:usb2="00000000" w:usb3="00000000" w:csb0="2000019F" w:csb1="00000000"/>
  </w:font>
  <w:font w:name="Siemens Sans">
    <w:altName w:val="Times New Roman"/>
    <w:panose1 w:val="00000000000000000000"/>
    <w:charset w:val="00"/>
    <w:family w:val="auto"/>
    <w:pitch w:val="default"/>
    <w:sig w:usb0="00000000" w:usb1="00000000" w:usb2="00000000" w:usb3="00000000" w:csb0="00000001" w:csb1="00000000"/>
  </w:font>
  <w:font w:name="Webdings">
    <w:panose1 w:val="05030102010509060703"/>
    <w:charset w:val="02"/>
    <w:family w:val="auto"/>
    <w:pitch w:val="default"/>
    <w:sig w:usb0="00000000" w:usb1="00000000" w:usb2="00000000" w:usb3="00000000" w:csb0="80000000" w:csb1="00000000"/>
  </w:font>
  <w:font w:name="MS Mincho">
    <w:panose1 w:val="020206090402050803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uiPriority w:val="1"/>
  </w:style>
  <w:style w:type="paragraph" w:styleId="2">
    <w:name w:val="annotation text"/>
    <w:basedOn w:val="1"/>
    <w:link w:val="9"/>
    <w:qFormat/>
    <w:uiPriority w:val="0"/>
    <w:pPr>
      <w:jc w:val="left"/>
    </w:pPr>
    <w:rPr>
      <w:rFonts w:ascii="Times New Roman" w:hAnsi="Times New Roman" w:eastAsia="宋体" w:cs="Times New Roman"/>
      <w:szCs w:val="24"/>
    </w:rPr>
  </w:style>
  <w:style w:type="paragraph" w:styleId="3">
    <w:name w:val="Balloon Text"/>
    <w:basedOn w:val="1"/>
    <w:link w:val="10"/>
    <w:semiHidden/>
    <w:unhideWhenUsed/>
    <w:uiPriority w:val="99"/>
    <w:rPr>
      <w:sz w:val="18"/>
      <w:szCs w:val="18"/>
    </w:rPr>
  </w:style>
  <w:style w:type="paragraph" w:styleId="4">
    <w:name w:val="footer"/>
    <w:basedOn w:val="1"/>
    <w:semiHidden/>
    <w:unhideWhenUsed/>
    <w:uiPriority w:val="99"/>
    <w:pPr>
      <w:tabs>
        <w:tab w:val="center" w:pos="4153"/>
        <w:tab w:val="right" w:pos="8306"/>
      </w:tabs>
      <w:snapToGrid w:val="0"/>
      <w:jc w:val="left"/>
    </w:pPr>
    <w:rPr>
      <w:sz w:val="18"/>
    </w:rPr>
  </w:style>
  <w:style w:type="paragraph" w:styleId="5">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7">
    <w:name w:val="annotation reference"/>
    <w:basedOn w:val="6"/>
    <w:semiHidden/>
    <w:unhideWhenUsed/>
    <w:uiPriority w:val="99"/>
    <w:rPr>
      <w:sz w:val="21"/>
      <w:szCs w:val="21"/>
    </w:rPr>
  </w:style>
  <w:style w:type="paragraph" w:customStyle="1" w:styleId="8">
    <w:name w:val="p0"/>
    <w:basedOn w:val="1"/>
    <w:uiPriority w:val="0"/>
    <w:pPr>
      <w:widowControl/>
    </w:pPr>
    <w:rPr>
      <w:kern w:val="0"/>
      <w:szCs w:val="21"/>
    </w:rPr>
  </w:style>
  <w:style w:type="character" w:customStyle="1" w:styleId="9">
    <w:name w:val="批注文字 Char"/>
    <w:basedOn w:val="6"/>
    <w:link w:val="2"/>
    <w:qFormat/>
    <w:uiPriority w:val="0"/>
    <w:rPr>
      <w:rFonts w:ascii="Times New Roman" w:hAnsi="Times New Roman" w:eastAsia="宋体" w:cs="Times New Roman"/>
      <w:szCs w:val="24"/>
    </w:rPr>
  </w:style>
  <w:style w:type="character" w:customStyle="1" w:styleId="10">
    <w:name w:val="批注框文本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783</Words>
  <Characters>4469</Characters>
  <Lines>37</Lines>
  <Paragraphs>10</Paragraphs>
  <ScaleCrop>false</ScaleCrop>
  <LinksUpToDate>false</LinksUpToDate>
  <CharactersWithSpaces>0</CharactersWithSpaces>
  <Application>WPS Office 专业版_9.1.0.4569_{F1E327BC-269C-435d-A152-05C5408002CA}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2019-07-23T11:27:00Z</dcterms:created>
  <dc:creator>admin</dc:creator>
  <cp:lastModifiedBy>作者</cp:lastModifiedBy>
  <dcterms:modified xsi:type="dcterms:W3CDTF">2019-09-23T07:37:26Z</dcterms:modified>
  <dc:title>2018年度新疆维吾尔自治区机关事务   管理局部门决算公开说明</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