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bookmarkStart w:id="0" w:name="_GoBack"/>
      <w:r>
        <w:rPr>
          <w:rFonts w:hint="eastAsia" w:hAnsi="宋体" w:eastAsia="仿宋_GB2312" w:cs="宋体"/>
          <w:kern w:val="0"/>
          <w:sz w:val="36"/>
          <w:szCs w:val="36"/>
          <w:lang w:val="en-US" w:eastAsia="zh-CN"/>
        </w:rPr>
        <w:t>基本建设投资及重大项目前期费</w:t>
      </w:r>
      <w:bookmarkEnd w:id="0"/>
    </w:p>
    <w:p>
      <w:pPr>
        <w:spacing w:line="700" w:lineRule="exact"/>
        <w:jc w:val="left"/>
        <w:rPr>
          <w:rFonts w:hAnsi="宋体" w:eastAsia="仿宋_GB2312" w:cs="宋体"/>
          <w:w w:val="90"/>
          <w:kern w:val="0"/>
          <w:sz w:val="36"/>
          <w:szCs w:val="36"/>
        </w:rPr>
      </w:pPr>
      <w:r>
        <w:rPr>
          <w:rFonts w:hint="eastAsia" w:hAnsi="宋体" w:eastAsia="仿宋_GB2312" w:cs="宋体"/>
          <w:kern w:val="0"/>
          <w:sz w:val="36"/>
          <w:szCs w:val="36"/>
        </w:rPr>
        <w:t xml:space="preserve">     实施单位（公章）：</w:t>
      </w:r>
      <w:r>
        <w:rPr>
          <w:rFonts w:hint="eastAsia" w:ascii="Times New Roman" w:hAnsi="Times New Roman" w:eastAsia="仿宋_GB2312" w:cs="仿宋_GB2312"/>
          <w:w w:val="90"/>
          <w:sz w:val="32"/>
          <w:szCs w:val="32"/>
          <w:lang w:val="en-US" w:eastAsia="zh-CN"/>
        </w:rPr>
        <w:t>新疆维吾尔自治区机关事务管理局</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50" w:firstLineChars="236"/>
        <w:jc w:val="left"/>
        <w:rPr>
          <w:rFonts w:hint="eastAsia"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rPr>
          <w:rStyle w:val="18"/>
          <w:rFonts w:hint="eastAsia" w:ascii="仿宋_GB2312" w:hAnsi="仿宋_GB2312" w:eastAsia="仿宋_GB2312" w:cs="仿宋_GB2312"/>
          <w:b w:val="0"/>
          <w:bCs w:val="0"/>
          <w:spacing w:val="-4"/>
          <w:sz w:val="32"/>
          <w:szCs w:val="32"/>
          <w:lang w:val="en-US" w:eastAsia="zh-CN"/>
        </w:rPr>
      </w:pPr>
      <w:r>
        <w:rPr>
          <w:rStyle w:val="18"/>
          <w:rFonts w:hint="eastAsia" w:ascii="仿宋_GB2312" w:hAnsi="仿宋_GB2312" w:eastAsia="仿宋_GB2312" w:cs="仿宋_GB2312"/>
          <w:b w:val="0"/>
          <w:bCs w:val="0"/>
          <w:spacing w:val="-4"/>
          <w:sz w:val="32"/>
          <w:szCs w:val="32"/>
          <w:lang w:val="en-US" w:eastAsia="zh-CN"/>
        </w:rPr>
        <w:t xml:space="preserve">    自治区机关事务管理局工程管理处主要</w:t>
      </w:r>
      <w:r>
        <w:rPr>
          <w:rFonts w:hint="eastAsia" w:ascii="仿宋_GB2312" w:eastAsia="仿宋_GB2312"/>
          <w:sz w:val="32"/>
          <w:szCs w:val="32"/>
        </w:rPr>
        <w:t>承担自治区</w:t>
      </w:r>
      <w:r>
        <w:rPr>
          <w:rFonts w:hint="eastAsia" w:ascii="仿宋_GB2312" w:eastAsia="仿宋_GB2312"/>
          <w:sz w:val="32"/>
          <w:szCs w:val="32"/>
          <w:lang w:val="en-US" w:eastAsia="zh-CN"/>
        </w:rPr>
        <w:t>省</w:t>
      </w:r>
      <w:r>
        <w:rPr>
          <w:rFonts w:hint="eastAsia" w:ascii="仿宋_GB2312" w:eastAsia="仿宋_GB2312"/>
          <w:sz w:val="32"/>
          <w:szCs w:val="32"/>
        </w:rPr>
        <w:t>级领导住房的建设、维修管理</w:t>
      </w:r>
      <w:r>
        <w:rPr>
          <w:rFonts w:hint="eastAsia" w:ascii="仿宋_GB2312" w:eastAsia="仿宋_GB2312"/>
          <w:sz w:val="32"/>
          <w:szCs w:val="32"/>
          <w:lang w:eastAsia="zh-CN"/>
        </w:rPr>
        <w:t>；</w:t>
      </w:r>
      <w:r>
        <w:rPr>
          <w:rFonts w:hint="eastAsia" w:ascii="仿宋_GB2312" w:eastAsia="仿宋_GB2312"/>
          <w:sz w:val="32"/>
          <w:szCs w:val="32"/>
          <w:lang w:val="en-US" w:eastAsia="zh-CN"/>
        </w:rPr>
        <w:t>拟定局系统、省级大院工程建设及维修改造中长期规划，制定相应年度计划，并指导实施；</w:t>
      </w:r>
      <w:r>
        <w:rPr>
          <w:rFonts w:hint="eastAsia" w:ascii="仿宋_GB2312" w:eastAsia="仿宋_GB2312"/>
          <w:sz w:val="32"/>
          <w:szCs w:val="32"/>
        </w:rPr>
        <w:t>负责自治区区级机关及部分事业单位</w:t>
      </w:r>
      <w:r>
        <w:rPr>
          <w:rFonts w:hint="eastAsia" w:ascii="仿宋_GB2312" w:eastAsia="仿宋_GB2312"/>
          <w:sz w:val="32"/>
          <w:szCs w:val="32"/>
          <w:lang w:val="en-US" w:eastAsia="zh-CN"/>
        </w:rPr>
        <w:t>住房</w:t>
      </w:r>
      <w:r>
        <w:rPr>
          <w:rFonts w:hint="eastAsia" w:ascii="仿宋_GB2312" w:eastAsia="仿宋_GB2312"/>
          <w:sz w:val="32"/>
          <w:szCs w:val="32"/>
        </w:rPr>
        <w:t>的建设管理，编制基建计划，制定相应管理制度</w:t>
      </w:r>
      <w:r>
        <w:rPr>
          <w:rFonts w:hint="eastAsia" w:ascii="仿宋_GB2312" w:eastAsia="仿宋_GB2312"/>
          <w:sz w:val="32"/>
          <w:szCs w:val="32"/>
          <w:lang w:eastAsia="zh-CN"/>
        </w:rPr>
        <w:t>；</w:t>
      </w:r>
      <w:r>
        <w:rPr>
          <w:rFonts w:hint="eastAsia" w:ascii="仿宋_GB2312" w:eastAsia="仿宋_GB2312"/>
          <w:sz w:val="32"/>
          <w:szCs w:val="32"/>
        </w:rPr>
        <w:t>承担自治区委托我局负责的各项建设工程的管理工作</w:t>
      </w:r>
      <w:r>
        <w:rPr>
          <w:rFonts w:hint="eastAsia" w:ascii="仿宋_GB2312" w:eastAsia="仿宋_GB2312"/>
          <w:sz w:val="32"/>
          <w:szCs w:val="32"/>
          <w:lang w:eastAsia="zh-CN"/>
        </w:rPr>
        <w:t>。</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5" w:firstLineChars="181"/>
        <w:rPr>
          <w:rStyle w:val="18"/>
          <w:rFonts w:hint="eastAsia" w:ascii="仿宋" w:hAnsi="仿宋" w:eastAsia="仿宋"/>
          <w:b w:val="0"/>
          <w:spacing w:val="-4"/>
          <w:sz w:val="32"/>
          <w:szCs w:val="32"/>
          <w:lang w:val="en-US" w:eastAsia="zh-CN"/>
        </w:rPr>
      </w:pPr>
      <w:r>
        <w:rPr>
          <w:rStyle w:val="18"/>
          <w:rFonts w:hint="eastAsia" w:ascii="仿宋_GB2312" w:hAnsi="仿宋_GB2312" w:eastAsia="仿宋_GB2312" w:cs="仿宋_GB2312"/>
          <w:b w:val="0"/>
          <w:spacing w:val="-4"/>
          <w:sz w:val="32"/>
          <w:szCs w:val="32"/>
          <w:lang w:val="en-US" w:eastAsia="zh-CN"/>
        </w:rPr>
        <w:t>基本建设投资及重大项目前期费，主要用于天山区新东街198号羊毛湖区域的备供电源建设，涉及羊毛湖巷、新东街片区配电网改造完善，通过备供电源建设将</w:t>
      </w:r>
      <w:r>
        <w:rPr>
          <w:rStyle w:val="20"/>
          <w:rFonts w:hint="eastAsia" w:ascii="宋体" w:hAnsi="宋体" w:eastAsia="仿宋_GB2312" w:cs="仿宋_GB2312"/>
          <w:b w:val="0"/>
          <w:bCs w:val="0"/>
          <w:color w:val="000000"/>
          <w:sz w:val="32"/>
          <w:szCs w:val="32"/>
          <w:lang w:val="en-US" w:eastAsia="zh-CN"/>
        </w:rPr>
        <w:t>提高羊毛湖区域电网供电安全可靠性，增加供电能力，缓解供电紧张局面，保证用电负荷增长需求，提高设备健康水平，降低用电损耗，提高经济效益，改善羊毛湖区域供电环境</w:t>
      </w:r>
      <w:r>
        <w:rPr>
          <w:rFonts w:hint="eastAsia" w:ascii="宋体" w:hAnsi="宋体" w:eastAsia="仿宋_GB2312" w:cs="仿宋_GB2312"/>
          <w:color w:val="000000"/>
          <w:sz w:val="32"/>
          <w:szCs w:val="32"/>
          <w:lang w:val="en-US" w:eastAsia="zh-CN"/>
        </w:rPr>
        <w:t>。该建设项目</w:t>
      </w:r>
      <w:r>
        <w:rPr>
          <w:rStyle w:val="20"/>
          <w:rFonts w:hint="eastAsia" w:ascii="宋体" w:hAnsi="宋体" w:eastAsia="仿宋_GB2312" w:cs="仿宋_GB2312"/>
          <w:b w:val="0"/>
          <w:bCs w:val="0"/>
          <w:color w:val="000000"/>
          <w:sz w:val="32"/>
          <w:szCs w:val="32"/>
          <w:lang w:val="en-US" w:eastAsia="zh-CN"/>
        </w:rPr>
        <w:t>投资估算为60万元，</w:t>
      </w:r>
      <w:r>
        <w:rPr>
          <w:rStyle w:val="18"/>
          <w:rFonts w:hint="eastAsia" w:ascii="仿宋_GB2312" w:hAnsi="仿宋_GB2312" w:eastAsia="仿宋_GB2312" w:cs="仿宋_GB2312"/>
          <w:b w:val="0"/>
          <w:spacing w:val="-4"/>
          <w:sz w:val="32"/>
          <w:szCs w:val="32"/>
          <w:lang w:val="en-US" w:eastAsia="zh-CN"/>
        </w:rPr>
        <w:t>由电力部门进行设计、施工总负责，设计方案按照现行</w:t>
      </w:r>
      <w:r>
        <w:rPr>
          <w:rStyle w:val="20"/>
          <w:rFonts w:hint="eastAsia" w:ascii="宋体" w:hAnsi="宋体" w:eastAsia="仿宋_GB2312" w:cs="仿宋_GB2312"/>
          <w:b w:val="0"/>
          <w:bCs w:val="0"/>
          <w:color w:val="000000"/>
          <w:sz w:val="32"/>
          <w:szCs w:val="32"/>
          <w:u w:val="none"/>
          <w:lang w:val="en-US" w:eastAsia="zh-CN"/>
        </w:rPr>
        <w:t>国家颁布的技术法规和技术标准设计</w:t>
      </w:r>
      <w:r>
        <w:rPr>
          <w:rStyle w:val="20"/>
          <w:rFonts w:hint="eastAsia" w:ascii="仿宋_GB2312" w:hAnsi="仿宋_GB2312" w:eastAsia="仿宋_GB2312" w:cs="仿宋_GB2312"/>
          <w:b w:val="0"/>
          <w:bCs w:val="0"/>
          <w:color w:val="000000"/>
          <w:sz w:val="32"/>
          <w:szCs w:val="32"/>
          <w:u w:val="none"/>
          <w:lang w:val="en-US" w:eastAsia="zh-CN"/>
        </w:rPr>
        <w:t>，</w:t>
      </w:r>
      <w:r>
        <w:rPr>
          <w:rFonts w:hint="eastAsia" w:ascii="宋体" w:hAnsi="宋体" w:eastAsia="仿宋_GB2312" w:cs="仿宋_GB2312"/>
          <w:color w:val="000000"/>
          <w:sz w:val="32"/>
          <w:szCs w:val="32"/>
          <w:lang w:val="en-US" w:eastAsia="zh-CN"/>
        </w:rPr>
        <w:t>外网及配电室</w:t>
      </w:r>
      <w:r>
        <w:rPr>
          <w:rFonts w:hint="eastAsia" w:ascii="仿宋_GB2312" w:hAnsi="仿宋_GB2312" w:eastAsia="仿宋_GB2312" w:cs="仿宋_GB2312"/>
          <w:sz w:val="32"/>
          <w:szCs w:val="32"/>
          <w:lang w:val="en-US" w:eastAsia="zh-CN"/>
        </w:rPr>
        <w:t>图纸</w:t>
      </w:r>
      <w:r>
        <w:rPr>
          <w:rFonts w:hint="eastAsia" w:ascii="仿宋_GB2312" w:hAnsi="仿宋_GB2312" w:eastAsia="仿宋_GB2312" w:cs="仿宋_GB2312"/>
          <w:sz w:val="32"/>
          <w:szCs w:val="32"/>
          <w:lang w:eastAsia="zh-CN"/>
        </w:rPr>
        <w:t>合格率达100%</w:t>
      </w:r>
      <w:r>
        <w:rPr>
          <w:rStyle w:val="18"/>
          <w:rFonts w:hint="eastAsia" w:ascii="仿宋_GB2312" w:hAnsi="仿宋_GB2312" w:eastAsia="仿宋_GB2312" w:cs="仿宋_GB2312"/>
          <w:b w:val="0"/>
          <w:spacing w:val="-4"/>
          <w:sz w:val="32"/>
          <w:szCs w:val="32"/>
          <w:lang w:val="en-US"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hint="eastAsia" w:ascii="仿宋_GB2312" w:hAnsi="仿宋_GB2312" w:eastAsia="仿宋_GB2312" w:cs="仿宋_GB2312"/>
          <w:b w:val="0"/>
          <w:spacing w:val="-4"/>
          <w:sz w:val="32"/>
          <w:szCs w:val="32"/>
          <w:lang w:val="en-US" w:eastAsia="zh-CN"/>
        </w:rPr>
      </w:pPr>
      <w:r>
        <w:rPr>
          <w:rStyle w:val="18"/>
          <w:rFonts w:hint="eastAsia" w:ascii="仿宋_GB2312" w:hAnsi="仿宋_GB2312" w:eastAsia="仿宋_GB2312" w:cs="仿宋_GB2312"/>
          <w:b w:val="0"/>
          <w:spacing w:val="-4"/>
          <w:sz w:val="32"/>
          <w:szCs w:val="32"/>
          <w:lang w:val="en-US" w:eastAsia="zh-CN"/>
        </w:rPr>
        <w:t>项目财政资金60万元，资金到位。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备供电源前期建设因受老城改造拆迁断面限制，备供电源接入的架空线路属于珠江路东延道路扩建工程，后期将拆除改为入地电缆，涉及道路配套电力廊道线路还未健全等因素，项目资金尚未使用。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lang w:val="en-US" w:eastAsia="zh-CN"/>
        </w:rPr>
        <w:t>项目单位按照投资计划建立健全项目实施内控制度、财务管理制度和会计核算制度，对项目资金实行“专款专用，专人管理”，严格执行财经纪律和财务制度，切实加强资金管理，坚决做到不截留、挤占或挪用项目资金。指派专人对项目实施全过程进行监督，及时协调解决困难和问题，保证项目顺利实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项目设计方案已完成，因受老城改造拆迁断面及道路配套电力廊道线路还未健全等因素限制，现场不具备开工条件。在后期实施中，将严格执行基建投资项目建设程序，执行相关财务管理规定，认真接受相关部门审计和监督，确保资金支付使用的严肃性和合理性，切实做好项目的开工准备工作，落实各项建设条件，确保项目资金用于项目建设，促使项目早日竣工投入使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项目目标设定依据充分、明确、合理，在项目实施过程中，遵循先考察、调研，结合实际情况制定相应的技术措施，根据现场踏勘和地貌现状经过反复论证，不断完善设计方案，通过方案的优化，达到项目成本的合理控制，实现了项目管理与过程管理的有机结合。</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5" w:firstLineChars="181"/>
        <w:rPr>
          <w:rStyle w:val="18"/>
          <w:rFonts w:hint="eastAsia" w:ascii="仿宋" w:hAnsi="仿宋" w:eastAsia="仿宋"/>
          <w:b w:val="0"/>
          <w:spacing w:val="-4"/>
          <w:sz w:val="32"/>
          <w:szCs w:val="32"/>
          <w:lang w:val="en-US" w:eastAsia="zh-CN"/>
        </w:rPr>
      </w:pPr>
      <w:r>
        <w:rPr>
          <w:rStyle w:val="18"/>
          <w:rFonts w:hint="eastAsia" w:ascii="仿宋" w:hAnsi="仿宋" w:eastAsia="仿宋"/>
          <w:b w:val="0"/>
          <w:spacing w:val="-4"/>
          <w:sz w:val="32"/>
          <w:szCs w:val="32"/>
          <w:lang w:val="en-US" w:eastAsia="zh-CN"/>
        </w:rPr>
        <w:t>在项目实施前就加强了项目财政资金监管工作，确保了项目实施事前、事中、事后监管，保障了基建投资项目各环节的顺利实施，严格按照规范要求完成各专业设计方案，确保了项目进度目标的实现，通过优化技术方案，提升了用电资源利用效率，降低了能耗排放，推动</w:t>
      </w:r>
      <w:r>
        <w:rPr>
          <w:rFonts w:hint="eastAsia" w:ascii="仿宋_GB2312" w:hAnsi="仿宋_GB2312" w:eastAsia="仿宋_GB2312" w:cs="仿宋_GB2312"/>
          <w:kern w:val="0"/>
          <w:sz w:val="32"/>
          <w:szCs w:val="32"/>
          <w:lang w:val="en-US" w:eastAsia="zh-CN"/>
        </w:rPr>
        <w:t>绿色、低碳、循环持续协调发展</w:t>
      </w:r>
      <w:r>
        <w:rPr>
          <w:rStyle w:val="18"/>
          <w:rFonts w:hint="eastAsia" w:ascii="仿宋_GB2312" w:hAnsi="仿宋_GB2312" w:eastAsia="仿宋_GB2312" w:cs="仿宋_GB2312"/>
          <w:b w:val="0"/>
          <w:spacing w:val="-4"/>
          <w:sz w:val="32"/>
          <w:szCs w:val="32"/>
          <w:lang w:val="en-US" w:eastAsia="zh-CN"/>
        </w:rPr>
        <w:t>。</w:t>
      </w:r>
      <w:r>
        <w:rPr>
          <w:rStyle w:val="18"/>
          <w:rFonts w:hint="eastAsia" w:ascii="仿宋" w:hAnsi="仿宋" w:eastAsia="仿宋"/>
          <w:b w:val="0"/>
          <w:spacing w:val="-4"/>
          <w:sz w:val="32"/>
          <w:szCs w:val="32"/>
          <w:lang w:val="en-US" w:eastAsia="zh-CN"/>
        </w:rPr>
        <w:t>在组织项目实施的同时，加强了财务内部管理，提高了财政资金使用效率和运行质量，强化了监督职责，保障了项目资金的有效使用和安全使用。</w:t>
      </w:r>
    </w:p>
    <w:p>
      <w:pPr>
        <w:numPr>
          <w:numId w:val="0"/>
        </w:numPr>
        <w:spacing w:line="540" w:lineRule="exact"/>
        <w:ind w:firstLine="624" w:firstLineChars="200"/>
        <w:rPr>
          <w:rStyle w:val="18"/>
          <w:rFonts w:hint="eastAsia" w:ascii="仿宋" w:hAnsi="仿宋" w:eastAsia="仿宋"/>
          <w:b w:val="0"/>
          <w:spacing w:val="-4"/>
          <w:sz w:val="32"/>
          <w:szCs w:val="32"/>
          <w:lang w:val="en-US" w:eastAsia="zh-CN"/>
        </w:rPr>
      </w:pPr>
      <w:r>
        <w:rPr>
          <w:rStyle w:val="18"/>
          <w:rFonts w:hint="eastAsia" w:ascii="楷体" w:hAnsi="楷体" w:eastAsia="楷体" w:cs="楷体"/>
          <w:b/>
          <w:bCs w:val="0"/>
          <w:spacing w:val="-4"/>
          <w:sz w:val="32"/>
          <w:szCs w:val="32"/>
          <w:lang w:val="en-US" w:eastAsia="zh-CN"/>
        </w:rPr>
        <w:t>（二）满意度指标完成情况分析</w:t>
      </w:r>
    </w:p>
    <w:p>
      <w:pPr>
        <w:numPr>
          <w:numId w:val="0"/>
        </w:numPr>
        <w:spacing w:line="540" w:lineRule="exact"/>
        <w:ind w:firstLine="624" w:firstLineChars="200"/>
        <w:rPr>
          <w:rStyle w:val="18"/>
          <w:rFonts w:hint="eastAsia" w:ascii="仿宋" w:hAnsi="仿宋" w:eastAsia="仿宋"/>
          <w:b w:val="0"/>
          <w:spacing w:val="-4"/>
          <w:sz w:val="32"/>
          <w:szCs w:val="32"/>
          <w:lang w:val="en-US" w:eastAsia="zh-CN"/>
        </w:rPr>
      </w:pPr>
      <w:r>
        <w:rPr>
          <w:rStyle w:val="20"/>
          <w:rFonts w:hint="eastAsia" w:ascii="宋体" w:hAnsi="宋体" w:eastAsia="仿宋_GB2312" w:cs="仿宋_GB2312"/>
          <w:b w:val="0"/>
          <w:bCs w:val="0"/>
          <w:color w:val="000000"/>
          <w:sz w:val="32"/>
          <w:szCs w:val="32"/>
          <w:u w:val="none"/>
          <w:lang w:val="en-US" w:eastAsia="zh-CN"/>
        </w:rPr>
        <w:t>项目设计符合相关规划、站址及路径选择合理，对区域社会经济发展起到较大的促进作用，经济效益、社会效益明显。设计方案满足</w:t>
      </w:r>
      <w:r>
        <w:rPr>
          <w:rStyle w:val="18"/>
          <w:rFonts w:hint="eastAsia" w:ascii="仿宋_GB2312" w:hAnsi="仿宋_GB2312" w:eastAsia="仿宋_GB2312" w:cs="仿宋_GB2312"/>
          <w:b w:val="0"/>
          <w:spacing w:val="-4"/>
          <w:sz w:val="32"/>
          <w:szCs w:val="32"/>
          <w:lang w:val="en-US" w:eastAsia="zh-CN"/>
        </w:rPr>
        <w:t>现行</w:t>
      </w:r>
      <w:r>
        <w:rPr>
          <w:rStyle w:val="20"/>
          <w:rFonts w:hint="eastAsia" w:ascii="宋体" w:hAnsi="宋体" w:eastAsia="仿宋_GB2312" w:cs="仿宋_GB2312"/>
          <w:b w:val="0"/>
          <w:bCs w:val="0"/>
          <w:color w:val="000000"/>
          <w:sz w:val="32"/>
          <w:szCs w:val="32"/>
          <w:u w:val="none"/>
          <w:lang w:val="en-US" w:eastAsia="zh-CN"/>
        </w:rPr>
        <w:t>国家颁布的技术法规和技术标准，</w:t>
      </w:r>
      <w:r>
        <w:rPr>
          <w:rFonts w:hint="eastAsia" w:ascii="宋体" w:hAnsi="宋体" w:eastAsia="仿宋_GB2312" w:cs="仿宋_GB2312"/>
          <w:color w:val="000000"/>
          <w:sz w:val="32"/>
          <w:szCs w:val="32"/>
          <w:lang w:val="en-US" w:eastAsia="zh-CN"/>
        </w:rPr>
        <w:t>外网及配电室</w:t>
      </w:r>
      <w:r>
        <w:rPr>
          <w:rFonts w:hint="eastAsia" w:ascii="仿宋_GB2312" w:hAnsi="仿宋_GB2312" w:eastAsia="仿宋_GB2312" w:cs="仿宋_GB2312"/>
          <w:sz w:val="32"/>
          <w:szCs w:val="32"/>
          <w:lang w:val="en-US" w:eastAsia="zh-CN"/>
        </w:rPr>
        <w:t>图纸</w:t>
      </w:r>
      <w:r>
        <w:rPr>
          <w:rFonts w:hint="eastAsia" w:ascii="仿宋_GB2312" w:hAnsi="仿宋_GB2312" w:eastAsia="仿宋_GB2312" w:cs="仿宋_GB2312"/>
          <w:sz w:val="32"/>
          <w:szCs w:val="32"/>
          <w:lang w:eastAsia="zh-CN"/>
        </w:rPr>
        <w:t>合格率达100%，</w:t>
      </w:r>
      <w:r>
        <w:rPr>
          <w:rStyle w:val="18"/>
          <w:rFonts w:hint="eastAsia" w:ascii="仿宋_GB2312" w:hAnsi="仿宋_GB2312" w:eastAsia="仿宋_GB2312" w:cs="仿宋_GB2312"/>
          <w:b w:val="0"/>
          <w:spacing w:val="-4"/>
          <w:sz w:val="32"/>
          <w:szCs w:val="32"/>
          <w:lang w:val="en-US" w:eastAsia="zh-CN"/>
        </w:rPr>
        <w:t>新东街198号用电用户对设计方案满意度100%。</w:t>
      </w:r>
      <w:r>
        <w:rPr>
          <w:rFonts w:hint="eastAsia" w:ascii="宋体" w:hAnsi="宋体" w:eastAsia="仿宋_GB2312" w:cs="仿宋_GB2312"/>
          <w:color w:val="000000"/>
          <w:sz w:val="32"/>
          <w:szCs w:val="32"/>
          <w:lang w:val="en-US" w:eastAsia="zh-CN"/>
        </w:rPr>
        <w:t>项目建成后，羊毛湖区域电网结构进一步完善，能够提高该区域供电能力和满足负荷发展需求，完善站点布局，有效利用配网资源，缩短供电半径，提高供电可靠性和电能质量，降低电能损耗。</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）项目绩效目标未完成原因分析</w:t>
      </w:r>
    </w:p>
    <w:p>
      <w:pPr>
        <w:spacing w:line="540" w:lineRule="exact"/>
        <w:ind w:firstLine="565" w:firstLineChars="181"/>
        <w:rPr>
          <w:rFonts w:hint="eastAsia" w:ascii="仿宋" w:hAnsi="仿宋" w:eastAsia="仿宋"/>
          <w:spacing w:val="-4"/>
          <w:sz w:val="32"/>
          <w:szCs w:val="32"/>
        </w:rPr>
      </w:pPr>
      <w:r>
        <w:rPr>
          <w:rStyle w:val="18"/>
          <w:rFonts w:hint="eastAsia" w:ascii="仿宋" w:hAnsi="仿宋" w:eastAsia="仿宋"/>
          <w:b w:val="0"/>
          <w:spacing w:val="-4"/>
          <w:sz w:val="32"/>
          <w:szCs w:val="32"/>
          <w:lang w:val="en-US" w:eastAsia="zh-CN"/>
        </w:rPr>
        <w:t>项目已完成前期现场勘验和设计方案优化工作，因受老城改造拆迁断面限制，及道路配套电力廊道线路还未健全等因素，现场不具备开工条件。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hint="eastAsia" w:ascii="仿宋_GB2312" w:hAnsi="仿宋_GB2312" w:eastAsia="仿宋_GB2312" w:cs="仿宋_GB2312"/>
          <w:b w:val="0"/>
          <w:bCs/>
          <w:spacing w:val="-4"/>
          <w:sz w:val="32"/>
          <w:szCs w:val="32"/>
          <w:lang w:val="en-US" w:eastAsia="zh-CN"/>
        </w:rPr>
      </w:pPr>
      <w:r>
        <w:rPr>
          <w:rFonts w:hint="eastAsia" w:ascii="仿宋_GB2312" w:hAnsi="仿宋_GB2312" w:eastAsia="仿宋_GB2312" w:cs="仿宋_GB2312"/>
          <w:b w:val="0"/>
          <w:bCs/>
          <w:spacing w:val="-4"/>
          <w:sz w:val="32"/>
          <w:szCs w:val="32"/>
          <w:lang w:val="en-US" w:eastAsia="zh-CN"/>
        </w:rPr>
        <w:t>积极协调相关部门完成项目建设前的基础工作，组织电力部门认真开展前期方案制定，科学组织设计和施工技术方案，克服老城改造拆迁断面限制及周边交通限行和大型施工机具分时段管制影响，完成电力管廊的土建开挖、排管布设和检查井建设，对重点部位和线路先行开展线路迁改工作，与市政道路管廊完成对接。提前做好物资设备的采购工作，将变压器、电力电缆、环网柜等重要设备材料全部采购到位。组织电力安装人员进行备供电源高压电缆敷设、电缆头制作、接入，设备安装调试检验等，实施期间协调供电公司各专业部门同步开展内外部电气设施的验收工作，确保羊毛湖区域备供电源的安全供电。</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5" w:firstLineChars="181"/>
        <w:rPr>
          <w:rFonts w:ascii="楷体" w:hAnsi="楷体" w:eastAsia="楷体"/>
          <w:b/>
          <w:spacing w:val="-4"/>
          <w:sz w:val="32"/>
          <w:szCs w:val="32"/>
        </w:rPr>
      </w:pPr>
      <w:r>
        <w:rPr>
          <w:rFonts w:hint="eastAsia" w:ascii="仿宋_GB2312" w:eastAsia="仿宋_GB2312"/>
          <w:spacing w:val="-4"/>
          <w:sz w:val="32"/>
          <w:szCs w:val="32"/>
          <w:lang w:val="en-US" w:eastAsia="zh-CN"/>
        </w:rPr>
        <w:t>由于绩效自评是一项开展不久的工作任务，对相关制度建设还有待完善，绩效评价手段和方法有待优化，后期将加强人员配置，细化预算编制工作，强化加强预算管理意识，严格按照预算编制的相关制度和要求进行预算编制，做到编制内容尽可能全面、不漏项，进一步提高预算编制的科学性、合理性、严谨性和可控性。在日常预算管理过程中，加强与财政部门的沟通和衔接，强化内部预算支出管理、跟踪，切实加快预算执行进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rPr>
      </w:pPr>
      <w:r>
        <w:rPr>
          <w:rFonts w:hint="eastAsia" w:ascii="仿宋_GB2312" w:eastAsia="仿宋_GB2312"/>
          <w:spacing w:val="-4"/>
          <w:sz w:val="32"/>
          <w:szCs w:val="32"/>
          <w:lang w:val="en-US" w:eastAsia="zh-CN"/>
        </w:rPr>
        <w:t>根据财政厅《关于下达2018年自治区预算内基建投资绩效目标的通知》（新财建〔2018〕564号），我处</w:t>
      </w:r>
      <w:r>
        <w:rPr>
          <w:rFonts w:hint="eastAsia" w:ascii="仿宋_GB2312" w:eastAsia="仿宋_GB2312"/>
          <w:spacing w:val="-4"/>
          <w:sz w:val="32"/>
          <w:szCs w:val="32"/>
        </w:rPr>
        <w:t>从项目资金落实、业务管理、财务管理、项目产出、项目效益、满意度等方面进行了评价</w:t>
      </w:r>
      <w:r>
        <w:rPr>
          <w:rFonts w:hint="eastAsia" w:ascii="仿宋_GB2312" w:eastAsia="仿宋_GB2312"/>
          <w:spacing w:val="-4"/>
          <w:sz w:val="32"/>
          <w:szCs w:val="32"/>
          <w:lang w:eastAsia="zh-CN"/>
        </w:rPr>
        <w:t>。</w:t>
      </w:r>
      <w:r>
        <w:rPr>
          <w:rFonts w:hint="eastAsia" w:ascii="仿宋_GB2312" w:eastAsia="仿宋_GB2312"/>
          <w:spacing w:val="-4"/>
          <w:sz w:val="32"/>
          <w:szCs w:val="32"/>
          <w:lang w:val="en-US" w:eastAsia="zh-CN"/>
        </w:rPr>
        <w:t>后期将</w:t>
      </w:r>
      <w:r>
        <w:rPr>
          <w:rFonts w:hint="eastAsia" w:ascii="仿宋_GB2312" w:eastAsia="仿宋_GB2312"/>
          <w:spacing w:val="-4"/>
          <w:sz w:val="32"/>
          <w:szCs w:val="32"/>
        </w:rPr>
        <w:t>进一步提升绩效管理水平，提高财政资金使用效益。通过项目立项情况、资金使用情况、项目实施管理情况、项目绩效表现情况自我评价，了解资金使用是否达到了预期目标、资金管理是否规范、资金使用是否有效，检验资金支出效率和结果，分析存在问题及原因，及时总结经验，改进管理措施，不断增强和落实绩效管理责任，完善工作机制，有效提高资金管理水平和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《自治区财政项目支出绩效自评表》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W w:w="89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716"/>
        <w:gridCol w:w="1132"/>
        <w:gridCol w:w="1"/>
        <w:gridCol w:w="1349"/>
        <w:gridCol w:w="2"/>
        <w:gridCol w:w="1072"/>
        <w:gridCol w:w="872"/>
        <w:gridCol w:w="1"/>
        <w:gridCol w:w="2045"/>
        <w:gridCol w:w="1"/>
        <w:gridCol w:w="1"/>
        <w:gridCol w:w="17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97" w:hRule="atLeast"/>
        </w:trPr>
        <w:tc>
          <w:tcPr>
            <w:tcW w:w="8960" w:type="dxa"/>
            <w:gridSpan w:val="12"/>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自治区财政项目支出绩效自评表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99" w:hRule="atLeast"/>
        </w:trPr>
        <w:tc>
          <w:tcPr>
            <w:tcW w:w="8960" w:type="dxa"/>
            <w:gridSpan w:val="12"/>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rFonts w:hint="eastAsia" w:ascii="宋体" w:hAnsi="宋体" w:cs="宋体"/>
                <w:kern w:val="0"/>
                <w:sz w:val="24"/>
                <w:lang w:val="en-US" w:eastAsia="zh-CN"/>
              </w:rPr>
              <w:t>2018</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99" w:hRule="atLeast"/>
        </w:trPr>
        <w:tc>
          <w:tcPr>
            <w:tcW w:w="716" w:type="dxa"/>
            <w:tcBorders>
              <w:top w:val="nil"/>
              <w:left w:val="nil"/>
              <w:bottom w:val="nil"/>
              <w:right w:val="nil"/>
            </w:tcBorders>
            <w:vAlign w:val="center"/>
          </w:tcPr>
          <w:p>
            <w:pPr>
              <w:widowControl/>
              <w:jc w:val="center"/>
              <w:rPr>
                <w:rFonts w:ascii="宋体" w:hAnsi="宋体" w:cs="宋体"/>
                <w:kern w:val="0"/>
                <w:sz w:val="24"/>
              </w:rPr>
            </w:pPr>
          </w:p>
        </w:tc>
        <w:tc>
          <w:tcPr>
            <w:tcW w:w="1132" w:type="dxa"/>
            <w:tcBorders>
              <w:top w:val="nil"/>
              <w:left w:val="nil"/>
              <w:bottom w:val="nil"/>
              <w:right w:val="nil"/>
            </w:tcBorders>
            <w:vAlign w:val="center"/>
          </w:tcPr>
          <w:p>
            <w:pPr>
              <w:widowControl/>
              <w:jc w:val="center"/>
              <w:rPr>
                <w:rFonts w:ascii="宋体" w:hAnsi="宋体" w:cs="宋体"/>
                <w:kern w:val="0"/>
                <w:sz w:val="24"/>
              </w:rPr>
            </w:pPr>
          </w:p>
        </w:tc>
        <w:tc>
          <w:tcPr>
            <w:tcW w:w="1350" w:type="dxa"/>
            <w:gridSpan w:val="2"/>
            <w:tcBorders>
              <w:top w:val="nil"/>
              <w:left w:val="nil"/>
              <w:bottom w:val="nil"/>
              <w:right w:val="nil"/>
            </w:tcBorders>
            <w:vAlign w:val="center"/>
          </w:tcPr>
          <w:p>
            <w:pPr>
              <w:widowControl/>
              <w:jc w:val="center"/>
              <w:rPr>
                <w:rFonts w:ascii="宋体" w:hAnsi="宋体" w:cs="宋体"/>
                <w:kern w:val="0"/>
                <w:sz w:val="24"/>
              </w:rPr>
            </w:pPr>
          </w:p>
        </w:tc>
        <w:tc>
          <w:tcPr>
            <w:tcW w:w="1074" w:type="dxa"/>
            <w:gridSpan w:val="2"/>
            <w:tcBorders>
              <w:top w:val="nil"/>
              <w:left w:val="nil"/>
              <w:bottom w:val="nil"/>
              <w:right w:val="nil"/>
            </w:tcBorders>
            <w:vAlign w:val="center"/>
          </w:tcPr>
          <w:p>
            <w:pPr>
              <w:widowControl/>
              <w:jc w:val="center"/>
              <w:rPr>
                <w:rFonts w:ascii="宋体" w:hAnsi="宋体" w:cs="宋体"/>
                <w:kern w:val="0"/>
                <w:sz w:val="24"/>
              </w:rPr>
            </w:pPr>
          </w:p>
        </w:tc>
        <w:tc>
          <w:tcPr>
            <w:tcW w:w="873" w:type="dxa"/>
            <w:gridSpan w:val="2"/>
            <w:tcBorders>
              <w:top w:val="nil"/>
              <w:left w:val="nil"/>
              <w:bottom w:val="nil"/>
              <w:right w:val="nil"/>
            </w:tcBorders>
            <w:vAlign w:val="center"/>
          </w:tcPr>
          <w:p>
            <w:pPr>
              <w:widowControl/>
              <w:jc w:val="center"/>
              <w:rPr>
                <w:rFonts w:ascii="宋体" w:hAnsi="宋体" w:cs="宋体"/>
                <w:kern w:val="0"/>
                <w:sz w:val="24"/>
              </w:rPr>
            </w:pPr>
          </w:p>
        </w:tc>
        <w:tc>
          <w:tcPr>
            <w:tcW w:w="2047" w:type="dxa"/>
            <w:gridSpan w:val="3"/>
            <w:tcBorders>
              <w:top w:val="nil"/>
              <w:left w:val="nil"/>
              <w:bottom w:val="nil"/>
              <w:right w:val="nil"/>
            </w:tcBorders>
            <w:vAlign w:val="center"/>
          </w:tcPr>
          <w:p>
            <w:pPr>
              <w:widowControl/>
              <w:jc w:val="center"/>
              <w:rPr>
                <w:rFonts w:ascii="宋体" w:hAnsi="宋体" w:cs="宋体"/>
                <w:kern w:val="0"/>
                <w:sz w:val="24"/>
              </w:rPr>
            </w:pPr>
          </w:p>
        </w:tc>
        <w:tc>
          <w:tcPr>
            <w:tcW w:w="1768" w:type="dxa"/>
            <w:tcBorders>
              <w:top w:val="nil"/>
              <w:left w:val="nil"/>
              <w:bottom w:val="nil"/>
              <w:right w:val="nil"/>
            </w:tcBorders>
            <w:vAlign w:val="center"/>
          </w:tcPr>
          <w:p>
            <w:pPr>
              <w:widowControl/>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11" w:hRule="atLeast"/>
        </w:trPr>
        <w:tc>
          <w:tcPr>
            <w:tcW w:w="3198"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762" w:type="dxa"/>
            <w:gridSpan w:val="8"/>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val="en-US" w:eastAsia="zh-CN"/>
              </w:rPr>
              <w:t>基本建设投资及重大项目前期费</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11" w:hRule="atLeast"/>
        </w:trPr>
        <w:tc>
          <w:tcPr>
            <w:tcW w:w="3198"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762" w:type="dxa"/>
            <w:gridSpan w:val="8"/>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自治区机关事务管理局</w:t>
            </w: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11" w:hRule="atLeast"/>
        </w:trPr>
        <w:tc>
          <w:tcPr>
            <w:tcW w:w="71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482"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46"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60</w:t>
            </w:r>
            <w:r>
              <w:rPr>
                <w:rFonts w:hint="eastAsia" w:ascii="宋体" w:hAnsi="宋体" w:cs="宋体"/>
                <w:kern w:val="0"/>
                <w:sz w:val="20"/>
                <w:szCs w:val="20"/>
              </w:rPr>
              <w:t>　</w:t>
            </w:r>
          </w:p>
        </w:tc>
        <w:tc>
          <w:tcPr>
            <w:tcW w:w="2047" w:type="dxa"/>
            <w:gridSpan w:val="3"/>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69"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11" w:hRule="atLeast"/>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482" w:type="dxa"/>
            <w:gridSpan w:val="3"/>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46"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60</w:t>
            </w:r>
            <w:r>
              <w:rPr>
                <w:rFonts w:hint="eastAsia" w:ascii="宋体" w:hAnsi="宋体" w:cs="宋体"/>
                <w:kern w:val="0"/>
                <w:sz w:val="20"/>
                <w:szCs w:val="20"/>
              </w:rPr>
              <w:t>　</w:t>
            </w:r>
          </w:p>
        </w:tc>
        <w:tc>
          <w:tcPr>
            <w:tcW w:w="2047" w:type="dxa"/>
            <w:gridSpan w:val="3"/>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69"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95" w:hRule="atLeast"/>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482" w:type="dxa"/>
            <w:gridSpan w:val="3"/>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46"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47" w:type="dxa"/>
            <w:gridSpan w:val="3"/>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69" w:type="dxa"/>
            <w:gridSpan w:val="2"/>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11" w:hRule="atLeast"/>
        </w:trPr>
        <w:tc>
          <w:tcPr>
            <w:tcW w:w="71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28"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16"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004" w:hRule="atLeast"/>
        </w:trPr>
        <w:tc>
          <w:tcPr>
            <w:tcW w:w="7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28" w:type="dxa"/>
            <w:gridSpan w:val="6"/>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lang w:val="en-US" w:eastAsia="zh-CN"/>
              </w:rPr>
              <w:t>切实做好羊毛湖备供电源项目的开工准备工作，落实各项建设条件，确保财政投资用于项目建设，促使项目早日竣工投入使用。</w:t>
            </w:r>
            <w:r>
              <w:rPr>
                <w:rStyle w:val="18"/>
                <w:rFonts w:hint="eastAsia" w:ascii="宋体" w:hAnsi="宋体" w:eastAsia="宋体" w:cs="宋体"/>
                <w:b w:val="0"/>
                <w:spacing w:val="-4"/>
                <w:sz w:val="20"/>
                <w:szCs w:val="20"/>
                <w:lang w:val="en-US" w:eastAsia="zh-CN"/>
              </w:rPr>
              <w:t>设计方案按照现行</w:t>
            </w:r>
            <w:r>
              <w:rPr>
                <w:rStyle w:val="20"/>
                <w:rFonts w:hint="eastAsia" w:ascii="宋体" w:hAnsi="宋体" w:eastAsia="宋体" w:cs="宋体"/>
                <w:b w:val="0"/>
                <w:bCs w:val="0"/>
                <w:color w:val="000000"/>
                <w:sz w:val="20"/>
                <w:szCs w:val="20"/>
                <w:u w:val="none"/>
                <w:lang w:val="en-US" w:eastAsia="zh-CN"/>
              </w:rPr>
              <w:t>国家颁布的技术法规和技术标准设计，</w:t>
            </w:r>
            <w:r>
              <w:rPr>
                <w:rFonts w:hint="eastAsia" w:ascii="宋体" w:hAnsi="宋体" w:eastAsia="宋体" w:cs="宋体"/>
                <w:color w:val="000000"/>
                <w:sz w:val="20"/>
                <w:szCs w:val="20"/>
                <w:lang w:val="en-US" w:eastAsia="zh-CN"/>
              </w:rPr>
              <w:t>外网及配电室</w:t>
            </w:r>
            <w:r>
              <w:rPr>
                <w:rFonts w:hint="eastAsia" w:ascii="宋体" w:hAnsi="宋体" w:eastAsia="宋体" w:cs="宋体"/>
                <w:sz w:val="20"/>
                <w:szCs w:val="20"/>
                <w:lang w:val="en-US" w:eastAsia="zh-CN"/>
              </w:rPr>
              <w:t>图纸</w:t>
            </w:r>
            <w:r>
              <w:rPr>
                <w:rFonts w:hint="eastAsia" w:ascii="宋体" w:hAnsi="宋体" w:eastAsia="宋体" w:cs="宋体"/>
                <w:sz w:val="20"/>
                <w:szCs w:val="20"/>
                <w:lang w:eastAsia="zh-CN"/>
              </w:rPr>
              <w:t>合格率达100%</w:t>
            </w:r>
            <w:r>
              <w:rPr>
                <w:rStyle w:val="18"/>
                <w:rFonts w:hint="eastAsia" w:ascii="宋体" w:hAnsi="宋体" w:eastAsia="宋体" w:cs="宋体"/>
                <w:b w:val="0"/>
                <w:spacing w:val="-4"/>
                <w:sz w:val="20"/>
                <w:szCs w:val="20"/>
                <w:lang w:val="en-US" w:eastAsia="zh-CN"/>
              </w:rPr>
              <w:t>。</w:t>
            </w:r>
          </w:p>
        </w:tc>
        <w:tc>
          <w:tcPr>
            <w:tcW w:w="3816" w:type="dxa"/>
            <w:gridSpan w:val="5"/>
            <w:tcBorders>
              <w:top w:val="single" w:color="auto" w:sz="4" w:space="0"/>
              <w:left w:val="nil"/>
              <w:bottom w:val="single" w:color="auto" w:sz="4" w:space="0"/>
              <w:right w:val="single" w:color="000000" w:sz="4" w:space="0"/>
            </w:tcBorders>
            <w:vAlign w:val="top"/>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建设项目各项准备工作已就绪，具备开工建设条件。</w:t>
            </w:r>
            <w:r>
              <w:rPr>
                <w:rStyle w:val="18"/>
                <w:rFonts w:hint="eastAsia" w:ascii="宋体" w:hAnsi="宋体" w:eastAsia="宋体" w:cs="宋体"/>
                <w:b w:val="0"/>
                <w:spacing w:val="-4"/>
                <w:sz w:val="20"/>
                <w:szCs w:val="20"/>
                <w:lang w:val="en-US" w:eastAsia="zh-CN"/>
              </w:rPr>
              <w:t>设计方案</w:t>
            </w:r>
            <w:r>
              <w:rPr>
                <w:rStyle w:val="18"/>
                <w:rFonts w:hint="eastAsia" w:ascii="宋体" w:hAnsi="宋体" w:cs="宋体"/>
                <w:b w:val="0"/>
                <w:spacing w:val="-4"/>
                <w:sz w:val="20"/>
                <w:szCs w:val="20"/>
                <w:lang w:val="en-US" w:eastAsia="zh-CN"/>
              </w:rPr>
              <w:t>满足</w:t>
            </w:r>
            <w:r>
              <w:rPr>
                <w:rStyle w:val="18"/>
                <w:rFonts w:hint="eastAsia" w:ascii="宋体" w:hAnsi="宋体" w:eastAsia="宋体" w:cs="宋体"/>
                <w:b w:val="0"/>
                <w:spacing w:val="-4"/>
                <w:sz w:val="20"/>
                <w:szCs w:val="20"/>
                <w:lang w:val="en-US" w:eastAsia="zh-CN"/>
              </w:rPr>
              <w:t>现行</w:t>
            </w:r>
            <w:r>
              <w:rPr>
                <w:rStyle w:val="20"/>
                <w:rFonts w:hint="eastAsia" w:ascii="宋体" w:hAnsi="宋体" w:eastAsia="宋体" w:cs="宋体"/>
                <w:b w:val="0"/>
                <w:bCs w:val="0"/>
                <w:color w:val="000000"/>
                <w:sz w:val="20"/>
                <w:szCs w:val="20"/>
                <w:u w:val="none"/>
                <w:lang w:val="en-US" w:eastAsia="zh-CN"/>
              </w:rPr>
              <w:t>国家颁布的技术法规和技术标准设计，</w:t>
            </w:r>
            <w:r>
              <w:rPr>
                <w:rFonts w:hint="eastAsia" w:ascii="宋体" w:hAnsi="宋体" w:eastAsia="宋体" w:cs="宋体"/>
                <w:color w:val="000000"/>
                <w:sz w:val="20"/>
                <w:szCs w:val="20"/>
                <w:lang w:val="en-US" w:eastAsia="zh-CN"/>
              </w:rPr>
              <w:t>外网及配电室</w:t>
            </w:r>
            <w:r>
              <w:rPr>
                <w:rFonts w:hint="eastAsia" w:ascii="宋体" w:hAnsi="宋体" w:eastAsia="宋体" w:cs="宋体"/>
                <w:sz w:val="20"/>
                <w:szCs w:val="20"/>
                <w:lang w:val="en-US" w:eastAsia="zh-CN"/>
              </w:rPr>
              <w:t>图纸</w:t>
            </w:r>
            <w:r>
              <w:rPr>
                <w:rFonts w:hint="eastAsia" w:ascii="宋体" w:hAnsi="宋体" w:eastAsia="宋体" w:cs="宋体"/>
                <w:sz w:val="20"/>
                <w:szCs w:val="20"/>
                <w:lang w:eastAsia="zh-CN"/>
              </w:rPr>
              <w:t>合格率达100%</w:t>
            </w:r>
            <w:r>
              <w:rPr>
                <w:rStyle w:val="18"/>
                <w:rFonts w:hint="eastAsia" w:ascii="宋体" w:hAnsi="宋体" w:eastAsia="宋体" w:cs="宋体"/>
                <w:b w:val="0"/>
                <w:spacing w:val="-4"/>
                <w:sz w:val="20"/>
                <w:szCs w:val="20"/>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07" w:hRule="atLeast"/>
        </w:trPr>
        <w:tc>
          <w:tcPr>
            <w:tcW w:w="71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33" w:type="dxa"/>
            <w:gridSpan w:val="2"/>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5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4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09"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3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51"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val="en-US" w:eastAsia="zh-CN"/>
              </w:rPr>
              <w:t>设计方案</w:t>
            </w:r>
          </w:p>
        </w:tc>
        <w:tc>
          <w:tcPr>
            <w:tcW w:w="2046"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制定设计方案</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完成设计方案100%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09"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51"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严格按照规范标准进行备供电源设计</w:t>
            </w:r>
          </w:p>
        </w:tc>
        <w:tc>
          <w:tcPr>
            <w:tcW w:w="2046" w:type="dxa"/>
            <w:gridSpan w:val="2"/>
            <w:tcBorders>
              <w:top w:val="nil"/>
              <w:left w:val="nil"/>
              <w:bottom w:val="single" w:color="auto" w:sz="4" w:space="0"/>
              <w:right w:val="single" w:color="auto" w:sz="4" w:space="0"/>
            </w:tcBorders>
            <w:vAlign w:val="center"/>
          </w:tcPr>
          <w:p>
            <w:pPr>
              <w:widowControl/>
              <w:jc w:val="both"/>
              <w:rPr>
                <w:rFonts w:ascii="宋体" w:hAnsi="宋体" w:cs="宋体"/>
                <w:kern w:val="0"/>
                <w:sz w:val="20"/>
                <w:szCs w:val="20"/>
              </w:rPr>
            </w:pPr>
            <w:r>
              <w:rPr>
                <w:rFonts w:hint="eastAsia" w:ascii="宋体" w:hAnsi="宋体" w:cs="宋体"/>
                <w:kern w:val="0"/>
                <w:sz w:val="20"/>
                <w:szCs w:val="20"/>
                <w:lang w:val="en-US" w:eastAsia="zh-CN"/>
              </w:rPr>
              <w:t>按照规范要求完成设计任务</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设计内容符合规范要求,完成100%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09"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51"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按照项目前期设计要求完成设计任务</w:t>
            </w:r>
          </w:p>
        </w:tc>
        <w:tc>
          <w:tcPr>
            <w:tcW w:w="204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根据项目建设进度计划完成阶段内容</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设计按照时间进度已完成100%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07"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3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51"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细化前期基础工作，优化设计方案，降低建设成本。</w:t>
            </w:r>
          </w:p>
        </w:tc>
        <w:tc>
          <w:tcPr>
            <w:tcW w:w="2046"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通过深化技术方案，降低能耗损失，节约建设成本。</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技术方案已优化100%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07"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33" w:type="dxa"/>
            <w:gridSpan w:val="2"/>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51"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通过电网线路改造，提高用电使用效率，降低用电能耗损失。</w:t>
            </w:r>
          </w:p>
        </w:tc>
        <w:tc>
          <w:tcPr>
            <w:tcW w:w="204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设计方案效果显著</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按照新标准设计，提高用电使用效率100%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07"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33"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51"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val="en-US" w:eastAsia="zh-CN"/>
              </w:rPr>
              <w:t>提高羊毛湖区域各供电用户用电安全，提高能源利用效率。</w:t>
            </w:r>
          </w:p>
        </w:tc>
        <w:tc>
          <w:tcPr>
            <w:tcW w:w="204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设计方案效果显著</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效果显著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09"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33"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51"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r>
            <w:r>
              <w:rPr>
                <w:rFonts w:hint="eastAsia" w:ascii="宋体" w:hAnsi="宋体" w:cs="宋体"/>
                <w:kern w:val="0"/>
                <w:sz w:val="20"/>
                <w:szCs w:val="20"/>
              </w:rPr>
              <w:t>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推进绿色能源使用，降低能耗排放。</w:t>
            </w:r>
          </w:p>
        </w:tc>
        <w:tc>
          <w:tcPr>
            <w:tcW w:w="204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设计方案效果显著</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效果显著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09"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33"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51"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推动绿色、低碳、循环持续协调发展</w:t>
            </w:r>
          </w:p>
        </w:tc>
        <w:tc>
          <w:tcPr>
            <w:tcW w:w="2046" w:type="dxa"/>
            <w:gridSpan w:val="2"/>
            <w:tcBorders>
              <w:top w:val="nil"/>
              <w:left w:val="nil"/>
              <w:bottom w:val="single" w:color="auto" w:sz="4" w:space="0"/>
              <w:right w:val="single" w:color="auto" w:sz="4" w:space="0"/>
            </w:tcBorders>
            <w:vAlign w:val="center"/>
          </w:tcPr>
          <w:p>
            <w:pPr>
              <w:widowControl/>
              <w:tabs>
                <w:tab w:val="center" w:pos="922"/>
              </w:tabs>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ab/>
            </w:r>
            <w:r>
              <w:rPr>
                <w:rFonts w:hint="eastAsia" w:ascii="宋体" w:hAnsi="宋体" w:cs="宋体"/>
                <w:kern w:val="0"/>
                <w:sz w:val="20"/>
                <w:szCs w:val="20"/>
                <w:lang w:val="en-US" w:eastAsia="zh-CN"/>
              </w:rPr>
              <w:t>设计方案持续发展</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持续发展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07" w:hRule="atLeast"/>
        </w:trPr>
        <w:tc>
          <w:tcPr>
            <w:tcW w:w="716"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1133" w:type="dxa"/>
            <w:gridSpan w:val="2"/>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51" w:type="dxa"/>
            <w:gridSpan w:val="2"/>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大力推进羊毛湖备供电源建设，力争供电用户满意。</w:t>
            </w:r>
          </w:p>
        </w:tc>
        <w:tc>
          <w:tcPr>
            <w:tcW w:w="2046"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新东街198号用电用户满意率100%</w:t>
            </w:r>
            <w:r>
              <w:rPr>
                <w:rFonts w:hint="eastAsia" w:ascii="宋体" w:hAnsi="宋体" w:cs="宋体"/>
                <w:kern w:val="0"/>
                <w:sz w:val="20"/>
                <w:szCs w:val="20"/>
              </w:rPr>
              <w:t>　</w:t>
            </w:r>
          </w:p>
        </w:tc>
        <w:tc>
          <w:tcPr>
            <w:tcW w:w="1770" w:type="dxa"/>
            <w:gridSpan w:val="3"/>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用电用户满意率100%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23" w:hRule="atLeast"/>
        </w:trPr>
        <w:tc>
          <w:tcPr>
            <w:tcW w:w="716"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33" w:type="dxa"/>
            <w:gridSpan w:val="2"/>
            <w:vMerge w:val="continue"/>
            <w:tcBorders>
              <w:left w:val="single" w:color="auto" w:sz="4" w:space="0"/>
              <w:bottom w:val="single" w:color="000000" w:sz="4" w:space="0"/>
              <w:right w:val="single" w:color="auto" w:sz="4" w:space="0"/>
            </w:tcBorders>
            <w:vAlign w:val="center"/>
          </w:tcPr>
          <w:p>
            <w:pPr>
              <w:widowControl/>
              <w:jc w:val="center"/>
              <w:rPr>
                <w:rFonts w:hint="eastAsia" w:ascii="宋体" w:hAnsi="宋体" w:cs="宋体"/>
                <w:kern w:val="0"/>
                <w:sz w:val="20"/>
                <w:szCs w:val="20"/>
              </w:rPr>
            </w:pPr>
          </w:p>
        </w:tc>
        <w:tc>
          <w:tcPr>
            <w:tcW w:w="1351" w:type="dxa"/>
            <w:gridSpan w:val="2"/>
            <w:vMerge w:val="continue"/>
            <w:tcBorders>
              <w:left w:val="single" w:color="auto" w:sz="4" w:space="0"/>
              <w:bottom w:val="single" w:color="000000" w:sz="4" w:space="0"/>
              <w:right w:val="single" w:color="auto" w:sz="4" w:space="0"/>
            </w:tcBorders>
            <w:vAlign w:val="center"/>
          </w:tcPr>
          <w:p>
            <w:pPr>
              <w:widowControl/>
              <w:jc w:val="center"/>
              <w:rPr>
                <w:rFonts w:hint="eastAsia" w:ascii="宋体" w:hAnsi="宋体" w:cs="宋体"/>
                <w:kern w:val="0"/>
                <w:sz w:val="20"/>
                <w:szCs w:val="20"/>
              </w:rPr>
            </w:pPr>
          </w:p>
        </w:tc>
        <w:tc>
          <w:tcPr>
            <w:tcW w:w="1944"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20"/>
                <w:szCs w:val="20"/>
                <w:lang w:val="en-US" w:eastAsia="zh-CN"/>
              </w:rPr>
            </w:pPr>
            <w:r>
              <w:rPr>
                <w:rFonts w:hint="eastAsia" w:ascii="宋体" w:hAnsi="宋体" w:cs="宋体"/>
                <w:kern w:val="0"/>
                <w:sz w:val="20"/>
                <w:szCs w:val="20"/>
                <w:lang w:val="en-US" w:eastAsia="zh-CN"/>
              </w:rPr>
              <w:t>外网及配电室图纸</w:t>
            </w:r>
          </w:p>
        </w:tc>
        <w:tc>
          <w:tcPr>
            <w:tcW w:w="2046"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合格率100%</w:t>
            </w:r>
          </w:p>
        </w:tc>
        <w:tc>
          <w:tcPr>
            <w:tcW w:w="1770"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0"/>
                <w:szCs w:val="20"/>
              </w:rPr>
            </w:pPr>
            <w:r>
              <w:rPr>
                <w:rFonts w:hint="eastAsia" w:ascii="宋体" w:hAnsi="宋体" w:cs="宋体"/>
                <w:kern w:val="0"/>
                <w:sz w:val="20"/>
                <w:szCs w:val="20"/>
                <w:lang w:val="en-US" w:eastAsia="zh-CN"/>
              </w:rPr>
              <w:t>合格率100%</w:t>
            </w:r>
          </w:p>
        </w:tc>
      </w:tr>
    </w:tbl>
    <w:p>
      <w:pPr>
        <w:spacing w:line="540" w:lineRule="exact"/>
        <w:rPr>
          <w:rStyle w:val="18"/>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287" w:usb1="080F0000" w:usb2="00000010" w:usb3="00000000" w:csb0="0004009F" w:csb1="00000000"/>
  </w:font>
  <w:font w:name="方正小标宋_GBK">
    <w:altName w:val="微软雅黑"/>
    <w:panose1 w:val="00000000000000000000"/>
    <w:charset w:val="86"/>
    <w:family w:val="auto"/>
    <w:pitch w:val="default"/>
    <w:sig w:usb0="00000000"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Courier (W1)">
    <w:altName w:val="Lucida Console"/>
    <w:panose1 w:val="00000000000000000000"/>
    <w:charset w:val="00"/>
    <w:family w:val="auto"/>
    <w:pitch w:val="default"/>
    <w:sig w:usb0="00000000" w:usb1="00000000" w:usb2="00000000" w:usb3="00000000" w:csb0="00000001" w:csb1="00000000"/>
  </w:font>
  <w:font w:name="Lucida Console">
    <w:panose1 w:val="020B0609040504020204"/>
    <w:charset w:val="00"/>
    <w:family w:val="auto"/>
    <w:pitch w:val="default"/>
    <w:sig w:usb0="8000028F" w:usb1="00001800" w:usb2="00000000" w:usb3="00000000" w:csb0="0000001F" w:csb1="D7D70000"/>
  </w:font>
  <w:font w:name="Cambria Math">
    <w:panose1 w:val="02040503050406030204"/>
    <w:charset w:val="01"/>
    <w:family w:val="auto"/>
    <w:pitch w:val="default"/>
    <w:sig w:usb0="E00002FF" w:usb1="420024FF" w:usb2="00000000" w:usb3="00000000" w:csb0="2000019F" w:csb1="00000000"/>
  </w:font>
  <w:font w:name="Microsoft YaHei UI">
    <w:altName w:val="宋体"/>
    <w:panose1 w:val="020B0503020204020204"/>
    <w:charset w:val="86"/>
    <w:family w:val="auto"/>
    <w:pitch w:val="default"/>
    <w:sig w:usb0="80000287" w:usb1="28C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DLF-32769-4-552609886+ZFEEP5-37">
    <w:altName w:val="宋体"/>
    <w:panose1 w:val="00000000000000000000"/>
    <w:charset w:val="86"/>
    <w:family w:val="auto"/>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pPr>
    <w:r>
      <w:fldChar w:fldCharType="begin"/>
    </w:r>
    <w:r>
      <w:instrText xml:space="preserve">PAGE   \* MERGEFORMAT</w:instrText>
    </w:r>
    <w:r>
      <w:fldChar w:fldCharType="separate"/>
    </w:r>
    <w:r>
      <w:t>1</w:t>
    </w:r>
    <w: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8"/>
    <w:semiHidden/>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9"/>
    <w:semiHidden/>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30"/>
    <w:semiHidden/>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31"/>
    <w:semiHidden/>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32"/>
    <w:semiHidden/>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3"/>
    <w:semiHidden/>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4"/>
    <w:semiHidden/>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5"/>
    <w:semiHidden/>
    <w:unhideWhenUsed/>
    <w:qFormat/>
    <w:uiPriority w:val="9"/>
    <w:pPr>
      <w:widowControl/>
      <w:spacing w:before="240" w:after="60"/>
      <w:jc w:val="left"/>
      <w:outlineLvl w:val="8"/>
    </w:pPr>
    <w:rPr>
      <w:rFonts w:ascii="Cambria" w:hAnsi="Cambria" w:eastAsia="宋体"/>
      <w:kern w:val="0"/>
      <w:sz w:val="22"/>
      <w:szCs w:val="22"/>
    </w:rPr>
  </w:style>
  <w:style w:type="character" w:default="1" w:styleId="17">
    <w:name w:val="Default Paragraph Font"/>
    <w:semiHidden/>
    <w:unhideWhenUsed/>
    <w:uiPriority w:val="1"/>
  </w:style>
  <w:style w:type="paragraph" w:styleId="11">
    <w:name w:val="Balloon Text"/>
    <w:basedOn w:val="1"/>
    <w:link w:val="47"/>
    <w:semiHidden/>
    <w:unhideWhenUsed/>
    <w:uiPriority w:val="99"/>
    <w:rPr>
      <w:sz w:val="18"/>
      <w:szCs w:val="18"/>
    </w:rPr>
  </w:style>
  <w:style w:type="paragraph" w:styleId="12">
    <w:name w:val="footer"/>
    <w:basedOn w:val="1"/>
    <w:link w:val="46"/>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5"/>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7"/>
    <w:qFormat/>
    <w:uiPriority w:val="11"/>
    <w:pPr>
      <w:widowControl/>
      <w:spacing w:after="60"/>
      <w:jc w:val="center"/>
      <w:outlineLvl w:val="1"/>
    </w:pPr>
    <w:rPr>
      <w:rFonts w:ascii="Cambria" w:hAnsi="Cambria" w:eastAsia="宋体"/>
      <w:kern w:val="0"/>
      <w:sz w:val="24"/>
    </w:rPr>
  </w:style>
  <w:style w:type="paragraph" w:styleId="15">
    <w:name w:val="toc 2"/>
    <w:basedOn w:val="1"/>
    <w:next w:val="1"/>
    <w:semiHidden/>
    <w:unhideWhenUsed/>
    <w:uiPriority w:val="39"/>
    <w:pPr>
      <w:ind w:left="420" w:leftChars="200"/>
    </w:pPr>
  </w:style>
  <w:style w:type="paragraph" w:styleId="16">
    <w:name w:val="Title"/>
    <w:basedOn w:val="1"/>
    <w:next w:val="1"/>
    <w:link w:val="36"/>
    <w:qFormat/>
    <w:uiPriority w:val="10"/>
    <w:pPr>
      <w:widowControl/>
      <w:spacing w:before="240" w:after="60"/>
      <w:jc w:val="center"/>
      <w:outlineLvl w:val="0"/>
    </w:pPr>
    <w:rPr>
      <w:rFonts w:ascii="Cambria" w:hAnsi="Cambria" w:eastAsia="宋体"/>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Calibri" w:hAnsi="Calibri"/>
      <w:b/>
      <w:i/>
      <w:iCs/>
    </w:rPr>
  </w:style>
  <w:style w:type="character" w:styleId="20">
    <w:name w:val="Hyperlink"/>
    <w:semiHidden/>
    <w:unhideWhenUsed/>
    <w:uiPriority w:val="0"/>
    <w:rPr>
      <w:color w:val="0000FF"/>
      <w:u w:val="single"/>
    </w:rPr>
  </w:style>
  <w:style w:type="paragraph" w:customStyle="1" w:styleId="21">
    <w:name w:val="No Spacing"/>
    <w:basedOn w:val="1"/>
    <w:qFormat/>
    <w:uiPriority w:val="1"/>
    <w:pPr>
      <w:widowControl/>
      <w:jc w:val="left"/>
    </w:pPr>
    <w:rPr>
      <w:rFonts w:ascii="Calibri" w:hAnsi="Calibri" w:eastAsia="宋体" w:cs="Times New Roman"/>
      <w:kern w:val="0"/>
      <w:sz w:val="24"/>
      <w:szCs w:val="32"/>
      <w:lang w:val="en-US" w:eastAsia="en-US" w:bidi="en-US"/>
    </w:rPr>
  </w:style>
  <w:style w:type="paragraph" w:customStyle="1" w:styleId="22">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3">
    <w:name w:val="Quote"/>
    <w:basedOn w:val="1"/>
    <w:next w:val="1"/>
    <w:link w:val="38"/>
    <w:qFormat/>
    <w:uiPriority w:val="29"/>
    <w:pPr>
      <w:widowControl/>
      <w:jc w:val="left"/>
    </w:pPr>
    <w:rPr>
      <w:rFonts w:ascii="Calibri" w:hAnsi="Calibri" w:eastAsia="宋体"/>
      <w:i/>
      <w:kern w:val="0"/>
      <w:sz w:val="24"/>
    </w:rPr>
  </w:style>
  <w:style w:type="paragraph" w:customStyle="1" w:styleId="24">
    <w:name w:val="Intense Quote"/>
    <w:basedOn w:val="1"/>
    <w:next w:val="1"/>
    <w:link w:val="39"/>
    <w:qFormat/>
    <w:uiPriority w:val="30"/>
    <w:pPr>
      <w:widowControl/>
      <w:ind w:left="720" w:right="720"/>
      <w:jc w:val="left"/>
    </w:pPr>
    <w:rPr>
      <w:rFonts w:ascii="Calibri" w:hAnsi="Calibri" w:eastAsia="宋体"/>
      <w:b/>
      <w:i/>
      <w:kern w:val="0"/>
      <w:sz w:val="24"/>
      <w:szCs w:val="22"/>
    </w:rPr>
  </w:style>
  <w:style w:type="paragraph" w:customStyle="1" w:styleId="25">
    <w:name w:val="TOC Heading"/>
    <w:basedOn w:val="2"/>
    <w:next w:val="1"/>
    <w:semiHidden/>
    <w:unhideWhenUsed/>
    <w:qFormat/>
    <w:uiPriority w:val="39"/>
    <w:pPr>
      <w:outlineLvl w:val="9"/>
    </w:pPr>
    <w:rPr>
      <w:lang w:eastAsia="en-US" w:bidi="en-US"/>
    </w:rPr>
  </w:style>
  <w:style w:type="paragraph" w:customStyle="1" w:styleId="26">
    <w:name w:val="闻政正文"/>
    <w:qFormat/>
    <w:uiPriority w:val="99"/>
    <w:pPr>
      <w:spacing w:line="500" w:lineRule="exact"/>
      <w:ind w:firstLine="560" w:firstLineChars="200"/>
    </w:pPr>
    <w:rPr>
      <w:rFonts w:ascii="Times New Roman" w:hAnsi="Times New Roman" w:eastAsia="仿宋_GB2312"/>
      <w:kern w:val="0"/>
      <w:sz w:val="28"/>
      <w:szCs w:val="28"/>
    </w:rPr>
  </w:style>
  <w:style w:type="character" w:customStyle="1" w:styleId="27">
    <w:name w:val="标题 1 Char"/>
    <w:basedOn w:val="17"/>
    <w:link w:val="2"/>
    <w:uiPriority w:val="9"/>
    <w:rPr>
      <w:rFonts w:ascii="Cambria" w:hAnsi="Cambria" w:eastAsia="宋体"/>
      <w:b/>
      <w:bCs/>
      <w:kern w:val="32"/>
      <w:sz w:val="32"/>
      <w:szCs w:val="32"/>
    </w:rPr>
  </w:style>
  <w:style w:type="character" w:customStyle="1" w:styleId="28">
    <w:name w:val="标题 2 Char"/>
    <w:basedOn w:val="17"/>
    <w:link w:val="3"/>
    <w:semiHidden/>
    <w:uiPriority w:val="9"/>
    <w:rPr>
      <w:rFonts w:ascii="Cambria" w:hAnsi="Cambria" w:eastAsia="宋体"/>
      <w:b/>
      <w:bCs/>
      <w:i/>
      <w:iCs/>
      <w:sz w:val="28"/>
      <w:szCs w:val="28"/>
    </w:rPr>
  </w:style>
  <w:style w:type="character" w:customStyle="1" w:styleId="29">
    <w:name w:val="标题 3 Char"/>
    <w:basedOn w:val="17"/>
    <w:link w:val="4"/>
    <w:semiHidden/>
    <w:uiPriority w:val="9"/>
    <w:rPr>
      <w:rFonts w:ascii="Cambria" w:hAnsi="Cambria" w:eastAsia="宋体"/>
      <w:b/>
      <w:bCs/>
      <w:sz w:val="26"/>
      <w:szCs w:val="26"/>
    </w:rPr>
  </w:style>
  <w:style w:type="character" w:customStyle="1" w:styleId="30">
    <w:name w:val="标题 4 Char"/>
    <w:basedOn w:val="17"/>
    <w:link w:val="5"/>
    <w:semiHidden/>
    <w:uiPriority w:val="9"/>
    <w:rPr>
      <w:b/>
      <w:bCs/>
      <w:sz w:val="28"/>
      <w:szCs w:val="28"/>
    </w:rPr>
  </w:style>
  <w:style w:type="character" w:customStyle="1" w:styleId="31">
    <w:name w:val="标题 5 Char"/>
    <w:basedOn w:val="17"/>
    <w:link w:val="6"/>
    <w:semiHidden/>
    <w:uiPriority w:val="9"/>
    <w:rPr>
      <w:b/>
      <w:bCs/>
      <w:i/>
      <w:iCs/>
      <w:sz w:val="26"/>
      <w:szCs w:val="26"/>
    </w:rPr>
  </w:style>
  <w:style w:type="character" w:customStyle="1" w:styleId="32">
    <w:name w:val="标题 6 Char"/>
    <w:basedOn w:val="17"/>
    <w:link w:val="7"/>
    <w:semiHidden/>
    <w:uiPriority w:val="9"/>
    <w:rPr>
      <w:b/>
      <w:bCs/>
    </w:rPr>
  </w:style>
  <w:style w:type="character" w:customStyle="1" w:styleId="33">
    <w:name w:val="标题 7 Char"/>
    <w:basedOn w:val="17"/>
    <w:link w:val="8"/>
    <w:semiHidden/>
    <w:uiPriority w:val="9"/>
    <w:rPr>
      <w:sz w:val="24"/>
      <w:szCs w:val="24"/>
    </w:rPr>
  </w:style>
  <w:style w:type="character" w:customStyle="1" w:styleId="34">
    <w:name w:val="标题 8 Char"/>
    <w:basedOn w:val="17"/>
    <w:link w:val="9"/>
    <w:semiHidden/>
    <w:uiPriority w:val="9"/>
    <w:rPr>
      <w:i/>
      <w:iCs/>
      <w:sz w:val="24"/>
      <w:szCs w:val="24"/>
    </w:rPr>
  </w:style>
  <w:style w:type="character" w:customStyle="1" w:styleId="35">
    <w:name w:val="标题 9 Char"/>
    <w:basedOn w:val="17"/>
    <w:link w:val="10"/>
    <w:semiHidden/>
    <w:uiPriority w:val="9"/>
    <w:rPr>
      <w:rFonts w:ascii="Cambria" w:hAnsi="Cambria" w:eastAsia="宋体"/>
    </w:rPr>
  </w:style>
  <w:style w:type="character" w:customStyle="1" w:styleId="36">
    <w:name w:val="标题 Char"/>
    <w:basedOn w:val="17"/>
    <w:link w:val="16"/>
    <w:uiPriority w:val="10"/>
    <w:rPr>
      <w:rFonts w:ascii="Cambria" w:hAnsi="Cambria" w:eastAsia="宋体"/>
      <w:b/>
      <w:bCs/>
      <w:kern w:val="28"/>
      <w:sz w:val="32"/>
      <w:szCs w:val="32"/>
    </w:rPr>
  </w:style>
  <w:style w:type="character" w:customStyle="1" w:styleId="37">
    <w:name w:val="副标题 Char"/>
    <w:basedOn w:val="17"/>
    <w:link w:val="14"/>
    <w:uiPriority w:val="11"/>
    <w:rPr>
      <w:rFonts w:ascii="Cambria" w:hAnsi="Cambria" w:eastAsia="宋体"/>
      <w:sz w:val="24"/>
      <w:szCs w:val="24"/>
    </w:rPr>
  </w:style>
  <w:style w:type="character" w:customStyle="1" w:styleId="38">
    <w:name w:val="引用 Char"/>
    <w:basedOn w:val="17"/>
    <w:link w:val="23"/>
    <w:uiPriority w:val="29"/>
    <w:rPr>
      <w:i/>
      <w:sz w:val="24"/>
      <w:szCs w:val="24"/>
    </w:rPr>
  </w:style>
  <w:style w:type="character" w:customStyle="1" w:styleId="39">
    <w:name w:val="明显引用 Char"/>
    <w:basedOn w:val="17"/>
    <w:link w:val="24"/>
    <w:uiPriority w:val="30"/>
    <w:rPr>
      <w:b/>
      <w:i/>
      <w:sz w:val="24"/>
    </w:rPr>
  </w:style>
  <w:style w:type="character" w:customStyle="1" w:styleId="40">
    <w:name w:val="Subtle Emphasis"/>
    <w:qFormat/>
    <w:uiPriority w:val="19"/>
    <w:rPr>
      <w:i/>
      <w:color w:val="595959"/>
    </w:rPr>
  </w:style>
  <w:style w:type="character" w:customStyle="1" w:styleId="41">
    <w:name w:val="Intense Emphasis"/>
    <w:basedOn w:val="17"/>
    <w:qFormat/>
    <w:uiPriority w:val="21"/>
    <w:rPr>
      <w:b/>
      <w:i/>
      <w:sz w:val="24"/>
      <w:szCs w:val="24"/>
      <w:u w:val="single"/>
    </w:rPr>
  </w:style>
  <w:style w:type="character" w:customStyle="1" w:styleId="42">
    <w:name w:val="Subtle Reference"/>
    <w:basedOn w:val="17"/>
    <w:qFormat/>
    <w:uiPriority w:val="31"/>
    <w:rPr>
      <w:sz w:val="24"/>
      <w:szCs w:val="24"/>
      <w:u w:val="single"/>
    </w:rPr>
  </w:style>
  <w:style w:type="character" w:customStyle="1" w:styleId="43">
    <w:name w:val="Intense Reference"/>
    <w:basedOn w:val="17"/>
    <w:qFormat/>
    <w:uiPriority w:val="32"/>
    <w:rPr>
      <w:b/>
      <w:sz w:val="24"/>
      <w:u w:val="single"/>
    </w:rPr>
  </w:style>
  <w:style w:type="character" w:customStyle="1" w:styleId="44">
    <w:name w:val="Book Title"/>
    <w:basedOn w:val="17"/>
    <w:qFormat/>
    <w:uiPriority w:val="33"/>
    <w:rPr>
      <w:rFonts w:ascii="Cambria" w:hAnsi="Cambria" w:eastAsia="宋体"/>
      <w:b/>
      <w:i/>
      <w:sz w:val="24"/>
      <w:szCs w:val="24"/>
    </w:rPr>
  </w:style>
  <w:style w:type="character" w:customStyle="1" w:styleId="45">
    <w:name w:val="页眉 Char"/>
    <w:basedOn w:val="17"/>
    <w:link w:val="13"/>
    <w:uiPriority w:val="99"/>
    <w:rPr>
      <w:rFonts w:ascii="Calibri" w:hAnsi="Calibri" w:eastAsia="宋体"/>
      <w:kern w:val="2"/>
      <w:sz w:val="18"/>
      <w:szCs w:val="18"/>
    </w:rPr>
  </w:style>
  <w:style w:type="character" w:customStyle="1" w:styleId="46">
    <w:name w:val="页脚 Char"/>
    <w:basedOn w:val="17"/>
    <w:link w:val="12"/>
    <w:uiPriority w:val="99"/>
    <w:rPr>
      <w:rFonts w:ascii="Calibri" w:hAnsi="Calibri" w:eastAsia="宋体"/>
      <w:kern w:val="2"/>
      <w:sz w:val="18"/>
      <w:szCs w:val="18"/>
    </w:rPr>
  </w:style>
  <w:style w:type="character" w:customStyle="1" w:styleId="47">
    <w:name w:val="批注框文本 Char"/>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作者</cp:lastModifiedBy>
  <cp:lastPrinted>2019-01-30T16:39:00Z</cp:lastPrinted>
  <dcterms:modified xsi:type="dcterms:W3CDTF">2019-08-30T13:38:27Z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