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bookmarkStart w:id="0" w:name="_GoBack"/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机关车队</w:t>
      </w:r>
      <w:r>
        <w:rPr>
          <w:rFonts w:hint="eastAsia" w:hAnsi="宋体" w:eastAsia="仿宋_GB2312" w:cs="宋体"/>
          <w:kern w:val="0"/>
          <w:sz w:val="36"/>
          <w:szCs w:val="36"/>
        </w:rPr>
        <w:t>专项定额补助</w:t>
      </w:r>
      <w:bookmarkEnd w:id="0"/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实施单位（公章）：新疆维吾尔自治区机关车队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主管部门（公章）：自治区机关事务管理局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2019年 1 月 21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（一）单位基本情况。</w:t>
      </w:r>
    </w:p>
    <w:p>
      <w:pPr>
        <w:spacing w:line="560" w:lineRule="exact"/>
        <w:ind w:firstLine="720" w:firstLineChars="22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新疆维吾尔自治区机关车队（以下简称机关车队）原名为新疆维吾尔自治区国宾汽车总队，于2018年11月更名，隶属自治区机关事务管理局，是公益二类事业单位，经费实行自收自支。主要职能定位是承担自治区接待来疆外国政要、副部级以上领导和</w:t>
      </w:r>
      <w:r>
        <w:rPr>
          <w:rFonts w:hint="eastAsia" w:ascii="仿宋" w:hAnsi="仿宋" w:eastAsia="仿宋" w:cs="宋体"/>
          <w:sz w:val="32"/>
          <w:szCs w:val="32"/>
        </w:rPr>
        <w:t>自治区重大政务活动</w:t>
      </w:r>
      <w:r>
        <w:rPr>
          <w:rFonts w:hint="eastAsia" w:ascii="仿宋" w:hAnsi="仿宋" w:eastAsia="仿宋"/>
          <w:sz w:val="32"/>
          <w:szCs w:val="32"/>
        </w:rPr>
        <w:t>车辆服务保障工作。</w:t>
      </w:r>
    </w:p>
    <w:p>
      <w:pPr>
        <w:spacing w:line="540" w:lineRule="exact"/>
        <w:ind w:firstLine="468" w:firstLineChars="15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（二）专项资金的拨付情况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2018年自治区财政厅拨付机关车队专项定额补助资金1141万元。</w:t>
      </w:r>
    </w:p>
    <w:p>
      <w:pPr>
        <w:spacing w:line="540" w:lineRule="exact"/>
        <w:ind w:firstLine="761" w:firstLineChars="243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468" w:firstLineChars="15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（一）项目资金的使用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机关车队2018年使用1142.5万元，其中人员费用541万元，离退休人员190万元，车辆使用维护费用238.5万元，计提车辆购置费173万元。</w:t>
      </w:r>
    </w:p>
    <w:p>
      <w:pPr>
        <w:spacing w:line="540" w:lineRule="exact"/>
        <w:ind w:firstLine="468" w:firstLineChars="15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（二）项目资金（主要是指财政资金）实际使用情况分析。</w:t>
      </w:r>
    </w:p>
    <w:p>
      <w:pPr>
        <w:spacing w:line="540" w:lineRule="exact"/>
        <w:ind w:firstLine="758" w:firstLineChars="243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2018年专项定额补助支出1142.5万元，其中人员费用541万元，占总支出的47%，离退休人员190万元，占总支出的17%，车辆使用维护费用238.5万元，占总支出的21%，计提车辆购置费173万元，占总支出的15%。</w:t>
      </w:r>
    </w:p>
    <w:p>
      <w:pPr>
        <w:spacing w:line="540" w:lineRule="exact"/>
        <w:ind w:firstLine="468" w:firstLineChars="15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（三）项目资金管理情况</w:t>
      </w:r>
    </w:p>
    <w:p>
      <w:pPr>
        <w:spacing w:afterLines="50"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自治区机关车队</w:t>
      </w:r>
      <w:r>
        <w:rPr>
          <w:rFonts w:hint="eastAsia" w:ascii="仿宋" w:hAnsi="仿宋" w:eastAsia="仿宋" w:cs="宋体"/>
          <w:sz w:val="32"/>
          <w:szCs w:val="32"/>
        </w:rPr>
        <w:t>为确保专项定额补助资金专款专用，加强了财务监管，严格从制度上和运作程序上规范财务行为，</w:t>
      </w:r>
      <w:r>
        <w:rPr>
          <w:rFonts w:hint="eastAsia" w:ascii="仿宋" w:hAnsi="仿宋" w:eastAsia="仿宋"/>
          <w:sz w:val="32"/>
          <w:szCs w:val="32"/>
        </w:rPr>
        <w:t>充分发挥全面内部控制的财务集中监管职能，规范业务标准及操作流程，对所有资金进行了全程的动态跟踪。</w:t>
      </w:r>
    </w:p>
    <w:p>
      <w:pPr>
        <w:spacing w:line="540" w:lineRule="exact"/>
        <w:ind w:firstLine="761" w:firstLineChars="243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spacing w:val="-4"/>
          <w:sz w:val="32"/>
          <w:szCs w:val="32"/>
        </w:rPr>
        <w:t>三、项目组织实施情况</w:t>
      </w:r>
    </w:p>
    <w:p>
      <w:pPr>
        <w:spacing w:afterLines="50"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财政拨付的专项定额补助到位后，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主要用于优化人员结构及政策性调整的人力成本；为全力保障政务服务车辆维护及相关服务成本费用；为更新政务接待车辆储备资金。</w:t>
      </w:r>
      <w:r>
        <w:rPr>
          <w:rFonts w:hint="eastAsia" w:ascii="仿宋" w:hAnsi="仿宋" w:eastAsia="仿宋" w:cs="宋体"/>
          <w:sz w:val="32"/>
          <w:szCs w:val="32"/>
        </w:rPr>
        <w:t>严格财务管理，</w:t>
      </w:r>
      <w:r>
        <w:rPr>
          <w:rFonts w:hint="eastAsia" w:ascii="仿宋" w:hAnsi="仿宋" w:eastAsia="仿宋"/>
          <w:color w:val="000000"/>
          <w:sz w:val="32"/>
          <w:szCs w:val="32"/>
        </w:rPr>
        <w:t>定额专项资金全部用于政务保障工作，提取的设备购置费全部用于更新设备（主要是车辆），</w:t>
      </w:r>
      <w:r>
        <w:rPr>
          <w:rFonts w:hint="eastAsia" w:ascii="仿宋" w:hAnsi="仿宋" w:eastAsia="仿宋" w:cs="宋体"/>
          <w:sz w:val="32"/>
          <w:szCs w:val="32"/>
        </w:rPr>
        <w:t>严格把控资金使用，切实做到专款专用。</w:t>
      </w:r>
    </w:p>
    <w:p>
      <w:pPr>
        <w:spacing w:line="540" w:lineRule="exact"/>
        <w:ind w:firstLine="761" w:firstLineChars="243"/>
        <w:rPr>
          <w:rFonts w:ascii="仿宋" w:hAnsi="仿宋" w:eastAsia="仿宋"/>
          <w:sz w:val="32"/>
          <w:szCs w:val="32"/>
        </w:rPr>
      </w:pPr>
      <w:r>
        <w:rPr>
          <w:rStyle w:val="17"/>
          <w:rFonts w:hint="eastAsia" w:ascii="仿宋" w:hAnsi="仿宋" w:eastAsia="仿宋"/>
          <w:spacing w:val="-4"/>
          <w:sz w:val="32"/>
          <w:szCs w:val="32"/>
        </w:rPr>
        <w:t>四、项目绩效情况</w:t>
      </w:r>
      <w:r>
        <w:rPr>
          <w:rFonts w:hint="eastAsia" w:ascii="仿宋" w:hAnsi="仿宋" w:eastAsia="仿宋"/>
          <w:spacing w:val="-4"/>
          <w:sz w:val="32"/>
          <w:szCs w:val="32"/>
        </w:rPr>
        <w:t xml:space="preserve"> 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为了更好地满足自治区党委、政府公务接待的要求，面对</w:t>
      </w:r>
      <w:r>
        <w:rPr>
          <w:rFonts w:hint="eastAsia" w:ascii="仿宋" w:hAnsi="仿宋" w:eastAsia="仿宋"/>
          <w:color w:val="000000"/>
          <w:spacing w:val="-10"/>
          <w:sz w:val="32"/>
          <w:szCs w:val="32"/>
        </w:rPr>
        <w:t>新形势和新任务，</w:t>
      </w:r>
      <w:r>
        <w:rPr>
          <w:rFonts w:hint="eastAsia" w:ascii="仿宋" w:hAnsi="仿宋" w:eastAsia="仿宋"/>
          <w:sz w:val="32"/>
          <w:szCs w:val="32"/>
        </w:rPr>
        <w:t>机关车队</w:t>
      </w:r>
      <w:r>
        <w:rPr>
          <w:rFonts w:hint="eastAsia" w:ascii="仿宋" w:hAnsi="仿宋" w:eastAsia="仿宋"/>
          <w:color w:val="000000"/>
          <w:spacing w:val="-10"/>
          <w:sz w:val="32"/>
          <w:szCs w:val="32"/>
        </w:rPr>
        <w:t>按照接待服务工作的新规格、新标准、新要求，</w:t>
      </w:r>
      <w:r>
        <w:rPr>
          <w:rFonts w:hint="eastAsia" w:ascii="仿宋" w:hAnsi="仿宋" w:eastAsia="仿宋"/>
          <w:sz w:val="32"/>
          <w:szCs w:val="32"/>
        </w:rPr>
        <w:t xml:space="preserve"> 打造“安全为先、信誉为重、管理为本、服务为诚”的服务理念。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1.当前</w:t>
      </w:r>
      <w:r>
        <w:rPr>
          <w:rFonts w:hint="eastAsia" w:ascii="仿宋" w:hAnsi="仿宋" w:eastAsia="仿宋"/>
          <w:color w:val="000000"/>
          <w:spacing w:val="-10"/>
          <w:sz w:val="32"/>
          <w:szCs w:val="32"/>
        </w:rPr>
        <w:t>新疆的维稳形势依然严峻，安全和保密工作显得尤为重要。在新时期下，</w:t>
      </w:r>
      <w:r>
        <w:rPr>
          <w:rFonts w:hint="eastAsia" w:ascii="仿宋" w:hAnsi="仿宋" w:eastAsia="仿宋"/>
          <w:sz w:val="32"/>
          <w:szCs w:val="32"/>
        </w:rPr>
        <w:t>机关车队为自治区政务接待服务保障提供一支对党忠诚、政治可靠、技术精湛、思想统一的高素质接待服务队伍</w:t>
      </w:r>
      <w:r>
        <w:rPr>
          <w:rFonts w:hint="eastAsia" w:ascii="仿宋" w:hAnsi="仿宋" w:eastAsia="仿宋"/>
          <w:color w:val="000000"/>
          <w:spacing w:val="-1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车辆严重老化，为乘车安全得到保障，从2018年已更新车辆6台，我们计划</w:t>
      </w:r>
      <w:r>
        <w:rPr>
          <w:rFonts w:hint="eastAsia" w:ascii="仿宋" w:hAnsi="仿宋" w:eastAsia="仿宋" w:cs="楷体_GB2312"/>
          <w:color w:val="000000"/>
          <w:sz w:val="32"/>
          <w:szCs w:val="32"/>
        </w:rPr>
        <w:t>用</w:t>
      </w:r>
      <w:r>
        <w:rPr>
          <w:rFonts w:hint="eastAsia" w:ascii="仿宋" w:hAnsi="仿宋" w:eastAsia="仿宋"/>
          <w:sz w:val="32"/>
          <w:szCs w:val="32"/>
        </w:rPr>
        <w:t>未来五年的时间逐步更新接待车辆，从而优化政务接待车型结构和安全技术状况，确保完成自治区党政重大接待任务。</w:t>
      </w:r>
    </w:p>
    <w:p>
      <w:pPr>
        <w:spacing w:line="540" w:lineRule="exact"/>
        <w:ind w:firstLine="627" w:firstLineChars="200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我们严格按照专项资金的使用要求，做到专款专用，在制度上完善，在核算上细化，确保专项资金的使用最大化。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六、附表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 xml:space="preserve">2018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专项定额补助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新疆维吾尔自治区机关事务管理局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1141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1142.5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1141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1141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1.5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保证自治区党政各项政务接待服务的安全和质量，履行好公益性职能。储备资金更新车辆。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保证自治区党政各项政务接待服务的安全和质量，履行好公益性职能。储备资金更新6台车辆。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指标1：车辆更新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储备资金更新车辆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积累资金更新6台车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指标2：车辆维护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用于车辆维护238.5万元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用于车辆维护238.5万元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指标1：政务接待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为自治区党政各项政务接待提供安全的用车服务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2018年为两会、新疆亚欧博览会、中央巡视组等各项政务接待提供了安全的用车服务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指标2：政务接待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为自治区党政各项政务接待提供优质的用车服务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2018年为两会、新疆亚欧博览会、中央巡视组等各项政务接待提供了优质的用车服务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指标1：政务接待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为各类大型会议提供安全、优质、高效的用车服务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2018年已为各类大型会议提供安全、优质、高效的用车服务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指标2：承担社会责任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承担离退休人员的相关费用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2018年承担123名退休职工医保等费用124万元，发放8名退休人员抚恤金66万元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指标1：车辆保障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更新车辆为后期政务服务提供更安全、优质、高效的车辆保障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实际更新6辆车，为后期政务服务提供更安全、优质、高效的车辆保障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指标1：服务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提供满意服务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多次收到用车单位的表扬信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="Calibri" w:hAnsi="Calibri" w:eastAsia="宋体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="Calibri" w:hAnsi="Calibri" w:eastAsia="宋体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="Calibri" w:hAnsi="Calibri" w:eastAsia="宋体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="Calibri" w:hAnsi="Calibri" w:eastAsia="宋体"/>
      <w:kern w:val="0"/>
      <w:sz w:val="24"/>
    </w:r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="Calibri" w:hAnsi="Calibri" w:eastAsia="宋体"/>
      <w:i/>
      <w:iCs/>
      <w:kern w:val="0"/>
      <w:sz w:val="24"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 w:eastAsia="宋体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paragraph" w:styleId="11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="Cambria" w:hAnsi="Cambria" w:eastAsia="宋体"/>
      <w:kern w:val="0"/>
      <w:sz w:val="24"/>
    </w:rPr>
  </w:style>
  <w:style w:type="paragraph" w:styleId="15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paragraph" w:customStyle="1" w:styleId="19">
    <w:name w:val="No Spacing"/>
    <w:basedOn w:val="1"/>
    <w:qFormat/>
    <w:uiPriority w:val="1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20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21">
    <w:name w:val="Quote"/>
    <w:basedOn w:val="1"/>
    <w:next w:val="1"/>
    <w:link w:val="35"/>
    <w:qFormat/>
    <w:uiPriority w:val="29"/>
    <w:pPr>
      <w:widowControl/>
      <w:jc w:val="left"/>
    </w:pPr>
    <w:rPr>
      <w:rFonts w:ascii="Calibri" w:hAnsi="Calibri" w:eastAsia="宋体"/>
      <w:i/>
      <w:kern w:val="0"/>
      <w:sz w:val="24"/>
    </w:rPr>
  </w:style>
  <w:style w:type="paragraph" w:customStyle="1" w:styleId="22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="Calibri" w:hAnsi="Calibri" w:eastAsia="宋体"/>
      <w:b/>
      <w:i/>
      <w:kern w:val="0"/>
      <w:sz w:val="24"/>
      <w:szCs w:val="22"/>
    </w:rPr>
  </w:style>
  <w:style w:type="paragraph" w:customStyle="1" w:styleId="2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24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5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6">
    <w:name w:val="标题 3 Char"/>
    <w:basedOn w:val="16"/>
    <w:link w:val="4"/>
    <w:semiHidden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7">
    <w:name w:val="标题 4 Char"/>
    <w:basedOn w:val="16"/>
    <w:link w:val="5"/>
    <w:semiHidden/>
    <w:uiPriority w:val="9"/>
    <w:rPr>
      <w:b/>
      <w:bCs/>
      <w:sz w:val="28"/>
      <w:szCs w:val="28"/>
    </w:rPr>
  </w:style>
  <w:style w:type="character" w:customStyle="1" w:styleId="28">
    <w:name w:val="标题 5 Char"/>
    <w:basedOn w:val="16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6"/>
    <w:link w:val="7"/>
    <w:semiHidden/>
    <w:uiPriority w:val="9"/>
    <w:rPr>
      <w:b/>
      <w:bCs/>
    </w:rPr>
  </w:style>
  <w:style w:type="character" w:customStyle="1" w:styleId="30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31">
    <w:name w:val="标题 8 Char"/>
    <w:basedOn w:val="16"/>
    <w:link w:val="9"/>
    <w:semiHidden/>
    <w:uiPriority w:val="9"/>
    <w:rPr>
      <w:i/>
      <w:iCs/>
      <w:sz w:val="24"/>
      <w:szCs w:val="24"/>
    </w:rPr>
  </w:style>
  <w:style w:type="character" w:customStyle="1" w:styleId="32">
    <w:name w:val="标题 9 Char"/>
    <w:basedOn w:val="16"/>
    <w:link w:val="10"/>
    <w:semiHidden/>
    <w:uiPriority w:val="9"/>
    <w:rPr>
      <w:rFonts w:ascii="Cambria" w:hAnsi="Cambria" w:eastAsia="宋体"/>
    </w:rPr>
  </w:style>
  <w:style w:type="character" w:customStyle="1" w:styleId="33">
    <w:name w:val="标题 Char"/>
    <w:basedOn w:val="16"/>
    <w:link w:val="15"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4">
    <w:name w:val="副标题 Char"/>
    <w:basedOn w:val="16"/>
    <w:link w:val="14"/>
    <w:uiPriority w:val="11"/>
    <w:rPr>
      <w:rFonts w:ascii="Cambria" w:hAnsi="Cambria" w:eastAsia="宋体"/>
      <w:sz w:val="24"/>
      <w:szCs w:val="24"/>
    </w:rPr>
  </w:style>
  <w:style w:type="character" w:customStyle="1" w:styleId="35">
    <w:name w:val="引用 Char"/>
    <w:basedOn w:val="16"/>
    <w:link w:val="21"/>
    <w:uiPriority w:val="29"/>
    <w:rPr>
      <w:i/>
      <w:sz w:val="24"/>
      <w:szCs w:val="24"/>
    </w:rPr>
  </w:style>
  <w:style w:type="character" w:customStyle="1" w:styleId="36">
    <w:name w:val="明显引用 Char"/>
    <w:basedOn w:val="16"/>
    <w:link w:val="22"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/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character" w:customStyle="1" w:styleId="42">
    <w:name w:val="页眉 Char"/>
    <w:basedOn w:val="16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批注框文本 Char"/>
    <w:basedOn w:val="16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359</Words>
  <Characters>2050</Characters>
  <Lines>17</Lines>
  <Paragraphs>4</Paragraphs>
  <TotalTime>0</TotalTime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作者</cp:lastModifiedBy>
  <cp:lastPrinted>2018-12-31T10:56:00Z</cp:lastPrinted>
  <dcterms:modified xsi:type="dcterms:W3CDTF">2019-08-30T13:57:01Z</dcterms:modified>
  <dc:title>自治区财政项目支出绩效自评报告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