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5C8" w:rsidRDefault="00BC55C8">
      <w:pPr>
        <w:spacing w:line="540" w:lineRule="exact"/>
        <w:jc w:val="center"/>
        <w:rPr>
          <w:rFonts w:ascii="华文中宋" w:eastAsia="华文中宋" w:hAnsi="华文中宋" w:cs="宋体"/>
          <w:b/>
          <w:kern w:val="0"/>
          <w:sz w:val="52"/>
          <w:szCs w:val="52"/>
        </w:rPr>
      </w:pPr>
      <w:bookmarkStart w:id="0" w:name="_GoBack"/>
      <w:bookmarkEnd w:id="0"/>
    </w:p>
    <w:p w:rsidR="00BC55C8" w:rsidRDefault="00BC55C8">
      <w:pPr>
        <w:spacing w:line="540" w:lineRule="exact"/>
        <w:jc w:val="center"/>
        <w:rPr>
          <w:rFonts w:ascii="华文中宋" w:eastAsia="华文中宋" w:hAnsi="华文中宋" w:cs="宋体"/>
          <w:b/>
          <w:kern w:val="0"/>
          <w:sz w:val="52"/>
          <w:szCs w:val="52"/>
        </w:rPr>
      </w:pPr>
    </w:p>
    <w:p w:rsidR="00BC55C8" w:rsidRDefault="00BC55C8">
      <w:pPr>
        <w:spacing w:line="540" w:lineRule="exact"/>
        <w:jc w:val="center"/>
        <w:rPr>
          <w:rFonts w:ascii="华文中宋" w:eastAsia="华文中宋" w:hAnsi="华文中宋" w:cs="宋体"/>
          <w:b/>
          <w:kern w:val="0"/>
          <w:sz w:val="52"/>
          <w:szCs w:val="52"/>
        </w:rPr>
      </w:pPr>
    </w:p>
    <w:p w:rsidR="00BC55C8" w:rsidRDefault="00BC55C8">
      <w:pPr>
        <w:spacing w:line="540" w:lineRule="exact"/>
        <w:jc w:val="center"/>
        <w:rPr>
          <w:rFonts w:ascii="华文中宋" w:eastAsia="华文中宋" w:hAnsi="华文中宋" w:cs="宋体"/>
          <w:b/>
          <w:kern w:val="0"/>
          <w:sz w:val="52"/>
          <w:szCs w:val="52"/>
        </w:rPr>
      </w:pPr>
    </w:p>
    <w:p w:rsidR="00BC55C8" w:rsidRDefault="00BC55C8">
      <w:pPr>
        <w:spacing w:line="540" w:lineRule="exact"/>
        <w:jc w:val="center"/>
        <w:rPr>
          <w:rFonts w:ascii="华文中宋" w:eastAsia="华文中宋" w:hAnsi="华文中宋" w:cs="宋体"/>
          <w:b/>
          <w:kern w:val="0"/>
          <w:sz w:val="52"/>
          <w:szCs w:val="52"/>
        </w:rPr>
      </w:pPr>
    </w:p>
    <w:p w:rsidR="00BC55C8" w:rsidRDefault="00BC55C8">
      <w:pPr>
        <w:spacing w:line="540" w:lineRule="exact"/>
        <w:jc w:val="center"/>
        <w:rPr>
          <w:rFonts w:ascii="华文中宋" w:eastAsia="华文中宋" w:hAnsi="华文中宋" w:cs="宋体"/>
          <w:b/>
          <w:kern w:val="0"/>
          <w:sz w:val="52"/>
          <w:szCs w:val="52"/>
        </w:rPr>
      </w:pPr>
    </w:p>
    <w:p w:rsidR="00BC55C8" w:rsidRDefault="001A41CF">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新疆财政支出绩效自评报告</w:t>
      </w:r>
    </w:p>
    <w:p w:rsidR="00BC55C8" w:rsidRDefault="00BC55C8">
      <w:pPr>
        <w:spacing w:line="540" w:lineRule="exact"/>
        <w:jc w:val="center"/>
        <w:rPr>
          <w:rFonts w:ascii="华文中宋" w:eastAsia="华文中宋" w:hAnsi="华文中宋" w:cs="宋体"/>
          <w:b/>
          <w:kern w:val="0"/>
          <w:sz w:val="52"/>
          <w:szCs w:val="52"/>
        </w:rPr>
      </w:pPr>
    </w:p>
    <w:p w:rsidR="00BC55C8" w:rsidRDefault="001A41C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Fonts w:eastAsia="仿宋_GB2312" w:hAnsi="宋体" w:cs="宋体" w:hint="eastAsia"/>
          <w:kern w:val="0"/>
          <w:sz w:val="36"/>
          <w:szCs w:val="36"/>
        </w:rPr>
        <w:t>2018</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BC55C8" w:rsidRDefault="00BC55C8">
      <w:pPr>
        <w:spacing w:line="540" w:lineRule="exact"/>
        <w:jc w:val="center"/>
        <w:rPr>
          <w:rFonts w:eastAsia="仿宋_GB2312" w:hAnsi="宋体" w:cs="宋体"/>
          <w:kern w:val="0"/>
          <w:sz w:val="30"/>
          <w:szCs w:val="30"/>
        </w:rPr>
      </w:pPr>
    </w:p>
    <w:p w:rsidR="00BC55C8" w:rsidRDefault="00BC55C8">
      <w:pPr>
        <w:spacing w:line="540" w:lineRule="exact"/>
        <w:jc w:val="center"/>
        <w:rPr>
          <w:rFonts w:eastAsia="仿宋_GB2312" w:hAnsi="宋体" w:cs="宋体"/>
          <w:kern w:val="0"/>
          <w:sz w:val="30"/>
          <w:szCs w:val="30"/>
        </w:rPr>
      </w:pPr>
    </w:p>
    <w:p w:rsidR="00BC55C8" w:rsidRDefault="00BC55C8">
      <w:pPr>
        <w:spacing w:line="540" w:lineRule="exact"/>
        <w:jc w:val="center"/>
        <w:rPr>
          <w:rFonts w:eastAsia="仿宋_GB2312" w:hAnsi="宋体" w:cs="宋体"/>
          <w:kern w:val="0"/>
          <w:sz w:val="30"/>
          <w:szCs w:val="30"/>
        </w:rPr>
      </w:pPr>
    </w:p>
    <w:p w:rsidR="00BC55C8" w:rsidRDefault="00BC55C8">
      <w:pPr>
        <w:spacing w:line="540" w:lineRule="exact"/>
        <w:jc w:val="center"/>
        <w:rPr>
          <w:rFonts w:eastAsia="仿宋_GB2312" w:hAnsi="宋体" w:cs="宋体"/>
          <w:kern w:val="0"/>
          <w:sz w:val="30"/>
          <w:szCs w:val="30"/>
        </w:rPr>
      </w:pPr>
    </w:p>
    <w:p w:rsidR="00BC55C8" w:rsidRDefault="00BC55C8">
      <w:pPr>
        <w:spacing w:line="540" w:lineRule="exact"/>
        <w:jc w:val="center"/>
        <w:rPr>
          <w:rFonts w:eastAsia="仿宋_GB2312" w:hAnsi="宋体" w:cs="宋体"/>
          <w:kern w:val="0"/>
          <w:sz w:val="30"/>
          <w:szCs w:val="30"/>
        </w:rPr>
      </w:pPr>
    </w:p>
    <w:p w:rsidR="00BC55C8" w:rsidRDefault="00BC55C8">
      <w:pPr>
        <w:spacing w:line="540" w:lineRule="exact"/>
        <w:jc w:val="center"/>
        <w:rPr>
          <w:rFonts w:eastAsia="仿宋_GB2312" w:hAnsi="宋体" w:cs="宋体"/>
          <w:kern w:val="0"/>
          <w:sz w:val="30"/>
          <w:szCs w:val="30"/>
        </w:rPr>
      </w:pPr>
    </w:p>
    <w:p w:rsidR="00BC55C8" w:rsidRDefault="00BC55C8">
      <w:pPr>
        <w:spacing w:line="540" w:lineRule="exact"/>
        <w:rPr>
          <w:rFonts w:eastAsia="仿宋_GB2312" w:hAnsi="宋体" w:cs="宋体"/>
          <w:kern w:val="0"/>
          <w:sz w:val="30"/>
          <w:szCs w:val="30"/>
        </w:rPr>
      </w:pPr>
    </w:p>
    <w:p w:rsidR="00BC55C8" w:rsidRDefault="001A41CF">
      <w:pPr>
        <w:ind w:firstLineChars="200" w:firstLine="720"/>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项目名称：环境影响</w:t>
      </w:r>
      <w:r>
        <w:rPr>
          <w:rFonts w:eastAsia="仿宋_GB2312" w:hAnsi="宋体" w:cs="宋体" w:hint="eastAsia"/>
          <w:kern w:val="0"/>
          <w:sz w:val="36"/>
          <w:szCs w:val="36"/>
        </w:rPr>
        <w:t>评价</w:t>
      </w:r>
      <w:r>
        <w:rPr>
          <w:rFonts w:eastAsia="仿宋_GB2312" w:hAnsi="宋体" w:cs="宋体" w:hint="eastAsia"/>
          <w:kern w:val="0"/>
          <w:sz w:val="36"/>
          <w:szCs w:val="36"/>
        </w:rPr>
        <w:t>技术评估</w:t>
      </w:r>
    </w:p>
    <w:p w:rsidR="00BC55C8" w:rsidRDefault="001A41C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Fonts w:eastAsia="仿宋_GB2312" w:hAnsi="宋体" w:cs="宋体" w:hint="eastAsia"/>
          <w:kern w:val="0"/>
          <w:sz w:val="36"/>
          <w:szCs w:val="36"/>
        </w:rPr>
        <w:t>新疆维吾尔自治区环境工程评估中心</w:t>
      </w:r>
    </w:p>
    <w:p w:rsidR="00BC55C8" w:rsidRDefault="001A41C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自治区主管部门（公章）：</w:t>
      </w:r>
    </w:p>
    <w:p w:rsidR="00BC55C8" w:rsidRDefault="001A41C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BC55C8" w:rsidRDefault="001A41C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17</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rsidR="00BC55C8" w:rsidRDefault="00BC55C8">
      <w:pPr>
        <w:spacing w:line="700" w:lineRule="exact"/>
        <w:ind w:firstLineChars="236" w:firstLine="850"/>
        <w:jc w:val="left"/>
        <w:rPr>
          <w:rFonts w:eastAsia="仿宋_GB2312" w:hAnsi="宋体" w:cs="宋体"/>
          <w:kern w:val="0"/>
          <w:sz w:val="36"/>
          <w:szCs w:val="36"/>
        </w:rPr>
      </w:pPr>
    </w:p>
    <w:p w:rsidR="00BC55C8" w:rsidRDefault="00BC55C8">
      <w:pPr>
        <w:spacing w:line="540" w:lineRule="exact"/>
        <w:jc w:val="center"/>
        <w:rPr>
          <w:rFonts w:eastAsia="仿宋_GB2312" w:hAnsi="宋体" w:cs="宋体"/>
          <w:kern w:val="0"/>
          <w:sz w:val="30"/>
          <w:szCs w:val="30"/>
        </w:rPr>
      </w:pPr>
    </w:p>
    <w:p w:rsidR="00BC55C8" w:rsidRDefault="001A41CF">
      <w:pPr>
        <w:spacing w:line="56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一、</w:t>
      </w:r>
      <w:r>
        <w:rPr>
          <w:rStyle w:val="ac"/>
          <w:rFonts w:ascii="黑体" w:eastAsia="黑体" w:hAnsi="黑体" w:hint="eastAsia"/>
          <w:b w:val="0"/>
          <w:spacing w:val="-4"/>
          <w:sz w:val="32"/>
          <w:szCs w:val="32"/>
        </w:rPr>
        <w:t>环境影响评价技术评估</w:t>
      </w:r>
      <w:r>
        <w:rPr>
          <w:rStyle w:val="ac"/>
          <w:rFonts w:ascii="黑体" w:eastAsia="黑体" w:hAnsi="黑体" w:hint="eastAsia"/>
          <w:b w:val="0"/>
          <w:spacing w:val="-4"/>
          <w:sz w:val="32"/>
          <w:szCs w:val="32"/>
        </w:rPr>
        <w:t>概况</w:t>
      </w:r>
    </w:p>
    <w:p w:rsidR="00BC55C8" w:rsidRDefault="001A41CF">
      <w:pPr>
        <w:spacing w:line="560" w:lineRule="exact"/>
        <w:ind w:firstLine="640"/>
        <w:rPr>
          <w:rStyle w:val="ac"/>
          <w:rFonts w:ascii="楷体" w:eastAsia="楷体" w:hAnsi="楷体"/>
          <w:b w:val="0"/>
          <w:bCs w:val="0"/>
          <w:spacing w:val="-4"/>
          <w:sz w:val="32"/>
          <w:szCs w:val="32"/>
        </w:rPr>
      </w:pPr>
      <w:r>
        <w:rPr>
          <w:rStyle w:val="ac"/>
          <w:rFonts w:ascii="楷体" w:eastAsia="楷体" w:hAnsi="楷体" w:hint="eastAsia"/>
          <w:b w:val="0"/>
          <w:bCs w:val="0"/>
          <w:spacing w:val="-4"/>
          <w:sz w:val="32"/>
          <w:szCs w:val="32"/>
        </w:rPr>
        <w:t>（一）</w:t>
      </w:r>
      <w:r>
        <w:rPr>
          <w:rStyle w:val="ac"/>
          <w:rFonts w:ascii="楷体" w:eastAsia="楷体" w:hAnsi="楷体" w:hint="eastAsia"/>
          <w:b w:val="0"/>
          <w:bCs w:val="0"/>
          <w:spacing w:val="-4"/>
          <w:sz w:val="32"/>
          <w:szCs w:val="32"/>
        </w:rPr>
        <w:t>评估中心</w:t>
      </w:r>
      <w:r>
        <w:rPr>
          <w:rStyle w:val="ac"/>
          <w:rFonts w:ascii="楷体" w:eastAsia="楷体" w:hAnsi="楷体" w:hint="eastAsia"/>
          <w:b w:val="0"/>
          <w:bCs w:val="0"/>
          <w:spacing w:val="-4"/>
          <w:sz w:val="32"/>
          <w:szCs w:val="32"/>
        </w:rPr>
        <w:t>基本情况</w:t>
      </w:r>
    </w:p>
    <w:p w:rsidR="00BC55C8" w:rsidRDefault="001A41CF">
      <w:pPr>
        <w:spacing w:line="560" w:lineRule="exact"/>
        <w:ind w:firstLineChars="200" w:firstLine="64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机构设置情况</w:t>
      </w:r>
    </w:p>
    <w:p w:rsidR="00BC55C8" w:rsidRDefault="001A41CF">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根据</w:t>
      </w:r>
      <w:r>
        <w:rPr>
          <w:rFonts w:ascii="仿宋_GB2312" w:eastAsia="仿宋_GB2312" w:hint="eastAsia"/>
          <w:sz w:val="32"/>
          <w:szCs w:val="32"/>
        </w:rPr>
        <w:t>自治区机构编制委员会办公室、自治区财政厅、自治区人力资源和社会保障厅文件“关于调整自治区环境工程评估中心机构编制事宜的批复”（新党编办〔</w:t>
      </w:r>
      <w:r>
        <w:rPr>
          <w:rFonts w:ascii="仿宋_GB2312" w:eastAsia="仿宋_GB2312" w:hint="eastAsia"/>
          <w:sz w:val="32"/>
          <w:szCs w:val="32"/>
        </w:rPr>
        <w:t>2016</w:t>
      </w:r>
      <w:r>
        <w:rPr>
          <w:rFonts w:ascii="仿宋_GB2312" w:eastAsia="仿宋_GB2312" w:hint="eastAsia"/>
          <w:sz w:val="32"/>
          <w:szCs w:val="32"/>
        </w:rPr>
        <w:t>〕</w:t>
      </w:r>
      <w:r>
        <w:rPr>
          <w:rFonts w:ascii="仿宋_GB2312" w:eastAsia="仿宋_GB2312" w:hint="eastAsia"/>
          <w:sz w:val="32"/>
          <w:szCs w:val="32"/>
        </w:rPr>
        <w:t>79</w:t>
      </w:r>
      <w:r>
        <w:rPr>
          <w:rFonts w:ascii="仿宋_GB2312" w:eastAsia="仿宋_GB2312" w:hint="eastAsia"/>
          <w:sz w:val="32"/>
          <w:szCs w:val="32"/>
        </w:rPr>
        <w:t>号），评估中心属公益二类差额预算管理事业单位，评估中心属公益二类差额预算管理事业单位，县处级，</w:t>
      </w:r>
      <w:r>
        <w:rPr>
          <w:rFonts w:ascii="仿宋_GB2312" w:eastAsia="仿宋_GB2312" w:hint="eastAsia"/>
          <w:sz w:val="32"/>
          <w:szCs w:val="32"/>
        </w:rPr>
        <w:t>12</w:t>
      </w:r>
      <w:r>
        <w:rPr>
          <w:rFonts w:ascii="仿宋_GB2312" w:eastAsia="仿宋_GB2312" w:hint="eastAsia"/>
          <w:sz w:val="32"/>
          <w:szCs w:val="32"/>
        </w:rPr>
        <w:t>个正式编制，</w:t>
      </w:r>
      <w:r>
        <w:rPr>
          <w:rFonts w:ascii="仿宋_GB2312" w:eastAsia="仿宋_GB2312" w:hint="eastAsia"/>
          <w:sz w:val="32"/>
          <w:szCs w:val="32"/>
        </w:rPr>
        <w:t>4</w:t>
      </w:r>
      <w:r>
        <w:rPr>
          <w:rFonts w:ascii="仿宋_GB2312" w:eastAsia="仿宋_GB2312" w:hint="eastAsia"/>
          <w:sz w:val="32"/>
          <w:szCs w:val="32"/>
        </w:rPr>
        <w:t>个非实名编制，</w:t>
      </w:r>
      <w:r>
        <w:rPr>
          <w:rFonts w:ascii="仿宋_GB2312" w:eastAsia="仿宋_GB2312" w:hint="eastAsia"/>
          <w:sz w:val="32"/>
          <w:szCs w:val="32"/>
        </w:rPr>
        <w:t>3</w:t>
      </w:r>
      <w:r>
        <w:rPr>
          <w:rFonts w:ascii="仿宋_GB2312" w:eastAsia="仿宋_GB2312" w:hint="eastAsia"/>
          <w:sz w:val="32"/>
          <w:szCs w:val="32"/>
        </w:rPr>
        <w:t>个领导职数，收入来源主要为财政拨款。</w:t>
      </w:r>
    </w:p>
    <w:p w:rsidR="00BC55C8" w:rsidRDefault="001A41CF">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目前中心内设办公室、评估一室、评估二室、综合业务室四个科室。</w:t>
      </w:r>
      <w:r>
        <w:rPr>
          <w:rFonts w:ascii="仿宋_GB2312" w:eastAsia="仿宋_GB2312" w:hint="eastAsia"/>
          <w:sz w:val="32"/>
          <w:szCs w:val="32"/>
        </w:rPr>
        <w:t>目前，</w:t>
      </w:r>
      <w:r>
        <w:rPr>
          <w:rFonts w:ascii="仿宋_GB2312" w:eastAsia="仿宋_GB2312" w:hint="eastAsia"/>
          <w:sz w:val="32"/>
          <w:szCs w:val="32"/>
        </w:rPr>
        <w:t>实际在</w:t>
      </w:r>
      <w:r>
        <w:rPr>
          <w:rFonts w:ascii="仿宋_GB2312" w:eastAsia="仿宋_GB2312" w:hint="eastAsia"/>
          <w:sz w:val="32"/>
          <w:szCs w:val="32"/>
        </w:rPr>
        <w:t>编</w:t>
      </w:r>
      <w:r>
        <w:rPr>
          <w:rFonts w:ascii="仿宋_GB2312" w:eastAsia="仿宋_GB2312" w:hint="eastAsia"/>
          <w:sz w:val="32"/>
          <w:szCs w:val="32"/>
        </w:rPr>
        <w:t>人数为</w:t>
      </w:r>
      <w:r>
        <w:rPr>
          <w:rFonts w:ascii="仿宋_GB2312" w:eastAsia="仿宋_GB2312" w:hint="eastAsia"/>
          <w:sz w:val="32"/>
          <w:szCs w:val="32"/>
        </w:rPr>
        <w:t>10</w:t>
      </w:r>
      <w:r>
        <w:rPr>
          <w:rFonts w:ascii="仿宋_GB2312" w:eastAsia="仿宋_GB2312" w:hint="eastAsia"/>
          <w:sz w:val="32"/>
          <w:szCs w:val="32"/>
        </w:rPr>
        <w:t>人，人员未超编</w:t>
      </w:r>
      <w:r>
        <w:rPr>
          <w:rFonts w:ascii="仿宋_GB2312" w:eastAsia="仿宋_GB2312" w:hint="eastAsia"/>
          <w:sz w:val="32"/>
          <w:szCs w:val="32"/>
        </w:rPr>
        <w:t>，退休</w:t>
      </w:r>
      <w:r>
        <w:rPr>
          <w:rFonts w:ascii="仿宋_GB2312" w:eastAsia="仿宋_GB2312" w:hint="eastAsia"/>
          <w:sz w:val="32"/>
          <w:szCs w:val="32"/>
        </w:rPr>
        <w:t>人员</w:t>
      </w:r>
      <w:r>
        <w:rPr>
          <w:rFonts w:ascii="仿宋_GB2312" w:eastAsia="仿宋_GB2312" w:hint="eastAsia"/>
          <w:sz w:val="32"/>
          <w:szCs w:val="32"/>
        </w:rPr>
        <w:t>4</w:t>
      </w:r>
      <w:r>
        <w:rPr>
          <w:rFonts w:ascii="仿宋_GB2312" w:eastAsia="仿宋_GB2312" w:hint="eastAsia"/>
          <w:sz w:val="32"/>
          <w:szCs w:val="32"/>
        </w:rPr>
        <w:t>人，已进入社会保险。</w:t>
      </w:r>
      <w:r>
        <w:rPr>
          <w:rFonts w:ascii="仿宋_GB2312" w:eastAsia="仿宋_GB2312" w:hint="eastAsia"/>
          <w:sz w:val="32"/>
          <w:szCs w:val="32"/>
        </w:rPr>
        <w:t>长期聘用人员（属无固定期限劳动合同）</w:t>
      </w:r>
      <w:r>
        <w:rPr>
          <w:rFonts w:ascii="仿宋_GB2312" w:eastAsia="仿宋_GB2312" w:hint="eastAsia"/>
          <w:sz w:val="32"/>
          <w:szCs w:val="32"/>
        </w:rPr>
        <w:t>12</w:t>
      </w:r>
      <w:r>
        <w:rPr>
          <w:rFonts w:ascii="仿宋_GB2312" w:eastAsia="仿宋_GB2312" w:hint="eastAsia"/>
          <w:sz w:val="32"/>
          <w:szCs w:val="32"/>
        </w:rPr>
        <w:t>人；博士研究生</w:t>
      </w:r>
      <w:r>
        <w:rPr>
          <w:rFonts w:ascii="仿宋_GB2312" w:eastAsia="仿宋_GB2312" w:hint="eastAsia"/>
          <w:sz w:val="32"/>
          <w:szCs w:val="32"/>
        </w:rPr>
        <w:t>2</w:t>
      </w:r>
      <w:r>
        <w:rPr>
          <w:rFonts w:ascii="仿宋_GB2312" w:eastAsia="仿宋_GB2312" w:hint="eastAsia"/>
          <w:sz w:val="32"/>
          <w:szCs w:val="32"/>
        </w:rPr>
        <w:t>名、硕士研</w:t>
      </w:r>
      <w:r>
        <w:rPr>
          <w:rFonts w:ascii="仿宋_GB2312" w:eastAsia="仿宋_GB2312" w:hint="eastAsia"/>
          <w:sz w:val="32"/>
          <w:szCs w:val="32"/>
        </w:rPr>
        <w:t>究生</w:t>
      </w:r>
      <w:r>
        <w:rPr>
          <w:rFonts w:ascii="仿宋_GB2312" w:eastAsia="仿宋_GB2312" w:hint="eastAsia"/>
          <w:sz w:val="32"/>
          <w:szCs w:val="32"/>
        </w:rPr>
        <w:t>6</w:t>
      </w:r>
      <w:r>
        <w:rPr>
          <w:rFonts w:ascii="仿宋_GB2312" w:eastAsia="仿宋_GB2312" w:hint="eastAsia"/>
          <w:sz w:val="32"/>
          <w:szCs w:val="32"/>
        </w:rPr>
        <w:t>名、大学本科生</w:t>
      </w:r>
      <w:r>
        <w:rPr>
          <w:rFonts w:ascii="仿宋_GB2312" w:eastAsia="仿宋_GB2312" w:hint="eastAsia"/>
          <w:sz w:val="32"/>
          <w:szCs w:val="32"/>
        </w:rPr>
        <w:t>7</w:t>
      </w:r>
      <w:r>
        <w:rPr>
          <w:rFonts w:ascii="仿宋_GB2312" w:eastAsia="仿宋_GB2312" w:hint="eastAsia"/>
          <w:sz w:val="32"/>
          <w:szCs w:val="32"/>
        </w:rPr>
        <w:t>名，高级职称</w:t>
      </w:r>
      <w:r>
        <w:rPr>
          <w:rFonts w:ascii="仿宋_GB2312" w:eastAsia="仿宋_GB2312" w:hint="eastAsia"/>
          <w:sz w:val="32"/>
          <w:szCs w:val="32"/>
        </w:rPr>
        <w:t>4</w:t>
      </w:r>
      <w:r>
        <w:rPr>
          <w:rFonts w:ascii="仿宋_GB2312" w:eastAsia="仿宋_GB2312" w:hint="eastAsia"/>
          <w:sz w:val="32"/>
          <w:szCs w:val="32"/>
        </w:rPr>
        <w:t>人，其中有</w:t>
      </w:r>
      <w:r>
        <w:rPr>
          <w:rFonts w:ascii="仿宋_GB2312" w:eastAsia="仿宋_GB2312" w:hint="eastAsia"/>
          <w:sz w:val="32"/>
          <w:szCs w:val="32"/>
        </w:rPr>
        <w:t>1</w:t>
      </w:r>
      <w:r>
        <w:rPr>
          <w:rFonts w:ascii="仿宋_GB2312" w:eastAsia="仿宋_GB2312" w:hint="eastAsia"/>
          <w:sz w:val="32"/>
          <w:szCs w:val="32"/>
        </w:rPr>
        <w:t>人取得提高待遇高级工程师技术职称，中级职称</w:t>
      </w:r>
      <w:r>
        <w:rPr>
          <w:rFonts w:ascii="仿宋_GB2312" w:eastAsia="仿宋_GB2312" w:hint="eastAsia"/>
          <w:sz w:val="32"/>
          <w:szCs w:val="32"/>
        </w:rPr>
        <w:t>7</w:t>
      </w:r>
      <w:r>
        <w:rPr>
          <w:rFonts w:ascii="仿宋_GB2312" w:eastAsia="仿宋_GB2312" w:hint="eastAsia"/>
          <w:sz w:val="32"/>
          <w:szCs w:val="32"/>
        </w:rPr>
        <w:t>人，国家注册环评工程师</w:t>
      </w:r>
      <w:r>
        <w:rPr>
          <w:rFonts w:ascii="仿宋_GB2312" w:eastAsia="仿宋_GB2312" w:hint="eastAsia"/>
          <w:sz w:val="32"/>
          <w:szCs w:val="32"/>
        </w:rPr>
        <w:t>7</w:t>
      </w:r>
      <w:r>
        <w:rPr>
          <w:rFonts w:ascii="仿宋_GB2312" w:eastAsia="仿宋_GB2312" w:hint="eastAsia"/>
          <w:sz w:val="32"/>
          <w:szCs w:val="32"/>
        </w:rPr>
        <w:t>人，中心还拥有近</w:t>
      </w:r>
      <w:r>
        <w:rPr>
          <w:rFonts w:ascii="仿宋_GB2312" w:eastAsia="仿宋_GB2312" w:hint="eastAsia"/>
          <w:sz w:val="32"/>
          <w:szCs w:val="32"/>
        </w:rPr>
        <w:t>200</w:t>
      </w:r>
      <w:r>
        <w:rPr>
          <w:rFonts w:ascii="仿宋_GB2312" w:eastAsia="仿宋_GB2312" w:hint="eastAsia"/>
          <w:sz w:val="32"/>
          <w:szCs w:val="32"/>
        </w:rPr>
        <w:t>名环保专家与各类行业专家组成的专家库资源。</w:t>
      </w:r>
    </w:p>
    <w:p w:rsidR="00BC55C8" w:rsidRDefault="001A41CF">
      <w:pPr>
        <w:spacing w:line="560" w:lineRule="exact"/>
        <w:ind w:firstLineChars="200" w:firstLine="64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w:t>
      </w:r>
      <w:r>
        <w:rPr>
          <w:rFonts w:ascii="仿宋_GB2312" w:eastAsia="仿宋_GB2312" w:hAnsi="仿宋_GB2312" w:cs="仿宋_GB2312" w:hint="eastAsia"/>
          <w:color w:val="000000"/>
          <w:sz w:val="32"/>
          <w:szCs w:val="32"/>
        </w:rPr>
        <w:t>职能任务</w:t>
      </w:r>
    </w:p>
    <w:p w:rsidR="00BC55C8" w:rsidRDefault="001A41CF">
      <w:pPr>
        <w:spacing w:line="560" w:lineRule="exact"/>
        <w:ind w:firstLineChars="200" w:firstLine="640"/>
        <w:jc w:val="left"/>
        <w:rPr>
          <w:rFonts w:ascii="仿宋_GB2312" w:eastAsia="仿宋_GB2312"/>
          <w:sz w:val="32"/>
          <w:szCs w:val="32"/>
        </w:rPr>
      </w:pPr>
      <w:r>
        <w:rPr>
          <w:rFonts w:ascii="仿宋_GB2312" w:eastAsia="仿宋_GB2312" w:hAnsi="宋体" w:cs="宋体" w:hint="eastAsia"/>
          <w:kern w:val="0"/>
          <w:sz w:val="32"/>
          <w:szCs w:val="32"/>
        </w:rPr>
        <w:t>评估中心承担自治区环保厅实施环境影响评价法的技术支持工作。具体负责组织对建设项目环境影响评价文件的技术评估；疆内环评机构的日常监督和考核；承担疆内内环境影响评价评价人员的技术指导和培训；建立健全省级环境影响评价专家数据库；</w:t>
      </w:r>
      <w:r>
        <w:rPr>
          <w:rFonts w:ascii="仿宋_GB2312" w:eastAsia="仿宋_GB2312" w:hint="eastAsia"/>
          <w:sz w:val="32"/>
          <w:szCs w:val="32"/>
        </w:rPr>
        <w:t>承担环评相关技术及政策研究；开展</w:t>
      </w:r>
      <w:r>
        <w:rPr>
          <w:rFonts w:ascii="仿宋_GB2312" w:eastAsia="仿宋_GB2312" w:hint="eastAsia"/>
          <w:sz w:val="32"/>
          <w:szCs w:val="32"/>
        </w:rPr>
        <w:lastRenderedPageBreak/>
        <w:t>环境影响评价的技术方法、技术规范科学研究及重大战略（规划）环评研究；承担环境影响后评估、环境监理等加强环评事中事后监管的相关工作；承办自治区环保厅及其他机构交办的任务。</w:t>
      </w:r>
    </w:p>
    <w:p w:rsidR="00BC55C8" w:rsidRDefault="001A41CF">
      <w:pPr>
        <w:spacing w:line="560" w:lineRule="exact"/>
        <w:ind w:firstLineChars="200" w:firstLine="627"/>
        <w:jc w:val="left"/>
        <w:rPr>
          <w:rStyle w:val="ac"/>
          <w:rFonts w:ascii="楷体" w:eastAsia="楷体" w:hAnsi="楷体"/>
          <w:spacing w:val="-4"/>
          <w:sz w:val="32"/>
          <w:szCs w:val="32"/>
        </w:rPr>
      </w:pPr>
      <w:r>
        <w:rPr>
          <w:rStyle w:val="ac"/>
          <w:rFonts w:ascii="楷体" w:eastAsia="楷体" w:hAnsi="楷体" w:hint="eastAsia"/>
          <w:spacing w:val="-4"/>
          <w:sz w:val="32"/>
          <w:szCs w:val="32"/>
        </w:rPr>
        <w:t>（二）项目预算</w:t>
      </w:r>
      <w:r>
        <w:rPr>
          <w:rStyle w:val="ac"/>
          <w:rFonts w:ascii="楷体" w:eastAsia="楷体" w:hAnsi="楷体"/>
          <w:spacing w:val="-4"/>
          <w:sz w:val="32"/>
          <w:szCs w:val="32"/>
        </w:rPr>
        <w:t>绩效目标</w:t>
      </w:r>
      <w:r>
        <w:rPr>
          <w:rStyle w:val="ac"/>
          <w:rFonts w:ascii="楷体" w:eastAsia="楷体" w:hAnsi="楷体" w:hint="eastAsia"/>
          <w:spacing w:val="-4"/>
          <w:sz w:val="32"/>
          <w:szCs w:val="32"/>
        </w:rPr>
        <w:t>设定情况</w:t>
      </w:r>
    </w:p>
    <w:p w:rsidR="00BC55C8" w:rsidRDefault="001A41CF">
      <w:pPr>
        <w:spacing w:line="560" w:lineRule="exact"/>
        <w:ind w:firstLineChars="200" w:firstLine="624"/>
        <w:rPr>
          <w:rStyle w:val="ac"/>
          <w:rFonts w:ascii="仿宋" w:eastAsia="仿宋" w:hAnsi="仿宋"/>
          <w:b w:val="0"/>
          <w:spacing w:val="-4"/>
          <w:sz w:val="32"/>
          <w:szCs w:val="32"/>
        </w:rPr>
      </w:pPr>
      <w:r>
        <w:rPr>
          <w:rStyle w:val="ac"/>
          <w:rFonts w:ascii="仿宋" w:eastAsia="仿宋" w:hAnsi="仿宋" w:hint="eastAsia"/>
          <w:b w:val="0"/>
          <w:spacing w:val="-4"/>
          <w:sz w:val="32"/>
          <w:szCs w:val="32"/>
        </w:rPr>
        <w:t>（包括预期目标及阶段性目标；项目基本性质、用途和主要内容、涉及范围）</w:t>
      </w:r>
    </w:p>
    <w:p w:rsidR="00BC55C8" w:rsidRDefault="001A41CF">
      <w:pPr>
        <w:adjustRightInd w:val="0"/>
        <w:snapToGrid w:val="0"/>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1.</w:t>
      </w:r>
      <w:r>
        <w:rPr>
          <w:rFonts w:ascii="仿宋_GB2312" w:eastAsia="仿宋_GB2312" w:hint="eastAsia"/>
          <w:kern w:val="0"/>
          <w:sz w:val="32"/>
          <w:szCs w:val="32"/>
        </w:rPr>
        <w:t>预期目标及阶段性目标</w:t>
      </w:r>
    </w:p>
    <w:p w:rsidR="00BC55C8" w:rsidRDefault="001A41CF">
      <w:pPr>
        <w:adjustRightInd w:val="0"/>
        <w:snapToGrid w:val="0"/>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预期目标：在</w:t>
      </w:r>
      <w:r>
        <w:rPr>
          <w:rFonts w:ascii="仿宋_GB2312" w:eastAsia="仿宋_GB2312" w:hint="eastAsia"/>
          <w:kern w:val="0"/>
          <w:sz w:val="32"/>
          <w:szCs w:val="32"/>
        </w:rPr>
        <w:t>2018</w:t>
      </w:r>
      <w:r>
        <w:rPr>
          <w:rFonts w:ascii="仿宋_GB2312" w:eastAsia="仿宋_GB2312" w:hint="eastAsia"/>
          <w:kern w:val="0"/>
          <w:sz w:val="32"/>
          <w:szCs w:val="32"/>
        </w:rPr>
        <w:t>年度的技术评估工作中，始终</w:t>
      </w:r>
      <w:r w:rsidR="00C06161">
        <w:rPr>
          <w:rFonts w:ascii="仿宋_GB2312" w:eastAsia="仿宋_GB2312" w:hint="eastAsia"/>
          <w:kern w:val="0"/>
          <w:sz w:val="32"/>
          <w:szCs w:val="32"/>
        </w:rPr>
        <w:t>坚持以习近平新时代中国特色社会主义思想为指导</w:t>
      </w:r>
      <w:r>
        <w:rPr>
          <w:rFonts w:ascii="仿宋_GB2312" w:eastAsia="仿宋_GB2312" w:hint="eastAsia"/>
          <w:kern w:val="0"/>
          <w:sz w:val="32"/>
          <w:szCs w:val="32"/>
        </w:rPr>
        <w:t>，</w:t>
      </w:r>
      <w:r>
        <w:rPr>
          <w:rFonts w:ascii="仿宋_GB2312" w:eastAsia="仿宋_GB2312"/>
          <w:kern w:val="0"/>
          <w:sz w:val="32"/>
          <w:szCs w:val="32"/>
        </w:rPr>
        <w:t>牢固树立人与自然和谐共生的科学自然观，绿水青山就是金山银山、冰天雪地也是金山银山的重要发展理念，</w:t>
      </w:r>
      <w:r>
        <w:rPr>
          <w:rFonts w:ascii="仿宋_GB2312" w:eastAsia="仿宋_GB2312"/>
          <w:kern w:val="0"/>
          <w:sz w:val="32"/>
          <w:szCs w:val="32"/>
        </w:rPr>
        <w:t>良好生态环境是最普惠民生福祉的宗旨精神，山水林田湖草是生命共同体的系统思想</w:t>
      </w:r>
      <w:r>
        <w:rPr>
          <w:rFonts w:ascii="仿宋_GB2312" w:eastAsia="仿宋_GB2312" w:hint="eastAsia"/>
          <w:kern w:val="0"/>
          <w:sz w:val="32"/>
          <w:szCs w:val="32"/>
        </w:rPr>
        <w:t>，紧紧围绕改善生态环境质量这一目标，以全面提高环评有效性为主线，以“生态保护红线、环境质量底线、资源利用上线和环境准入负面清单”（简称“三线一单”）为手段，秉承“科学、客观、公正、高效”的服务宗旨，严格执行国家及自治区环保法律法规、环评审批“三挂钩”机制、国家及自治区重点行业建设项目环境准入条件、技术导则、技术规范及标准，认真开展技术评估工作，为自治区环保厅环评审批及相关决策提供有力的技术支撑。</w:t>
      </w:r>
    </w:p>
    <w:p w:rsidR="00BC55C8" w:rsidRDefault="001A41CF">
      <w:pPr>
        <w:adjustRightInd w:val="0"/>
        <w:snapToGrid w:val="0"/>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阶段性目标：截止到</w:t>
      </w:r>
      <w:r>
        <w:rPr>
          <w:rFonts w:ascii="仿宋_GB2312" w:eastAsia="仿宋_GB2312" w:hint="eastAsia"/>
          <w:kern w:val="0"/>
          <w:sz w:val="32"/>
          <w:szCs w:val="32"/>
        </w:rPr>
        <w:t>2018</w:t>
      </w:r>
      <w:r>
        <w:rPr>
          <w:rFonts w:ascii="仿宋_GB2312" w:eastAsia="仿宋_GB2312" w:hint="eastAsia"/>
          <w:kern w:val="0"/>
          <w:sz w:val="32"/>
          <w:szCs w:val="32"/>
        </w:rPr>
        <w:t>年</w:t>
      </w:r>
      <w:r>
        <w:rPr>
          <w:rFonts w:ascii="仿宋_GB2312" w:eastAsia="仿宋_GB2312" w:hint="eastAsia"/>
          <w:kern w:val="0"/>
          <w:sz w:val="32"/>
          <w:szCs w:val="32"/>
        </w:rPr>
        <w:t>12</w:t>
      </w:r>
      <w:r>
        <w:rPr>
          <w:rFonts w:ascii="仿宋_GB2312" w:eastAsia="仿宋_GB2312" w:hint="eastAsia"/>
          <w:kern w:val="0"/>
          <w:sz w:val="32"/>
          <w:szCs w:val="32"/>
        </w:rPr>
        <w:t>月，</w:t>
      </w:r>
      <w:r>
        <w:rPr>
          <w:rFonts w:ascii="仿宋_GB2312" w:eastAsia="仿宋_GB2312" w:hint="eastAsia"/>
          <w:kern w:val="0"/>
          <w:sz w:val="32"/>
          <w:szCs w:val="32"/>
        </w:rPr>
        <w:t>共完成建设项目环境影响技术评估</w:t>
      </w:r>
      <w:r>
        <w:rPr>
          <w:rFonts w:ascii="仿宋_GB2312" w:eastAsia="仿宋_GB2312" w:hint="eastAsia"/>
          <w:kern w:val="0"/>
          <w:sz w:val="32"/>
          <w:szCs w:val="32"/>
        </w:rPr>
        <w:t>264</w:t>
      </w:r>
      <w:r>
        <w:rPr>
          <w:rFonts w:ascii="仿宋_GB2312" w:eastAsia="仿宋_GB2312" w:hint="eastAsia"/>
          <w:kern w:val="0"/>
          <w:sz w:val="32"/>
          <w:szCs w:val="32"/>
        </w:rPr>
        <w:t>项，其中报告书</w:t>
      </w:r>
      <w:r>
        <w:rPr>
          <w:rFonts w:ascii="仿宋_GB2312" w:eastAsia="仿宋_GB2312" w:hint="eastAsia"/>
          <w:kern w:val="0"/>
          <w:sz w:val="32"/>
          <w:szCs w:val="32"/>
        </w:rPr>
        <w:t>203</w:t>
      </w:r>
      <w:r>
        <w:rPr>
          <w:rFonts w:ascii="仿宋_GB2312" w:eastAsia="仿宋_GB2312" w:hint="eastAsia"/>
          <w:kern w:val="0"/>
          <w:sz w:val="32"/>
          <w:szCs w:val="32"/>
        </w:rPr>
        <w:t>项，报告表</w:t>
      </w:r>
      <w:r>
        <w:rPr>
          <w:rFonts w:ascii="仿宋_GB2312" w:eastAsia="仿宋_GB2312" w:hint="eastAsia"/>
          <w:kern w:val="0"/>
          <w:sz w:val="32"/>
          <w:szCs w:val="32"/>
        </w:rPr>
        <w:t>61</w:t>
      </w:r>
      <w:r>
        <w:rPr>
          <w:rFonts w:ascii="仿宋_GB2312" w:eastAsia="仿宋_GB2312" w:hint="eastAsia"/>
          <w:kern w:val="0"/>
          <w:sz w:val="32"/>
          <w:szCs w:val="32"/>
        </w:rPr>
        <w:t>项。</w:t>
      </w:r>
    </w:p>
    <w:p w:rsidR="00BC55C8" w:rsidRDefault="001A41CF">
      <w:pPr>
        <w:spacing w:line="560" w:lineRule="exact"/>
        <w:ind w:firstLine="643"/>
        <w:outlineLvl w:val="0"/>
        <w:rPr>
          <w:rFonts w:ascii="仿宋_GB2312" w:eastAsia="仿宋_GB2312"/>
          <w:kern w:val="0"/>
          <w:sz w:val="32"/>
          <w:szCs w:val="32"/>
        </w:rPr>
      </w:pPr>
      <w:r>
        <w:rPr>
          <w:rFonts w:ascii="仿宋_GB2312" w:eastAsia="仿宋_GB2312" w:hint="eastAsia"/>
          <w:kern w:val="0"/>
          <w:sz w:val="32"/>
          <w:szCs w:val="32"/>
        </w:rPr>
        <w:t>退回或不受理不符合规划和规划要求，涉及生态红线</w:t>
      </w:r>
      <w:r>
        <w:rPr>
          <w:rFonts w:ascii="仿宋_GB2312" w:eastAsia="仿宋_GB2312" w:hint="eastAsia"/>
          <w:kern w:val="0"/>
          <w:sz w:val="32"/>
          <w:szCs w:val="32"/>
        </w:rPr>
        <w:lastRenderedPageBreak/>
        <w:t>区、中央环保督察反馈问题、大气联防联控区等存在突出环境问题的项目环评</w:t>
      </w:r>
      <w:r>
        <w:rPr>
          <w:rFonts w:ascii="仿宋_GB2312" w:eastAsia="仿宋_GB2312" w:hint="eastAsia"/>
          <w:kern w:val="0"/>
          <w:sz w:val="32"/>
          <w:szCs w:val="32"/>
        </w:rPr>
        <w:t>49</w:t>
      </w:r>
      <w:r>
        <w:rPr>
          <w:rFonts w:ascii="仿宋_GB2312" w:eastAsia="仿宋_GB2312" w:hint="eastAsia"/>
          <w:kern w:val="0"/>
          <w:sz w:val="32"/>
          <w:szCs w:val="32"/>
        </w:rPr>
        <w:t>个</w:t>
      </w:r>
      <w:r>
        <w:rPr>
          <w:rFonts w:ascii="仿宋_GB2312" w:eastAsia="仿宋_GB2312" w:hint="eastAsia"/>
          <w:kern w:val="0"/>
          <w:sz w:val="32"/>
          <w:szCs w:val="32"/>
        </w:rPr>
        <w:t>,</w:t>
      </w:r>
      <w:r>
        <w:rPr>
          <w:rFonts w:ascii="仿宋_GB2312" w:eastAsia="仿宋_GB2312" w:hint="eastAsia"/>
          <w:kern w:val="0"/>
          <w:sz w:val="32"/>
          <w:szCs w:val="32"/>
        </w:rPr>
        <w:t>因环评文件质量问题暂缓评估</w:t>
      </w:r>
      <w:r>
        <w:rPr>
          <w:rFonts w:ascii="仿宋_GB2312" w:eastAsia="仿宋_GB2312" w:hint="eastAsia"/>
          <w:kern w:val="0"/>
          <w:sz w:val="32"/>
          <w:szCs w:val="32"/>
        </w:rPr>
        <w:t>34</w:t>
      </w:r>
      <w:r>
        <w:rPr>
          <w:rFonts w:ascii="仿宋_GB2312" w:eastAsia="仿宋_GB2312" w:hint="eastAsia"/>
          <w:kern w:val="0"/>
          <w:sz w:val="32"/>
          <w:szCs w:val="32"/>
        </w:rPr>
        <w:t>个项目，从环保角度对</w:t>
      </w:r>
      <w:r>
        <w:rPr>
          <w:rFonts w:ascii="仿宋_GB2312" w:eastAsia="仿宋_GB2312" w:hint="eastAsia"/>
          <w:kern w:val="0"/>
          <w:sz w:val="32"/>
          <w:szCs w:val="32"/>
        </w:rPr>
        <w:t>200</w:t>
      </w:r>
      <w:r>
        <w:rPr>
          <w:rFonts w:ascii="仿宋_GB2312" w:eastAsia="仿宋_GB2312" w:hint="eastAsia"/>
          <w:kern w:val="0"/>
          <w:sz w:val="32"/>
          <w:szCs w:val="32"/>
        </w:rPr>
        <w:t>多个项目的选址选线、生产工艺、污染防治和生态保护措施等进行了优化和调整。</w:t>
      </w:r>
    </w:p>
    <w:p w:rsidR="00BC55C8" w:rsidRDefault="001A41CF">
      <w:pPr>
        <w:widowControl/>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切实做好规划环评技术审核。在项目环评审查中落实规划环评联动要求，推动一批工业聚集区、煤炭矿区、流域规划环评编制或修编。在审核中坚持“三线一单”基本要求，目前共完成规划环评技术审核任务</w:t>
      </w:r>
      <w:r>
        <w:rPr>
          <w:rFonts w:ascii="仿宋_GB2312" w:eastAsia="仿宋_GB2312" w:hint="eastAsia"/>
          <w:kern w:val="0"/>
          <w:sz w:val="32"/>
          <w:szCs w:val="32"/>
        </w:rPr>
        <w:t>2</w:t>
      </w:r>
      <w:r>
        <w:rPr>
          <w:rFonts w:ascii="仿宋_GB2312" w:eastAsia="仿宋_GB2312" w:hint="eastAsia"/>
          <w:kern w:val="0"/>
          <w:sz w:val="32"/>
          <w:szCs w:val="32"/>
        </w:rPr>
        <w:t>7</w:t>
      </w:r>
      <w:r>
        <w:rPr>
          <w:rFonts w:ascii="仿宋_GB2312" w:eastAsia="仿宋_GB2312" w:hint="eastAsia"/>
          <w:kern w:val="0"/>
          <w:sz w:val="32"/>
          <w:szCs w:val="32"/>
        </w:rPr>
        <w:t>项。</w:t>
      </w:r>
    </w:p>
    <w:p w:rsidR="00BC55C8" w:rsidRDefault="001A41CF">
      <w:pPr>
        <w:widowControl/>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2.</w:t>
      </w:r>
      <w:r>
        <w:rPr>
          <w:rFonts w:ascii="仿宋_GB2312" w:eastAsia="仿宋_GB2312" w:hint="eastAsia"/>
          <w:kern w:val="0"/>
          <w:sz w:val="32"/>
          <w:szCs w:val="32"/>
        </w:rPr>
        <w:t>项目基本性质、用途和主要内容、涉及范围</w:t>
      </w:r>
    </w:p>
    <w:p w:rsidR="00BC55C8" w:rsidRDefault="001A41CF">
      <w:pPr>
        <w:pStyle w:val="zghpwzzw"/>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项目基本性质、用途：根据《国务院关于修改〈建设项目环境保护管理条例〉的决定》中华人民共和国国务院令第</w:t>
      </w:r>
      <w:r>
        <w:rPr>
          <w:rFonts w:ascii="仿宋_GB2312" w:eastAsia="仿宋_GB2312" w:hAnsi="Times New Roman" w:cs="Times New Roman" w:hint="eastAsia"/>
          <w:sz w:val="32"/>
          <w:szCs w:val="32"/>
        </w:rPr>
        <w:t>682</w:t>
      </w:r>
      <w:r>
        <w:rPr>
          <w:rFonts w:ascii="仿宋_GB2312" w:eastAsia="仿宋_GB2312" w:hAnsi="Times New Roman" w:cs="Times New Roman" w:hint="eastAsia"/>
          <w:sz w:val="32"/>
          <w:szCs w:val="32"/>
        </w:rPr>
        <w:t>号第九条第三款规定：环境保护行政主管部门可以组织技术机构对建设项目环境影响报告书、环境影响报告表进行技术评估，并承担相应费用；技术评估机构应当对其提出的技术评估意见负责，不得向建设单位、从事环境影响评价工作的单位收取任何费用。明确了技术评估的法律地位，这既是对以往技术评估工作的充分肯定，又为今后开展技术评估工作提供了强有力的法规遵循。</w:t>
      </w:r>
    </w:p>
    <w:p w:rsidR="00BC55C8" w:rsidRDefault="001A41CF">
      <w:pPr>
        <w:pStyle w:val="zghpwzzw"/>
        <w:spacing w:line="560" w:lineRule="exact"/>
        <w:ind w:firstLineChars="200" w:firstLine="640"/>
        <w:rPr>
          <w:rFonts w:ascii="仿宋_GB2312" w:eastAsia="仿宋_GB2312" w:cs="Times New Roman"/>
          <w:kern w:val="2"/>
          <w:sz w:val="32"/>
          <w:szCs w:val="32"/>
        </w:rPr>
      </w:pPr>
      <w:r>
        <w:rPr>
          <w:rFonts w:ascii="仿宋_GB2312" w:eastAsia="仿宋_GB2312" w:hAnsi="Times New Roman" w:cs="Times New Roman" w:hint="eastAsia"/>
          <w:sz w:val="32"/>
          <w:szCs w:val="32"/>
        </w:rPr>
        <w:t>项目的（环评文件</w:t>
      </w:r>
      <w:r>
        <w:rPr>
          <w:rFonts w:ascii="仿宋_GB2312" w:eastAsia="仿宋_GB2312" w:hAnsi="Times New Roman" w:cs="Times New Roman" w:hint="eastAsia"/>
          <w:sz w:val="32"/>
          <w:szCs w:val="32"/>
        </w:rPr>
        <w:t>技术评估）的主要内容：根据国家法律法规、技术导则、标准和地方管理要求，重点对环境影响评价文件中描述的建设项目类型及其选址、布局、规模是否符合法律法规和相关法定规划；建设项目采取的污染防治措</w:t>
      </w:r>
      <w:r>
        <w:rPr>
          <w:rFonts w:ascii="仿宋_GB2312" w:eastAsia="仿宋_GB2312" w:cs="Times New Roman" w:hint="eastAsia"/>
          <w:kern w:val="2"/>
          <w:sz w:val="32"/>
          <w:szCs w:val="32"/>
        </w:rPr>
        <w:t>施能否确保污染物排放达到国家和地方排放标准；是否采取了必要有效的预防措施和控制生态破坏措施；改建、扩建和</w:t>
      </w:r>
      <w:r>
        <w:rPr>
          <w:rFonts w:ascii="仿宋_GB2312" w:eastAsia="仿宋_GB2312" w:cs="Times New Roman" w:hint="eastAsia"/>
          <w:kern w:val="2"/>
          <w:sz w:val="32"/>
          <w:szCs w:val="32"/>
        </w:rPr>
        <w:lastRenderedPageBreak/>
        <w:t>技术改造项目是否针对项目原有环境污染和生态破坏提出有效防治措施；环境影响评价文件内容是否存在重大缺陷、遗漏等</w:t>
      </w:r>
      <w:r>
        <w:rPr>
          <w:color w:val="0000FF"/>
        </w:rPr>
        <w:t>。</w:t>
      </w:r>
      <w:r>
        <w:rPr>
          <w:rFonts w:ascii="仿宋_GB2312" w:eastAsia="仿宋_GB2312" w:cs="Times New Roman" w:hint="eastAsia"/>
          <w:kern w:val="2"/>
          <w:sz w:val="32"/>
          <w:szCs w:val="32"/>
        </w:rPr>
        <w:t>从源头降低拟建项目对环境的影响，减少企业投资风险，严把技术关，为环境保护部门环境影响评价审批提供可靠的科学依据</w:t>
      </w:r>
      <w:r>
        <w:rPr>
          <w:rFonts w:ascii="仿宋_GB2312" w:eastAsia="仿宋_GB2312" w:cs="Times New Roman" w:hint="eastAsia"/>
          <w:kern w:val="2"/>
          <w:sz w:val="32"/>
          <w:szCs w:val="32"/>
        </w:rPr>
        <w:t>。</w:t>
      </w:r>
    </w:p>
    <w:p w:rsidR="00BC55C8" w:rsidRDefault="001A41CF">
      <w:pPr>
        <w:spacing w:line="560" w:lineRule="exact"/>
        <w:ind w:firstLineChars="198" w:firstLine="634"/>
        <w:outlineLvl w:val="0"/>
        <w:rPr>
          <w:rFonts w:ascii="仿宋_GB2312" w:eastAsia="仿宋_GB2312" w:hAnsi="宋体"/>
          <w:sz w:val="32"/>
          <w:szCs w:val="32"/>
        </w:rPr>
      </w:pPr>
      <w:r>
        <w:rPr>
          <w:rFonts w:ascii="仿宋_GB2312" w:eastAsia="仿宋_GB2312" w:hAnsi="宋体" w:hint="eastAsia"/>
          <w:sz w:val="32"/>
          <w:szCs w:val="32"/>
        </w:rPr>
        <w:t>环评文件技术评估主要工作范围：涵盖交通运输、农林水利、化工石化医药、冶金机电、社会区域、采掘、核与辐射等领域的建设项目环境影响评价文件；涵盖土地利用的有关规划，区域、流域、海域的建设、开发利用规划；工业、农业、畜牧业、林业、能源、水利、交通、城市建设、旅游、自然资源开发的有关专项规划环评文件；建设项目环境影响评价单位日常考核和年度考核工作。</w:t>
      </w:r>
    </w:p>
    <w:p w:rsidR="00BC55C8" w:rsidRDefault="001A41CF">
      <w:pPr>
        <w:spacing w:line="560" w:lineRule="exact"/>
        <w:ind w:firstLineChars="200" w:firstLine="560"/>
        <w:jc w:val="left"/>
        <w:rPr>
          <w:rStyle w:val="ac"/>
          <w:rFonts w:ascii="黑体" w:eastAsia="黑体" w:hAnsi="黑体" w:cs="黑体"/>
          <w:b w:val="0"/>
          <w:bCs w:val="0"/>
          <w:spacing w:val="-4"/>
          <w:sz w:val="32"/>
          <w:szCs w:val="32"/>
        </w:rPr>
      </w:pPr>
      <w:r>
        <w:rPr>
          <w:rFonts w:ascii="宋体" w:hAnsi="宋体" w:cs="宋体" w:hint="eastAsia"/>
          <w:color w:val="FF0000"/>
          <w:sz w:val="28"/>
          <w:szCs w:val="28"/>
        </w:rPr>
        <w:t xml:space="preserve"> </w:t>
      </w:r>
      <w:r>
        <w:rPr>
          <w:rStyle w:val="ac"/>
          <w:rFonts w:ascii="黑体" w:eastAsia="黑体" w:hAnsi="黑体" w:cs="黑体" w:hint="eastAsia"/>
          <w:b w:val="0"/>
          <w:bCs w:val="0"/>
          <w:spacing w:val="-4"/>
          <w:sz w:val="32"/>
          <w:szCs w:val="32"/>
        </w:rPr>
        <w:t>二、项目资金使用及管理情况</w:t>
      </w:r>
    </w:p>
    <w:p w:rsidR="00BC55C8" w:rsidRDefault="001A41CF">
      <w:pPr>
        <w:spacing w:line="560" w:lineRule="exact"/>
        <w:ind w:firstLineChars="200" w:firstLine="624"/>
        <w:jc w:val="left"/>
        <w:rPr>
          <w:rStyle w:val="ac"/>
          <w:rFonts w:ascii="楷体" w:eastAsia="楷体" w:hAnsi="楷体"/>
          <w:b w:val="0"/>
          <w:bCs w:val="0"/>
          <w:spacing w:val="-4"/>
          <w:sz w:val="32"/>
          <w:szCs w:val="32"/>
        </w:rPr>
      </w:pPr>
      <w:r>
        <w:rPr>
          <w:rStyle w:val="ac"/>
          <w:rFonts w:ascii="楷体" w:eastAsia="楷体" w:hAnsi="楷体" w:hint="eastAsia"/>
          <w:b w:val="0"/>
          <w:bCs w:val="0"/>
          <w:spacing w:val="-4"/>
          <w:sz w:val="32"/>
          <w:szCs w:val="32"/>
        </w:rPr>
        <w:t>（一）项目资金安排落实、总投入等情况分析（包括财政资金、自筹资金等）</w:t>
      </w:r>
    </w:p>
    <w:p w:rsidR="00BC55C8" w:rsidRDefault="001A41CF">
      <w:pPr>
        <w:spacing w:line="560" w:lineRule="exact"/>
        <w:ind w:firstLineChars="200" w:firstLine="627"/>
        <w:jc w:val="left"/>
        <w:rPr>
          <w:rFonts w:ascii="仿宋_GB2312" w:eastAsia="仿宋_GB2312" w:hAnsi="宋体"/>
          <w:sz w:val="32"/>
          <w:szCs w:val="32"/>
        </w:rPr>
      </w:pPr>
      <w:r>
        <w:rPr>
          <w:rStyle w:val="ac"/>
          <w:rFonts w:ascii="楷体" w:eastAsia="楷体" w:hAnsi="楷体" w:hint="eastAsia"/>
          <w:spacing w:val="-4"/>
          <w:sz w:val="32"/>
          <w:szCs w:val="32"/>
        </w:rPr>
        <w:t xml:space="preserve"> </w:t>
      </w:r>
      <w:r>
        <w:rPr>
          <w:rFonts w:ascii="仿宋_GB2312" w:eastAsia="仿宋_GB2312" w:hAnsi="宋体" w:hint="eastAsia"/>
          <w:sz w:val="32"/>
          <w:szCs w:val="32"/>
        </w:rPr>
        <w:t>财政拨款建设项目环评审查与监督项目经费合计</w:t>
      </w:r>
      <w:r>
        <w:rPr>
          <w:rFonts w:ascii="仿宋_GB2312" w:eastAsia="仿宋_GB2312" w:hAnsi="宋体" w:hint="eastAsia"/>
          <w:sz w:val="32"/>
          <w:szCs w:val="32"/>
        </w:rPr>
        <w:t>200000</w:t>
      </w:r>
      <w:r>
        <w:rPr>
          <w:rFonts w:ascii="仿宋_GB2312" w:eastAsia="仿宋_GB2312" w:hAnsi="宋体" w:hint="eastAsia"/>
          <w:sz w:val="32"/>
          <w:szCs w:val="32"/>
        </w:rPr>
        <w:t>元，其中会议费</w:t>
      </w:r>
      <w:r>
        <w:rPr>
          <w:rFonts w:ascii="仿宋_GB2312" w:eastAsia="仿宋_GB2312" w:hAnsi="宋体" w:hint="eastAsia"/>
          <w:sz w:val="32"/>
          <w:szCs w:val="32"/>
        </w:rPr>
        <w:t>16500</w:t>
      </w:r>
      <w:r>
        <w:rPr>
          <w:rFonts w:ascii="仿宋_GB2312" w:eastAsia="仿宋_GB2312" w:hAnsi="宋体" w:hint="eastAsia"/>
          <w:sz w:val="32"/>
          <w:szCs w:val="32"/>
        </w:rPr>
        <w:t>元；咨询费</w:t>
      </w:r>
      <w:r>
        <w:rPr>
          <w:rFonts w:ascii="仿宋_GB2312" w:eastAsia="仿宋_GB2312" w:hAnsi="宋体" w:hint="eastAsia"/>
          <w:sz w:val="32"/>
          <w:szCs w:val="32"/>
        </w:rPr>
        <w:t>66000</w:t>
      </w:r>
      <w:r>
        <w:rPr>
          <w:rFonts w:ascii="仿宋_GB2312" w:eastAsia="仿宋_GB2312" w:hAnsi="宋体" w:hint="eastAsia"/>
          <w:sz w:val="32"/>
          <w:szCs w:val="32"/>
        </w:rPr>
        <w:t>元；办公费</w:t>
      </w:r>
      <w:r>
        <w:rPr>
          <w:rFonts w:ascii="仿宋_GB2312" w:eastAsia="仿宋_GB2312" w:hAnsi="宋体" w:hint="eastAsia"/>
          <w:sz w:val="32"/>
          <w:szCs w:val="32"/>
        </w:rPr>
        <w:t>4000</w:t>
      </w:r>
      <w:r>
        <w:rPr>
          <w:rFonts w:ascii="仿宋_GB2312" w:eastAsia="仿宋_GB2312" w:hAnsi="宋体" w:hint="eastAsia"/>
          <w:sz w:val="32"/>
          <w:szCs w:val="32"/>
        </w:rPr>
        <w:t>元；差旅费</w:t>
      </w:r>
      <w:r>
        <w:rPr>
          <w:rFonts w:ascii="仿宋_GB2312" w:eastAsia="仿宋_GB2312" w:hAnsi="宋体" w:hint="eastAsia"/>
          <w:sz w:val="32"/>
          <w:szCs w:val="32"/>
        </w:rPr>
        <w:t>113500</w:t>
      </w:r>
      <w:r>
        <w:rPr>
          <w:rFonts w:ascii="仿宋_GB2312" w:eastAsia="仿宋_GB2312" w:hAnsi="宋体" w:hint="eastAsia"/>
          <w:sz w:val="32"/>
          <w:szCs w:val="32"/>
        </w:rPr>
        <w:t>元。</w:t>
      </w:r>
    </w:p>
    <w:p w:rsidR="00BC55C8" w:rsidRDefault="001A41CF">
      <w:pPr>
        <w:spacing w:line="560" w:lineRule="exact"/>
        <w:ind w:leftChars="304" w:left="638"/>
        <w:jc w:val="left"/>
        <w:rPr>
          <w:rStyle w:val="ac"/>
          <w:rFonts w:ascii="楷体" w:eastAsia="楷体" w:hAnsi="楷体"/>
          <w:b w:val="0"/>
          <w:bCs w:val="0"/>
          <w:spacing w:val="-4"/>
          <w:sz w:val="32"/>
          <w:szCs w:val="32"/>
        </w:rPr>
      </w:pPr>
      <w:r>
        <w:rPr>
          <w:rStyle w:val="ac"/>
          <w:rFonts w:ascii="楷体" w:eastAsia="楷体" w:hAnsi="楷体" w:hint="eastAsia"/>
          <w:b w:val="0"/>
          <w:bCs w:val="0"/>
          <w:spacing w:val="-4"/>
          <w:sz w:val="32"/>
          <w:szCs w:val="32"/>
        </w:rPr>
        <w:t>（二）</w:t>
      </w:r>
      <w:r>
        <w:rPr>
          <w:rStyle w:val="ac"/>
          <w:rFonts w:ascii="楷体" w:eastAsia="楷体" w:hAnsi="楷体" w:hint="eastAsia"/>
          <w:b w:val="0"/>
          <w:bCs w:val="0"/>
          <w:spacing w:val="-4"/>
          <w:sz w:val="32"/>
          <w:szCs w:val="32"/>
        </w:rPr>
        <w:t>项目资金实际使用情况分析（主要是指财政资金）</w:t>
      </w:r>
    </w:p>
    <w:p w:rsidR="00BC55C8" w:rsidRDefault="001A41CF">
      <w:pPr>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建设项目环评审查与监督项目经费</w:t>
      </w:r>
      <w:r>
        <w:rPr>
          <w:rFonts w:ascii="仿宋_GB2312" w:eastAsia="仿宋_GB2312" w:hAnsi="宋体" w:hint="eastAsia"/>
          <w:sz w:val="32"/>
          <w:szCs w:val="32"/>
        </w:rPr>
        <w:t>200000</w:t>
      </w:r>
      <w:r>
        <w:rPr>
          <w:rFonts w:ascii="仿宋_GB2312" w:eastAsia="仿宋_GB2312" w:hAnsi="宋体" w:hint="eastAsia"/>
          <w:sz w:val="32"/>
          <w:szCs w:val="32"/>
        </w:rPr>
        <w:t>元，其中会议费</w:t>
      </w:r>
      <w:r>
        <w:rPr>
          <w:rFonts w:ascii="仿宋_GB2312" w:eastAsia="仿宋_GB2312" w:hAnsi="宋体" w:hint="eastAsia"/>
          <w:sz w:val="32"/>
          <w:szCs w:val="32"/>
        </w:rPr>
        <w:t>16500</w:t>
      </w:r>
      <w:r>
        <w:rPr>
          <w:rFonts w:ascii="仿宋_GB2312" w:eastAsia="仿宋_GB2312" w:hAnsi="宋体" w:hint="eastAsia"/>
          <w:sz w:val="32"/>
          <w:szCs w:val="32"/>
        </w:rPr>
        <w:t>元，截止</w:t>
      </w:r>
      <w:r>
        <w:rPr>
          <w:rFonts w:ascii="仿宋_GB2312" w:eastAsia="仿宋_GB2312" w:hAnsi="宋体" w:hint="eastAsia"/>
          <w:sz w:val="32"/>
          <w:szCs w:val="32"/>
        </w:rPr>
        <w:t>8</w:t>
      </w:r>
      <w:r>
        <w:rPr>
          <w:rFonts w:ascii="仿宋_GB2312" w:eastAsia="仿宋_GB2312" w:hAnsi="宋体" w:hint="eastAsia"/>
          <w:sz w:val="32"/>
          <w:szCs w:val="32"/>
        </w:rPr>
        <w:t>月已全部执行完毕；咨询费</w:t>
      </w:r>
      <w:r>
        <w:rPr>
          <w:rFonts w:ascii="仿宋_GB2312" w:eastAsia="仿宋_GB2312" w:hAnsi="宋体" w:hint="eastAsia"/>
          <w:sz w:val="32"/>
          <w:szCs w:val="32"/>
        </w:rPr>
        <w:t>66000</w:t>
      </w:r>
      <w:r>
        <w:rPr>
          <w:rFonts w:ascii="仿宋_GB2312" w:eastAsia="仿宋_GB2312" w:hAnsi="宋体" w:hint="eastAsia"/>
          <w:sz w:val="32"/>
          <w:szCs w:val="32"/>
        </w:rPr>
        <w:t>元截止</w:t>
      </w:r>
      <w:r>
        <w:rPr>
          <w:rFonts w:ascii="仿宋_GB2312" w:eastAsia="仿宋_GB2312" w:hAnsi="宋体" w:hint="eastAsia"/>
          <w:sz w:val="32"/>
          <w:szCs w:val="32"/>
        </w:rPr>
        <w:t>8</w:t>
      </w:r>
      <w:r>
        <w:rPr>
          <w:rFonts w:ascii="仿宋_GB2312" w:eastAsia="仿宋_GB2312" w:hAnsi="宋体" w:hint="eastAsia"/>
          <w:sz w:val="32"/>
          <w:szCs w:val="32"/>
        </w:rPr>
        <w:t>月已全部执行完毕；办公费</w:t>
      </w:r>
      <w:r>
        <w:rPr>
          <w:rFonts w:ascii="仿宋_GB2312" w:eastAsia="仿宋_GB2312" w:hAnsi="宋体" w:hint="eastAsia"/>
          <w:sz w:val="32"/>
          <w:szCs w:val="32"/>
        </w:rPr>
        <w:t>4000</w:t>
      </w:r>
      <w:r>
        <w:rPr>
          <w:rFonts w:ascii="仿宋_GB2312" w:eastAsia="仿宋_GB2312" w:hAnsi="宋体" w:hint="eastAsia"/>
          <w:sz w:val="32"/>
          <w:szCs w:val="32"/>
        </w:rPr>
        <w:t>元，差旅费</w:t>
      </w:r>
      <w:r>
        <w:rPr>
          <w:rFonts w:ascii="仿宋_GB2312" w:eastAsia="仿宋_GB2312" w:hAnsi="宋体" w:hint="eastAsia"/>
          <w:sz w:val="32"/>
          <w:szCs w:val="32"/>
        </w:rPr>
        <w:t>113500</w:t>
      </w:r>
      <w:r>
        <w:rPr>
          <w:rFonts w:ascii="仿宋_GB2312" w:eastAsia="仿宋_GB2312" w:hAnsi="宋体" w:hint="eastAsia"/>
          <w:sz w:val="32"/>
          <w:szCs w:val="32"/>
        </w:rPr>
        <w:t>元已于</w:t>
      </w:r>
      <w:r>
        <w:rPr>
          <w:rFonts w:ascii="仿宋_GB2312" w:eastAsia="仿宋_GB2312" w:hAnsi="宋体" w:hint="eastAsia"/>
          <w:sz w:val="32"/>
          <w:szCs w:val="32"/>
        </w:rPr>
        <w:t>12</w:t>
      </w:r>
      <w:r>
        <w:rPr>
          <w:rFonts w:ascii="仿宋_GB2312" w:eastAsia="仿宋_GB2312" w:hAnsi="宋体" w:hint="eastAsia"/>
          <w:sz w:val="32"/>
          <w:szCs w:val="32"/>
        </w:rPr>
        <w:t>月前执行完毕。</w:t>
      </w:r>
    </w:p>
    <w:p w:rsidR="00BC55C8" w:rsidRDefault="001A41CF">
      <w:pPr>
        <w:spacing w:line="560" w:lineRule="exact"/>
        <w:ind w:leftChars="304" w:left="638"/>
        <w:jc w:val="left"/>
        <w:rPr>
          <w:rStyle w:val="ac"/>
          <w:rFonts w:ascii="楷体" w:eastAsia="楷体" w:hAnsi="楷体"/>
          <w:b w:val="0"/>
          <w:bCs w:val="0"/>
          <w:spacing w:val="-4"/>
          <w:sz w:val="32"/>
          <w:szCs w:val="32"/>
        </w:rPr>
      </w:pPr>
      <w:r>
        <w:rPr>
          <w:rStyle w:val="ac"/>
          <w:rFonts w:ascii="楷体" w:eastAsia="楷体" w:hAnsi="楷体" w:hint="eastAsia"/>
          <w:b w:val="0"/>
          <w:bCs w:val="0"/>
          <w:spacing w:val="-4"/>
          <w:sz w:val="32"/>
          <w:szCs w:val="32"/>
        </w:rPr>
        <w:t>（三）项目资金管理情况分析</w:t>
      </w:r>
    </w:p>
    <w:p w:rsidR="00BC55C8" w:rsidRDefault="001A41CF">
      <w:pPr>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lastRenderedPageBreak/>
        <w:t>（包括管理制度、办法的制定及执行情况）</w:t>
      </w:r>
    </w:p>
    <w:p w:rsidR="00BC55C8" w:rsidRDefault="001A41CF">
      <w:pPr>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项目资金严格按照根据《预算法》、《会计法》、《事业</w:t>
      </w:r>
      <w:r>
        <w:rPr>
          <w:rFonts w:ascii="仿宋_GB2312" w:eastAsia="仿宋_GB2312" w:hAnsi="宋体" w:hint="eastAsia"/>
          <w:sz w:val="32"/>
          <w:szCs w:val="32"/>
        </w:rPr>
        <w:t>单位财务制度》，制定了评估中心内部控制制度、财务管理办法、固定资产管理制度及规定等十几项财务规章制度，并严格贯彻落实，严格按照项目实施内容进行项目资金的管理使用，此次绩效评价过程中未发现有截留、挤占或挪用项目资金的情况。</w:t>
      </w:r>
    </w:p>
    <w:p w:rsidR="00BC55C8" w:rsidRDefault="001A41CF">
      <w:pPr>
        <w:spacing w:line="56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三、项目组织实施情况</w:t>
      </w:r>
    </w:p>
    <w:p w:rsidR="00BC55C8" w:rsidRDefault="001A41CF">
      <w:pPr>
        <w:spacing w:line="560" w:lineRule="exact"/>
        <w:ind w:firstLineChars="200" w:firstLine="624"/>
        <w:rPr>
          <w:rStyle w:val="ac"/>
          <w:rFonts w:ascii="楷体" w:eastAsia="楷体" w:hAnsi="楷体"/>
          <w:b w:val="0"/>
          <w:bCs w:val="0"/>
          <w:spacing w:val="-4"/>
          <w:sz w:val="32"/>
          <w:szCs w:val="32"/>
        </w:rPr>
      </w:pPr>
      <w:r>
        <w:rPr>
          <w:rStyle w:val="ac"/>
          <w:rFonts w:ascii="楷体" w:eastAsia="楷体" w:hAnsi="楷体" w:hint="eastAsia"/>
          <w:b w:val="0"/>
          <w:bCs w:val="0"/>
          <w:spacing w:val="-4"/>
          <w:sz w:val="32"/>
          <w:szCs w:val="32"/>
        </w:rPr>
        <w:t>（一）项目组织情况分析</w:t>
      </w:r>
    </w:p>
    <w:p w:rsidR="00BC55C8" w:rsidRDefault="001A41CF">
      <w:pPr>
        <w:spacing w:line="560" w:lineRule="exact"/>
        <w:ind w:firstLineChars="200" w:firstLine="624"/>
        <w:rPr>
          <w:rStyle w:val="ac"/>
          <w:rFonts w:ascii="仿宋" w:eastAsia="仿宋" w:hAnsi="仿宋"/>
          <w:b w:val="0"/>
          <w:spacing w:val="-4"/>
          <w:sz w:val="32"/>
          <w:szCs w:val="32"/>
        </w:rPr>
      </w:pPr>
      <w:r>
        <w:rPr>
          <w:rStyle w:val="ac"/>
          <w:rFonts w:ascii="仿宋" w:eastAsia="仿宋" w:hAnsi="仿宋" w:hint="eastAsia"/>
          <w:b w:val="0"/>
          <w:spacing w:val="-4"/>
          <w:sz w:val="32"/>
          <w:szCs w:val="32"/>
        </w:rPr>
        <w:t>（包括项目投标情况、调整情况、完成验收等）</w:t>
      </w:r>
    </w:p>
    <w:p w:rsidR="00BC55C8" w:rsidRDefault="001A41CF">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rPr>
        <w:t>接到自治区环保厅相关处室委托评估中心开展环评文件环境影响评价技术评估工作函后，评估中心第一时间展开评估工作，在项目组织实施中严格执行《评估中心建设项目环境影响技术评估工作规程》，主动调整建设项目技术评估方式</w:t>
      </w:r>
      <w:r>
        <w:rPr>
          <w:rFonts w:ascii="仿宋_GB2312" w:eastAsia="仿宋_GB2312" w:hAnsi="宋体" w:hint="eastAsia"/>
          <w:sz w:val="32"/>
          <w:szCs w:val="32"/>
          <w:lang w:val="zh-CN"/>
        </w:rPr>
        <w:t>，进一步强化了对自治区重点项目服务意识，采取提前介入、专人负责、跟踪服务、现场指导等措施</w:t>
      </w:r>
      <w:r>
        <w:rPr>
          <w:rFonts w:ascii="仿宋_GB2312" w:eastAsia="仿宋_GB2312" w:hAnsi="宋体" w:hint="eastAsia"/>
          <w:sz w:val="32"/>
          <w:szCs w:val="32"/>
        </w:rPr>
        <w:t>，全方位开展评估技术服务。</w:t>
      </w:r>
      <w:r>
        <w:rPr>
          <w:rFonts w:ascii="仿宋_GB2312" w:eastAsia="仿宋_GB2312" w:hAnsi="宋体" w:hint="eastAsia"/>
          <w:sz w:val="32"/>
          <w:szCs w:val="32"/>
          <w:lang w:val="zh-CN"/>
        </w:rPr>
        <w:t>通过科学、客观的技术评审，为自治区重点项目建设环境可行性提供技术支持、保驾护航。</w:t>
      </w:r>
    </w:p>
    <w:p w:rsidR="00BC55C8" w:rsidRDefault="001A41CF">
      <w:pPr>
        <w:spacing w:line="560" w:lineRule="exact"/>
        <w:ind w:firstLineChars="200" w:firstLine="624"/>
        <w:rPr>
          <w:rStyle w:val="ac"/>
          <w:rFonts w:ascii="楷体" w:eastAsia="楷体" w:hAnsi="楷体"/>
          <w:b w:val="0"/>
          <w:bCs w:val="0"/>
          <w:spacing w:val="-4"/>
          <w:sz w:val="32"/>
          <w:szCs w:val="32"/>
        </w:rPr>
      </w:pPr>
      <w:r>
        <w:rPr>
          <w:rStyle w:val="ac"/>
          <w:rFonts w:ascii="楷体" w:eastAsia="楷体" w:hAnsi="楷体" w:hint="eastAsia"/>
          <w:b w:val="0"/>
          <w:bCs w:val="0"/>
          <w:spacing w:val="-4"/>
          <w:sz w:val="32"/>
          <w:szCs w:val="32"/>
        </w:rPr>
        <w:t>（二）项目管理情况分析</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（包括项目管理制度建设、日常检查监督管理等情况）</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严格实施“七不批”</w:t>
      </w:r>
      <w:r>
        <w:rPr>
          <w:rFonts w:ascii="仿宋_GB2312" w:eastAsia="仿宋_GB2312" w:hint="eastAsia"/>
          <w:sz w:val="32"/>
          <w:szCs w:val="32"/>
        </w:rPr>
        <w:t>；</w:t>
      </w:r>
      <w:r>
        <w:rPr>
          <w:rFonts w:ascii="仿宋_GB2312" w:eastAsia="仿宋_GB2312" w:hint="eastAsia"/>
          <w:sz w:val="32"/>
          <w:szCs w:val="32"/>
        </w:rPr>
        <w:t>坚持四级质量管理</w:t>
      </w:r>
      <w:r>
        <w:rPr>
          <w:rFonts w:ascii="仿宋_GB2312" w:eastAsia="仿宋_GB2312" w:hint="eastAsia"/>
          <w:sz w:val="32"/>
          <w:szCs w:val="32"/>
        </w:rPr>
        <w:t>体系（技术评估专家审查会、周例会及中心副主任主及总工程师审核、中心主任审定签发）；编制了《评估中心内部控制规范手册》</w:t>
      </w:r>
      <w:r>
        <w:rPr>
          <w:rFonts w:ascii="仿宋_GB2312" w:eastAsia="仿宋_GB2312" w:hint="eastAsia"/>
          <w:sz w:val="32"/>
          <w:szCs w:val="32"/>
        </w:rPr>
        <w:t>《评估中心环评技术评估现场踏勘工作规定（试行）》《评</w:t>
      </w:r>
      <w:r>
        <w:rPr>
          <w:rFonts w:ascii="仿宋_GB2312" w:eastAsia="仿宋_GB2312" w:hint="eastAsia"/>
          <w:sz w:val="32"/>
          <w:szCs w:val="32"/>
        </w:rPr>
        <w:lastRenderedPageBreak/>
        <w:t>估中心每周例会制度》《评估中心</w:t>
      </w:r>
      <w:r>
        <w:rPr>
          <w:rFonts w:ascii="仿宋_GB2312" w:eastAsia="仿宋_GB2312" w:hint="eastAsia"/>
          <w:sz w:val="32"/>
          <w:szCs w:val="32"/>
        </w:rPr>
        <w:t>三项</w:t>
      </w:r>
      <w:r>
        <w:rPr>
          <w:rFonts w:ascii="仿宋_GB2312" w:eastAsia="仿宋_GB2312" w:hint="eastAsia"/>
          <w:sz w:val="32"/>
          <w:szCs w:val="32"/>
        </w:rPr>
        <w:t>制度》</w:t>
      </w:r>
      <w:r>
        <w:rPr>
          <w:rFonts w:ascii="仿宋_GB2312" w:eastAsia="仿宋_GB2312" w:hint="eastAsia"/>
          <w:sz w:val="32"/>
          <w:szCs w:val="32"/>
        </w:rPr>
        <w:t>等；</w:t>
      </w:r>
      <w:r>
        <w:rPr>
          <w:rFonts w:ascii="仿宋_GB2312" w:eastAsia="仿宋_GB2312" w:hint="eastAsia"/>
          <w:sz w:val="32"/>
          <w:szCs w:val="32"/>
        </w:rPr>
        <w:t>对敏感项目、环境问题较突出的项目，必须去现场踏勘；对工作进展情况、评估报告办理一周一督办、一周一报告、一月一通报；</w:t>
      </w:r>
      <w:r>
        <w:rPr>
          <w:rFonts w:ascii="仿宋_GB2312" w:eastAsia="仿宋_GB2312" w:hint="eastAsia"/>
          <w:sz w:val="32"/>
          <w:szCs w:val="32"/>
          <w:lang w:val="zh-CN"/>
        </w:rPr>
        <w:t>对</w:t>
      </w:r>
      <w:r>
        <w:rPr>
          <w:rFonts w:ascii="仿宋_GB2312" w:eastAsia="仿宋_GB2312" w:hint="eastAsia"/>
          <w:sz w:val="32"/>
          <w:szCs w:val="32"/>
        </w:rPr>
        <w:t>环评技术评估专家库</w:t>
      </w:r>
      <w:r>
        <w:rPr>
          <w:rFonts w:ascii="仿宋_GB2312" w:eastAsia="仿宋_GB2312" w:hint="eastAsia"/>
          <w:sz w:val="32"/>
          <w:szCs w:val="32"/>
        </w:rPr>
        <w:t>进行了重塑，吸纳优秀人才</w:t>
      </w:r>
      <w:r>
        <w:rPr>
          <w:rFonts w:ascii="仿宋_GB2312" w:eastAsia="仿宋_GB2312" w:hint="eastAsia"/>
          <w:sz w:val="32"/>
          <w:szCs w:val="32"/>
          <w:lang w:val="zh-CN"/>
        </w:rPr>
        <w:t>提高了评估质量，保障了自治区环保厅对项目的环评审批的速度。</w:t>
      </w:r>
    </w:p>
    <w:p w:rsidR="00BC55C8" w:rsidRDefault="001A41CF">
      <w:pPr>
        <w:spacing w:line="560" w:lineRule="exact"/>
        <w:ind w:firstLine="640"/>
        <w:rPr>
          <w:rStyle w:val="ac"/>
          <w:rFonts w:ascii="黑体" w:eastAsia="黑体" w:hAnsi="黑体"/>
        </w:rPr>
      </w:pPr>
      <w:r>
        <w:rPr>
          <w:rStyle w:val="ac"/>
          <w:rFonts w:ascii="黑体" w:eastAsia="黑体" w:hAnsi="黑体" w:hint="eastAsia"/>
          <w:b w:val="0"/>
          <w:spacing w:val="-4"/>
          <w:sz w:val="32"/>
          <w:szCs w:val="32"/>
        </w:rPr>
        <w:t>四、项目绩效情况</w:t>
      </w:r>
      <w:r>
        <w:rPr>
          <w:rStyle w:val="ac"/>
          <w:rFonts w:ascii="黑体" w:eastAsia="黑体" w:hAnsi="黑体" w:hint="eastAsia"/>
        </w:rPr>
        <w:t xml:space="preserve"> </w:t>
      </w:r>
    </w:p>
    <w:p w:rsidR="00BC55C8" w:rsidRDefault="001A41CF">
      <w:pPr>
        <w:spacing w:line="560" w:lineRule="exact"/>
        <w:ind w:firstLineChars="243" w:firstLine="758"/>
        <w:rPr>
          <w:rFonts w:ascii="楷体" w:eastAsia="楷体" w:hAnsi="楷体"/>
          <w:bCs/>
          <w:spacing w:val="-4"/>
          <w:sz w:val="32"/>
          <w:szCs w:val="32"/>
        </w:rPr>
      </w:pPr>
      <w:r>
        <w:rPr>
          <w:rFonts w:ascii="楷体" w:eastAsia="楷体" w:hAnsi="楷体" w:hint="eastAsia"/>
          <w:bCs/>
          <w:spacing w:val="-4"/>
          <w:sz w:val="32"/>
          <w:szCs w:val="32"/>
        </w:rPr>
        <w:t>（一）项目绩效目标完成情况分析</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项目的经济性分析：</w:t>
      </w:r>
      <w:r>
        <w:rPr>
          <w:rFonts w:ascii="仿宋_GB2312" w:eastAsia="仿宋_GB2312" w:hint="eastAsia"/>
          <w:sz w:val="32"/>
          <w:szCs w:val="32"/>
        </w:rPr>
        <w:t>根据《国务院关于修改〈建设项目环境保护管理条例〉的决定》中华人民共和国国务院令第</w:t>
      </w:r>
      <w:r>
        <w:rPr>
          <w:rFonts w:ascii="仿宋_GB2312" w:eastAsia="仿宋_GB2312" w:hint="eastAsia"/>
          <w:sz w:val="32"/>
          <w:szCs w:val="32"/>
        </w:rPr>
        <w:t>682</w:t>
      </w:r>
      <w:r>
        <w:rPr>
          <w:rFonts w:ascii="仿宋_GB2312" w:eastAsia="仿宋_GB2312" w:hint="eastAsia"/>
          <w:sz w:val="32"/>
          <w:szCs w:val="32"/>
        </w:rPr>
        <w:t>号第九条第三款规定</w:t>
      </w:r>
      <w:r>
        <w:rPr>
          <w:rFonts w:ascii="仿宋_GB2312" w:eastAsia="仿宋_GB2312" w:hint="eastAsia"/>
          <w:sz w:val="32"/>
          <w:szCs w:val="32"/>
        </w:rPr>
        <w:t>（评估机构</w:t>
      </w:r>
      <w:r>
        <w:rPr>
          <w:rFonts w:ascii="仿宋_GB2312" w:eastAsia="仿宋_GB2312" w:hint="eastAsia"/>
          <w:sz w:val="32"/>
          <w:szCs w:val="32"/>
        </w:rPr>
        <w:t>不得向建设单位、从事环境影响评价工作的单位收取任何费用</w:t>
      </w:r>
      <w:r>
        <w:rPr>
          <w:rFonts w:ascii="仿宋_GB2312" w:eastAsia="仿宋_GB2312" w:hint="eastAsia"/>
          <w:sz w:val="32"/>
          <w:szCs w:val="32"/>
        </w:rPr>
        <w:t>），并</w:t>
      </w:r>
      <w:r>
        <w:rPr>
          <w:rFonts w:ascii="楷体_GB2312" w:eastAsia="楷体_GB2312" w:hAnsi="微软雅黑" w:cs="楷体_GB2312" w:hint="eastAsia"/>
          <w:color w:val="333333"/>
          <w:sz w:val="32"/>
          <w:szCs w:val="32"/>
          <w:shd w:val="clear" w:color="auto" w:fill="FFFFFF"/>
        </w:rPr>
        <w:t>结合</w:t>
      </w:r>
      <w:r>
        <w:rPr>
          <w:rFonts w:ascii="仿宋_GB2312" w:eastAsia="仿宋_GB2312" w:hint="eastAsia"/>
          <w:sz w:val="32"/>
          <w:szCs w:val="32"/>
        </w:rPr>
        <w:t>评估中心职责</w:t>
      </w:r>
      <w:r>
        <w:rPr>
          <w:rFonts w:ascii="仿宋_GB2312" w:eastAsia="仿宋_GB2312" w:hint="eastAsia"/>
          <w:sz w:val="32"/>
          <w:szCs w:val="32"/>
        </w:rPr>
        <w:t>特点，经济效益指标</w:t>
      </w:r>
      <w:r>
        <w:rPr>
          <w:rFonts w:ascii="仿宋_GB2312" w:eastAsia="仿宋_GB2312" w:hint="eastAsia"/>
          <w:sz w:val="32"/>
          <w:szCs w:val="32"/>
        </w:rPr>
        <w:t>不作为评价对象</w:t>
      </w:r>
      <w:r>
        <w:rPr>
          <w:rFonts w:ascii="仿宋_GB2312" w:eastAsia="仿宋_GB2312" w:hint="eastAsia"/>
          <w:sz w:val="32"/>
          <w:szCs w:val="32"/>
        </w:rPr>
        <w:t>，突出生态效益和社会效益</w:t>
      </w:r>
    </w:p>
    <w:p w:rsidR="00BC55C8" w:rsidRDefault="001A41CF">
      <w:pPr>
        <w:spacing w:line="560" w:lineRule="exact"/>
        <w:ind w:firstLineChars="200" w:firstLine="624"/>
        <w:rPr>
          <w:rFonts w:ascii="仿宋_GB2312" w:eastAsia="仿宋_GB2312"/>
          <w:sz w:val="32"/>
          <w:szCs w:val="32"/>
        </w:rPr>
      </w:pPr>
      <w:r>
        <w:rPr>
          <w:rStyle w:val="ac"/>
          <w:rFonts w:ascii="仿宋_GB2312" w:eastAsia="仿宋_GB2312" w:hAnsi="仿宋_GB2312" w:cs="仿宋_GB2312" w:hint="eastAsia"/>
          <w:b w:val="0"/>
          <w:spacing w:val="-4"/>
          <w:sz w:val="32"/>
          <w:szCs w:val="32"/>
        </w:rPr>
        <w:t>评估中心不断加强成本控制和成本规划，建立严格的费用审</w:t>
      </w:r>
      <w:r>
        <w:rPr>
          <w:rFonts w:ascii="仿宋_GB2312" w:eastAsia="仿宋_GB2312" w:hint="eastAsia"/>
          <w:sz w:val="32"/>
          <w:szCs w:val="32"/>
        </w:rPr>
        <w:t>批制度，组织发动干部职工开展各种降成本活动，不断提升项目管理水平，提高资金使用效益。</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项目的效率性分析：本着“质量不降、时限缩短、服务提高”原则，进一步减少了环评技术评估环节，严格执行评估中心</w:t>
      </w:r>
      <w:r>
        <w:rPr>
          <w:rFonts w:ascii="仿宋_GB2312" w:eastAsia="仿宋_GB2312"/>
          <w:sz w:val="32"/>
          <w:szCs w:val="32"/>
        </w:rPr>
        <w:t>“</w:t>
      </w:r>
      <w:r>
        <w:rPr>
          <w:rFonts w:ascii="仿宋_GB2312" w:eastAsia="仿宋_GB2312" w:hint="eastAsia"/>
          <w:sz w:val="32"/>
          <w:szCs w:val="32"/>
        </w:rPr>
        <w:t>三项制度</w:t>
      </w:r>
      <w:r>
        <w:rPr>
          <w:rFonts w:ascii="仿宋_GB2312" w:eastAsia="仿宋_GB2312"/>
          <w:sz w:val="32"/>
          <w:szCs w:val="32"/>
        </w:rPr>
        <w:t>”</w:t>
      </w:r>
      <w:r>
        <w:rPr>
          <w:rFonts w:ascii="仿宋_GB2312" w:eastAsia="仿宋_GB2312" w:hint="eastAsia"/>
          <w:sz w:val="32"/>
          <w:szCs w:val="32"/>
        </w:rPr>
        <w:t>，环境影响报告书在</w:t>
      </w:r>
      <w:r>
        <w:rPr>
          <w:rFonts w:ascii="仿宋_GB2312" w:eastAsia="仿宋_GB2312" w:hint="eastAsia"/>
          <w:sz w:val="32"/>
          <w:szCs w:val="32"/>
        </w:rPr>
        <w:t>20</w:t>
      </w:r>
      <w:r>
        <w:rPr>
          <w:rFonts w:ascii="仿宋_GB2312" w:eastAsia="仿宋_GB2312" w:hint="eastAsia"/>
          <w:sz w:val="32"/>
          <w:szCs w:val="32"/>
        </w:rPr>
        <w:t>个工作日内、环境影响报告表在</w:t>
      </w:r>
      <w:r>
        <w:rPr>
          <w:rFonts w:ascii="仿宋_GB2312" w:eastAsia="仿宋_GB2312" w:hint="eastAsia"/>
          <w:sz w:val="32"/>
          <w:szCs w:val="32"/>
        </w:rPr>
        <w:t>10</w:t>
      </w:r>
      <w:r>
        <w:rPr>
          <w:rFonts w:ascii="仿宋_GB2312" w:eastAsia="仿宋_GB2312" w:hint="eastAsia"/>
          <w:sz w:val="32"/>
          <w:szCs w:val="32"/>
        </w:rPr>
        <w:t>个工作日内完成技术评估工作，并向环保厅提交评估报告（现场踏勘和环评文件修改时间不计入技术评估时限）；继续将自治区重大建设项目、基础设施建设项目、民生和扶贫项目、节能减排工程等纳入绿色通道管理，实施前置服务，全方位跟进，优先安排技术评估，做到特事</w:t>
      </w:r>
      <w:r>
        <w:rPr>
          <w:rFonts w:ascii="仿宋_GB2312" w:eastAsia="仿宋_GB2312" w:hint="eastAsia"/>
          <w:sz w:val="32"/>
          <w:szCs w:val="32"/>
        </w:rPr>
        <w:lastRenderedPageBreak/>
        <w:t>特办、急事急办、随到随办。其中对环评报告书要在五个工作日内出具技术评估报告，圆满完成了自治区环保厅委托的环境影响评价技术评估工作任务。</w:t>
      </w:r>
    </w:p>
    <w:p w:rsidR="00BC55C8" w:rsidRDefault="001A41CF">
      <w:pPr>
        <w:spacing w:line="560" w:lineRule="exact"/>
        <w:ind w:firstLineChars="200" w:firstLine="624"/>
        <w:rPr>
          <w:rFonts w:ascii="仿宋_GB2312" w:eastAsia="仿宋_GB2312"/>
          <w:sz w:val="32"/>
          <w:szCs w:val="32"/>
        </w:rPr>
      </w:pPr>
      <w:r>
        <w:rPr>
          <w:rStyle w:val="ac"/>
          <w:rFonts w:ascii="仿宋_GB2312" w:eastAsia="仿宋_GB2312" w:hAnsi="仿宋_GB2312" w:cs="仿宋_GB2312" w:hint="eastAsia"/>
          <w:b w:val="0"/>
          <w:spacing w:val="-4"/>
          <w:sz w:val="32"/>
          <w:szCs w:val="32"/>
        </w:rPr>
        <w:t xml:space="preserve"> </w:t>
      </w:r>
      <w:r>
        <w:rPr>
          <w:rFonts w:ascii="仿宋_GB2312" w:eastAsia="仿宋_GB2312" w:hint="eastAsia"/>
          <w:sz w:val="32"/>
          <w:szCs w:val="32"/>
        </w:rPr>
        <w:t>项目的有益性分析：通过科学、客观、公正的技术评估，在符合环境保护法律法规的前</w:t>
      </w:r>
      <w:r>
        <w:rPr>
          <w:rFonts w:ascii="仿宋_GB2312" w:eastAsia="仿宋_GB2312" w:hint="eastAsia"/>
          <w:sz w:val="32"/>
          <w:szCs w:val="32"/>
        </w:rPr>
        <w:t>提下，助推鼓励类项目落地上马，促进地方经济发展、促进社会进步、带动就业、提高人民生活水平及维护社会稳定等；对于限制类新建项目，不予办理相关环保手续，强化环境准入要求，促进现有落后产业升级改造，提升了企业的市场竞争力；对于淘汰类项目，指出项目存在问题，并转交相关执法部门查处，有序促进了企业通过转产、关闭等方式淘汰落后产能。</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通过环境影响评价的技术评估，</w:t>
      </w:r>
      <w:r>
        <w:rPr>
          <w:rFonts w:ascii="仿宋_GB2312" w:eastAsia="仿宋_GB2312" w:hint="eastAsia"/>
          <w:sz w:val="32"/>
          <w:szCs w:val="32"/>
        </w:rPr>
        <w:t>对规划</w:t>
      </w:r>
      <w:r>
        <w:rPr>
          <w:rFonts w:ascii="仿宋_GB2312" w:eastAsia="仿宋_GB2312" w:hint="eastAsia"/>
          <w:sz w:val="32"/>
          <w:szCs w:val="32"/>
        </w:rPr>
        <w:t>环评</w:t>
      </w:r>
      <w:r>
        <w:rPr>
          <w:rFonts w:ascii="仿宋_GB2312" w:eastAsia="仿宋_GB2312" w:hint="eastAsia"/>
          <w:sz w:val="32"/>
          <w:szCs w:val="32"/>
        </w:rPr>
        <w:t>提出</w:t>
      </w:r>
      <w:r>
        <w:rPr>
          <w:rFonts w:ascii="仿宋_GB2312" w:eastAsia="仿宋_GB2312" w:hint="eastAsia"/>
          <w:sz w:val="32"/>
          <w:szCs w:val="32"/>
        </w:rPr>
        <w:t>了</w:t>
      </w:r>
      <w:r>
        <w:rPr>
          <w:rFonts w:ascii="仿宋_GB2312" w:eastAsia="仿宋_GB2312" w:hint="eastAsia"/>
          <w:sz w:val="32"/>
          <w:szCs w:val="32"/>
        </w:rPr>
        <w:t>合理化建议，优化</w:t>
      </w:r>
      <w:r>
        <w:rPr>
          <w:rFonts w:ascii="仿宋_GB2312" w:eastAsia="仿宋_GB2312" w:hint="eastAsia"/>
          <w:sz w:val="32"/>
          <w:szCs w:val="32"/>
        </w:rPr>
        <w:t>了</w:t>
      </w:r>
      <w:r>
        <w:rPr>
          <w:rFonts w:ascii="仿宋_GB2312" w:eastAsia="仿宋_GB2312" w:hint="eastAsia"/>
          <w:sz w:val="32"/>
          <w:szCs w:val="32"/>
        </w:rPr>
        <w:t>建设项目的选址、建设内容和环境保护方案</w:t>
      </w:r>
      <w:r>
        <w:rPr>
          <w:rFonts w:ascii="仿宋_GB2312" w:eastAsia="仿宋_GB2312" w:hint="eastAsia"/>
          <w:sz w:val="32"/>
          <w:szCs w:val="32"/>
        </w:rPr>
        <w:t>；加强水利、水电生态影响类项目环境准入管理，环保投入规模加大、开发建设更加规范有序，有力</w:t>
      </w:r>
      <w:r>
        <w:rPr>
          <w:rFonts w:ascii="仿宋_GB2312" w:eastAsia="仿宋_GB2312" w:hint="eastAsia"/>
          <w:sz w:val="32"/>
          <w:szCs w:val="32"/>
        </w:rPr>
        <w:t>推动了疆内有关地区生态环境质量的改善。</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项目的可持续分析：一是机构可持续。项目均有明确的实施机构与管理机构，可持续性良好；二是政策及制度可持续。新修订的《建设项目环境保护管理条例》第九条，明确了技术评估的法律地位，制定了较为完善的各项内部规章与制度，可持续性良好；三是环境可持续。实施项目均以改善环境质量为核心，深入实施大气、水、土壤污染防治行动计划，同时有利于促进企业投资建设、可持续发展，环评文件技术评估效益方面具有很好的可持续性。</w:t>
      </w:r>
    </w:p>
    <w:p w:rsidR="00BC55C8" w:rsidRDefault="001A41CF">
      <w:pPr>
        <w:spacing w:line="560" w:lineRule="exact"/>
        <w:ind w:firstLineChars="200" w:firstLine="624"/>
        <w:rPr>
          <w:rFonts w:ascii="楷体" w:eastAsia="楷体" w:hAnsi="楷体"/>
          <w:bCs/>
          <w:spacing w:val="-4"/>
          <w:sz w:val="32"/>
          <w:szCs w:val="32"/>
        </w:rPr>
      </w:pPr>
      <w:r>
        <w:rPr>
          <w:rFonts w:ascii="楷体" w:eastAsia="楷体" w:hAnsi="楷体" w:hint="eastAsia"/>
          <w:bCs/>
          <w:spacing w:val="-4"/>
          <w:sz w:val="32"/>
          <w:szCs w:val="32"/>
        </w:rPr>
        <w:lastRenderedPageBreak/>
        <w:t>（二）项目绩效目标未完成原因分析</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（如项目绩效目标已完成，可不用填写该部分</w:t>
      </w:r>
      <w:r>
        <w:rPr>
          <w:rFonts w:ascii="仿宋_GB2312" w:eastAsia="仿宋_GB2312" w:hint="eastAsia"/>
          <w:sz w:val="32"/>
          <w:szCs w:val="32"/>
        </w:rPr>
        <w:t>。）</w:t>
      </w:r>
    </w:p>
    <w:p w:rsidR="00BC55C8" w:rsidRDefault="001A41CF">
      <w:pPr>
        <w:numPr>
          <w:ilvl w:val="0"/>
          <w:numId w:val="1"/>
        </w:numPr>
        <w:spacing w:line="56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其他需要说明的问题</w:t>
      </w:r>
    </w:p>
    <w:p w:rsidR="00BC55C8" w:rsidRDefault="001A41CF">
      <w:pPr>
        <w:spacing w:line="560" w:lineRule="exact"/>
        <w:ind w:firstLineChars="200" w:firstLine="624"/>
        <w:rPr>
          <w:rFonts w:ascii="楷体" w:eastAsia="楷体" w:hAnsi="楷体"/>
          <w:bCs/>
          <w:spacing w:val="-4"/>
          <w:sz w:val="32"/>
          <w:szCs w:val="32"/>
        </w:rPr>
      </w:pPr>
      <w:r>
        <w:rPr>
          <w:rFonts w:ascii="楷体" w:eastAsia="楷体" w:hAnsi="楷体" w:hint="eastAsia"/>
          <w:bCs/>
          <w:spacing w:val="-4"/>
          <w:sz w:val="32"/>
          <w:szCs w:val="32"/>
        </w:rPr>
        <w:t>（一）后续工作计划</w:t>
      </w:r>
    </w:p>
    <w:p w:rsidR="00BC55C8" w:rsidRDefault="001A41CF">
      <w:pPr>
        <w:spacing w:line="560" w:lineRule="exact"/>
        <w:ind w:firstLineChars="242" w:firstLine="755"/>
        <w:rPr>
          <w:rFonts w:ascii="仿宋_GB2312" w:eastAsia="仿宋_GB2312"/>
          <w:spacing w:val="-4"/>
          <w:sz w:val="32"/>
          <w:szCs w:val="32"/>
        </w:rPr>
      </w:pPr>
      <w:r>
        <w:rPr>
          <w:rFonts w:ascii="仿宋_GB2312" w:eastAsia="仿宋_GB2312" w:hint="eastAsia"/>
          <w:spacing w:val="-4"/>
          <w:sz w:val="32"/>
          <w:szCs w:val="32"/>
        </w:rPr>
        <w:t>无</w:t>
      </w:r>
    </w:p>
    <w:p w:rsidR="00BC55C8" w:rsidRDefault="001A41CF">
      <w:pPr>
        <w:spacing w:line="560" w:lineRule="exact"/>
        <w:ind w:firstLineChars="200" w:firstLine="624"/>
        <w:rPr>
          <w:rFonts w:ascii="楷体" w:eastAsia="楷体" w:hAnsi="楷体"/>
          <w:bCs/>
          <w:spacing w:val="-4"/>
          <w:sz w:val="32"/>
          <w:szCs w:val="32"/>
        </w:rPr>
      </w:pPr>
      <w:r>
        <w:rPr>
          <w:rFonts w:ascii="楷体" w:eastAsia="楷体" w:hAnsi="楷体" w:hint="eastAsia"/>
          <w:bCs/>
          <w:spacing w:val="-4"/>
          <w:sz w:val="32"/>
          <w:szCs w:val="32"/>
        </w:rPr>
        <w:t>（二）主要经验及做法、存在问题和建议</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（包括资金安排、使用过程中的经验、做法、存在问题、改进措施和有关建议等）</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主要经验及做法；评估中心建立了专项资金管理办法，严格遵循专款专用、独立核算的管理原则。专项项目的申报严格按照自治区财政资金管理的要求进行，专项资金财政拨款到位后及时进行了项目开展和资金投入。目前对专项资金的管理按照项目支出涉及的经济科目规定，根据财务管理办法的相关制度执行。</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存在问题和建议：预算执行进度有待进一步提高；</w:t>
      </w:r>
      <w:r>
        <w:rPr>
          <w:rFonts w:ascii="仿宋_GB2312" w:eastAsia="仿宋_GB2312" w:hint="eastAsia"/>
          <w:sz w:val="32"/>
          <w:szCs w:val="32"/>
        </w:rPr>
        <w:t>2018</w:t>
      </w:r>
      <w:r>
        <w:rPr>
          <w:rFonts w:ascii="仿宋_GB2312" w:eastAsia="仿宋_GB2312" w:hint="eastAsia"/>
          <w:sz w:val="32"/>
          <w:szCs w:val="32"/>
        </w:rPr>
        <w:t>年财政拨款建设项目环评审查与监督项目经费为</w:t>
      </w:r>
      <w:r>
        <w:rPr>
          <w:rFonts w:ascii="仿宋_GB2312" w:eastAsia="仿宋_GB2312" w:hint="eastAsia"/>
          <w:sz w:val="32"/>
          <w:szCs w:val="32"/>
        </w:rPr>
        <w:t>20</w:t>
      </w:r>
      <w:r>
        <w:rPr>
          <w:rFonts w:ascii="仿宋_GB2312" w:eastAsia="仿宋_GB2312" w:hint="eastAsia"/>
          <w:sz w:val="32"/>
          <w:szCs w:val="32"/>
        </w:rPr>
        <w:t>万元，其中会议费</w:t>
      </w:r>
      <w:r>
        <w:rPr>
          <w:rFonts w:ascii="仿宋_GB2312" w:eastAsia="仿宋_GB2312" w:hint="eastAsia"/>
          <w:sz w:val="32"/>
          <w:szCs w:val="32"/>
        </w:rPr>
        <w:t>16500</w:t>
      </w:r>
      <w:r>
        <w:rPr>
          <w:rFonts w:ascii="仿宋_GB2312" w:eastAsia="仿宋_GB2312" w:hint="eastAsia"/>
          <w:sz w:val="32"/>
          <w:szCs w:val="32"/>
        </w:rPr>
        <w:t>元；咨询费</w:t>
      </w:r>
      <w:r>
        <w:rPr>
          <w:rFonts w:ascii="仿宋_GB2312" w:eastAsia="仿宋_GB2312" w:hint="eastAsia"/>
          <w:sz w:val="32"/>
          <w:szCs w:val="32"/>
        </w:rPr>
        <w:t>66000</w:t>
      </w:r>
      <w:r>
        <w:rPr>
          <w:rFonts w:ascii="仿宋_GB2312" w:eastAsia="仿宋_GB2312" w:hint="eastAsia"/>
          <w:sz w:val="32"/>
          <w:szCs w:val="32"/>
        </w:rPr>
        <w:t>元；办公费</w:t>
      </w:r>
      <w:r>
        <w:rPr>
          <w:rFonts w:ascii="仿宋_GB2312" w:eastAsia="仿宋_GB2312" w:hint="eastAsia"/>
          <w:sz w:val="32"/>
          <w:szCs w:val="32"/>
        </w:rPr>
        <w:t>4000</w:t>
      </w:r>
      <w:r>
        <w:rPr>
          <w:rFonts w:ascii="仿宋_GB2312" w:eastAsia="仿宋_GB2312" w:hint="eastAsia"/>
          <w:sz w:val="32"/>
          <w:szCs w:val="32"/>
        </w:rPr>
        <w:t>元；差旅费</w:t>
      </w:r>
      <w:r>
        <w:rPr>
          <w:rFonts w:ascii="仿宋_GB2312" w:eastAsia="仿宋_GB2312" w:hint="eastAsia"/>
          <w:sz w:val="32"/>
          <w:szCs w:val="32"/>
        </w:rPr>
        <w:t>113500</w:t>
      </w:r>
      <w:r>
        <w:rPr>
          <w:rFonts w:ascii="仿宋_GB2312" w:eastAsia="仿宋_GB2312" w:hint="eastAsia"/>
          <w:sz w:val="32"/>
          <w:szCs w:val="32"/>
        </w:rPr>
        <w:t>元。根据评估中心工作实际，并结合项目资金实际使用情况分析，存在</w:t>
      </w:r>
      <w:r>
        <w:rPr>
          <w:rFonts w:ascii="仿宋_GB2312" w:eastAsia="仿宋_GB2312" w:hint="eastAsia"/>
          <w:sz w:val="32"/>
          <w:szCs w:val="32"/>
        </w:rPr>
        <w:t>20</w:t>
      </w:r>
      <w:r>
        <w:rPr>
          <w:rFonts w:ascii="仿宋_GB2312" w:eastAsia="仿宋_GB2312" w:hint="eastAsia"/>
          <w:sz w:val="32"/>
          <w:szCs w:val="32"/>
        </w:rPr>
        <w:t>万元的项目经费分配比例不合理的问题，专家咨询费所占比例偏小、差旅费所占比例过大，此外，差旅费执行率偏低的另一个原因是大部分邻近项目合并进行现场踏勘，有时候还利用赴南疆结亲的机会去踏勘现场，上述因素导致专家咨询费</w:t>
      </w:r>
      <w:r>
        <w:rPr>
          <w:rFonts w:ascii="仿宋_GB2312" w:eastAsia="仿宋_GB2312" w:hint="eastAsia"/>
          <w:sz w:val="32"/>
          <w:szCs w:val="32"/>
        </w:rPr>
        <w:t>8</w:t>
      </w:r>
      <w:r>
        <w:rPr>
          <w:rFonts w:ascii="仿宋_GB2312" w:eastAsia="仿宋_GB2312" w:hint="eastAsia"/>
          <w:sz w:val="32"/>
          <w:szCs w:val="32"/>
        </w:rPr>
        <w:t>月已支付使用完毕，后续项目技术评估所需的专家咨询费</w:t>
      </w:r>
      <w:r>
        <w:rPr>
          <w:rFonts w:ascii="仿宋_GB2312" w:eastAsia="仿宋_GB2312" w:hint="eastAsia"/>
          <w:sz w:val="32"/>
          <w:szCs w:val="32"/>
        </w:rPr>
        <w:t>，从评估中心</w:t>
      </w:r>
      <w:r>
        <w:rPr>
          <w:rFonts w:ascii="仿宋_GB2312" w:eastAsia="仿宋_GB2312" w:hint="eastAsia"/>
          <w:sz w:val="32"/>
          <w:szCs w:val="32"/>
        </w:rPr>
        <w:t>2017</w:t>
      </w:r>
      <w:r>
        <w:rPr>
          <w:rFonts w:ascii="仿宋_GB2312" w:eastAsia="仿宋_GB2312" w:hint="eastAsia"/>
          <w:sz w:val="32"/>
          <w:szCs w:val="32"/>
        </w:rPr>
        <w:t>年</w:t>
      </w:r>
      <w:r>
        <w:rPr>
          <w:rFonts w:ascii="仿宋_GB2312" w:eastAsia="仿宋_GB2312" w:hint="eastAsia"/>
          <w:sz w:val="32"/>
          <w:szCs w:val="32"/>
        </w:rPr>
        <w:t>6</w:t>
      </w:r>
      <w:r>
        <w:rPr>
          <w:rFonts w:ascii="仿宋_GB2312" w:eastAsia="仿宋_GB2312" w:hint="eastAsia"/>
          <w:sz w:val="32"/>
          <w:szCs w:val="32"/>
        </w:rPr>
        <w:lastRenderedPageBreak/>
        <w:t>月以前的事业单位经营结余资金中支出（</w:t>
      </w:r>
      <w:r>
        <w:rPr>
          <w:rFonts w:ascii="仿宋_GB2312" w:eastAsia="仿宋_GB2312" w:hint="eastAsia"/>
          <w:sz w:val="32"/>
          <w:szCs w:val="32"/>
        </w:rPr>
        <w:t>2017</w:t>
      </w:r>
      <w:r>
        <w:rPr>
          <w:rFonts w:ascii="仿宋_GB2312" w:eastAsia="仿宋_GB2312" w:hint="eastAsia"/>
          <w:sz w:val="32"/>
          <w:szCs w:val="32"/>
        </w:rPr>
        <w:t>年</w:t>
      </w:r>
      <w:r>
        <w:rPr>
          <w:rFonts w:ascii="仿宋_GB2312" w:eastAsia="仿宋_GB2312" w:hint="eastAsia"/>
          <w:sz w:val="32"/>
          <w:szCs w:val="32"/>
        </w:rPr>
        <w:t>6</w:t>
      </w:r>
      <w:r>
        <w:rPr>
          <w:rFonts w:ascii="仿宋_GB2312" w:eastAsia="仿宋_GB2312" w:hint="eastAsia"/>
          <w:sz w:val="32"/>
          <w:szCs w:val="32"/>
        </w:rPr>
        <w:t>月，取消技术评估收费），截止到目前，环境影响评价技术评估支出费用共计</w:t>
      </w:r>
      <w:r>
        <w:rPr>
          <w:rFonts w:ascii="仿宋_GB2312" w:eastAsia="仿宋_GB2312" w:hint="eastAsia"/>
          <w:sz w:val="32"/>
          <w:szCs w:val="32"/>
        </w:rPr>
        <w:t>308.5</w:t>
      </w:r>
      <w:r>
        <w:rPr>
          <w:rFonts w:ascii="仿宋_GB2312" w:eastAsia="仿宋_GB2312" w:hint="eastAsia"/>
          <w:sz w:val="32"/>
          <w:szCs w:val="32"/>
        </w:rPr>
        <w:t>万元，其中专家咨询费结余资金支出</w:t>
      </w:r>
      <w:r>
        <w:rPr>
          <w:rFonts w:ascii="仿宋_GB2312" w:eastAsia="仿宋_GB2312" w:hint="eastAsia"/>
          <w:sz w:val="32"/>
          <w:szCs w:val="32"/>
        </w:rPr>
        <w:t>42.2</w:t>
      </w:r>
      <w:r>
        <w:rPr>
          <w:rFonts w:ascii="仿宋_GB2312" w:eastAsia="仿宋_GB2312" w:hint="eastAsia"/>
          <w:sz w:val="32"/>
          <w:szCs w:val="32"/>
        </w:rPr>
        <w:t>万元。</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改进措施：进一步加快预算执行进度；加强财务管理，严格财务审批。在费用报账支付时，按照预算规定的费用项目和用途进行资金使用、审核，列报支付，财务核算杜绝超支现象的发生。调整</w:t>
      </w:r>
      <w:r>
        <w:rPr>
          <w:rFonts w:ascii="仿宋_GB2312" w:eastAsia="仿宋_GB2312" w:hint="eastAsia"/>
          <w:sz w:val="32"/>
          <w:szCs w:val="32"/>
        </w:rPr>
        <w:t>2019</w:t>
      </w:r>
      <w:r>
        <w:rPr>
          <w:rFonts w:ascii="仿宋_GB2312" w:eastAsia="仿宋_GB2312" w:hint="eastAsia"/>
          <w:sz w:val="32"/>
          <w:szCs w:val="32"/>
        </w:rPr>
        <w:t>年度财政下达项目资金的组成比列，增大专家咨询费所占比列、缩小差旅费所占比列。</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有关建议：恳请财政部门进一步加大评估中心基本支出和履行职能</w:t>
      </w:r>
      <w:r>
        <w:rPr>
          <w:rFonts w:ascii="仿宋_GB2312" w:eastAsia="仿宋_GB2312" w:hint="eastAsia"/>
          <w:sz w:val="32"/>
          <w:szCs w:val="32"/>
        </w:rPr>
        <w:t>所需的专项业务资金投入。</w:t>
      </w:r>
    </w:p>
    <w:p w:rsidR="00BC55C8" w:rsidRDefault="001A41CF">
      <w:pPr>
        <w:spacing w:line="560" w:lineRule="exact"/>
        <w:ind w:firstLineChars="200" w:firstLine="624"/>
        <w:rPr>
          <w:rFonts w:ascii="楷体" w:eastAsia="楷体" w:hAnsi="楷体"/>
          <w:bCs/>
          <w:spacing w:val="-4"/>
          <w:sz w:val="32"/>
          <w:szCs w:val="32"/>
        </w:rPr>
      </w:pPr>
      <w:r>
        <w:rPr>
          <w:rFonts w:ascii="楷体" w:eastAsia="楷体" w:hAnsi="楷体" w:hint="eastAsia"/>
          <w:bCs/>
          <w:spacing w:val="-4"/>
          <w:sz w:val="32"/>
          <w:szCs w:val="32"/>
        </w:rPr>
        <w:t>（三）</w:t>
      </w:r>
      <w:r>
        <w:rPr>
          <w:rFonts w:ascii="楷体" w:eastAsia="楷体" w:hAnsi="楷体" w:hint="eastAsia"/>
          <w:bCs/>
          <w:spacing w:val="-4"/>
          <w:sz w:val="32"/>
          <w:szCs w:val="32"/>
        </w:rPr>
        <w:t>其他</w:t>
      </w:r>
    </w:p>
    <w:p w:rsidR="00BC55C8" w:rsidRDefault="001A41CF">
      <w:pPr>
        <w:spacing w:line="560" w:lineRule="exact"/>
        <w:ind w:firstLineChars="300" w:firstLine="936"/>
        <w:rPr>
          <w:rFonts w:ascii="楷体" w:eastAsia="楷体" w:hAnsi="楷体"/>
          <w:b/>
          <w:spacing w:val="-4"/>
          <w:sz w:val="32"/>
          <w:szCs w:val="32"/>
        </w:rPr>
      </w:pPr>
      <w:r>
        <w:rPr>
          <w:rFonts w:ascii="楷体" w:eastAsia="楷体" w:hAnsi="楷体" w:hint="eastAsia"/>
          <w:bCs/>
          <w:spacing w:val="-4"/>
          <w:sz w:val="32"/>
          <w:szCs w:val="32"/>
        </w:rPr>
        <w:t>无</w:t>
      </w:r>
    </w:p>
    <w:p w:rsidR="00BC55C8" w:rsidRDefault="001A41CF">
      <w:pPr>
        <w:spacing w:line="560" w:lineRule="exact"/>
        <w:ind w:firstLine="640"/>
        <w:rPr>
          <w:rStyle w:val="ac"/>
          <w:rFonts w:ascii="黑体" w:eastAsia="黑体" w:hAnsi="黑体"/>
          <w:b w:val="0"/>
          <w:spacing w:val="-4"/>
          <w:sz w:val="32"/>
          <w:szCs w:val="32"/>
        </w:rPr>
      </w:pPr>
      <w:r>
        <w:rPr>
          <w:rStyle w:val="ac"/>
          <w:rFonts w:ascii="黑体" w:eastAsia="黑体" w:hAnsi="黑体" w:hint="eastAsia"/>
          <w:b w:val="0"/>
          <w:spacing w:val="-4"/>
          <w:sz w:val="32"/>
          <w:szCs w:val="32"/>
        </w:rPr>
        <w:t>六、项目评价工作情况</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（包括评价基础数据收集、资料来源和依据等佐证材料情况，项目现场勘验检查核实等情况）</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评分结果：评估中心</w:t>
      </w:r>
      <w:r>
        <w:rPr>
          <w:rFonts w:ascii="仿宋_GB2312" w:eastAsia="仿宋_GB2312" w:hint="eastAsia"/>
          <w:sz w:val="32"/>
          <w:szCs w:val="32"/>
        </w:rPr>
        <w:t>2018</w:t>
      </w:r>
      <w:r>
        <w:rPr>
          <w:rFonts w:ascii="仿宋_GB2312" w:eastAsia="仿宋_GB2312" w:hint="eastAsia"/>
          <w:sz w:val="32"/>
          <w:szCs w:val="32"/>
        </w:rPr>
        <w:t>年度环境影响评价技术评估绩效自评综合得分为</w:t>
      </w:r>
      <w:r>
        <w:rPr>
          <w:rFonts w:ascii="仿宋_GB2312" w:eastAsia="仿宋_GB2312" w:hint="eastAsia"/>
          <w:sz w:val="32"/>
          <w:szCs w:val="32"/>
        </w:rPr>
        <w:t xml:space="preserve"> 97.5</w:t>
      </w:r>
      <w:r>
        <w:rPr>
          <w:rFonts w:ascii="仿宋_GB2312" w:eastAsia="仿宋_GB2312" w:hint="eastAsia"/>
          <w:sz w:val="32"/>
          <w:szCs w:val="32"/>
        </w:rPr>
        <w:t>分。具体自评情况见附表。（附件）</w:t>
      </w:r>
      <w:r>
        <w:rPr>
          <w:rFonts w:ascii="仿宋_GB2312" w:eastAsia="仿宋_GB2312" w:hint="eastAsia"/>
          <w:sz w:val="32"/>
          <w:szCs w:val="32"/>
        </w:rPr>
        <w:t xml:space="preserve"> </w:t>
      </w:r>
    </w:p>
    <w:p w:rsidR="00BC55C8" w:rsidRDefault="001A41CF">
      <w:pPr>
        <w:spacing w:line="560" w:lineRule="exact"/>
        <w:ind w:firstLineChars="200" w:firstLine="640"/>
        <w:rPr>
          <w:rFonts w:ascii="仿宋_GB2312" w:eastAsia="仿宋_GB2312"/>
          <w:sz w:val="32"/>
          <w:szCs w:val="32"/>
        </w:rPr>
      </w:pPr>
      <w:r>
        <w:rPr>
          <w:rFonts w:ascii="仿宋_GB2312" w:eastAsia="仿宋_GB2312" w:hint="eastAsia"/>
          <w:sz w:val="32"/>
          <w:szCs w:val="32"/>
        </w:rPr>
        <w:t>评价结论：在资金使用方面，严格制定和执行了财务管理核算制度，资金使用规范，技术评估基础数据收集、资料来源和依据等佐证材料齐全、建档规范；成本控制有效，无挪用、截留经费的情况发生。在项目管理方面，建立了相关制度，提高了技术评估工作人员的业务能力及项目的监管水</w:t>
      </w:r>
      <w:r>
        <w:rPr>
          <w:rFonts w:ascii="仿宋_GB2312" w:eastAsia="仿宋_GB2312" w:hint="eastAsia"/>
          <w:sz w:val="32"/>
          <w:szCs w:val="32"/>
        </w:rPr>
        <w:lastRenderedPageBreak/>
        <w:t>平，保质保量的完成了技术评估工作。如今，技术评估工作成为环境管理和战略环评、规划环评及项目环评审批不可或缺的工作，在促进新疆经济社会绿色发展，优化经济增长，建设资源节约型、环境友好型社会，预防控制环境污染、生态破坏和环境风险，调整产业结构、优化产业布局，保</w:t>
      </w:r>
      <w:r>
        <w:rPr>
          <w:rFonts w:ascii="仿宋_GB2312" w:eastAsia="仿宋_GB2312" w:hint="eastAsia"/>
          <w:sz w:val="32"/>
          <w:szCs w:val="32"/>
        </w:rPr>
        <w:t>护人群健康等方面发挥了不可替代的重要作用。</w:t>
      </w:r>
    </w:p>
    <w:p w:rsidR="00BC55C8" w:rsidRDefault="001A41CF">
      <w:pPr>
        <w:spacing w:line="560" w:lineRule="exact"/>
        <w:ind w:firstLine="640"/>
        <w:rPr>
          <w:rStyle w:val="ac"/>
          <w:rFonts w:ascii="黑体" w:eastAsia="黑体" w:hAnsi="黑体"/>
          <w:b w:val="0"/>
          <w:spacing w:val="-4"/>
          <w:sz w:val="32"/>
          <w:szCs w:val="32"/>
        </w:rPr>
      </w:pPr>
      <w:r>
        <w:rPr>
          <w:rFonts w:ascii="仿宋_GB2312" w:eastAsia="仿宋_GB2312" w:hint="eastAsia"/>
          <w:color w:val="FF0000"/>
          <w:spacing w:val="-4"/>
          <w:sz w:val="32"/>
          <w:szCs w:val="32"/>
        </w:rPr>
        <w:t xml:space="preserve"> </w:t>
      </w:r>
      <w:r>
        <w:rPr>
          <w:rStyle w:val="ac"/>
          <w:rFonts w:ascii="黑体" w:eastAsia="黑体" w:hAnsi="黑体" w:hint="eastAsia"/>
          <w:b w:val="0"/>
          <w:spacing w:val="-4"/>
          <w:sz w:val="32"/>
          <w:szCs w:val="32"/>
        </w:rPr>
        <w:t>七、附表</w:t>
      </w:r>
    </w:p>
    <w:p w:rsidR="00BC55C8" w:rsidRDefault="001A41CF">
      <w:pPr>
        <w:spacing w:line="560" w:lineRule="exact"/>
        <w:ind w:firstLine="640"/>
        <w:rPr>
          <w:rStyle w:val="ac"/>
          <w:rFonts w:ascii="仿宋" w:eastAsia="仿宋" w:hAnsi="仿宋"/>
          <w:b w:val="0"/>
          <w:spacing w:val="-4"/>
          <w:sz w:val="32"/>
          <w:szCs w:val="32"/>
        </w:rPr>
      </w:pPr>
      <w:r>
        <w:rPr>
          <w:rStyle w:val="ac"/>
          <w:rFonts w:ascii="仿宋" w:eastAsia="仿宋" w:hAnsi="仿宋" w:hint="eastAsia"/>
          <w:b w:val="0"/>
          <w:spacing w:val="-4"/>
          <w:sz w:val="32"/>
          <w:szCs w:val="32"/>
        </w:rPr>
        <w:t>《项目支出绩效目标自评表》</w:t>
      </w:r>
    </w:p>
    <w:sectPr w:rsidR="00BC55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1CF" w:rsidRDefault="001A41CF" w:rsidP="00C06161">
      <w:r>
        <w:separator/>
      </w:r>
    </w:p>
  </w:endnote>
  <w:endnote w:type="continuationSeparator" w:id="0">
    <w:p w:rsidR="001A41CF" w:rsidRDefault="001A41CF" w:rsidP="00C06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1CF" w:rsidRDefault="001A41CF" w:rsidP="00C06161">
      <w:r>
        <w:separator/>
      </w:r>
    </w:p>
  </w:footnote>
  <w:footnote w:type="continuationSeparator" w:id="0">
    <w:p w:rsidR="001A41CF" w:rsidRDefault="001A41CF" w:rsidP="00C06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6D7497"/>
    <w:multiLevelType w:val="singleLevel"/>
    <w:tmpl w:val="6D6D7497"/>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A41CF"/>
    <w:rsid w:val="005162F1"/>
    <w:rsid w:val="00535153"/>
    <w:rsid w:val="00855E3A"/>
    <w:rsid w:val="00922CB9"/>
    <w:rsid w:val="00A26421"/>
    <w:rsid w:val="00A4293B"/>
    <w:rsid w:val="00B41F61"/>
    <w:rsid w:val="00BC55C8"/>
    <w:rsid w:val="00C06161"/>
    <w:rsid w:val="00C56C72"/>
    <w:rsid w:val="00CA6457"/>
    <w:rsid w:val="00D17F2E"/>
    <w:rsid w:val="00E769FE"/>
    <w:rsid w:val="00EA2CBE"/>
    <w:rsid w:val="00F32FEE"/>
    <w:rsid w:val="01971FF3"/>
    <w:rsid w:val="020D4026"/>
    <w:rsid w:val="021014AC"/>
    <w:rsid w:val="03CE040D"/>
    <w:rsid w:val="042C3925"/>
    <w:rsid w:val="04754D53"/>
    <w:rsid w:val="04E23943"/>
    <w:rsid w:val="0503103F"/>
    <w:rsid w:val="065D0874"/>
    <w:rsid w:val="077335DF"/>
    <w:rsid w:val="07D46606"/>
    <w:rsid w:val="084D4212"/>
    <w:rsid w:val="095354B8"/>
    <w:rsid w:val="0AA66652"/>
    <w:rsid w:val="0B873B7C"/>
    <w:rsid w:val="0BD06C22"/>
    <w:rsid w:val="0DD371D1"/>
    <w:rsid w:val="0F296BD2"/>
    <w:rsid w:val="0F8A0535"/>
    <w:rsid w:val="0FBB46C9"/>
    <w:rsid w:val="0FBF5D18"/>
    <w:rsid w:val="0FF941CA"/>
    <w:rsid w:val="107378E5"/>
    <w:rsid w:val="112437B1"/>
    <w:rsid w:val="116F5488"/>
    <w:rsid w:val="1233113F"/>
    <w:rsid w:val="13115545"/>
    <w:rsid w:val="132B7406"/>
    <w:rsid w:val="13802403"/>
    <w:rsid w:val="13FD0595"/>
    <w:rsid w:val="142C2004"/>
    <w:rsid w:val="14EB519B"/>
    <w:rsid w:val="1613754C"/>
    <w:rsid w:val="16594F3A"/>
    <w:rsid w:val="179515A1"/>
    <w:rsid w:val="17BD730E"/>
    <w:rsid w:val="18C5379C"/>
    <w:rsid w:val="191029FE"/>
    <w:rsid w:val="192A6525"/>
    <w:rsid w:val="1A694F60"/>
    <w:rsid w:val="1AD60B55"/>
    <w:rsid w:val="1BBA216F"/>
    <w:rsid w:val="1C9844D8"/>
    <w:rsid w:val="1CA408C7"/>
    <w:rsid w:val="1CEB33BE"/>
    <w:rsid w:val="1E3C0ADD"/>
    <w:rsid w:val="1E61617F"/>
    <w:rsid w:val="1E8576AA"/>
    <w:rsid w:val="1E9A4944"/>
    <w:rsid w:val="1FDA3277"/>
    <w:rsid w:val="1FF66F65"/>
    <w:rsid w:val="207F167E"/>
    <w:rsid w:val="208507BD"/>
    <w:rsid w:val="21F1565C"/>
    <w:rsid w:val="221C6EE7"/>
    <w:rsid w:val="22975E1E"/>
    <w:rsid w:val="23495F04"/>
    <w:rsid w:val="23931CC4"/>
    <w:rsid w:val="23E2777B"/>
    <w:rsid w:val="24A70B4A"/>
    <w:rsid w:val="2555049C"/>
    <w:rsid w:val="27962116"/>
    <w:rsid w:val="287710BC"/>
    <w:rsid w:val="29AB17AB"/>
    <w:rsid w:val="29CC2A19"/>
    <w:rsid w:val="29ED7744"/>
    <w:rsid w:val="29F83105"/>
    <w:rsid w:val="2AE029B2"/>
    <w:rsid w:val="2C8A3EAD"/>
    <w:rsid w:val="2D035FFD"/>
    <w:rsid w:val="2D24290C"/>
    <w:rsid w:val="2D873EC7"/>
    <w:rsid w:val="2D962737"/>
    <w:rsid w:val="2EA71629"/>
    <w:rsid w:val="2F30342F"/>
    <w:rsid w:val="2F36782C"/>
    <w:rsid w:val="2F811B83"/>
    <w:rsid w:val="2FB22790"/>
    <w:rsid w:val="2FFC0756"/>
    <w:rsid w:val="32156D52"/>
    <w:rsid w:val="32175A27"/>
    <w:rsid w:val="32685F73"/>
    <w:rsid w:val="33524271"/>
    <w:rsid w:val="352E320B"/>
    <w:rsid w:val="356156C9"/>
    <w:rsid w:val="35963067"/>
    <w:rsid w:val="35A74A91"/>
    <w:rsid w:val="36136D8D"/>
    <w:rsid w:val="36ED2B1B"/>
    <w:rsid w:val="371C7E93"/>
    <w:rsid w:val="37E97ECA"/>
    <w:rsid w:val="38A647E5"/>
    <w:rsid w:val="38A92C11"/>
    <w:rsid w:val="38C03A97"/>
    <w:rsid w:val="38CA3F6E"/>
    <w:rsid w:val="38E13878"/>
    <w:rsid w:val="3AAA6FF0"/>
    <w:rsid w:val="3ACE7868"/>
    <w:rsid w:val="3B0B7DC4"/>
    <w:rsid w:val="3BD42FBF"/>
    <w:rsid w:val="3C9D30DD"/>
    <w:rsid w:val="3E12787E"/>
    <w:rsid w:val="3F406A72"/>
    <w:rsid w:val="3FBD6814"/>
    <w:rsid w:val="422900A0"/>
    <w:rsid w:val="42BB0566"/>
    <w:rsid w:val="42EB4F69"/>
    <w:rsid w:val="43CE6B45"/>
    <w:rsid w:val="44FE5DE9"/>
    <w:rsid w:val="464E1CC9"/>
    <w:rsid w:val="46621709"/>
    <w:rsid w:val="46F2708F"/>
    <w:rsid w:val="46F31705"/>
    <w:rsid w:val="474C3E59"/>
    <w:rsid w:val="47D45687"/>
    <w:rsid w:val="4820196E"/>
    <w:rsid w:val="48251F51"/>
    <w:rsid w:val="48257153"/>
    <w:rsid w:val="48313B79"/>
    <w:rsid w:val="486D03C1"/>
    <w:rsid w:val="4D1E6ACA"/>
    <w:rsid w:val="4D9F04C2"/>
    <w:rsid w:val="4E307F54"/>
    <w:rsid w:val="4EBB5805"/>
    <w:rsid w:val="519901CC"/>
    <w:rsid w:val="52007C3D"/>
    <w:rsid w:val="523F2D7F"/>
    <w:rsid w:val="52A35D33"/>
    <w:rsid w:val="52EA2409"/>
    <w:rsid w:val="53926D67"/>
    <w:rsid w:val="53A055F6"/>
    <w:rsid w:val="548D6AFD"/>
    <w:rsid w:val="56E229BD"/>
    <w:rsid w:val="56F5589E"/>
    <w:rsid w:val="57742D4D"/>
    <w:rsid w:val="57A00E26"/>
    <w:rsid w:val="595D37FA"/>
    <w:rsid w:val="597F7EBB"/>
    <w:rsid w:val="59B503CC"/>
    <w:rsid w:val="5A143EBA"/>
    <w:rsid w:val="5A6F2284"/>
    <w:rsid w:val="5BA22160"/>
    <w:rsid w:val="5BCD017B"/>
    <w:rsid w:val="5CAA2CF2"/>
    <w:rsid w:val="5CB13157"/>
    <w:rsid w:val="5D5D6443"/>
    <w:rsid w:val="5DCB3BD7"/>
    <w:rsid w:val="5E977CBA"/>
    <w:rsid w:val="5EA542CF"/>
    <w:rsid w:val="5EAB4A57"/>
    <w:rsid w:val="5F9272BA"/>
    <w:rsid w:val="5FEA33A9"/>
    <w:rsid w:val="600F4EEB"/>
    <w:rsid w:val="61F722F4"/>
    <w:rsid w:val="620F6792"/>
    <w:rsid w:val="634F0B23"/>
    <w:rsid w:val="646925F5"/>
    <w:rsid w:val="65524033"/>
    <w:rsid w:val="65EF5689"/>
    <w:rsid w:val="669A62C9"/>
    <w:rsid w:val="66F76FC9"/>
    <w:rsid w:val="67B90900"/>
    <w:rsid w:val="68A73F95"/>
    <w:rsid w:val="6A401D51"/>
    <w:rsid w:val="6B18367F"/>
    <w:rsid w:val="6BAB4310"/>
    <w:rsid w:val="6BB65CF5"/>
    <w:rsid w:val="6D476422"/>
    <w:rsid w:val="6EB30E5F"/>
    <w:rsid w:val="6F2D3C9A"/>
    <w:rsid w:val="720534FE"/>
    <w:rsid w:val="72DE2C64"/>
    <w:rsid w:val="72F218DB"/>
    <w:rsid w:val="73B67EDF"/>
    <w:rsid w:val="73E9382E"/>
    <w:rsid w:val="740F4E07"/>
    <w:rsid w:val="754C2D35"/>
    <w:rsid w:val="75E25C62"/>
    <w:rsid w:val="764969A6"/>
    <w:rsid w:val="79471037"/>
    <w:rsid w:val="79C0376F"/>
    <w:rsid w:val="7E04047B"/>
    <w:rsid w:val="7E046A8D"/>
    <w:rsid w:val="7F3F5D30"/>
    <w:rsid w:val="7F605E3A"/>
    <w:rsid w:val="7F68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6DDC1B-4B81-4BCF-A835-7BEA31B2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a8"/>
    <w:uiPriority w:val="11"/>
    <w:qFormat/>
    <w:pPr>
      <w:widowControl/>
      <w:spacing w:after="60"/>
      <w:jc w:val="center"/>
      <w:outlineLvl w:val="1"/>
    </w:pPr>
    <w:rPr>
      <w:rFonts w:asciiTheme="majorHAnsi" w:eastAsiaTheme="majorEastAsia" w:hAnsiTheme="majorHAnsi"/>
      <w:kern w:val="0"/>
      <w:sz w:val="24"/>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a">
    <w:name w:val="Title"/>
    <w:basedOn w:val="a"/>
    <w:next w:val="a"/>
    <w:link w:val="ab"/>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c">
    <w:name w:val="Strong"/>
    <w:basedOn w:val="a0"/>
    <w:qFormat/>
    <w:rPr>
      <w:b/>
      <w:bCs/>
    </w:rPr>
  </w:style>
  <w:style w:type="character" w:styleId="ad">
    <w:name w:val="FollowedHyperlink"/>
    <w:basedOn w:val="a0"/>
    <w:uiPriority w:val="99"/>
    <w:semiHidden/>
    <w:unhideWhenUsed/>
    <w:qFormat/>
    <w:rPr>
      <w:color w:val="333333"/>
      <w:u w:val="none"/>
    </w:rPr>
  </w:style>
  <w:style w:type="character" w:styleId="ae">
    <w:name w:val="Emphasis"/>
    <w:basedOn w:val="a0"/>
    <w:uiPriority w:val="20"/>
    <w:qFormat/>
    <w:rPr>
      <w:rFonts w:asciiTheme="minorHAnsi" w:hAnsiTheme="minorHAnsi"/>
      <w:b/>
      <w:i/>
      <w:iCs/>
    </w:rPr>
  </w:style>
  <w:style w:type="character" w:styleId="af">
    <w:name w:val="Hyperlink"/>
    <w:basedOn w:val="a0"/>
    <w:uiPriority w:val="99"/>
    <w:semiHidden/>
    <w:unhideWhenUsed/>
    <w:qFormat/>
    <w:rPr>
      <w:color w:val="333333"/>
      <w:u w:val="none"/>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b">
    <w:name w:val="标题 字符"/>
    <w:basedOn w:val="a0"/>
    <w:link w:val="aa"/>
    <w:uiPriority w:val="10"/>
    <w:qFormat/>
    <w:rPr>
      <w:rFonts w:asciiTheme="majorHAnsi" w:eastAsiaTheme="majorEastAsia" w:hAnsiTheme="majorHAnsi"/>
      <w:b/>
      <w:bCs/>
      <w:kern w:val="28"/>
      <w:sz w:val="32"/>
      <w:szCs w:val="32"/>
    </w:rPr>
  </w:style>
  <w:style w:type="character" w:customStyle="1" w:styleId="a8">
    <w:name w:val="副标题 字符"/>
    <w:basedOn w:val="a0"/>
    <w:link w:val="a7"/>
    <w:uiPriority w:val="11"/>
    <w:qFormat/>
    <w:rPr>
      <w:rFonts w:asciiTheme="majorHAnsi" w:eastAsiaTheme="majorEastAsia" w:hAnsiTheme="majorHAnsi"/>
      <w:sz w:val="24"/>
      <w:szCs w:val="24"/>
    </w:rPr>
  </w:style>
  <w:style w:type="paragraph" w:styleId="af0">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1">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2">
    <w:name w:val="Quote"/>
    <w:basedOn w:val="a"/>
    <w:next w:val="a"/>
    <w:link w:val="af3"/>
    <w:uiPriority w:val="29"/>
    <w:qFormat/>
    <w:pPr>
      <w:widowControl/>
      <w:jc w:val="left"/>
    </w:pPr>
    <w:rPr>
      <w:rFonts w:asciiTheme="minorHAnsi" w:eastAsiaTheme="minorEastAsia" w:hAnsiTheme="minorHAnsi"/>
      <w:i/>
      <w:kern w:val="0"/>
      <w:sz w:val="24"/>
    </w:rPr>
  </w:style>
  <w:style w:type="character" w:customStyle="1" w:styleId="af3">
    <w:name w:val="引用 字符"/>
    <w:basedOn w:val="a0"/>
    <w:link w:val="af2"/>
    <w:uiPriority w:val="29"/>
    <w:qFormat/>
    <w:rPr>
      <w:i/>
      <w:sz w:val="24"/>
      <w:szCs w:val="24"/>
    </w:rPr>
  </w:style>
  <w:style w:type="paragraph" w:styleId="af4">
    <w:name w:val="Intense Quote"/>
    <w:basedOn w:val="a"/>
    <w:next w:val="a"/>
    <w:link w:val="af5"/>
    <w:uiPriority w:val="30"/>
    <w:qFormat/>
    <w:pPr>
      <w:widowControl/>
      <w:ind w:left="720" w:right="720"/>
      <w:jc w:val="left"/>
    </w:pPr>
    <w:rPr>
      <w:rFonts w:asciiTheme="minorHAnsi" w:eastAsiaTheme="minorEastAsia" w:hAnsiTheme="minorHAnsi"/>
      <w:b/>
      <w:i/>
      <w:kern w:val="0"/>
      <w:sz w:val="24"/>
      <w:szCs w:val="22"/>
    </w:rPr>
  </w:style>
  <w:style w:type="character" w:customStyle="1" w:styleId="af5">
    <w:name w:val="明显引用 字符"/>
    <w:basedOn w:val="a0"/>
    <w:link w:val="af4"/>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6">
    <w:name w:val="页眉 字符"/>
    <w:basedOn w:val="a0"/>
    <w:link w:val="a5"/>
    <w:uiPriority w:val="99"/>
    <w:qFormat/>
    <w:rPr>
      <w:rFonts w:ascii="Calibri" w:eastAsia="宋体" w:hAnsi="Calibri"/>
      <w:kern w:val="2"/>
      <w:sz w:val="18"/>
      <w:szCs w:val="18"/>
    </w:rPr>
  </w:style>
  <w:style w:type="character" w:customStyle="1" w:styleId="a4">
    <w:name w:val="页脚 字符"/>
    <w:basedOn w:val="a0"/>
    <w:link w:val="a3"/>
    <w:uiPriority w:val="99"/>
    <w:qFormat/>
    <w:rPr>
      <w:rFonts w:ascii="Calibri" w:eastAsia="宋体" w:hAnsi="Calibri"/>
      <w:kern w:val="2"/>
      <w:sz w:val="18"/>
      <w:szCs w:val="18"/>
    </w:rPr>
  </w:style>
  <w:style w:type="character" w:customStyle="1" w:styleId="hover5">
    <w:name w:val="hover5"/>
    <w:basedOn w:val="a0"/>
    <w:qFormat/>
    <w:rPr>
      <w:color w:val="000000"/>
      <w:shd w:val="clear" w:color="auto" w:fill="FFFFFF"/>
    </w:rPr>
  </w:style>
  <w:style w:type="character" w:customStyle="1" w:styleId="wx-space">
    <w:name w:val="wx-space"/>
    <w:basedOn w:val="a0"/>
    <w:qFormat/>
  </w:style>
  <w:style w:type="character" w:customStyle="1" w:styleId="wx-space1">
    <w:name w:val="wx-space1"/>
    <w:basedOn w:val="a0"/>
    <w:qFormat/>
  </w:style>
  <w:style w:type="paragraph" w:customStyle="1" w:styleId="zghpwzzw">
    <w:name w:val="zghp_wz_zw"/>
    <w:basedOn w:val="a"/>
    <w:qFormat/>
    <w:pPr>
      <w:widowControl/>
      <w:spacing w:line="320" w:lineRule="atLeast"/>
      <w:ind w:firstLine="420"/>
      <w:jc w:val="left"/>
    </w:pPr>
    <w:rPr>
      <w:rFonts w:ascii="宋体" w:hAnsi="宋体"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781</Words>
  <Characters>4456</Characters>
  <Application>Microsoft Office Word</Application>
  <DocSecurity>0</DocSecurity>
  <Lines>37</Lines>
  <Paragraphs>10</Paragraphs>
  <ScaleCrop>false</ScaleCrop>
  <Company>beikeit</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beikeit.com</cp:lastModifiedBy>
  <cp:revision>6</cp:revision>
  <cp:lastPrinted>2019-01-21T08:42:00Z</cp:lastPrinted>
  <dcterms:created xsi:type="dcterms:W3CDTF">2018-08-15T02:06:00Z</dcterms:created>
  <dcterms:modified xsi:type="dcterms:W3CDTF">2024-03-27T08:27:00Z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