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pPr>
      <w:r>
        <w:rPr>
          <w:rFonts w:ascii="微软雅黑" w:hAnsi="微软雅黑" w:eastAsia="微软雅黑" w:cs="微软雅黑"/>
          <w:i w:val="0"/>
          <w:caps w:val="0"/>
          <w:color w:val="000000"/>
          <w:spacing w:val="0"/>
          <w:sz w:val="24"/>
          <w:szCs w:val="24"/>
          <w:bdr w:val="none" w:color="auto" w:sz="0" w:space="0"/>
          <w:shd w:val="clear" w:fill="FFFFFF"/>
        </w:rPr>
        <w:t>2018年度自治区审计厅部门决算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pPr>
      <w:r>
        <w:rPr>
          <w:rFonts w:hint="eastAsia" w:ascii="微软雅黑" w:hAnsi="微软雅黑" w:eastAsia="微软雅黑" w:cs="微软雅黑"/>
          <w:i w:val="0"/>
          <w:caps w:val="0"/>
          <w:color w:val="000000"/>
          <w:spacing w:val="0"/>
          <w:sz w:val="24"/>
          <w:szCs w:val="24"/>
          <w:bdr w:val="none" w:color="auto" w:sz="0" w:space="0"/>
          <w:shd w:val="clear" w:fill="FFFFFF"/>
        </w:rPr>
        <w:t>公开说明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pPr>
      <w:r>
        <w:rPr>
          <w:rFonts w:hint="eastAsia" w:ascii="微软雅黑" w:hAnsi="微软雅黑" w:eastAsia="微软雅黑" w:cs="微软雅黑"/>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pPr>
      <w:r>
        <w:rPr>
          <w:rFonts w:hint="eastAsia" w:ascii="微软雅黑" w:hAnsi="微软雅黑" w:eastAsia="微软雅黑" w:cs="微软雅黑"/>
          <w:i w:val="0"/>
          <w:caps w:val="0"/>
          <w:color w:val="000000"/>
          <w:spacing w:val="0"/>
          <w:sz w:val="24"/>
          <w:szCs w:val="24"/>
          <w:bdr w:val="none" w:color="auto" w:sz="0" w:space="0"/>
          <w:shd w:val="clear" w:fill="FFFFFF"/>
        </w:rPr>
        <w:t>目  录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pPr>
      <w:r>
        <w:rPr>
          <w:rStyle w:val="4"/>
          <w:rFonts w:hint="eastAsia" w:ascii="微软雅黑" w:hAnsi="微软雅黑" w:eastAsia="微软雅黑" w:cs="微软雅黑"/>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第一部分 部门单位概况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二、机构设置情况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第二部分 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一、部门收支总体情况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（一）部门收入支出决算总体情况说明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（二）部门收入总体情况说明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（三）部门支出总体情况说明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二、部门财政拨款收支情况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（一）财政拨款收支总体情况说明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（二）一般公共预算收支决算情况说明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（三）政府性基金预算收支决算情况说明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三、部门结转结余情况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四、一般公共预算“三公”经费支出情况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五、机关运行经费支出情况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六、政府采购情况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七、其他重要事项的情况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（一）国有资产占用情况说明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（二）预算绩效情况的说明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第三部分 专业名词解释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第四部分 部门决算公开的8张报表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《收入支出决算总表》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《收入决算表》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《财政拨款收入支出决算总表》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《一般公共预算财政拨款支出决算表》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《一般公共预算财政拨款基本支出决算表》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《一般公共预算财政拨款“三公”经费支出决算表》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《政府性基金预算财政拨款收入支出决算表》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both"/>
      </w:pPr>
      <w:r>
        <w:rPr>
          <w:rFonts w:hint="eastAsia" w:ascii="微软雅黑" w:hAnsi="微软雅黑" w:eastAsia="微软雅黑" w:cs="微软雅黑"/>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left"/>
      </w:pPr>
      <w:r>
        <w:rPr>
          <w:rFonts w:hint="eastAsia" w:ascii="微软雅黑" w:hAnsi="微软雅黑" w:eastAsia="微软雅黑" w:cs="微软雅黑"/>
          <w:i w:val="0"/>
          <w:caps w:val="0"/>
          <w:color w:val="000000"/>
          <w:spacing w:val="0"/>
          <w:sz w:val="24"/>
          <w:szCs w:val="24"/>
          <w:bdr w:val="none" w:color="auto" w:sz="0" w:space="0"/>
          <w:shd w:val="clear" w:fill="FFFFFF"/>
        </w:rPr>
        <w:t>第一部分 部门单位概况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（一）自治区审计厅部门主要职能。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1）主管全疆审计工作。负责对全区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的结果承担责任，并负有督促被审计单位整改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贯彻执行国家有关审计法律、法规和方针政策；制定并组织实施审计工作发展规划、专业领域审计工作规划和年度审计计划。参与起草地方性财政经济及相关的地方性法规和规章草案；对直接审计、调查和核查的事项依法进行审计评价，做出审计决定或提出审计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3）向自治区人民政府和国家审计署提出年度区本级预算执行和其他财政收支情况的审计结果报告。受自治区人民政府委托向自治区人大常委会提出区本级预算执行和其他财政收支情况的审计工作报告、审计发现问题的纠正和处理结果报告。向自治区人民政府报告对其他事项的审计和专项审计调查情况及结果。依法向社会公布审计结果。向自治区人民政府有关部门及地、州、市人民政府通报审计情况和审计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（4）直接审计下列事项，出具审计报告，在法定职权范围内做出审计决定或向有关主管机关提出处理处罚的建议：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一是自治区本级财政预算执行情况和其他财政收支，自治区人民政府各部门（含直属单位）预算的执行情况、决算和其他财政收支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二是地、州、市人民政府（行署）预算执行情况、决算和其他财政收支，自治区财政转移支付资金。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三是使用自治区本级财政资金的事业单位和社会团体的财务收支。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四是自治区本级财政投资和以区本级财政投资为主的建设项目的预算执行情况和决算。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五是区属国有企业及国有资本控股或占主导地位企业的资产、负债和损益。地方金融机构的资产、负债和损益。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六是自治区人民政府部门，地、州、市人民政府（行署）管理和其他单位受自治区人民政府委托管理的社会保障基金、社会捐赠资金及其他有关基金、资金的财务收支。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七是国际组织和外国政府援助、贷款项目的财务收支。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八是法律、行政法规规定应由自治区审计厅审计的其他事项。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（5）按规定对厅局级领导干部及依法属于自治区审计厅审计监督对象的其他单位主要负责人实施经济责任审计。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（6）组织实施对国家财经法律、法规、规章、政策和宏观调控措施执行情况、财政预算管理或国有资产管理使用等与自治区财政收支有关的特定事项进行专项审计调查。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（7）依法检查审计决定执行情况，督促纠正和处理审计发现的问题，依法办理被审计单位对审计决定提请行政复议、行政诉讼或自治区人民政府裁决中的有关事项。协助配合有关部门查处相关重大案件。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（8）指导和监督内部审计工作，核查社会审计机构对依法属于审计监督对象的单位出具的相关审计报告。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9）与地、州、市人民政府（行署）共同领导地、州、市审计机关。依法领导和监督自治区各级审计机关的业务，组织自治区各级审计机关实施特定项目的专项审计或审计调查纠正或责成纠正自治区各级审计机关违反国家规定做出的审计决定。按照干部管理权限协管地、州、市审计机关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（10）组织审计自治区人民政府及有关部门驻外非经营性机构的财务收支，依法通过适当方式组织审计自治区国有企业和地方金融机构的境外资产、负债和损益。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（11）承担国家审计署授权的审计事项。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（12）指导和推广信息技术在审计领域的应用，组织建设自治区审计信息系统。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（13）承办自治区人民政府交办的其他事项。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（二）新疆维吾尔自治区审计干部宣传教育中心主要职能。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主要职责任务：根据审计署和自治区审计厅干部教育培训规划和年度计划，具体承担审计干部教育培训工作。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（三）新疆维吾尔自治区审计厅机关服务中心主要职能。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主要职责任务：负责审计厅机关的后勤服务等工作。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二、机构设置情况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从决算单位构成看，自治区审计厅部门决算包括：自治区审计厅本级决算、所属单位决算等。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纳入自治区审计厅2018年部门决算编制范围的单位名单见下表：</w:t>
      </w:r>
    </w:p>
    <w:tbl>
      <w:tblPr>
        <w:tblW w:w="103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1617"/>
        <w:gridCol w:w="7576"/>
        <w:gridCol w:w="1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510" w:hRule="atLeast"/>
        </w:trPr>
        <w:tc>
          <w:tcPr>
            <w:tcW w:w="1617"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bdr w:val="none" w:color="auto" w:sz="0" w:space="0"/>
              </w:rPr>
              <w:t>序号</w:t>
            </w:r>
          </w:p>
        </w:tc>
        <w:tc>
          <w:tcPr>
            <w:tcW w:w="7576"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bdr w:val="none" w:color="auto" w:sz="0" w:space="0"/>
              </w:rPr>
              <w:t>单位名称</w:t>
            </w:r>
          </w:p>
        </w:tc>
        <w:tc>
          <w:tcPr>
            <w:tcW w:w="1155"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617"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bdr w:val="none" w:color="auto" w:sz="0" w:space="0"/>
              </w:rPr>
              <w:t>1</w:t>
            </w:r>
          </w:p>
        </w:tc>
        <w:tc>
          <w:tcPr>
            <w:tcW w:w="7576"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bdr w:val="none" w:color="auto" w:sz="0" w:space="0"/>
              </w:rPr>
              <w:t>自治区审计厅本级</w:t>
            </w:r>
          </w:p>
        </w:tc>
        <w:tc>
          <w:tcPr>
            <w:tcW w:w="1155" w:type="dxa"/>
            <w:tcBorders>
              <w:top w:val="nil"/>
              <w:left w:val="nil"/>
              <w:bottom w:val="nil"/>
              <w:right w:val="nil"/>
            </w:tcBorders>
            <w:shd w:val="clear"/>
            <w:tcMar>
              <w:top w:w="0" w:type="dxa"/>
              <w:left w:w="105" w:type="dxa"/>
              <w:bottom w:w="0" w:type="dxa"/>
              <w:right w:w="105"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617"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bdr w:val="none" w:color="auto" w:sz="0" w:space="0"/>
              </w:rPr>
              <w:t>2</w:t>
            </w:r>
          </w:p>
        </w:tc>
        <w:tc>
          <w:tcPr>
            <w:tcW w:w="7576"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bdr w:val="none" w:color="auto" w:sz="0" w:space="0"/>
              </w:rPr>
              <w:t>新疆维吾尔自治区审计干部宣传教育中心</w:t>
            </w:r>
          </w:p>
        </w:tc>
        <w:tc>
          <w:tcPr>
            <w:tcW w:w="1155" w:type="dxa"/>
            <w:tcBorders>
              <w:top w:val="nil"/>
              <w:left w:val="nil"/>
              <w:bottom w:val="nil"/>
              <w:right w:val="nil"/>
            </w:tcBorders>
            <w:shd w:val="clear"/>
            <w:tcMar>
              <w:top w:w="0" w:type="dxa"/>
              <w:left w:w="105" w:type="dxa"/>
              <w:bottom w:w="0" w:type="dxa"/>
              <w:right w:w="105"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1617"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bdr w:val="none" w:color="auto" w:sz="0" w:space="0"/>
              </w:rPr>
              <w:t>3</w:t>
            </w:r>
          </w:p>
        </w:tc>
        <w:tc>
          <w:tcPr>
            <w:tcW w:w="7576" w:type="dxa"/>
            <w:tcBorders>
              <w:top w:val="nil"/>
              <w:left w:val="nil"/>
              <w:bottom w:val="nil"/>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bdr w:val="none" w:color="auto" w:sz="0" w:space="0"/>
              </w:rPr>
              <w:t>新疆维吾尔自治区审计厅机关服务中心</w:t>
            </w:r>
          </w:p>
        </w:tc>
        <w:tc>
          <w:tcPr>
            <w:tcW w:w="1155" w:type="dxa"/>
            <w:tcBorders>
              <w:top w:val="nil"/>
              <w:left w:val="nil"/>
              <w:bottom w:val="nil"/>
              <w:right w:val="nil"/>
            </w:tcBorders>
            <w:shd w:val="clear"/>
            <w:tcMar>
              <w:top w:w="0" w:type="dxa"/>
              <w:left w:w="105" w:type="dxa"/>
              <w:bottom w:w="0" w:type="dxa"/>
              <w:right w:w="105" w:type="dxa"/>
            </w:tcMar>
            <w:vAlign w:val="center"/>
          </w:tcPr>
          <w:p>
            <w:pPr>
              <w:keepNext w:val="0"/>
              <w:keepLines w:val="0"/>
              <w:widowControl/>
              <w:suppressLineNumbers w:val="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30"/>
        <w:jc w:val="center"/>
      </w:pPr>
      <w:r>
        <w:rPr>
          <w:rFonts w:hint="eastAsia" w:ascii="微软雅黑" w:hAnsi="微软雅黑" w:eastAsia="微软雅黑" w:cs="微软雅黑"/>
          <w:i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rFonts w:hint="eastAsia" w:ascii="微软雅黑" w:hAnsi="微软雅黑" w:eastAsia="微软雅黑" w:cs="微软雅黑"/>
          <w:i w:val="0"/>
          <w:caps w:val="0"/>
          <w:color w:val="000000"/>
          <w:spacing w:val="0"/>
          <w:sz w:val="24"/>
          <w:szCs w:val="24"/>
          <w:bdr w:val="none" w:color="auto" w:sz="0" w:space="0"/>
          <w:shd w:val="clear" w:fill="FFFFFF"/>
        </w:rPr>
        <w:t>第二部分 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一、部门收支总体情况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（一）部门收入支出决算总体情况说明。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收入7564.13万元,与上年相比，增加173.48万元，增长2.35%，增减变化主要原因是：2018年调增的基本工资、艰苦边远地区津补贴、抚恤金、访惠聚工作经费和生活补助及追加的绩效考核奖加的绩效考核奖等；支出8617.5万元,与上年相比，增加437.21万元，增长5.34%，增减变化主要原因是：2018年调增的基本工资、艰苦边远地区津补贴、抚恤金、访惠聚工作经费和生活补助及追加的绩效考核奖加的绩效考核奖等；结余1008.42万元，与上年相比，减少1053.37万元，降低51.09%。增减变化主要原因是：执行跨年审计项目，报销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（二）部门收入总体情况说明。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本年收入合计7564.13万元，其中：财政拨款收入7386.76万元，占97.66%；上级补助收入0万元，占0%；事业收入0万元，占0%；经营收入0万元，占0%；附属单位缴款0万元，占0%；其他收入177.37万元，占2.34%。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本年收入年初预算数6303.83万元，决算数7564.13万元，预决算差异率19.99%，差异主要原因从非本级部门取得的财政拨款171万元，银行利息6.37万元和2018年调增的基本工资、艰苦边远地区津补贴、抚恤金、访惠聚工作经费和生活补助及追加的绩效考核奖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（三）部门支出总体情况说明。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本年支出合计8617.50万元，其中：基本支出5084.36万元，占59.00%；项目支出3533.15万元，占41.00%；上缴上级支出0万元，占0%；经营支出0万元，占0%；对附属单位补助支出0万元，占0%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本年支出年初预算数8,365.83万元，决算数8617.5万元，预决算差异率3.12%，差异主要原因主要是2018年调增的基本工资、艰苦边远地区津补贴、追加的抚恤金、访惠聚工作经费和生活补助及追加的绩效考核奖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二、部门财政拨款收支情况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（一）财政拨款收支总体情况说明。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财政拨款收入7386.76万元，与上年相比，增加204.97万元，增长2.85%。增减变化的主要原因是：2018年调增的基本工资、艰苦边远地区津补贴、抚恤金、访惠聚工作经费和生活补助及追加的绩效考核奖等。财政拨款支出8116.43万元，与上年相比，增加661.63万元，增长8.88%，增减变化的主要原因是：2018年调增的基本工资、艰苦边远地区津补贴、追加的抚恤金、访惠聚工作经费和生活补助及追加的绩效考核奖等和增加了政府投资委托审计项目和35个县市扶贫专项审计项目。其中：基本支出5084.08万元，项目支出3032.35万元。财政拨款结转结余1008.42万元，与上年相比，减少1053.37万元，降低51.09%。增减变化主要原因是：执行跨年审计项目，报销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财政拨款收入年初预算:6303.83万元，决算数7386.76万元，预决算差异率17.18%，差异主要原因2018年调增的基本工资、艰苦边远地区津补贴、追加的抚恤金、访惠聚工作经费和生活补助及追加的绩效考核奖加的绩效考核奖等。财政拨款支出年初预算数6303.83万元，决算数8617.50万元，预决算差异率36.70%，差异主要原因2018年调增的基本工资、艰苦边远地区津补贴、追加的抚恤金、访惠聚工作经费和生活补助及追加的绩效考核奖加的绩效考核奖等和增加了政府投资委托审计项目和35个县市扶贫专项审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（二）一般公共预算收支决算情况说明。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一般公共预算财政拨款收入7386.76万元。与上年相比，增加204.97万元，增长2.85%。增减变化的主要原因是：2018年调增的基本工资、艰苦边远地区津补贴、抚恤金、访惠聚工作经费和生活补助及追加的绩效考核奖加的绩效考核奖等。一般公共预算财政拨款支出8116.43万元。与上年相比，增加661.63万元，增长8.88%。增减变化的主要原因是：2018年调增的基本工资、艰苦边远地区津补贴、追加的抚恤金、访惠聚工作经费和生活补助及追加的绩效考核奖加的绩效考核奖等和增加了政府投资委托审计项目和35个县市扶贫专项审计项目。其中：按功能分类科目（按类级科目公开），一般公共服务支出7487.43万元，社会保障和就业支出627.85万元，节能环保支出1.15万元。按经济分类科目（按类级科目公开），工资福利支出3833.27万元，商品和服务支出2553.21万元，对个人和家庭的补助907.15万元，资本性支出822.8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一般公共预算财政拨款收入年初预算数6303.83万元，决算数7386.76万元，预决算差异率17.18%，差异主要原因2018年调增的基本工资、艰苦边远地区津补贴、追加的抚恤金、访惠聚工作经费和生活补助及追加的绩效考核奖加的绩效考核奖等。一般公共预算财政拨款支出年初预算数6303.83万元，决算数8617.50万元，预决算差异率36.70%，差异主要原因2018年调增的基本工资、艰苦边远地区津补贴、追加的抚恤金、访惠聚工作经费和生活补助及追加的绩效考核奖加的绩效考核奖等和执行跨年审计项目，报销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（三）政府性基金预算收支决算情况说明。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政府性基金预算财政拨款收入0万元，与上年相比，增加（减少）0万元，增长（降低）0%。增减变化的主要原因是：无。政府性基金预算支出0万元。与上年相比，增加（减少）0万元，增长（降低）0%。增减变化的主要原因是：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三、部门结转结余情况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年末结转结余1008.42万元。与上年相比，减少1053.37万元，降低51.09%。其中财政拨款结转结余1008.42万元。与上年相比，减少1053.37万元，降低51.09%。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四、一般公共预算“三公”经费支出情况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一般公共预算“三公”经费支出决算105.31万元，比上年减少4.7万元，降低4.27%，减少原因是审计厅认真贯彻中央八项规定和自治区十条规定精神，坚持厉行节约，“三公”经费支出中公务接待费较上年下降4.71万元。其中，因公出国（境）费支出0万元，占0%，比上年增加（减少）0万元，增长（降低）0%，增加（减少）原因是无；公务用车购置及运行维护费支出102.65万元，占97.47%，比上年增加（减少）0万元，增长（降低）0%，增加（减少）原因是无；公务接待费支出2.66万元，占2.53%，比上年减少4.71万元，降低63.91%，减少原因是审计厅认真贯彻中央八项规定和自治区十条规定精神，坚持厉行节约，“三公”经费支出中公务接待费较上年下降4.71万元。具体情况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因公出国（境）费支出0万元。自治区审计厅全年使用一般公共预算财政拨款安排的出国（境）团组0个，累计0人次。开支内容无。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公务用车购置及运行维护费102.65万元,其中，公务用车购置0万元，公务用车运行维护费102.65万元。主要用于单位开展工作公务用车的运行和维护等。单位一般公共财政拨款安排的公务用车购置量0辆，保有量为34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公务接待费2.66万元。具体是：国内公务接待支出2.66万元，主要是接待审计署及对口援疆省份审计厅人员等。自治区审计厅国内公务接待25批次，370人次。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与年初预算数相比情况：一般公共预算“三公”经费支出年初预算数125.65万元，决算数105.31万元，预决算差异率-16.19%，差异主要原因审计厅认真贯彻中央八项规定和自治区十条规定精神，坚持厉行节约，“三公”经费支出中公务接待费较预算减少13.84万元，公务用车运行费较预算减少6.5万元。其中：因公出国（境）费预算数0万元，决算数0万元，预决算差异率0%，差异主要原因无；公务用车购置预算数0万元，决算数0万元，预决算差异率0%，差异主要原因无；公务用车运行费预算数109.15万元，决算数102.65万元，预决算差异率-5.96%，差异主要原因审计厅认真贯彻中央八项规定和自治区十条规定精神，坚持厉行节约，“三公”经费支出中，公务用车运行费较预算减少6.5万元；公务接待费预算数16.5万元，决算数2.66万元，预决算差异率-83.88%，差异主要原因审计厅认真贯彻中央八项规定和自治区十条规定精神，坚持厉行节约，“三公”经费支出中公务接待费较预算减少13.84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五、机关运行经费支出情况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2018年度自治区审计厅（行政单位和参照公务员法管理事业单位）机关运行经费支出752.09万元，比上年减少7.22万元，降低0.95%，主要原因是公务接待费减少。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自治区审计厅（事业单位）日常公用经费25.01万元，其中新疆维吾尔自治区审计干部宣传教育中心日常公用经费6.55万元，比上年减少1.31万元，降低16.67%，主要原因是培训费支出减少。新疆维吾尔自治区审计厅机关服务中心日常公用经费18.46万元，比上年减少4.12万元，降低18.24%，主要原因是差旅费支出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六、政府采购情况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2018年度政府采购支出总额768.36万元，其中：政府采购货物支出767.56万元、政府采购工程支出0万元、政府采购服务支出0.8万元。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七、其他重要事项的情况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（一）国有资产占用情况说明。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截至2018年12月31日，单位共有车辆34辆，价值1155.99万元，其中：部级领导干部用车0辆、主要领导干部用车0辆、机要通信用车0辆、应急保障用车0辆、执法执勤用车0辆、特种专业技术用车0辆、离退休干部用车0辆、其他用车34辆，其他用车主要是：一般公务用车32辆，微型面包车2辆；单位价值50万元以上通用设备5台（套）、单位价值100万元以上专用设备0台（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Style w:val="4"/>
          <w:rFonts w:hint="eastAsia" w:ascii="微软雅黑" w:hAnsi="微软雅黑" w:eastAsia="微软雅黑" w:cs="微软雅黑"/>
          <w:i w:val="0"/>
          <w:caps w:val="0"/>
          <w:color w:val="000000"/>
          <w:spacing w:val="0"/>
          <w:sz w:val="24"/>
          <w:szCs w:val="24"/>
          <w:bdr w:val="none" w:color="auto" w:sz="0" w:space="0"/>
          <w:shd w:val="clear" w:fill="FFFFFF"/>
        </w:rPr>
        <w:t>（二）预算绩效情况的说明。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2018年度，本部门单位预算绩效自评情况：自述有关预算绩效管理和绩效自评开展情况。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全疆审计干部专项培训费项目绩效自评综述：根据年初设定的绩效目标，全疆审计干部专项培训费项目绩效自评得分为100分。项目全年预算数为46.4万元，执行数为24.04万元，完成预算的51.81%。主要产出和效果：一是培训社会影响力有所提升；二是参加培训学员的满意度达到98%以上。发现的问题及原因：一是因为个别业务处室审计工作繁忙，人员实际在岗时间少，一年中大部分时间外出审计，时间紧张且人头少，有部分计划未能按时完成，推后或延期举办。下一步改进措施：一是加强培训管理，全面改进学风，做到培训与考核相结合，硬化“考核”制度，确保培训不走过场、不流于形式，促进培训工作的制度化和常态化，真正达到以训促工作的目的；二是真正把培训与考核结果作为评价、选拔使用干部的重要尺度和依据，加强对培训档案的管理和应用，促进培训工作的良性循环。三是切实增强培训的针对性，对领导干部、审计业务人员以及审计站线上的新兵等各类人员的培训内容、方法、标准要进一步规范。把落实长远规划与年度计划、阶段目标结合起来，解决和处理好工学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审计项目经费项目绩效自评综述：根据年初设定的绩效目标，审计项目经费项目绩效自评得分为100分。项目全年预算数为4254.5万元，执行数为3509.11万元，完成预算的82.48%。主要产出和效果：一是提交审计建议数量50条；二是被审计单位数量85个；三是移送重大案件线索37件，移送处理人员196人；四是提交各类审计报告和信息简报数量62篇。发现的问题及原因：无。下一步改进措施：一是强化思想认识，提高对加快预算执行进度重要性的认识；二是建立长效机制，预算执行与年初计划有效衔接；三是以考促支，建立约束机制，加快预算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rFonts w:hint="eastAsia" w:ascii="微软雅黑" w:hAnsi="微软雅黑" w:eastAsia="微软雅黑" w:cs="微软雅黑"/>
          <w:i w:val="0"/>
          <w:caps w:val="0"/>
          <w:color w:val="000000"/>
          <w:spacing w:val="0"/>
          <w:sz w:val="24"/>
          <w:szCs w:val="24"/>
          <w:bdr w:val="none" w:color="auto" w:sz="0" w:space="0"/>
          <w:shd w:val="clear" w:fill="FFFFFF"/>
        </w:rPr>
        <w:t>第三部分 专业名词解释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财政拨款收入：指同级财政当年拨付的资金。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上级补助收入：指事业单位从主管部门和上级单位取得的非财政补助收入。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事业收入：指事业单位开展专业业务活动及其辅助活动所取得的收入。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经营收入：指事业单位在专业业务活动及其辅助活动之外开展非独立核算经营活动取得的收入。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附属单位上缴收入：指事业单位附属的独立核算单位按有关规定上缴的收入。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其他收入：指除上述“财政拨款收入”、“事业收入”、“经营收入”、“附属单位上缴收入”等之外取得的收入。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上年结转和结余：指以前年度支出预算因客观条件变化未执行完毕、结转到本年度按有关规定继续使用的资金，既包括财政拨款结转和结余，也包括事业收入、经营收入、其他收入的结转和结余。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结余分配：反映单位当年结余的分配情况。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基本支出：指为保障机构正常运转、完成日常工作任务而发生的人员支出和公用支出。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项目支出：指在基本支出之外为完成特定行政任务和事业发展目标所发生的支出。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经营支出：指事业单位在专业业务活动及其辅助活动之外开展非独立核算经营活动发生的支出。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对附属单位补助支出：指事业单位发生的用非财政预算资金对附属单位的补助支出。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本单位支出功能分类说明。201（类）08（款）01（项）：指行政运行（审计事务）。201（类）08（款）03（项）：指机关服务（审计事务）。201（类）08（款）04（项）：指审计业务。201（类）08（款）05（项）：指审计管理。201（类）08（款）06（项）：指信息化建设。201（类）08（款）50（项）：指事业运行（审计事务）。201（类）08（款）99（项）：指其他审计事务支出（审计事务）。208（类）05（款）04（项）：指未归口管理的行政单位离退休。208（类）05（款）05（项）：指机关事业单位基本养老保险缴费支出。208（类）05（款）06（项）：指机关事业单位职业年金缴费支出。208（类）05（款）99（项）：指其他行政事业单位离退休支出。211（类）10（款）01（项）：指能源节约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其他有关说明内容。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jc w:val="left"/>
      </w:pPr>
      <w:r>
        <w:rPr>
          <w:rFonts w:hint="eastAsia" w:ascii="微软雅黑" w:hAnsi="微软雅黑" w:eastAsia="微软雅黑" w:cs="微软雅黑"/>
          <w:i w:val="0"/>
          <w:caps w:val="0"/>
          <w:color w:val="000000"/>
          <w:spacing w:val="0"/>
          <w:sz w:val="24"/>
          <w:szCs w:val="24"/>
          <w:bdr w:val="none" w:color="auto" w:sz="0" w:space="0"/>
          <w:shd w:val="clear" w:fill="FFFFFF"/>
        </w:rPr>
        <w:t>第四部分 部门决算公开的8张报表（见附表）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一、《收入支出决算总表》</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二、《收入决算表》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三、《支出决算表》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四、《财政拨款收入支出决算总表》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五、《一般公共预算财政拨款支出决算明细表》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六、《一般公共预算财政拨款基本支出决算明细表》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七、《一般公共预算财政拨款“三公”经费支出情况表》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left"/>
      </w:pPr>
      <w:r>
        <w:rPr>
          <w:rFonts w:hint="eastAsia" w:ascii="微软雅黑" w:hAnsi="微软雅黑" w:eastAsia="微软雅黑" w:cs="微软雅黑"/>
          <w:i w:val="0"/>
          <w:caps w:val="0"/>
          <w:color w:val="000000"/>
          <w:spacing w:val="0"/>
          <w:sz w:val="24"/>
          <w:szCs w:val="24"/>
          <w:bdr w:val="none" w:color="auto" w:sz="0" w:space="0"/>
          <w:shd w:val="clear" w:fill="FFFFFF"/>
        </w:rPr>
        <w:t>八、《政府性基金预算财政拨款收入支出决算表》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C14D1"/>
    <w:rsid w:val="538C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2024-09-02T08:26:00Z</dcterms:created>
  <dc:creator>Administrator</dc:creator>
  <cp:lastModifiedBy>Administrator</cp:lastModifiedBy>
  <dcterms:modified xsi:type="dcterms:W3CDTF">2024-09-02T08:34:07Z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