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
        <w:rPr>
          <w:rFonts w:ascii="Times New Roman"/>
          <w:sz w:val="22"/>
        </w:rPr>
      </w:pPr>
    </w:p>
    <w:p>
      <w:pPr>
        <w:pStyle w:val="2"/>
        <w:spacing w:before="37" w:line="655" w:lineRule="auto"/>
        <w:ind w:left="3308" w:right="1665" w:hanging="1897"/>
        <w:rPr>
          <w:rFonts w:hint="eastAsia" w:ascii="宋体" w:eastAsia="宋体"/>
        </w:rPr>
      </w:pPr>
      <w:r>
        <w:rPr>
          <w:rFonts w:hint="eastAsia" w:ascii="宋体" w:eastAsia="宋体"/>
        </w:rPr>
        <w:t>新疆维吾尔自治区矿产资源储量评审中心20</w:t>
      </w:r>
      <w:r>
        <w:rPr>
          <w:rFonts w:hint="eastAsia" w:ascii="宋体" w:eastAsia="宋体"/>
          <w:lang w:val="en-US" w:eastAsia="zh-CN"/>
        </w:rPr>
        <w:t>20</w:t>
      </w:r>
      <w:r>
        <w:rPr>
          <w:rFonts w:hint="eastAsia" w:ascii="宋体" w:eastAsia="宋体"/>
        </w:rPr>
        <w:t>年部门预算公开</w:t>
      </w:r>
    </w:p>
    <w:p>
      <w:pPr>
        <w:spacing w:after="0" w:line="655" w:lineRule="auto"/>
        <w:rPr>
          <w:rFonts w:hint="eastAsia" w:ascii="宋体" w:eastAsia="宋体"/>
        </w:rPr>
        <w:sectPr>
          <w:type w:val="continuous"/>
          <w:pgSz w:w="11910" w:h="16840"/>
          <w:pgMar w:top="1580" w:right="280" w:bottom="280" w:left="600" w:header="720" w:footer="720" w:gutter="0"/>
        </w:sectPr>
      </w:pPr>
    </w:p>
    <w:p>
      <w:pPr>
        <w:tabs>
          <w:tab w:val="left" w:pos="1108"/>
        </w:tabs>
        <w:spacing w:before="25"/>
        <w:ind w:left="0" w:right="316" w:firstLine="0"/>
        <w:jc w:val="center"/>
        <w:rPr>
          <w:rFonts w:hint="eastAsia" w:ascii="宋体" w:eastAsia="宋体"/>
          <w:b/>
          <w:sz w:val="44"/>
        </w:rPr>
      </w:pPr>
      <w:r>
        <w:rPr>
          <w:rFonts w:hint="eastAsia" w:ascii="宋体" w:eastAsia="宋体"/>
          <w:b/>
          <w:sz w:val="44"/>
        </w:rPr>
        <w:t>目</w:t>
      </w:r>
      <w:r>
        <w:rPr>
          <w:rFonts w:hint="eastAsia" w:ascii="宋体" w:eastAsia="宋体"/>
          <w:b/>
          <w:sz w:val="44"/>
        </w:rPr>
        <w:tab/>
      </w:r>
      <w:r>
        <w:rPr>
          <w:rFonts w:hint="eastAsia" w:ascii="宋体" w:eastAsia="宋体"/>
          <w:b/>
          <w:sz w:val="44"/>
        </w:rPr>
        <w:t>录</w:t>
      </w:r>
    </w:p>
    <w:p>
      <w:pPr>
        <w:pStyle w:val="7"/>
        <w:rPr>
          <w:rFonts w:ascii="宋体"/>
          <w:b/>
          <w:sz w:val="20"/>
        </w:rPr>
      </w:pPr>
    </w:p>
    <w:p>
      <w:pPr>
        <w:pStyle w:val="7"/>
        <w:rPr>
          <w:rFonts w:ascii="宋体"/>
          <w:b/>
          <w:sz w:val="20"/>
        </w:rPr>
      </w:pPr>
    </w:p>
    <w:p>
      <w:pPr>
        <w:pStyle w:val="7"/>
        <w:spacing w:before="1"/>
        <w:rPr>
          <w:rFonts w:ascii="宋体"/>
          <w:b/>
          <w:sz w:val="19"/>
        </w:rPr>
      </w:pPr>
    </w:p>
    <w:p>
      <w:pPr>
        <w:spacing w:before="62" w:line="376" w:lineRule="auto"/>
        <w:ind w:left="120" w:right="7951" w:firstLine="0"/>
        <w:jc w:val="left"/>
        <w:rPr>
          <w:rFonts w:hint="eastAsia" w:ascii="宋体" w:eastAsia="宋体"/>
          <w:sz w:val="28"/>
        </w:rPr>
      </w:pPr>
      <w:r>
        <w:rPr>
          <w:rFonts w:hint="eastAsia" w:ascii="宋体" w:eastAsia="宋体"/>
          <w:b/>
          <w:sz w:val="28"/>
        </w:rPr>
        <w:t>第一部分 部门单位概况</w:t>
      </w:r>
      <w:r>
        <w:rPr>
          <w:rFonts w:hint="eastAsia" w:ascii="宋体" w:eastAsia="宋体"/>
          <w:sz w:val="28"/>
        </w:rPr>
        <w:t>一、 主要职能</w:t>
      </w:r>
    </w:p>
    <w:p>
      <w:pPr>
        <w:pStyle w:val="7"/>
        <w:spacing w:before="1"/>
        <w:ind w:left="120"/>
        <w:rPr>
          <w:rFonts w:hint="eastAsia" w:ascii="宋体" w:eastAsia="宋体"/>
        </w:rPr>
      </w:pPr>
      <w:r>
        <w:rPr>
          <w:rFonts w:hint="eastAsia" w:ascii="宋体" w:eastAsia="宋体"/>
          <w:spacing w:val="-2"/>
        </w:rPr>
        <w:t>二、 机构设置及人员情况</w:t>
      </w:r>
    </w:p>
    <w:p>
      <w:pPr>
        <w:spacing w:before="203" w:line="376" w:lineRule="auto"/>
        <w:ind w:left="120" w:right="6754" w:firstLine="0"/>
        <w:jc w:val="left"/>
        <w:rPr>
          <w:rFonts w:hint="eastAsia" w:ascii="宋体" w:eastAsia="宋体"/>
          <w:sz w:val="28"/>
        </w:rPr>
      </w:pPr>
      <w:r>
        <w:rPr>
          <w:rFonts w:hint="eastAsia" w:ascii="宋体" w:eastAsia="宋体"/>
          <w:b/>
          <w:sz w:val="28"/>
        </w:rPr>
        <w:t>第二部分 20</w:t>
      </w:r>
      <w:r>
        <w:rPr>
          <w:rFonts w:hint="eastAsia" w:ascii="宋体" w:eastAsia="宋体"/>
          <w:b/>
          <w:sz w:val="28"/>
          <w:lang w:val="en-US" w:eastAsia="zh-CN"/>
        </w:rPr>
        <w:t>20</w:t>
      </w:r>
      <w:r>
        <w:rPr>
          <w:rFonts w:hint="eastAsia" w:ascii="宋体" w:eastAsia="宋体"/>
          <w:b/>
          <w:spacing w:val="-12"/>
          <w:sz w:val="28"/>
        </w:rPr>
        <w:t>年部门预算公开表</w:t>
      </w:r>
      <w:r>
        <w:rPr>
          <w:rFonts w:hint="eastAsia" w:ascii="宋体" w:eastAsia="宋体"/>
          <w:spacing w:val="-2"/>
          <w:sz w:val="28"/>
        </w:rPr>
        <w:t>一、 部门收支总体情况表</w:t>
      </w:r>
    </w:p>
    <w:p>
      <w:pPr>
        <w:pStyle w:val="7"/>
        <w:spacing w:before="2" w:line="376" w:lineRule="auto"/>
        <w:ind w:left="120" w:right="7664"/>
        <w:rPr>
          <w:rFonts w:hint="eastAsia" w:ascii="宋体" w:eastAsia="宋体"/>
        </w:rPr>
      </w:pPr>
      <w:r>
        <w:rPr>
          <w:rFonts w:hint="eastAsia" w:ascii="宋体" w:eastAsia="宋体"/>
          <w:spacing w:val="-4"/>
        </w:rPr>
        <w:t>二、 部门收入总体情况表三、 部门支出总体情况表</w:t>
      </w:r>
    </w:p>
    <w:p>
      <w:pPr>
        <w:pStyle w:val="7"/>
        <w:spacing w:line="376" w:lineRule="auto"/>
        <w:ind w:left="120" w:right="7102"/>
        <w:rPr>
          <w:rFonts w:hint="eastAsia" w:ascii="宋体" w:eastAsia="宋体"/>
        </w:rPr>
      </w:pPr>
      <w:r>
        <w:rPr>
          <w:rFonts w:hint="eastAsia" w:ascii="宋体" w:eastAsia="宋体"/>
        </w:rPr>
        <w:t>四、 财政拨款收支总体情况表五、 一般公共预算支出情况表</w:t>
      </w:r>
    </w:p>
    <w:p>
      <w:pPr>
        <w:pStyle w:val="7"/>
        <w:spacing w:line="376" w:lineRule="auto"/>
        <w:ind w:left="120" w:right="6543"/>
        <w:rPr>
          <w:rFonts w:hint="eastAsia" w:ascii="宋体" w:eastAsia="宋体"/>
        </w:rPr>
      </w:pPr>
      <w:r>
        <w:rPr>
          <w:rFonts w:hint="eastAsia" w:ascii="宋体" w:eastAsia="宋体"/>
        </w:rPr>
        <w:t>六、 一般公共预算基本支出情况表七、 项目支出情况表</w:t>
      </w:r>
    </w:p>
    <w:p>
      <w:pPr>
        <w:pStyle w:val="7"/>
        <w:spacing w:line="376" w:lineRule="auto"/>
        <w:ind w:left="120" w:right="5425"/>
        <w:rPr>
          <w:rFonts w:hint="eastAsia" w:ascii="宋体" w:hAnsi="宋体" w:eastAsia="宋体"/>
        </w:rPr>
      </w:pPr>
      <w:r>
        <w:rPr>
          <w:rFonts w:hint="eastAsia" w:ascii="宋体" w:hAnsi="宋体" w:eastAsia="宋体"/>
        </w:rPr>
        <w:t>八、 一般公共预算“三公”经费支出情况表九、 政府性基金预算支出情况表</w:t>
      </w:r>
    </w:p>
    <w:p>
      <w:pPr>
        <w:pStyle w:val="6"/>
        <w:ind w:left="120"/>
        <w:rPr>
          <w:rFonts w:hint="eastAsia" w:ascii="宋体" w:eastAsia="宋体"/>
        </w:rPr>
      </w:pPr>
      <w:r>
        <w:rPr>
          <w:rFonts w:hint="eastAsia" w:ascii="宋体" w:eastAsia="宋体"/>
        </w:rPr>
        <w:t>第三部分 2018 年部门预算情况说明</w:t>
      </w:r>
    </w:p>
    <w:p>
      <w:pPr>
        <w:pStyle w:val="7"/>
        <w:spacing w:before="202" w:line="376" w:lineRule="auto"/>
        <w:ind w:left="120" w:right="4440"/>
        <w:rPr>
          <w:rFonts w:hint="eastAsia" w:ascii="宋体" w:eastAsia="宋体"/>
        </w:rPr>
      </w:pPr>
      <w:r>
        <w:rPr>
          <w:rFonts w:hint="eastAsia" w:ascii="宋体" w:eastAsia="宋体"/>
          <w:spacing w:val="-7"/>
        </w:rPr>
        <w:t xml:space="preserve">一、 关于评审中心 </w:t>
      </w:r>
      <w:r>
        <w:rPr>
          <w:rFonts w:hint="eastAsia" w:ascii="宋体" w:eastAsia="宋体"/>
        </w:rPr>
        <w:t>20</w:t>
      </w:r>
      <w:r>
        <w:rPr>
          <w:rFonts w:hint="eastAsia" w:ascii="宋体" w:eastAsia="宋体"/>
          <w:lang w:val="en-US" w:eastAsia="zh-CN"/>
        </w:rPr>
        <w:t>20</w:t>
      </w:r>
      <w:r>
        <w:rPr>
          <w:rFonts w:hint="eastAsia" w:ascii="宋体" w:eastAsia="宋体"/>
          <w:spacing w:val="-11"/>
        </w:rPr>
        <w:t xml:space="preserve"> 年收支预算情况的总体说明</w:t>
      </w:r>
      <w:r>
        <w:rPr>
          <w:rFonts w:hint="eastAsia" w:ascii="宋体" w:eastAsia="宋体"/>
          <w:spacing w:val="-7"/>
        </w:rPr>
        <w:t xml:space="preserve">二、 关于评审中心 </w:t>
      </w:r>
      <w:r>
        <w:rPr>
          <w:rFonts w:hint="eastAsia" w:ascii="宋体" w:eastAsia="宋体"/>
        </w:rPr>
        <w:t>20</w:t>
      </w:r>
      <w:r>
        <w:rPr>
          <w:rFonts w:hint="eastAsia" w:ascii="宋体" w:eastAsia="宋体"/>
          <w:lang w:val="en-US" w:eastAsia="zh-CN"/>
        </w:rPr>
        <w:t>20</w:t>
      </w:r>
      <w:r>
        <w:rPr>
          <w:rFonts w:hint="eastAsia" w:ascii="宋体" w:eastAsia="宋体"/>
          <w:spacing w:val="-10"/>
        </w:rPr>
        <w:t xml:space="preserve"> 年收入预算情况说明</w:t>
      </w:r>
    </w:p>
    <w:p>
      <w:pPr>
        <w:pStyle w:val="7"/>
        <w:spacing w:before="2"/>
        <w:ind w:left="120"/>
        <w:rPr>
          <w:rFonts w:hint="eastAsia" w:ascii="宋体" w:eastAsia="宋体"/>
        </w:rPr>
      </w:pPr>
      <w:r>
        <w:rPr>
          <w:rFonts w:hint="eastAsia" w:ascii="宋体" w:eastAsia="宋体"/>
          <w:spacing w:val="-7"/>
        </w:rPr>
        <w:t xml:space="preserve">三、 关于评审中心 </w:t>
      </w:r>
      <w:r>
        <w:rPr>
          <w:rFonts w:hint="eastAsia" w:ascii="宋体" w:eastAsia="宋体"/>
        </w:rPr>
        <w:t>20</w:t>
      </w:r>
      <w:r>
        <w:rPr>
          <w:rFonts w:hint="eastAsia" w:ascii="宋体" w:eastAsia="宋体"/>
          <w:lang w:val="en-US" w:eastAsia="zh-CN"/>
        </w:rPr>
        <w:t>20</w:t>
      </w:r>
      <w:r>
        <w:rPr>
          <w:rFonts w:hint="eastAsia" w:ascii="宋体" w:eastAsia="宋体"/>
          <w:spacing w:val="-10"/>
        </w:rPr>
        <w:t xml:space="preserve"> 年支出预算情况说明</w:t>
      </w:r>
    </w:p>
    <w:p>
      <w:pPr>
        <w:pStyle w:val="7"/>
        <w:spacing w:before="203" w:line="376" w:lineRule="auto"/>
        <w:ind w:left="120" w:right="3322"/>
        <w:rPr>
          <w:rFonts w:hint="eastAsia" w:ascii="宋体" w:eastAsia="宋体"/>
          <w:spacing w:val="-9"/>
        </w:rPr>
      </w:pPr>
      <w:r>
        <w:rPr>
          <w:rFonts w:hint="eastAsia" w:ascii="宋体" w:eastAsia="宋体"/>
          <w:spacing w:val="-7"/>
        </w:rPr>
        <w:t xml:space="preserve">四、 关于评审中心 </w:t>
      </w:r>
      <w:r>
        <w:rPr>
          <w:rFonts w:hint="eastAsia" w:ascii="宋体" w:eastAsia="宋体"/>
        </w:rPr>
        <w:t>20</w:t>
      </w:r>
      <w:r>
        <w:rPr>
          <w:rFonts w:hint="eastAsia" w:ascii="宋体" w:eastAsia="宋体"/>
          <w:lang w:val="en-US" w:eastAsia="zh-CN"/>
        </w:rPr>
        <w:t>20</w:t>
      </w:r>
      <w:r>
        <w:rPr>
          <w:rFonts w:hint="eastAsia" w:ascii="宋体" w:eastAsia="宋体"/>
          <w:spacing w:val="-11"/>
        </w:rPr>
        <w:t xml:space="preserve"> 年财政拨款收支预算情况的总体说明</w:t>
      </w:r>
      <w:r>
        <w:rPr>
          <w:rFonts w:hint="eastAsia" w:ascii="宋体" w:eastAsia="宋体"/>
          <w:spacing w:val="-7"/>
        </w:rPr>
        <w:t xml:space="preserve">五、 关于评审中心 </w:t>
      </w:r>
      <w:r>
        <w:rPr>
          <w:rFonts w:hint="eastAsia" w:ascii="宋体" w:eastAsia="宋体"/>
        </w:rPr>
        <w:t>20</w:t>
      </w:r>
      <w:r>
        <w:rPr>
          <w:rFonts w:hint="eastAsia" w:ascii="宋体" w:eastAsia="宋体"/>
          <w:lang w:val="en-US" w:eastAsia="zh-CN"/>
        </w:rPr>
        <w:t>20</w:t>
      </w:r>
      <w:r>
        <w:rPr>
          <w:rFonts w:hint="eastAsia" w:ascii="宋体" w:eastAsia="宋体"/>
          <w:spacing w:val="-9"/>
        </w:rPr>
        <w:t xml:space="preserve"> 年一般公共预算当年拨款情况说明</w:t>
      </w:r>
    </w:p>
    <w:p>
      <w:pPr>
        <w:pStyle w:val="7"/>
        <w:spacing w:before="203" w:line="376" w:lineRule="auto"/>
        <w:ind w:left="120" w:right="3322"/>
        <w:rPr>
          <w:rFonts w:hint="eastAsia" w:ascii="宋体" w:eastAsia="宋体"/>
          <w:spacing w:val="-9"/>
        </w:rPr>
      </w:pPr>
      <w:r>
        <w:rPr>
          <w:rFonts w:hint="eastAsia" w:ascii="宋体" w:eastAsia="宋体"/>
          <w:spacing w:val="-8"/>
        </w:rPr>
        <w:t xml:space="preserve">六、 关于评审中心 </w:t>
      </w:r>
      <w:r>
        <w:rPr>
          <w:rFonts w:hint="eastAsia" w:ascii="宋体" w:eastAsia="宋体"/>
        </w:rPr>
        <w:t>20</w:t>
      </w:r>
      <w:r>
        <w:rPr>
          <w:rFonts w:hint="eastAsia" w:ascii="宋体" w:eastAsia="宋体"/>
          <w:lang w:val="en-US" w:eastAsia="zh-CN"/>
        </w:rPr>
        <w:t>20</w:t>
      </w:r>
      <w:r>
        <w:rPr>
          <w:rFonts w:hint="eastAsia" w:ascii="宋体" w:eastAsia="宋体"/>
          <w:spacing w:val="-9"/>
        </w:rPr>
        <w:t xml:space="preserve"> 年一般公共预算基本支出情况说明</w:t>
      </w:r>
    </w:p>
    <w:p>
      <w:pPr>
        <w:pStyle w:val="7"/>
        <w:spacing w:before="203" w:line="376" w:lineRule="auto"/>
        <w:ind w:left="120" w:right="3322"/>
        <w:rPr>
          <w:rFonts w:hint="eastAsia" w:ascii="宋体" w:eastAsia="宋体"/>
        </w:rPr>
      </w:pPr>
      <w:r>
        <w:rPr>
          <w:rFonts w:hint="eastAsia" w:ascii="宋体" w:eastAsia="宋体"/>
          <w:spacing w:val="-8"/>
        </w:rPr>
        <w:t xml:space="preserve">七、 关于评审中心 </w:t>
      </w:r>
      <w:r>
        <w:rPr>
          <w:rFonts w:hint="eastAsia" w:ascii="宋体" w:eastAsia="宋体"/>
        </w:rPr>
        <w:t>20</w:t>
      </w:r>
      <w:r>
        <w:rPr>
          <w:rFonts w:hint="eastAsia" w:ascii="宋体" w:eastAsia="宋体"/>
          <w:lang w:val="en-US" w:eastAsia="zh-CN"/>
        </w:rPr>
        <w:t>20</w:t>
      </w:r>
      <w:r>
        <w:rPr>
          <w:rFonts w:hint="eastAsia" w:ascii="宋体" w:eastAsia="宋体"/>
          <w:spacing w:val="-10"/>
        </w:rPr>
        <w:t xml:space="preserve"> 年项目支出情况说明</w:t>
      </w:r>
    </w:p>
    <w:p>
      <w:pPr>
        <w:pStyle w:val="7"/>
        <w:spacing w:before="1" w:line="376" w:lineRule="auto"/>
        <w:ind w:left="120" w:right="2482"/>
        <w:rPr>
          <w:rFonts w:hint="eastAsia" w:ascii="宋体" w:hAnsi="宋体" w:eastAsia="宋体"/>
        </w:rPr>
      </w:pPr>
      <w:r>
        <w:rPr>
          <w:rFonts w:hint="eastAsia" w:ascii="宋体" w:hAnsi="宋体" w:eastAsia="宋体"/>
          <w:spacing w:val="-7"/>
        </w:rPr>
        <w:t xml:space="preserve">八、 关于评审中心 </w:t>
      </w:r>
      <w:r>
        <w:rPr>
          <w:rFonts w:hint="eastAsia" w:ascii="宋体" w:hAnsi="宋体" w:eastAsia="宋体"/>
        </w:rPr>
        <w:t>20</w:t>
      </w:r>
      <w:r>
        <w:rPr>
          <w:rFonts w:hint="eastAsia" w:ascii="宋体" w:hAnsi="宋体" w:eastAsia="宋体"/>
          <w:lang w:val="en-US" w:eastAsia="zh-CN"/>
        </w:rPr>
        <w:t>20</w:t>
      </w:r>
      <w:r>
        <w:rPr>
          <w:rFonts w:hint="eastAsia" w:ascii="宋体" w:hAnsi="宋体" w:eastAsia="宋体"/>
          <w:spacing w:val="-11"/>
        </w:rPr>
        <w:t xml:space="preserve"> 年一般公共预算“三公”经费预算情况说明</w:t>
      </w:r>
      <w:r>
        <w:rPr>
          <w:rFonts w:hint="eastAsia" w:ascii="宋体" w:hAnsi="宋体" w:eastAsia="宋体"/>
          <w:spacing w:val="-7"/>
        </w:rPr>
        <w:t xml:space="preserve">九、 关于评审中心 </w:t>
      </w:r>
      <w:r>
        <w:rPr>
          <w:rFonts w:hint="eastAsia" w:ascii="宋体" w:hAnsi="宋体" w:eastAsia="宋体"/>
        </w:rPr>
        <w:t>20</w:t>
      </w:r>
      <w:r>
        <w:rPr>
          <w:rFonts w:hint="eastAsia" w:ascii="宋体" w:hAnsi="宋体" w:eastAsia="宋体"/>
          <w:lang w:val="en-US" w:eastAsia="zh-CN"/>
        </w:rPr>
        <w:t>20</w:t>
      </w:r>
      <w:r>
        <w:rPr>
          <w:rFonts w:hint="eastAsia" w:ascii="宋体" w:hAnsi="宋体" w:eastAsia="宋体"/>
          <w:spacing w:val="-10"/>
        </w:rPr>
        <w:t xml:space="preserve"> 年政府性基金预算拨款情况说明</w:t>
      </w:r>
    </w:p>
    <w:p>
      <w:pPr>
        <w:spacing w:before="0" w:line="376" w:lineRule="auto"/>
        <w:ind w:left="120" w:right="7102" w:firstLine="0"/>
        <w:jc w:val="left"/>
        <w:rPr>
          <w:rFonts w:hint="eastAsia" w:ascii="宋体" w:eastAsia="宋体"/>
          <w:b/>
          <w:sz w:val="28"/>
        </w:rPr>
      </w:pPr>
      <w:r>
        <w:rPr>
          <w:rFonts w:hint="eastAsia" w:ascii="宋体" w:eastAsia="宋体"/>
          <w:sz w:val="28"/>
        </w:rPr>
        <w:t>十、 其他重要事项的情况说明</w:t>
      </w:r>
      <w:r>
        <w:rPr>
          <w:rFonts w:hint="eastAsia" w:ascii="宋体" w:eastAsia="宋体"/>
          <w:b/>
          <w:sz w:val="28"/>
        </w:rPr>
        <w:t>第四部分 名词解释</w:t>
      </w:r>
    </w:p>
    <w:p>
      <w:pPr>
        <w:spacing w:after="0" w:line="376" w:lineRule="auto"/>
        <w:jc w:val="left"/>
        <w:rPr>
          <w:rFonts w:hint="eastAsia" w:ascii="宋体" w:eastAsia="宋体"/>
          <w:sz w:val="28"/>
        </w:rPr>
        <w:sectPr>
          <w:pgSz w:w="11910" w:h="16840"/>
          <w:pgMar w:top="680" w:right="280" w:bottom="280" w:left="600" w:header="720" w:footer="720" w:gutter="0"/>
        </w:sectPr>
      </w:pPr>
    </w:p>
    <w:p>
      <w:pPr>
        <w:pStyle w:val="2"/>
        <w:ind w:left="120"/>
      </w:pPr>
      <w:r>
        <w:t>第一部分</w:t>
      </w:r>
    </w:p>
    <w:p>
      <w:pPr>
        <w:spacing w:before="207"/>
        <w:ind w:left="1224" w:right="0" w:firstLine="0"/>
        <w:jc w:val="left"/>
        <w:rPr>
          <w:rFonts w:hint="eastAsia" w:eastAsia="仿宋"/>
          <w:b/>
          <w:sz w:val="44"/>
          <w:lang w:val="en-US" w:eastAsia="zh-CN"/>
        </w:rPr>
      </w:pPr>
      <w:r>
        <w:rPr>
          <w:b/>
          <w:sz w:val="44"/>
        </w:rPr>
        <w:t>20</w:t>
      </w:r>
      <w:r>
        <w:rPr>
          <w:rFonts w:hint="eastAsia"/>
          <w:b/>
          <w:sz w:val="44"/>
          <w:lang w:val="en-US" w:eastAsia="zh-CN"/>
        </w:rPr>
        <w:t>20</w:t>
      </w:r>
      <w:r>
        <w:rPr>
          <w:b/>
          <w:sz w:val="44"/>
        </w:rPr>
        <w:t>年部门单位概</w:t>
      </w:r>
      <w:r>
        <w:rPr>
          <w:rFonts w:hint="eastAsia"/>
          <w:b/>
          <w:sz w:val="44"/>
          <w:lang w:eastAsia="zh-CN"/>
        </w:rPr>
        <w:t>况</w:t>
      </w:r>
    </w:p>
    <w:p>
      <w:pPr>
        <w:pStyle w:val="7"/>
        <w:spacing w:before="12"/>
        <w:rPr>
          <w:b/>
          <w:sz w:val="63"/>
        </w:rPr>
      </w:pPr>
    </w:p>
    <w:p>
      <w:pPr>
        <w:pStyle w:val="3"/>
        <w:ind w:left="763"/>
      </w:pPr>
      <w:r>
        <w:t>一、主要职能</w:t>
      </w:r>
    </w:p>
    <w:p>
      <w:pPr>
        <w:pStyle w:val="7"/>
        <w:spacing w:before="7"/>
        <w:rPr>
          <w:b/>
          <w:sz w:val="24"/>
        </w:rPr>
      </w:pPr>
    </w:p>
    <w:p>
      <w:pPr>
        <w:pStyle w:val="4"/>
        <w:spacing w:line="307" w:lineRule="auto"/>
      </w:pPr>
      <w:r>
        <w:t>按规定承担矿产资源储量评审工作,开展与矿产资源储量评审工作相关的技术咨询和服务。</w:t>
      </w:r>
    </w:p>
    <w:p>
      <w:pPr>
        <w:pStyle w:val="5"/>
        <w:spacing w:before="228"/>
        <w:ind w:left="1025"/>
        <w:rPr>
          <w:rFonts w:hint="eastAsia" w:ascii="仿宋" w:eastAsia="仿宋"/>
        </w:rPr>
      </w:pPr>
      <w:r>
        <w:rPr>
          <w:rFonts w:hint="eastAsia" w:ascii="仿宋" w:eastAsia="仿宋"/>
        </w:rPr>
        <w:t>20</w:t>
      </w:r>
      <w:r>
        <w:rPr>
          <w:rFonts w:hint="eastAsia" w:ascii="仿宋" w:eastAsia="仿宋"/>
          <w:lang w:val="en-US" w:eastAsia="zh-CN"/>
        </w:rPr>
        <w:t>20</w:t>
      </w:r>
      <w:r>
        <w:rPr>
          <w:rFonts w:hint="eastAsia" w:ascii="仿宋" w:eastAsia="仿宋"/>
        </w:rPr>
        <w:t xml:space="preserve"> 年将要完成的任务</w:t>
      </w:r>
    </w:p>
    <w:p>
      <w:pPr>
        <w:spacing w:before="204" w:line="242" w:lineRule="auto"/>
        <w:ind w:left="120" w:right="551" w:firstLine="600"/>
        <w:jc w:val="left"/>
        <w:rPr>
          <w:sz w:val="30"/>
        </w:rPr>
      </w:pPr>
      <w:r>
        <w:rPr>
          <w:sz w:val="30"/>
        </w:rPr>
        <w:t>1,完成年度矿产资源储量报告评审工作,根据</w:t>
      </w:r>
      <w:r>
        <w:rPr>
          <w:rFonts w:hint="eastAsia"/>
          <w:sz w:val="30"/>
          <w:lang w:eastAsia="zh-CN"/>
        </w:rPr>
        <w:t>送审报告质量情况</w:t>
      </w:r>
      <w:r>
        <w:rPr>
          <w:sz w:val="30"/>
        </w:rPr>
        <w:t>，</w:t>
      </w:r>
      <w:r>
        <w:rPr>
          <w:rFonts w:hint="eastAsia"/>
          <w:sz w:val="30"/>
          <w:lang w:eastAsia="zh-CN"/>
        </w:rPr>
        <w:t>酌情赴矿产资源所在地进行实地调查</w:t>
      </w:r>
      <w:r>
        <w:rPr>
          <w:sz w:val="30"/>
        </w:rPr>
        <w:t>；</w:t>
      </w:r>
    </w:p>
    <w:p>
      <w:pPr>
        <w:spacing w:before="201" w:line="242" w:lineRule="auto"/>
        <w:ind w:left="120" w:right="552" w:firstLine="600"/>
        <w:jc w:val="left"/>
        <w:rPr>
          <w:sz w:val="30"/>
        </w:rPr>
      </w:pPr>
      <w:r>
        <w:rPr>
          <w:sz w:val="30"/>
        </w:rPr>
        <w:t>2、完成</w:t>
      </w:r>
      <w:r>
        <w:rPr>
          <w:rFonts w:hint="eastAsia"/>
          <w:sz w:val="30"/>
          <w:lang w:eastAsia="zh-CN"/>
        </w:rPr>
        <w:t>符合规定要求的矿产资源储量报告评审</w:t>
      </w:r>
      <w:r>
        <w:rPr>
          <w:sz w:val="30"/>
        </w:rPr>
        <w:t>；</w:t>
      </w:r>
    </w:p>
    <w:p>
      <w:pPr>
        <w:spacing w:before="202" w:line="242" w:lineRule="auto"/>
        <w:ind w:left="120" w:right="552" w:firstLine="600"/>
        <w:jc w:val="left"/>
        <w:rPr>
          <w:rFonts w:hint="eastAsia"/>
          <w:sz w:val="30"/>
          <w:lang w:eastAsia="zh-CN"/>
        </w:rPr>
      </w:pPr>
      <w:r>
        <w:rPr>
          <w:sz w:val="30"/>
        </w:rPr>
        <w:t>3、</w:t>
      </w:r>
      <w:r>
        <w:rPr>
          <w:rFonts w:hint="eastAsia"/>
          <w:sz w:val="30"/>
          <w:lang w:eastAsia="zh-CN"/>
        </w:rPr>
        <w:t>开展新增查明矿产资源储量的统计与上报工作；</w:t>
      </w:r>
    </w:p>
    <w:p>
      <w:pPr>
        <w:spacing w:before="202" w:line="242" w:lineRule="auto"/>
        <w:ind w:left="120" w:right="552" w:firstLine="600"/>
        <w:jc w:val="left"/>
        <w:rPr>
          <w:rFonts w:hint="default"/>
          <w:sz w:val="30"/>
          <w:lang w:val="en-US" w:eastAsia="zh-CN"/>
        </w:rPr>
      </w:pPr>
      <w:r>
        <w:rPr>
          <w:rFonts w:hint="eastAsia"/>
          <w:sz w:val="30"/>
          <w:lang w:val="en-US" w:eastAsia="zh-CN"/>
        </w:rPr>
        <w:t>4、组织开展全疆矿产资源储量技术骨干及业务人员对有关技术标准新发布的培训。</w:t>
      </w:r>
    </w:p>
    <w:p>
      <w:pPr>
        <w:spacing w:before="202"/>
        <w:ind w:left="763" w:right="0" w:firstLine="0"/>
        <w:jc w:val="left"/>
        <w:rPr>
          <w:b/>
          <w:sz w:val="32"/>
        </w:rPr>
      </w:pPr>
      <w:r>
        <w:rPr>
          <w:b/>
          <w:sz w:val="32"/>
        </w:rPr>
        <w:t>二、机构设置及人员情况</w:t>
      </w:r>
    </w:p>
    <w:p>
      <w:pPr>
        <w:pStyle w:val="7"/>
        <w:spacing w:before="8"/>
        <w:rPr>
          <w:b/>
          <w:sz w:val="24"/>
        </w:rPr>
      </w:pPr>
    </w:p>
    <w:p>
      <w:pPr>
        <w:spacing w:before="0" w:line="307" w:lineRule="auto"/>
        <w:ind w:left="120" w:right="666" w:firstLine="600"/>
        <w:jc w:val="both"/>
        <w:rPr>
          <w:sz w:val="32"/>
        </w:rPr>
      </w:pPr>
      <w:r>
        <w:rPr>
          <w:sz w:val="32"/>
        </w:rPr>
        <w:t>新疆维吾尔自治区矿产资源储量评审中心是自治区</w:t>
      </w:r>
      <w:r>
        <w:rPr>
          <w:rFonts w:hint="eastAsia"/>
          <w:sz w:val="32"/>
          <w:lang w:eastAsia="zh-CN"/>
        </w:rPr>
        <w:t>自然</w:t>
      </w:r>
      <w:r>
        <w:rPr>
          <w:sz w:val="32"/>
        </w:rPr>
        <w:t>资源厅直属事业单位，下设三个科室，分别是办公室、评审科、财务科。单位编制人数</w:t>
      </w:r>
      <w:r>
        <w:rPr>
          <w:rFonts w:hint="eastAsia"/>
          <w:sz w:val="32"/>
          <w:lang w:eastAsia="zh-CN"/>
        </w:rPr>
        <w:t>为</w:t>
      </w:r>
      <w:r>
        <w:rPr>
          <w:sz w:val="32"/>
        </w:rPr>
        <w:t xml:space="preserve">8 人，实有人数 </w:t>
      </w:r>
      <w:r>
        <w:rPr>
          <w:rFonts w:hint="eastAsia"/>
          <w:sz w:val="32"/>
          <w:lang w:val="en-US" w:eastAsia="zh-CN"/>
        </w:rPr>
        <w:t>6</w:t>
      </w:r>
      <w:r>
        <w:rPr>
          <w:sz w:val="32"/>
        </w:rPr>
        <w:t>人，退休人员</w:t>
      </w:r>
      <w:r>
        <w:rPr>
          <w:rFonts w:hint="eastAsia"/>
          <w:sz w:val="32"/>
          <w:lang w:val="en-US" w:eastAsia="zh-CN"/>
        </w:rPr>
        <w:t>1人</w:t>
      </w:r>
      <w:r>
        <w:rPr>
          <w:sz w:val="32"/>
        </w:rPr>
        <w:t>。</w:t>
      </w:r>
    </w:p>
    <w:p>
      <w:pPr>
        <w:spacing w:after="0" w:line="307" w:lineRule="auto"/>
        <w:jc w:val="both"/>
        <w:rPr>
          <w:sz w:val="32"/>
        </w:rPr>
        <w:sectPr>
          <w:pgSz w:w="11910" w:h="16840"/>
          <w:pgMar w:top="680" w:right="280" w:bottom="280" w:left="600" w:header="720" w:footer="720" w:gutter="0"/>
        </w:sect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spacing w:before="4"/>
        <w:rPr>
          <w:sz w:val="29"/>
        </w:rPr>
      </w:pPr>
    </w:p>
    <w:p>
      <w:pPr>
        <w:spacing w:before="38"/>
        <w:ind w:left="120" w:right="0" w:firstLine="0"/>
        <w:jc w:val="left"/>
        <w:rPr>
          <w:b/>
          <w:sz w:val="44"/>
        </w:rPr>
      </w:pPr>
      <w:r>
        <w:rPr>
          <w:b/>
          <w:sz w:val="44"/>
        </w:rPr>
        <w:t>第二部分</w:t>
      </w:r>
    </w:p>
    <w:p>
      <w:pPr>
        <w:pStyle w:val="7"/>
        <w:rPr>
          <w:b/>
          <w:sz w:val="20"/>
        </w:rPr>
      </w:pPr>
    </w:p>
    <w:p>
      <w:pPr>
        <w:pStyle w:val="7"/>
        <w:rPr>
          <w:b/>
          <w:sz w:val="20"/>
        </w:rPr>
      </w:pPr>
    </w:p>
    <w:p>
      <w:pPr>
        <w:pStyle w:val="7"/>
        <w:rPr>
          <w:b/>
          <w:sz w:val="20"/>
        </w:rPr>
      </w:pPr>
    </w:p>
    <w:p>
      <w:pPr>
        <w:spacing w:before="211"/>
        <w:ind w:left="0" w:right="320" w:firstLine="0"/>
        <w:jc w:val="center"/>
        <w:rPr>
          <w:b/>
          <w:sz w:val="44"/>
        </w:rPr>
      </w:pPr>
      <w:r>
        <w:rPr>
          <w:b/>
          <w:sz w:val="44"/>
        </w:rPr>
        <w:t>20</w:t>
      </w:r>
      <w:r>
        <w:rPr>
          <w:rFonts w:hint="eastAsia"/>
          <w:b/>
          <w:sz w:val="44"/>
          <w:lang w:val="en-US" w:eastAsia="zh-CN"/>
        </w:rPr>
        <w:t>20</w:t>
      </w:r>
      <w:r>
        <w:rPr>
          <w:b/>
          <w:sz w:val="44"/>
        </w:rPr>
        <w:t xml:space="preserve"> 年部门预算公开表</w:t>
      </w:r>
    </w:p>
    <w:p>
      <w:pPr>
        <w:spacing w:after="0"/>
        <w:jc w:val="center"/>
        <w:rPr>
          <w:sz w:val="44"/>
        </w:rPr>
        <w:sectPr>
          <w:pgSz w:w="11910" w:h="16840"/>
          <w:pgMar w:top="1580" w:right="280" w:bottom="280" w:left="600" w:header="720" w:footer="720" w:gutter="0"/>
        </w:sectPr>
      </w:pPr>
    </w:p>
    <w:p>
      <w:pPr>
        <w:spacing w:before="57"/>
        <w:ind w:left="213" w:right="0" w:firstLine="0"/>
        <w:jc w:val="left"/>
        <w:rPr>
          <w:rFonts w:hint="eastAsia" w:ascii="宋体" w:eastAsia="宋体"/>
          <w:sz w:val="18"/>
        </w:rPr>
      </w:pPr>
      <w:r>
        <w:rPr>
          <w:rFonts w:hint="eastAsia" w:ascii="宋体" w:eastAsia="宋体"/>
          <w:sz w:val="18"/>
        </w:rPr>
        <w:t>表一</w:t>
      </w:r>
    </w:p>
    <w:p>
      <w:pPr>
        <w:pStyle w:val="7"/>
        <w:spacing w:before="10"/>
        <w:rPr>
          <w:rFonts w:ascii="宋体"/>
          <w:sz w:val="15"/>
        </w:rPr>
      </w:pPr>
    </w:p>
    <w:p>
      <w:pPr>
        <w:spacing w:before="0"/>
        <w:ind w:left="0" w:right="12" w:firstLine="0"/>
        <w:jc w:val="center"/>
        <w:rPr>
          <w:rFonts w:hint="eastAsia" w:ascii="宋体" w:eastAsia="宋体"/>
          <w:b/>
          <w:sz w:val="36"/>
        </w:rPr>
      </w:pPr>
      <w:r>
        <w:rPr>
          <w:rFonts w:hint="eastAsia" w:ascii="宋体" w:eastAsia="宋体"/>
          <w:b/>
          <w:sz w:val="36"/>
        </w:rPr>
        <w:t>部门收支总体情况表</w:t>
      </w:r>
    </w:p>
    <w:p>
      <w:pPr>
        <w:pStyle w:val="7"/>
        <w:spacing w:before="4"/>
        <w:rPr>
          <w:rFonts w:ascii="宋体"/>
          <w:b/>
          <w:sz w:val="9"/>
        </w:rPr>
      </w:pPr>
    </w:p>
    <w:p>
      <w:pPr>
        <w:tabs>
          <w:tab w:val="left" w:pos="9899"/>
        </w:tabs>
        <w:spacing w:before="75" w:after="28"/>
        <w:ind w:left="213" w:right="0" w:firstLine="0"/>
        <w:jc w:val="left"/>
        <w:rPr>
          <w:rFonts w:hint="eastAsia" w:ascii="宋体" w:eastAsia="宋体"/>
          <w:sz w:val="18"/>
        </w:rPr>
      </w:pPr>
      <w:r>
        <w:rPr>
          <w:rFonts w:hint="eastAsia" w:ascii="宋体" w:eastAsia="宋体"/>
          <w:sz w:val="18"/>
        </w:rPr>
        <w:t>编制部门：新疆维吾尔自治区矿产资源储量评审中心</w:t>
      </w:r>
      <w:r>
        <w:rPr>
          <w:rFonts w:hint="eastAsia" w:ascii="宋体" w:eastAsia="宋体"/>
          <w:sz w:val="18"/>
        </w:rPr>
        <w:tab/>
      </w:r>
      <w:r>
        <w:rPr>
          <w:rFonts w:hint="eastAsia" w:ascii="宋体" w:eastAsia="宋体"/>
          <w:sz w:val="18"/>
        </w:rPr>
        <w:t>单位：万元</w:t>
      </w:r>
    </w:p>
    <w:tbl>
      <w:tblPr>
        <w:tblStyle w:val="10"/>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00"/>
        <w:gridCol w:w="2700"/>
        <w:gridCol w:w="2700"/>
        <w:gridCol w:w="2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400" w:type="dxa"/>
            <w:gridSpan w:val="2"/>
          </w:tcPr>
          <w:p>
            <w:pPr>
              <w:pStyle w:val="14"/>
              <w:tabs>
                <w:tab w:val="left" w:pos="3660"/>
              </w:tabs>
              <w:spacing w:before="26"/>
              <w:ind w:left="1500"/>
              <w:rPr>
                <w:sz w:val="24"/>
              </w:rPr>
            </w:pPr>
            <w:r>
              <w:rPr>
                <w:sz w:val="24"/>
              </w:rPr>
              <w:t>收</w:t>
            </w:r>
            <w:r>
              <w:rPr>
                <w:sz w:val="24"/>
              </w:rPr>
              <w:tab/>
            </w:r>
            <w:r>
              <w:rPr>
                <w:sz w:val="24"/>
              </w:rPr>
              <w:t>入</w:t>
            </w:r>
          </w:p>
        </w:tc>
        <w:tc>
          <w:tcPr>
            <w:tcW w:w="2700" w:type="dxa"/>
          </w:tcPr>
          <w:p>
            <w:pPr>
              <w:pStyle w:val="14"/>
              <w:tabs>
                <w:tab w:val="left" w:pos="2309"/>
              </w:tabs>
              <w:spacing w:before="26"/>
              <w:ind w:left="149"/>
              <w:rPr>
                <w:sz w:val="24"/>
              </w:rPr>
            </w:pPr>
            <w:r>
              <w:rPr>
                <w:sz w:val="24"/>
              </w:rPr>
              <w:t>支</w:t>
            </w:r>
            <w:r>
              <w:rPr>
                <w:sz w:val="24"/>
              </w:rPr>
              <w:tab/>
            </w:r>
            <w:r>
              <w:rPr>
                <w:sz w:val="24"/>
              </w:rPr>
              <w:t>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700" w:type="dxa"/>
          </w:tcPr>
          <w:p>
            <w:pPr>
              <w:pStyle w:val="14"/>
              <w:tabs>
                <w:tab w:val="left" w:pos="643"/>
              </w:tabs>
              <w:spacing w:before="64"/>
              <w:ind w:left="10"/>
              <w:jc w:val="center"/>
              <w:rPr>
                <w:sz w:val="18"/>
              </w:rPr>
            </w:pPr>
            <w:r>
              <w:rPr>
                <w:sz w:val="18"/>
              </w:rPr>
              <w:t>项</w:t>
            </w:r>
            <w:r>
              <w:rPr>
                <w:sz w:val="18"/>
              </w:rPr>
              <w:tab/>
            </w:r>
            <w:r>
              <w:rPr>
                <w:sz w:val="18"/>
              </w:rPr>
              <w:t>目</w:t>
            </w:r>
          </w:p>
        </w:tc>
        <w:tc>
          <w:tcPr>
            <w:tcW w:w="2700" w:type="dxa"/>
          </w:tcPr>
          <w:p>
            <w:pPr>
              <w:pStyle w:val="14"/>
              <w:spacing w:before="64"/>
              <w:ind w:left="876"/>
              <w:rPr>
                <w:sz w:val="18"/>
              </w:rPr>
            </w:pPr>
            <w:r>
              <w:rPr>
                <w:sz w:val="18"/>
              </w:rPr>
              <w:t>201</w:t>
            </w:r>
            <w:r>
              <w:rPr>
                <w:rFonts w:hint="eastAsia"/>
                <w:sz w:val="18"/>
                <w:lang w:val="en-US" w:eastAsia="zh-CN"/>
              </w:rPr>
              <w:t>9</w:t>
            </w:r>
            <w:r>
              <w:rPr>
                <w:sz w:val="18"/>
              </w:rPr>
              <w:t xml:space="preserve"> 年预算</w:t>
            </w:r>
          </w:p>
        </w:tc>
        <w:tc>
          <w:tcPr>
            <w:tcW w:w="2700" w:type="dxa"/>
          </w:tcPr>
          <w:p>
            <w:pPr>
              <w:pStyle w:val="14"/>
              <w:spacing w:before="64"/>
              <w:ind w:left="10"/>
              <w:jc w:val="center"/>
              <w:rPr>
                <w:sz w:val="18"/>
              </w:rPr>
            </w:pPr>
            <w:r>
              <w:rPr>
                <w:sz w:val="18"/>
              </w:rPr>
              <w:t>功能分类</w:t>
            </w:r>
          </w:p>
        </w:tc>
        <w:tc>
          <w:tcPr>
            <w:tcW w:w="2701" w:type="dxa"/>
          </w:tcPr>
          <w:p>
            <w:pPr>
              <w:pStyle w:val="14"/>
              <w:spacing w:before="64"/>
              <w:ind w:left="877"/>
              <w:rPr>
                <w:sz w:val="18"/>
              </w:rPr>
            </w:pPr>
            <w:r>
              <w:rPr>
                <w:sz w:val="18"/>
              </w:rPr>
              <w:t>201</w:t>
            </w:r>
            <w:r>
              <w:rPr>
                <w:rFonts w:hint="eastAsia"/>
                <w:sz w:val="18"/>
                <w:lang w:val="en-US" w:eastAsia="zh-CN"/>
              </w:rPr>
              <w:t>9</w:t>
            </w:r>
            <w:r>
              <w:rPr>
                <w:sz w:val="18"/>
              </w:rPr>
              <w:t xml:space="preserve"> 年预算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700" w:type="dxa"/>
          </w:tcPr>
          <w:p>
            <w:pPr>
              <w:pStyle w:val="14"/>
              <w:spacing w:before="62"/>
              <w:ind w:left="107"/>
              <w:rPr>
                <w:sz w:val="18"/>
              </w:rPr>
            </w:pPr>
            <w:r>
              <w:rPr>
                <w:sz w:val="18"/>
              </w:rPr>
              <w:t>财政拨款（补助）</w:t>
            </w:r>
          </w:p>
        </w:tc>
        <w:tc>
          <w:tcPr>
            <w:tcW w:w="2700" w:type="dxa"/>
          </w:tcPr>
          <w:p>
            <w:pPr>
              <w:pStyle w:val="14"/>
              <w:spacing w:before="62"/>
              <w:ind w:right="94"/>
              <w:jc w:val="right"/>
              <w:rPr>
                <w:rFonts w:hint="default" w:eastAsia="宋体"/>
                <w:sz w:val="18"/>
                <w:lang w:val="en-US" w:eastAsia="zh-CN"/>
              </w:rPr>
            </w:pPr>
            <w:r>
              <w:rPr>
                <w:rFonts w:hint="eastAsia"/>
                <w:sz w:val="18"/>
                <w:lang w:val="en-US" w:eastAsia="zh-CN"/>
              </w:rPr>
              <w:t>283.99</w:t>
            </w:r>
          </w:p>
        </w:tc>
        <w:tc>
          <w:tcPr>
            <w:tcW w:w="2700" w:type="dxa"/>
          </w:tcPr>
          <w:p>
            <w:pPr>
              <w:pStyle w:val="14"/>
              <w:spacing w:before="62"/>
              <w:ind w:left="108"/>
              <w:rPr>
                <w:sz w:val="18"/>
              </w:rPr>
            </w:pPr>
            <w:r>
              <w:rPr>
                <w:sz w:val="18"/>
              </w:rPr>
              <w:t>201 一般公共服务支出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spacing w:before="62"/>
              <w:ind w:left="470"/>
              <w:rPr>
                <w:sz w:val="18"/>
              </w:rPr>
            </w:pPr>
            <w:r>
              <w:rPr>
                <w:sz w:val="18"/>
              </w:rPr>
              <w:t>一般公共预算</w:t>
            </w:r>
          </w:p>
        </w:tc>
        <w:tc>
          <w:tcPr>
            <w:tcW w:w="2700" w:type="dxa"/>
          </w:tcPr>
          <w:p>
            <w:pPr>
              <w:pStyle w:val="14"/>
              <w:spacing w:before="62"/>
              <w:ind w:right="94"/>
              <w:jc w:val="right"/>
              <w:rPr>
                <w:rFonts w:hint="default" w:eastAsia="宋体"/>
                <w:sz w:val="18"/>
                <w:lang w:val="en-US" w:eastAsia="zh-CN"/>
              </w:rPr>
            </w:pPr>
            <w:r>
              <w:rPr>
                <w:rFonts w:hint="eastAsia"/>
                <w:sz w:val="18"/>
                <w:lang w:val="en-US" w:eastAsia="zh-CN"/>
              </w:rPr>
              <w:t>283.99</w:t>
            </w:r>
          </w:p>
        </w:tc>
        <w:tc>
          <w:tcPr>
            <w:tcW w:w="2700" w:type="dxa"/>
          </w:tcPr>
          <w:p>
            <w:pPr>
              <w:pStyle w:val="14"/>
              <w:spacing w:before="62"/>
              <w:ind w:left="108"/>
              <w:rPr>
                <w:sz w:val="18"/>
              </w:rPr>
            </w:pPr>
            <w:r>
              <w:rPr>
                <w:sz w:val="18"/>
              </w:rPr>
              <w:t>202 外交支出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spacing w:before="64"/>
              <w:ind w:left="470"/>
              <w:rPr>
                <w:sz w:val="18"/>
              </w:rPr>
            </w:pPr>
            <w:r>
              <w:rPr>
                <w:sz w:val="18"/>
              </w:rPr>
              <w:t>政府性基金预算</w:t>
            </w:r>
          </w:p>
        </w:tc>
        <w:tc>
          <w:tcPr>
            <w:tcW w:w="2700" w:type="dxa"/>
          </w:tcPr>
          <w:p>
            <w:pPr>
              <w:pStyle w:val="14"/>
              <w:rPr>
                <w:rFonts w:ascii="Times New Roman"/>
                <w:sz w:val="18"/>
              </w:rPr>
            </w:pPr>
          </w:p>
        </w:tc>
        <w:tc>
          <w:tcPr>
            <w:tcW w:w="2700" w:type="dxa"/>
          </w:tcPr>
          <w:p>
            <w:pPr>
              <w:pStyle w:val="14"/>
              <w:spacing w:before="64"/>
              <w:ind w:left="108"/>
              <w:rPr>
                <w:sz w:val="18"/>
              </w:rPr>
            </w:pPr>
            <w:r>
              <w:rPr>
                <w:sz w:val="18"/>
              </w:rPr>
              <w:t>203 国防支出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700" w:type="dxa"/>
          </w:tcPr>
          <w:p>
            <w:pPr>
              <w:pStyle w:val="14"/>
              <w:spacing w:line="230" w:lineRule="exact"/>
              <w:ind w:left="107"/>
              <w:rPr>
                <w:sz w:val="18"/>
              </w:rPr>
            </w:pPr>
            <w:r>
              <w:rPr>
                <w:sz w:val="18"/>
              </w:rPr>
              <w:t>财政专户管理资金（教育收</w:t>
            </w:r>
          </w:p>
          <w:p>
            <w:pPr>
              <w:pStyle w:val="14"/>
              <w:spacing w:before="4" w:line="213" w:lineRule="exact"/>
              <w:ind w:left="107"/>
              <w:rPr>
                <w:sz w:val="18"/>
              </w:rPr>
            </w:pPr>
            <w:r>
              <w:rPr>
                <w:sz w:val="18"/>
              </w:rPr>
              <w:t>费）</w:t>
            </w:r>
          </w:p>
        </w:tc>
        <w:tc>
          <w:tcPr>
            <w:tcW w:w="2700" w:type="dxa"/>
          </w:tcPr>
          <w:p>
            <w:pPr>
              <w:pStyle w:val="14"/>
              <w:rPr>
                <w:rFonts w:ascii="Times New Roman"/>
                <w:sz w:val="18"/>
              </w:rPr>
            </w:pPr>
          </w:p>
        </w:tc>
        <w:tc>
          <w:tcPr>
            <w:tcW w:w="2700" w:type="dxa"/>
          </w:tcPr>
          <w:p>
            <w:pPr>
              <w:pStyle w:val="14"/>
              <w:spacing w:before="117"/>
              <w:ind w:left="108"/>
              <w:rPr>
                <w:sz w:val="18"/>
              </w:rPr>
            </w:pPr>
            <w:r>
              <w:rPr>
                <w:sz w:val="18"/>
              </w:rPr>
              <w:t>204 公共安全支出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spacing w:before="62"/>
              <w:ind w:left="107"/>
              <w:rPr>
                <w:sz w:val="18"/>
              </w:rPr>
            </w:pPr>
            <w:r>
              <w:rPr>
                <w:sz w:val="18"/>
              </w:rPr>
              <w:t>事业收入</w:t>
            </w:r>
          </w:p>
        </w:tc>
        <w:tc>
          <w:tcPr>
            <w:tcW w:w="2700" w:type="dxa"/>
          </w:tcPr>
          <w:p>
            <w:pPr>
              <w:pStyle w:val="14"/>
              <w:rPr>
                <w:rFonts w:hint="default" w:ascii="Times New Roman" w:eastAsia="宋体"/>
                <w:sz w:val="18"/>
                <w:lang w:val="en-US" w:eastAsia="zh-CN"/>
              </w:rPr>
            </w:pPr>
          </w:p>
        </w:tc>
        <w:tc>
          <w:tcPr>
            <w:tcW w:w="2700" w:type="dxa"/>
          </w:tcPr>
          <w:p>
            <w:pPr>
              <w:pStyle w:val="14"/>
              <w:spacing w:before="62"/>
              <w:ind w:left="108"/>
              <w:rPr>
                <w:sz w:val="18"/>
              </w:rPr>
            </w:pPr>
            <w:r>
              <w:rPr>
                <w:sz w:val="18"/>
              </w:rPr>
              <w:t>205 教育支出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spacing w:before="64"/>
              <w:ind w:left="107"/>
              <w:rPr>
                <w:sz w:val="18"/>
              </w:rPr>
            </w:pPr>
            <w:r>
              <w:rPr>
                <w:sz w:val="18"/>
              </w:rPr>
              <w:t>事业单位经营收入</w:t>
            </w:r>
          </w:p>
        </w:tc>
        <w:tc>
          <w:tcPr>
            <w:tcW w:w="2700" w:type="dxa"/>
          </w:tcPr>
          <w:p>
            <w:pPr>
              <w:pStyle w:val="14"/>
              <w:spacing w:before="64"/>
              <w:ind w:right="94"/>
              <w:jc w:val="right"/>
              <w:rPr>
                <w:rFonts w:hint="default" w:eastAsia="宋体"/>
                <w:sz w:val="18"/>
                <w:lang w:val="en-US" w:eastAsia="zh-CN"/>
              </w:rPr>
            </w:pPr>
            <w:r>
              <w:rPr>
                <w:rFonts w:hint="eastAsia"/>
                <w:sz w:val="18"/>
                <w:lang w:val="en-US" w:eastAsia="zh-CN"/>
              </w:rPr>
              <w:t>26.7</w:t>
            </w:r>
          </w:p>
        </w:tc>
        <w:tc>
          <w:tcPr>
            <w:tcW w:w="2700" w:type="dxa"/>
          </w:tcPr>
          <w:p>
            <w:pPr>
              <w:pStyle w:val="14"/>
              <w:spacing w:before="64"/>
              <w:ind w:left="108"/>
              <w:rPr>
                <w:sz w:val="18"/>
              </w:rPr>
            </w:pPr>
            <w:r>
              <w:rPr>
                <w:sz w:val="18"/>
              </w:rPr>
              <w:t>206 科学技术支出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2700" w:type="dxa"/>
          </w:tcPr>
          <w:p>
            <w:pPr>
              <w:pStyle w:val="14"/>
              <w:spacing w:before="65"/>
              <w:ind w:left="107"/>
              <w:rPr>
                <w:sz w:val="18"/>
              </w:rPr>
            </w:pPr>
            <w:r>
              <w:rPr>
                <w:sz w:val="18"/>
              </w:rPr>
              <w:t>其他收入</w:t>
            </w:r>
          </w:p>
        </w:tc>
        <w:tc>
          <w:tcPr>
            <w:tcW w:w="2700" w:type="dxa"/>
          </w:tcPr>
          <w:p>
            <w:pPr>
              <w:pStyle w:val="14"/>
              <w:spacing w:before="65"/>
              <w:ind w:right="94"/>
              <w:jc w:val="right"/>
              <w:rPr>
                <w:rFonts w:hint="default" w:eastAsia="宋体"/>
                <w:sz w:val="18"/>
                <w:lang w:val="en-US" w:eastAsia="zh-CN"/>
              </w:rPr>
            </w:pPr>
          </w:p>
        </w:tc>
        <w:tc>
          <w:tcPr>
            <w:tcW w:w="2700" w:type="dxa"/>
          </w:tcPr>
          <w:p>
            <w:pPr>
              <w:pStyle w:val="14"/>
              <w:spacing w:before="65"/>
              <w:ind w:left="108"/>
              <w:rPr>
                <w:sz w:val="18"/>
              </w:rPr>
            </w:pPr>
            <w:r>
              <w:rPr>
                <w:sz w:val="18"/>
              </w:rPr>
              <w:t>207 文化体育与传媒支出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2700" w:type="dxa"/>
          </w:tcPr>
          <w:p>
            <w:pPr>
              <w:pStyle w:val="14"/>
              <w:spacing w:before="64"/>
              <w:ind w:left="107"/>
              <w:rPr>
                <w:sz w:val="18"/>
              </w:rPr>
            </w:pPr>
            <w:r>
              <w:rPr>
                <w:sz w:val="18"/>
              </w:rPr>
              <w:t>用事业基金弥补收支差额</w:t>
            </w:r>
          </w:p>
        </w:tc>
        <w:tc>
          <w:tcPr>
            <w:tcW w:w="2700" w:type="dxa"/>
          </w:tcPr>
          <w:p>
            <w:pPr>
              <w:pStyle w:val="14"/>
              <w:rPr>
                <w:rFonts w:ascii="Times New Roman"/>
                <w:sz w:val="18"/>
              </w:rPr>
            </w:pPr>
          </w:p>
        </w:tc>
        <w:tc>
          <w:tcPr>
            <w:tcW w:w="2700" w:type="dxa"/>
          </w:tcPr>
          <w:p>
            <w:pPr>
              <w:pStyle w:val="14"/>
              <w:spacing w:before="64"/>
              <w:ind w:left="108"/>
              <w:rPr>
                <w:sz w:val="18"/>
              </w:rPr>
            </w:pPr>
            <w:r>
              <w:rPr>
                <w:sz w:val="18"/>
              </w:rPr>
              <w:t>208 社会保障和就业支出</w:t>
            </w:r>
          </w:p>
        </w:tc>
        <w:tc>
          <w:tcPr>
            <w:tcW w:w="2701" w:type="dxa"/>
          </w:tcPr>
          <w:p>
            <w:pPr>
              <w:pStyle w:val="14"/>
              <w:spacing w:before="64"/>
              <w:ind w:right="94"/>
              <w:jc w:val="right"/>
              <w:rPr>
                <w:rFonts w:hint="default" w:eastAsia="宋体"/>
                <w:sz w:val="18"/>
                <w:lang w:val="en-US" w:eastAsia="zh-CN"/>
              </w:rPr>
            </w:pPr>
            <w:r>
              <w:rPr>
                <w:rFonts w:hint="eastAsia"/>
                <w:sz w:val="18"/>
                <w:lang w:val="en-US" w:eastAsia="zh-CN"/>
              </w:rPr>
              <w:t>20.68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209 社会保险基金支出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210 医疗卫生与计划生育支出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211 节能环保支出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212 城乡社区支出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213 农林水支出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214 交通运输支出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215 资源勘探信息等支出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216 商业服务业等支出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217 金融支出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219 援助其他地区支出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220 国土资源气象等支出</w:t>
            </w:r>
          </w:p>
        </w:tc>
        <w:tc>
          <w:tcPr>
            <w:tcW w:w="2701" w:type="dxa"/>
          </w:tcPr>
          <w:p>
            <w:pPr>
              <w:pStyle w:val="14"/>
              <w:spacing w:before="64"/>
              <w:ind w:right="94"/>
              <w:jc w:val="right"/>
              <w:rPr>
                <w:rFonts w:hint="default" w:eastAsia="宋体"/>
                <w:sz w:val="18"/>
                <w:lang w:val="en-US" w:eastAsia="zh-CN"/>
              </w:rPr>
            </w:pPr>
            <w:r>
              <w:rPr>
                <w:rFonts w:hint="eastAsia"/>
                <w:sz w:val="18"/>
                <w:lang w:val="en-US" w:eastAsia="zh-CN"/>
              </w:rPr>
              <w:t>290.01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221 住房保障支出</w:t>
            </w:r>
          </w:p>
        </w:tc>
        <w:tc>
          <w:tcPr>
            <w:tcW w:w="2701" w:type="dxa"/>
          </w:tcPr>
          <w:p>
            <w:pPr>
              <w:pStyle w:val="14"/>
              <w:rPr>
                <w:rFonts w:hint="default" w:ascii="Times New Roman"/>
                <w:sz w:val="18"/>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222 粮油物资管理支出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223 国有资本经营预算支出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227 预备费</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229 其他支出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231 债务还本支出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4"/>
              <w:ind w:left="108"/>
              <w:rPr>
                <w:sz w:val="18"/>
              </w:rPr>
            </w:pPr>
            <w:r>
              <w:rPr>
                <w:sz w:val="18"/>
              </w:rPr>
              <w:t>232 债务付息支出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spacing w:before="62"/>
              <w:ind w:left="108"/>
              <w:rPr>
                <w:sz w:val="18"/>
              </w:rPr>
            </w:pPr>
            <w:r>
              <w:rPr>
                <w:sz w:val="18"/>
              </w:rPr>
              <w:t>233 债务发行费支出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rPr>
                <w:rFonts w:ascii="Times New Roman"/>
                <w:sz w:val="18"/>
              </w:rPr>
            </w:pP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tabs>
                <w:tab w:val="left" w:pos="1173"/>
              </w:tabs>
              <w:spacing w:before="62"/>
              <w:ind w:right="659"/>
              <w:jc w:val="right"/>
              <w:rPr>
                <w:sz w:val="18"/>
              </w:rPr>
            </w:pPr>
            <w:r>
              <w:rPr>
                <w:sz w:val="18"/>
              </w:rPr>
              <w:t>小</w:t>
            </w:r>
            <w:r>
              <w:rPr>
                <w:sz w:val="18"/>
              </w:rPr>
              <w:tab/>
            </w:r>
            <w:r>
              <w:rPr>
                <w:sz w:val="18"/>
              </w:rPr>
              <w:t>计</w:t>
            </w:r>
          </w:p>
        </w:tc>
        <w:tc>
          <w:tcPr>
            <w:tcW w:w="2700" w:type="dxa"/>
          </w:tcPr>
          <w:p>
            <w:pPr>
              <w:pStyle w:val="14"/>
              <w:spacing w:before="62"/>
              <w:ind w:right="94"/>
              <w:jc w:val="right"/>
              <w:rPr>
                <w:rFonts w:hint="default" w:eastAsia="宋体"/>
                <w:sz w:val="18"/>
                <w:lang w:val="en-US" w:eastAsia="zh-CN"/>
              </w:rPr>
            </w:pPr>
            <w:r>
              <w:rPr>
                <w:rFonts w:hint="eastAsia"/>
                <w:sz w:val="18"/>
                <w:lang w:val="en-US" w:eastAsia="zh-CN"/>
              </w:rPr>
              <w:t>310.69</w:t>
            </w:r>
          </w:p>
        </w:tc>
        <w:tc>
          <w:tcPr>
            <w:tcW w:w="2700" w:type="dxa"/>
          </w:tcPr>
          <w:p>
            <w:pPr>
              <w:pStyle w:val="14"/>
              <w:tabs>
                <w:tab w:val="left" w:pos="1849"/>
              </w:tabs>
              <w:spacing w:before="62"/>
              <w:ind w:left="675"/>
              <w:rPr>
                <w:sz w:val="18"/>
              </w:rPr>
            </w:pPr>
            <w:r>
              <w:rPr>
                <w:sz w:val="18"/>
              </w:rPr>
              <w:t>小</w:t>
            </w:r>
            <w:r>
              <w:rPr>
                <w:sz w:val="18"/>
              </w:rPr>
              <w:tab/>
            </w:r>
            <w:r>
              <w:rPr>
                <w:sz w:val="18"/>
              </w:rPr>
              <w:t>计</w:t>
            </w:r>
          </w:p>
        </w:tc>
        <w:tc>
          <w:tcPr>
            <w:tcW w:w="2701" w:type="dxa"/>
          </w:tcPr>
          <w:p>
            <w:pPr>
              <w:pStyle w:val="14"/>
              <w:spacing w:before="62"/>
              <w:ind w:right="94"/>
              <w:jc w:val="right"/>
              <w:rPr>
                <w:rFonts w:hint="default" w:eastAsia="宋体"/>
                <w:sz w:val="18"/>
                <w:lang w:val="en-US" w:eastAsia="zh-CN"/>
              </w:rPr>
            </w:pPr>
            <w:r>
              <w:rPr>
                <w:rFonts w:hint="eastAsia"/>
                <w:sz w:val="18"/>
                <w:lang w:val="en-US" w:eastAsia="zh-CN"/>
              </w:rPr>
              <w:t>310.69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rPr>
                <w:rFonts w:ascii="Times New Roman"/>
                <w:sz w:val="18"/>
              </w:rPr>
            </w:pP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700" w:type="dxa"/>
          </w:tcPr>
          <w:p>
            <w:pPr>
              <w:pStyle w:val="14"/>
              <w:ind w:left="107"/>
              <w:rPr>
                <w:sz w:val="18"/>
              </w:rPr>
            </w:pPr>
            <w:r>
              <w:rPr>
                <w:sz w:val="18"/>
              </w:rPr>
              <w:t>单位上年结余（不包括国库集</w:t>
            </w:r>
          </w:p>
          <w:p>
            <w:pPr>
              <w:pStyle w:val="14"/>
              <w:spacing w:before="4" w:line="213" w:lineRule="exact"/>
              <w:ind w:left="107"/>
              <w:rPr>
                <w:sz w:val="18"/>
              </w:rPr>
            </w:pPr>
            <w:r>
              <w:rPr>
                <w:sz w:val="18"/>
              </w:rPr>
              <w:t>中支付额度结余）</w:t>
            </w:r>
          </w:p>
        </w:tc>
        <w:tc>
          <w:tcPr>
            <w:tcW w:w="2700" w:type="dxa"/>
          </w:tcPr>
          <w:p>
            <w:pPr>
              <w:pStyle w:val="14"/>
              <w:rPr>
                <w:rFonts w:ascii="Times New Roman"/>
                <w:sz w:val="18"/>
              </w:rPr>
            </w:pPr>
          </w:p>
        </w:tc>
        <w:tc>
          <w:tcPr>
            <w:tcW w:w="2700" w:type="dxa"/>
          </w:tcPr>
          <w:p>
            <w:pPr>
              <w:pStyle w:val="14"/>
              <w:spacing w:before="117"/>
              <w:ind w:left="108"/>
              <w:rPr>
                <w:sz w:val="18"/>
              </w:rPr>
            </w:pPr>
            <w:r>
              <w:rPr>
                <w:sz w:val="18"/>
              </w:rPr>
              <w:t>230 转移性支出</w:t>
            </w: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rPr>
                <w:rFonts w:ascii="Times New Roman"/>
                <w:sz w:val="18"/>
              </w:rPr>
            </w:pPr>
          </w:p>
        </w:tc>
        <w:tc>
          <w:tcPr>
            <w:tcW w:w="2700" w:type="dxa"/>
          </w:tcPr>
          <w:p>
            <w:pPr>
              <w:pStyle w:val="14"/>
              <w:rPr>
                <w:rFonts w:ascii="Times New Roman"/>
                <w:sz w:val="18"/>
              </w:rPr>
            </w:pPr>
          </w:p>
        </w:tc>
        <w:tc>
          <w:tcPr>
            <w:tcW w:w="2700" w:type="dxa"/>
          </w:tcPr>
          <w:p>
            <w:pPr>
              <w:pStyle w:val="14"/>
              <w:rPr>
                <w:rFonts w:ascii="Times New Roman"/>
                <w:sz w:val="18"/>
              </w:rPr>
            </w:pPr>
          </w:p>
        </w:tc>
        <w:tc>
          <w:tcPr>
            <w:tcW w:w="2701" w:type="dxa"/>
          </w:tcPr>
          <w:p>
            <w:pPr>
              <w:pStyle w:val="14"/>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700" w:type="dxa"/>
          </w:tcPr>
          <w:p>
            <w:pPr>
              <w:pStyle w:val="14"/>
              <w:spacing w:before="64"/>
              <w:ind w:right="705"/>
              <w:jc w:val="right"/>
              <w:rPr>
                <w:sz w:val="18"/>
              </w:rPr>
            </w:pPr>
            <w:r>
              <w:rPr>
                <w:sz w:val="18"/>
              </w:rPr>
              <w:t>收 入 总 计</w:t>
            </w:r>
          </w:p>
        </w:tc>
        <w:tc>
          <w:tcPr>
            <w:tcW w:w="2700" w:type="dxa"/>
          </w:tcPr>
          <w:p>
            <w:pPr>
              <w:pStyle w:val="14"/>
              <w:spacing w:before="64"/>
              <w:ind w:right="94"/>
              <w:jc w:val="right"/>
              <w:rPr>
                <w:rFonts w:hint="default" w:eastAsia="宋体"/>
                <w:sz w:val="18"/>
                <w:lang w:val="en-US" w:eastAsia="zh-CN"/>
              </w:rPr>
            </w:pPr>
            <w:r>
              <w:rPr>
                <w:rFonts w:hint="eastAsia"/>
                <w:sz w:val="18"/>
                <w:lang w:val="en-US" w:eastAsia="zh-CN"/>
              </w:rPr>
              <w:t>310.69</w:t>
            </w:r>
          </w:p>
        </w:tc>
        <w:tc>
          <w:tcPr>
            <w:tcW w:w="2700" w:type="dxa"/>
          </w:tcPr>
          <w:p>
            <w:pPr>
              <w:pStyle w:val="14"/>
              <w:spacing w:before="64"/>
              <w:ind w:left="721"/>
              <w:rPr>
                <w:sz w:val="18"/>
              </w:rPr>
            </w:pPr>
            <w:r>
              <w:rPr>
                <w:sz w:val="18"/>
              </w:rPr>
              <w:t>支 出 合 计</w:t>
            </w:r>
          </w:p>
        </w:tc>
        <w:tc>
          <w:tcPr>
            <w:tcW w:w="2701" w:type="dxa"/>
          </w:tcPr>
          <w:p>
            <w:pPr>
              <w:pStyle w:val="14"/>
              <w:spacing w:before="64"/>
              <w:ind w:right="94"/>
              <w:jc w:val="right"/>
              <w:rPr>
                <w:rFonts w:hint="default"/>
                <w:sz w:val="18"/>
                <w:lang w:val="en-US" w:eastAsia="zh-CN"/>
              </w:rPr>
            </w:pPr>
            <w:r>
              <w:rPr>
                <w:rFonts w:hint="eastAsia"/>
                <w:sz w:val="18"/>
                <w:lang w:val="en-US" w:eastAsia="zh-CN"/>
              </w:rPr>
              <w:t>310.69</w:t>
            </w:r>
          </w:p>
        </w:tc>
      </w:tr>
    </w:tbl>
    <w:p>
      <w:pPr>
        <w:spacing w:after="0"/>
        <w:jc w:val="right"/>
        <w:rPr>
          <w:sz w:val="18"/>
        </w:rPr>
        <w:sectPr>
          <w:pgSz w:w="11910" w:h="16840"/>
          <w:pgMar w:top="1040" w:right="280" w:bottom="280" w:left="600" w:header="720" w:footer="720" w:gutter="0"/>
        </w:sectPr>
      </w:pPr>
    </w:p>
    <w:p>
      <w:pPr>
        <w:pStyle w:val="7"/>
        <w:spacing w:before="5"/>
        <w:rPr>
          <w:rFonts w:ascii="宋体"/>
          <w:sz w:val="15"/>
          <w:szCs w:val="24"/>
        </w:rPr>
      </w:pPr>
    </w:p>
    <w:p>
      <w:pPr>
        <w:spacing w:before="85"/>
        <w:ind w:left="217" w:right="0" w:firstLine="0"/>
        <w:jc w:val="left"/>
        <w:rPr>
          <w:rFonts w:hint="eastAsia" w:ascii="宋体" w:eastAsia="宋体"/>
          <w:sz w:val="20"/>
          <w:szCs w:val="20"/>
        </w:rPr>
      </w:pPr>
      <w:r>
        <w:rPr>
          <w:rFonts w:hint="eastAsia" w:ascii="宋体" w:eastAsia="宋体"/>
          <w:sz w:val="20"/>
          <w:szCs w:val="20"/>
        </w:rPr>
        <w:t>表二</w:t>
      </w:r>
    </w:p>
    <w:p>
      <w:pPr>
        <w:spacing w:before="33"/>
        <w:ind w:left="0" w:right="223" w:firstLine="0"/>
        <w:jc w:val="center"/>
        <w:rPr>
          <w:rFonts w:hint="eastAsia" w:ascii="宋体" w:eastAsia="宋体"/>
          <w:b/>
          <w:sz w:val="20"/>
          <w:szCs w:val="20"/>
        </w:rPr>
      </w:pPr>
      <w:r>
        <w:rPr>
          <w:rFonts w:hint="eastAsia" w:ascii="宋体" w:eastAsia="宋体"/>
          <w:b/>
          <w:sz w:val="20"/>
          <w:szCs w:val="20"/>
        </w:rPr>
        <w:t>部门收入总体情况表</w:t>
      </w:r>
    </w:p>
    <w:p>
      <w:pPr>
        <w:tabs>
          <w:tab w:val="left" w:pos="10111"/>
        </w:tabs>
        <w:spacing w:before="17" w:after="30"/>
        <w:ind w:left="192" w:right="0" w:firstLine="0"/>
        <w:jc w:val="left"/>
        <w:rPr>
          <w:rFonts w:hint="eastAsia" w:ascii="宋体" w:eastAsia="宋体"/>
          <w:sz w:val="20"/>
          <w:szCs w:val="20"/>
        </w:rPr>
      </w:pPr>
      <w:r>
        <w:rPr>
          <w:rFonts w:hint="eastAsia" w:ascii="宋体" w:eastAsia="宋体"/>
          <w:sz w:val="20"/>
          <w:szCs w:val="20"/>
        </w:rPr>
        <w:t>编制部门：新疆维吾尔自治区矿产资源储量评审中心</w:t>
      </w:r>
      <w:r>
        <w:rPr>
          <w:rFonts w:hint="eastAsia" w:ascii="宋体" w:eastAsia="宋体"/>
          <w:sz w:val="20"/>
          <w:szCs w:val="20"/>
        </w:rPr>
        <w:tab/>
      </w:r>
      <w:r>
        <w:rPr>
          <w:rFonts w:hint="eastAsia" w:ascii="宋体" w:eastAsia="宋体"/>
          <w:sz w:val="20"/>
          <w:szCs w:val="20"/>
        </w:rPr>
        <w:t>单位：万元</w:t>
      </w:r>
    </w:p>
    <w:p>
      <w:pPr>
        <w:pStyle w:val="7"/>
        <w:rPr>
          <w:rFonts w:ascii="宋体"/>
          <w:sz w:val="20"/>
          <w:szCs w:val="21"/>
        </w:rPr>
      </w:pPr>
    </w:p>
    <w:tbl>
      <w:tblPr>
        <w:tblStyle w:val="10"/>
        <w:tblW w:w="15120" w:type="dxa"/>
        <w:tblInd w:w="0" w:type="dxa"/>
        <w:shd w:val="clear" w:color="auto" w:fill="auto"/>
        <w:tblLayout w:type="fixed"/>
        <w:tblCellMar>
          <w:top w:w="0" w:type="dxa"/>
          <w:left w:w="0" w:type="dxa"/>
          <w:bottom w:w="0" w:type="dxa"/>
          <w:right w:w="0" w:type="dxa"/>
        </w:tblCellMar>
      </w:tblPr>
      <w:tblGrid>
        <w:gridCol w:w="806"/>
        <w:gridCol w:w="830"/>
        <w:gridCol w:w="1085"/>
        <w:gridCol w:w="1599"/>
        <w:gridCol w:w="1080"/>
        <w:gridCol w:w="1080"/>
        <w:gridCol w:w="1080"/>
        <w:gridCol w:w="746"/>
        <w:gridCol w:w="1021"/>
        <w:gridCol w:w="958"/>
        <w:gridCol w:w="1595"/>
        <w:gridCol w:w="1080"/>
        <w:gridCol w:w="1080"/>
        <w:gridCol w:w="1080"/>
      </w:tblGrid>
      <w:tr>
        <w:tblPrEx>
          <w:shd w:val="clear" w:color="auto" w:fill="auto"/>
          <w:tblCellMar>
            <w:top w:w="0" w:type="dxa"/>
            <w:left w:w="0" w:type="dxa"/>
            <w:bottom w:w="0" w:type="dxa"/>
            <w:right w:w="0" w:type="dxa"/>
          </w:tblCellMar>
        </w:tblPrEx>
        <w:trPr>
          <w:trHeight w:val="600" w:hRule="atLeast"/>
        </w:trPr>
        <w:tc>
          <w:tcPr>
            <w:tcW w:w="2721"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功能分类科目编码</w:t>
            </w:r>
          </w:p>
        </w:tc>
        <w:tc>
          <w:tcPr>
            <w:tcW w:w="1599"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746"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21"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958"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5"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单位上年结余</w:t>
            </w:r>
          </w:p>
        </w:tc>
        <w:tc>
          <w:tcPr>
            <w:tcW w:w="108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155" w:hRule="atLeast"/>
        </w:trPr>
        <w:tc>
          <w:tcPr>
            <w:tcW w:w="2721"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746"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财政专户管理资金（教育收费）</w:t>
            </w:r>
          </w:p>
        </w:tc>
        <w:tc>
          <w:tcPr>
            <w:tcW w:w="1021"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958"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事业单位经营收入</w:t>
            </w:r>
          </w:p>
        </w:tc>
        <w:tc>
          <w:tcPr>
            <w:tcW w:w="1595"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用事业基金弥补收支差额</w:t>
            </w: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（不包括国库集中支付额度结余）</w:t>
            </w:r>
          </w:p>
        </w:tc>
        <w:tc>
          <w:tcPr>
            <w:tcW w:w="108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85" w:hRule="atLeast"/>
        </w:trPr>
        <w:tc>
          <w:tcPr>
            <w:tcW w:w="2721"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功能分类科目名称</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 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一般公共预算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政府性基金预算</w:t>
            </w:r>
          </w:p>
        </w:tc>
        <w:tc>
          <w:tcPr>
            <w:tcW w:w="74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事业收入</w:t>
            </w:r>
          </w:p>
        </w:tc>
        <w:tc>
          <w:tcPr>
            <w:tcW w:w="958"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其他收入</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5" w:hRule="atLeast"/>
        </w:trPr>
        <w:tc>
          <w:tcPr>
            <w:tcW w:w="806"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5"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7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2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9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59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30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59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7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2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9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59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30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3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310.69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283.99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144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新疆维吾尔自治区矿产资源储量评审中心</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310.69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283.99</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13" name="图片_1"/>
                  <wp:cNvGraphicFramePr/>
                  <a:graphic xmlns:a="http://schemas.openxmlformats.org/drawingml/2006/main">
                    <a:graphicData uri="http://schemas.openxmlformats.org/drawingml/2006/picture">
                      <pic:pic xmlns:pic="http://schemas.openxmlformats.org/drawingml/2006/picture">
                        <pic:nvPicPr>
                          <pic:cNvPr id="13" name="图片_1"/>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74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14" name="图片_2"/>
                  <wp:cNvGraphicFramePr/>
                  <a:graphic xmlns:a="http://schemas.openxmlformats.org/drawingml/2006/main">
                    <a:graphicData uri="http://schemas.openxmlformats.org/drawingml/2006/picture">
                      <pic:pic xmlns:pic="http://schemas.openxmlformats.org/drawingml/2006/picture">
                        <pic:nvPicPr>
                          <pic:cNvPr id="14" name="图片_2"/>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15" name="图片_3"/>
                  <wp:cNvGraphicFramePr/>
                  <a:graphic xmlns:a="http://schemas.openxmlformats.org/drawingml/2006/main">
                    <a:graphicData uri="http://schemas.openxmlformats.org/drawingml/2006/picture">
                      <pic:pic xmlns:pic="http://schemas.openxmlformats.org/drawingml/2006/picture">
                        <pic:nvPicPr>
                          <pic:cNvPr id="15" name="图片_3"/>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16" name="图片_4"/>
                  <wp:cNvGraphicFramePr/>
                  <a:graphic xmlns:a="http://schemas.openxmlformats.org/drawingml/2006/main">
                    <a:graphicData uri="http://schemas.openxmlformats.org/drawingml/2006/picture">
                      <pic:pic xmlns:pic="http://schemas.openxmlformats.org/drawingml/2006/picture">
                        <pic:nvPicPr>
                          <pic:cNvPr id="16" name="图片_4"/>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7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19.73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5.72</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87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行政事业单位离退休</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19.73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855" w:hRule="atLeast"/>
        </w:trPr>
        <w:tc>
          <w:tcPr>
            <w:tcW w:w="806"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17" name="图片_5"/>
                  <wp:cNvGraphicFramePr/>
                  <a:graphic xmlns:a="http://schemas.openxmlformats.org/drawingml/2006/main">
                    <a:graphicData uri="http://schemas.openxmlformats.org/drawingml/2006/picture">
                      <pic:pic xmlns:pic="http://schemas.openxmlformats.org/drawingml/2006/picture">
                        <pic:nvPicPr>
                          <pic:cNvPr id="17" name="图片_5"/>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1085"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29210"/>
                  <wp:effectExtent l="0" t="0" r="8890" b="8890"/>
                  <wp:wrapNone/>
                  <wp:docPr id="18" name="图片_6"/>
                  <wp:cNvGraphicFramePr/>
                  <a:graphic xmlns:a="http://schemas.openxmlformats.org/drawingml/2006/main">
                    <a:graphicData uri="http://schemas.openxmlformats.org/drawingml/2006/picture">
                      <pic:pic xmlns:pic="http://schemas.openxmlformats.org/drawingml/2006/picture">
                        <pic:nvPicPr>
                          <pic:cNvPr id="18" name="图片_6"/>
                          <pic:cNvPicPr/>
                        </pic:nvPicPr>
                        <pic:blipFill>
                          <a:blip r:embed="rId6"/>
                          <a:stretch>
                            <a:fillRect/>
                          </a:stretch>
                        </pic:blipFill>
                        <pic:spPr>
                          <a:xfrm>
                            <a:off x="0" y="0"/>
                            <a:ext cx="29210" cy="29210"/>
                          </a:xfrm>
                          <a:prstGeom prst="rect">
                            <a:avLst/>
                          </a:prstGeom>
                          <a:noFill/>
                          <a:ln>
                            <a:noFill/>
                          </a:ln>
                        </pic:spPr>
                      </pic:pic>
                    </a:graphicData>
                  </a:graphic>
                </wp:anchor>
              </w:drawing>
            </w:r>
          </w:p>
        </w:tc>
        <w:tc>
          <w:tcPr>
            <w:tcW w:w="159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机关事业单位基本养老保险缴费支出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19.73</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14.01</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5.72</w:t>
            </w:r>
          </w:p>
        </w:tc>
        <w:tc>
          <w:tcPr>
            <w:tcW w:w="159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0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9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both"/>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59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855" w:hRule="atLeast"/>
        </w:trPr>
        <w:tc>
          <w:tcPr>
            <w:tcW w:w="806"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19" name="图片_7"/>
                  <wp:cNvGraphicFramePr/>
                  <a:graphic xmlns:a="http://schemas.openxmlformats.org/drawingml/2006/main">
                    <a:graphicData uri="http://schemas.openxmlformats.org/drawingml/2006/picture">
                      <pic:pic xmlns:pic="http://schemas.openxmlformats.org/drawingml/2006/picture">
                        <pic:nvPicPr>
                          <pic:cNvPr id="19" name="图片_7"/>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1085"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0" name="图片_8"/>
                  <wp:cNvGraphicFramePr/>
                  <a:graphic xmlns:a="http://schemas.openxmlformats.org/drawingml/2006/main">
                    <a:graphicData uri="http://schemas.openxmlformats.org/drawingml/2006/picture">
                      <pic:pic xmlns:pic="http://schemas.openxmlformats.org/drawingml/2006/picture">
                        <pic:nvPicPr>
                          <pic:cNvPr id="20" name="图片_8"/>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59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机关事业单位职业年金缴费支出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9.86</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6.67</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3.19</w:t>
            </w:r>
          </w:p>
        </w:tc>
        <w:tc>
          <w:tcPr>
            <w:tcW w:w="159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0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59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59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3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卫生健康</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2.56</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2.56</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02</w:t>
            </w: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2.56</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3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卫生健康</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w:t>
            </w: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公务员医疗补助</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3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4.29</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住房改革支出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4.29</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w:t>
            </w: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住房公积金</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4.29</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87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国土海洋气象等支出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104.82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94.45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85"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01</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国土资源事务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104.82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94.45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10.37</w:t>
            </w: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30" w:hRule="atLeast"/>
        </w:trPr>
        <w:tc>
          <w:tcPr>
            <w:tcW w:w="806"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p>
        </w:tc>
        <w:tc>
          <w:tcPr>
            <w:tcW w:w="8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p>
        </w:tc>
        <w:tc>
          <w:tcPr>
            <w:tcW w:w="108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159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事业运行</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104.82</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94.45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10.37</w:t>
            </w:r>
          </w:p>
        </w:tc>
        <w:tc>
          <w:tcPr>
            <w:tcW w:w="159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285" w:hRule="atLeast"/>
        </w:trPr>
        <w:tc>
          <w:tcPr>
            <w:tcW w:w="80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c>
          <w:tcPr>
            <w:tcW w:w="108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59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570" w:hRule="atLeast"/>
        </w:trPr>
        <w:tc>
          <w:tcPr>
            <w:tcW w:w="806"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30"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21" name="图片_11"/>
                  <wp:cNvGraphicFramePr/>
                  <a:graphic xmlns:a="http://schemas.openxmlformats.org/drawingml/2006/main">
                    <a:graphicData uri="http://schemas.openxmlformats.org/drawingml/2006/picture">
                      <pic:pic xmlns:pic="http://schemas.openxmlformats.org/drawingml/2006/picture">
                        <pic:nvPicPr>
                          <pic:cNvPr id="21" name="图片_11"/>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1085"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2" name="图片_12"/>
                  <wp:cNvGraphicFramePr/>
                  <a:graphic xmlns:a="http://schemas.openxmlformats.org/drawingml/2006/main">
                    <a:graphicData uri="http://schemas.openxmlformats.org/drawingml/2006/picture">
                      <pic:pic xmlns:pic="http://schemas.openxmlformats.org/drawingml/2006/picture">
                        <pic:nvPicPr>
                          <pic:cNvPr id="22" name="图片_12"/>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59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其他国土资源事务支出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9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30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159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9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9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r>
      <w:tr>
        <w:tblPrEx>
          <w:tblCellMar>
            <w:top w:w="0" w:type="dxa"/>
            <w:left w:w="0" w:type="dxa"/>
            <w:bottom w:w="0" w:type="dxa"/>
            <w:right w:w="0" w:type="dxa"/>
          </w:tblCellMar>
        </w:tblPrEx>
        <w:trPr>
          <w:trHeight w:val="870" w:hRule="atLeast"/>
        </w:trPr>
        <w:tc>
          <w:tcPr>
            <w:tcW w:w="80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220</w:t>
            </w:r>
          </w:p>
        </w:tc>
        <w:tc>
          <w:tcPr>
            <w:tcW w:w="83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8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599"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自然资源行业业务管理</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746"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21"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958"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595"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0"/>
                <w:szCs w:val="20"/>
                <w:u w:val="none"/>
              </w:rPr>
            </w:pP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bl>
    <w:p>
      <w:pPr>
        <w:pStyle w:val="7"/>
        <w:rPr>
          <w:rFonts w:ascii="宋体"/>
          <w:sz w:val="20"/>
        </w:rPr>
      </w:pPr>
    </w:p>
    <w:p>
      <w:pPr>
        <w:pStyle w:val="7"/>
        <w:rPr>
          <w:rFonts w:ascii="宋体"/>
          <w:sz w:val="20"/>
        </w:rPr>
      </w:pPr>
    </w:p>
    <w:p>
      <w:pPr>
        <w:pStyle w:val="7"/>
        <w:spacing w:before="11"/>
        <w:rPr>
          <w:rFonts w:ascii="宋体"/>
          <w:sz w:val="17"/>
        </w:rPr>
      </w:pPr>
    </w:p>
    <w:p>
      <w:pPr>
        <w:spacing w:before="0"/>
        <w:ind w:left="423" w:right="0" w:firstLine="0"/>
        <w:jc w:val="left"/>
        <w:rPr>
          <w:rFonts w:hint="eastAsia" w:ascii="宋体" w:eastAsia="宋体"/>
          <w:sz w:val="12"/>
        </w:rPr>
      </w:pPr>
      <w:r>
        <w:rPr>
          <w:rFonts w:hint="eastAsia" w:ascii="宋体" w:eastAsia="宋体"/>
          <w:w w:val="105"/>
          <w:sz w:val="12"/>
        </w:rPr>
        <w:t>表三</w:t>
      </w:r>
    </w:p>
    <w:p>
      <w:pPr>
        <w:spacing w:before="39"/>
        <w:ind w:left="433" w:right="316" w:firstLine="0"/>
        <w:jc w:val="center"/>
        <w:rPr>
          <w:rFonts w:hint="eastAsia" w:ascii="宋体" w:eastAsia="宋体"/>
          <w:b/>
          <w:sz w:val="22"/>
        </w:rPr>
      </w:pPr>
      <w:r>
        <w:rPr>
          <w:rFonts w:hint="eastAsia" w:ascii="宋体" w:eastAsia="宋体"/>
          <w:b/>
          <w:sz w:val="22"/>
        </w:rPr>
        <w:t>部门支出总体情况表</w:t>
      </w:r>
    </w:p>
    <w:p>
      <w:pPr>
        <w:tabs>
          <w:tab w:val="left" w:pos="10143"/>
        </w:tabs>
        <w:spacing w:before="28" w:after="39"/>
        <w:ind w:left="371" w:right="0" w:firstLine="0"/>
        <w:jc w:val="left"/>
        <w:rPr>
          <w:rFonts w:hint="eastAsia" w:ascii="宋体" w:eastAsia="宋体"/>
          <w:sz w:val="12"/>
        </w:rPr>
      </w:pPr>
      <w:r>
        <w:rPr>
          <w:rFonts w:hint="eastAsia" w:ascii="宋体" w:eastAsia="宋体"/>
          <w:w w:val="105"/>
          <w:sz w:val="12"/>
        </w:rPr>
        <w:t>编制部门：新疆维吾尔自治区矿产资源储量评审中心</w:t>
      </w:r>
      <w:r>
        <w:rPr>
          <w:rFonts w:hint="eastAsia" w:ascii="宋体" w:eastAsia="宋体"/>
          <w:w w:val="105"/>
          <w:sz w:val="12"/>
        </w:rPr>
        <w:tab/>
      </w:r>
      <w:r>
        <w:rPr>
          <w:rFonts w:hint="eastAsia" w:ascii="宋体" w:eastAsia="宋体"/>
          <w:w w:val="105"/>
          <w:sz w:val="12"/>
        </w:rPr>
        <w:t>单位：万元</w:t>
      </w:r>
    </w:p>
    <w:p>
      <w:pPr>
        <w:spacing w:after="0"/>
        <w:jc w:val="right"/>
        <w:rPr>
          <w:sz w:val="21"/>
          <w:szCs w:val="44"/>
        </w:rPr>
      </w:pPr>
    </w:p>
    <w:tbl>
      <w:tblPr>
        <w:tblStyle w:val="10"/>
        <w:tblW w:w="15120" w:type="dxa"/>
        <w:tblInd w:w="0" w:type="dxa"/>
        <w:shd w:val="clear" w:color="auto" w:fill="auto"/>
        <w:tblLayout w:type="autofit"/>
        <w:tblCellMar>
          <w:top w:w="0" w:type="dxa"/>
          <w:left w:w="0" w:type="dxa"/>
          <w:bottom w:w="0" w:type="dxa"/>
          <w:right w:w="0"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shd w:val="clear" w:color="auto" w:fill="auto"/>
          <w:tblCellMar>
            <w:top w:w="0" w:type="dxa"/>
            <w:left w:w="0" w:type="dxa"/>
            <w:bottom w:w="0" w:type="dxa"/>
            <w:right w:w="0" w:type="dxa"/>
          </w:tblCellMar>
        </w:tblPrEx>
        <w:trPr>
          <w:trHeight w:val="600" w:hRule="atLeast"/>
        </w:trPr>
        <w:tc>
          <w:tcPr>
            <w:tcW w:w="3240"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功能分类科目编码</w:t>
            </w: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single" w:color="000000" w:sz="8" w:space="0"/>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单位上年结余</w:t>
            </w:r>
          </w:p>
        </w:tc>
        <w:tc>
          <w:tcPr>
            <w:tcW w:w="108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155" w:hRule="atLeast"/>
        </w:trPr>
        <w:tc>
          <w:tcPr>
            <w:tcW w:w="3240"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财政专户管理资金（教育收费）</w:t>
            </w: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事业单位经营收入</w:t>
            </w: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用事业基金弥补收支差额</w:t>
            </w: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（不包括国库集中支付额度结余）</w:t>
            </w:r>
          </w:p>
        </w:tc>
        <w:tc>
          <w:tcPr>
            <w:tcW w:w="108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585" w:hRule="atLeast"/>
        </w:trPr>
        <w:tc>
          <w:tcPr>
            <w:tcW w:w="3240"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功能分类科目名称</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 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事业收入</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其他收入</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15" w:hRule="atLeast"/>
        </w:trPr>
        <w:tc>
          <w:tcPr>
            <w:tcW w:w="1080"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类</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款</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310.69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283.99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144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新疆维吾尔自治区矿产资源储量评审中心</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310.69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283.99</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6" name="图片_1"/>
                  <wp:cNvGraphicFramePr/>
                  <a:graphic xmlns:a="http://schemas.openxmlformats.org/drawingml/2006/main">
                    <a:graphicData uri="http://schemas.openxmlformats.org/drawingml/2006/picture">
                      <pic:pic xmlns:pic="http://schemas.openxmlformats.org/drawingml/2006/picture">
                        <pic:nvPicPr>
                          <pic:cNvPr id="26" name="图片_1"/>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7" name="图片_2"/>
                  <wp:cNvGraphicFramePr/>
                  <a:graphic xmlns:a="http://schemas.openxmlformats.org/drawingml/2006/main">
                    <a:graphicData uri="http://schemas.openxmlformats.org/drawingml/2006/picture">
                      <pic:pic xmlns:pic="http://schemas.openxmlformats.org/drawingml/2006/picture">
                        <pic:nvPicPr>
                          <pic:cNvPr id="27" name="图片_2"/>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8" name="图片_3"/>
                  <wp:cNvGraphicFramePr/>
                  <a:graphic xmlns:a="http://schemas.openxmlformats.org/drawingml/2006/main">
                    <a:graphicData uri="http://schemas.openxmlformats.org/drawingml/2006/picture">
                      <pic:pic xmlns:pic="http://schemas.openxmlformats.org/drawingml/2006/picture">
                        <pic:nvPicPr>
                          <pic:cNvPr id="28" name="图片_3"/>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9" name="图片_4"/>
                  <wp:cNvGraphicFramePr/>
                  <a:graphic xmlns:a="http://schemas.openxmlformats.org/drawingml/2006/main">
                    <a:graphicData uri="http://schemas.openxmlformats.org/drawingml/2006/picture">
                      <pic:pic xmlns:pic="http://schemas.openxmlformats.org/drawingml/2006/picture">
                        <pic:nvPicPr>
                          <pic:cNvPr id="29" name="图片_4"/>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87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19.73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87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行政事业单位离退休</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19.73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855" w:hRule="atLeast"/>
        </w:trPr>
        <w:tc>
          <w:tcPr>
            <w:tcW w:w="1080"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30" name="图片_5"/>
                  <wp:cNvGraphicFramePr/>
                  <a:graphic xmlns:a="http://schemas.openxmlformats.org/drawingml/2006/main">
                    <a:graphicData uri="http://schemas.openxmlformats.org/drawingml/2006/picture">
                      <pic:pic xmlns:pic="http://schemas.openxmlformats.org/drawingml/2006/picture">
                        <pic:nvPicPr>
                          <pic:cNvPr id="30" name="图片_5"/>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29210"/>
                  <wp:effectExtent l="0" t="0" r="8890" b="8890"/>
                  <wp:wrapNone/>
                  <wp:docPr id="31" name="图片_6"/>
                  <wp:cNvGraphicFramePr/>
                  <a:graphic xmlns:a="http://schemas.openxmlformats.org/drawingml/2006/main">
                    <a:graphicData uri="http://schemas.openxmlformats.org/drawingml/2006/picture">
                      <pic:pic xmlns:pic="http://schemas.openxmlformats.org/drawingml/2006/picture">
                        <pic:nvPicPr>
                          <pic:cNvPr id="31" name="图片_6"/>
                          <pic:cNvPicPr/>
                        </pic:nvPicPr>
                        <pic:blipFill>
                          <a:blip r:embed="rId6"/>
                          <a:stretch>
                            <a:fillRect/>
                          </a:stretch>
                        </pic:blipFill>
                        <pic:spPr>
                          <a:xfrm>
                            <a:off x="0" y="0"/>
                            <a:ext cx="29210" cy="29210"/>
                          </a:xfrm>
                          <a:prstGeom prst="rect">
                            <a:avLst/>
                          </a:prstGeom>
                          <a:noFill/>
                          <a:ln>
                            <a:noFill/>
                          </a:ln>
                        </pic:spPr>
                      </pic:pic>
                    </a:graphicData>
                  </a:graphic>
                </wp:anchor>
              </w:drawing>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机关事业单位基本养老保险缴费支出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19.73</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both"/>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14.01</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5.72</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both"/>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855" w:hRule="atLeast"/>
        </w:trPr>
        <w:tc>
          <w:tcPr>
            <w:tcW w:w="1080"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32" name="图片_7"/>
                  <wp:cNvGraphicFramePr/>
                  <a:graphic xmlns:a="http://schemas.openxmlformats.org/drawingml/2006/main">
                    <a:graphicData uri="http://schemas.openxmlformats.org/drawingml/2006/picture">
                      <pic:pic xmlns:pic="http://schemas.openxmlformats.org/drawingml/2006/picture">
                        <pic:nvPicPr>
                          <pic:cNvPr id="32" name="图片_7"/>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5" name="图片_8"/>
                  <wp:cNvGraphicFramePr/>
                  <a:graphic xmlns:a="http://schemas.openxmlformats.org/drawingml/2006/main">
                    <a:graphicData uri="http://schemas.openxmlformats.org/drawingml/2006/picture">
                      <pic:pic xmlns:pic="http://schemas.openxmlformats.org/drawingml/2006/picture">
                        <pic:nvPicPr>
                          <pic:cNvPr id="25" name="图片_8"/>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机关事业单位职业年金缴费支出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9.86</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6.67</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3.19</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3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2.56</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2.56</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2.56</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3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行政事业单位医疗</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公务员医疗补助</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3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住房保障</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住房改革支出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住房公积金</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10.51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4.29</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87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国土海洋气象等支出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104.82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94.45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85"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国土资源事务</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104.82</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94.45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10.37</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30" w:hRule="atLeast"/>
        </w:trPr>
        <w:tc>
          <w:tcPr>
            <w:tcW w:w="108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事业运行</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104.82</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94.45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10.37</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285" w:hRule="atLeast"/>
        </w:trPr>
        <w:tc>
          <w:tcPr>
            <w:tcW w:w="108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center"/>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570" w:hRule="atLeast"/>
        </w:trPr>
        <w:tc>
          <w:tcPr>
            <w:tcW w:w="1080" w:type="dxa"/>
            <w:tcBorders>
              <w:top w:val="nil"/>
              <w:left w:val="single" w:color="000000" w:sz="8" w:space="0"/>
              <w:bottom w:val="nil"/>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9210" cy="19050"/>
                  <wp:effectExtent l="0" t="0" r="8890" b="0"/>
                  <wp:wrapNone/>
                  <wp:docPr id="23" name="图片_11"/>
                  <wp:cNvGraphicFramePr/>
                  <a:graphic xmlns:a="http://schemas.openxmlformats.org/drawingml/2006/main">
                    <a:graphicData uri="http://schemas.openxmlformats.org/drawingml/2006/picture">
                      <pic:pic xmlns:pic="http://schemas.openxmlformats.org/drawingml/2006/picture">
                        <pic:nvPicPr>
                          <pic:cNvPr id="23" name="图片_11"/>
                          <pic:cNvPicPr/>
                        </pic:nvPicPr>
                        <pic:blipFill>
                          <a:blip r:embed="rId5"/>
                          <a:stretch>
                            <a:fillRect/>
                          </a:stretch>
                        </pic:blipFill>
                        <pic:spPr>
                          <a:xfrm>
                            <a:off x="0" y="0"/>
                            <a:ext cx="29210" cy="19050"/>
                          </a:xfrm>
                          <a:prstGeom prst="rect">
                            <a:avLst/>
                          </a:prstGeom>
                          <a:noFill/>
                          <a:ln>
                            <a:noFill/>
                          </a:ln>
                        </pic:spPr>
                      </pic:pic>
                    </a:graphicData>
                  </a:graphic>
                </wp:anchor>
              </w:drawing>
            </w:r>
          </w:p>
        </w:tc>
        <w:tc>
          <w:tcPr>
            <w:tcW w:w="0" w:type="auto"/>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8100" cy="29210"/>
                  <wp:effectExtent l="0" t="0" r="0" b="8890"/>
                  <wp:wrapNone/>
                  <wp:docPr id="24" name="图片_12"/>
                  <wp:cNvGraphicFramePr/>
                  <a:graphic xmlns:a="http://schemas.openxmlformats.org/drawingml/2006/main">
                    <a:graphicData uri="http://schemas.openxmlformats.org/drawingml/2006/picture">
                      <pic:pic xmlns:pic="http://schemas.openxmlformats.org/drawingml/2006/picture">
                        <pic:nvPicPr>
                          <pic:cNvPr id="24" name="图片_12"/>
                          <pic:cNvPicPr/>
                        </pic:nvPicPr>
                        <pic:blipFill>
                          <a:blip r:embed="rId4"/>
                          <a:stretch>
                            <a:fillRect/>
                          </a:stretch>
                        </pic:blipFill>
                        <pic:spPr>
                          <a:xfrm>
                            <a:off x="0" y="0"/>
                            <a:ext cx="38100" cy="29210"/>
                          </a:xfrm>
                          <a:prstGeom prst="rect">
                            <a:avLst/>
                          </a:prstGeom>
                          <a:noFill/>
                          <a:ln>
                            <a:noFill/>
                          </a:ln>
                        </pic:spPr>
                      </pic:pic>
                    </a:graphicData>
                  </a:graphic>
                </wp:anchor>
              </w:drawing>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其他国土资源事务支出</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115</w:t>
            </w: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30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99</w:t>
            </w: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r>
      <w:tr>
        <w:tblPrEx>
          <w:tblCellMar>
            <w:top w:w="0" w:type="dxa"/>
            <w:left w:w="0" w:type="dxa"/>
            <w:bottom w:w="0" w:type="dxa"/>
            <w:right w:w="0" w:type="dxa"/>
          </w:tblCellMar>
        </w:tblPrEx>
        <w:trPr>
          <w:trHeight w:val="870" w:hRule="atLeast"/>
        </w:trPr>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自然资源行业业务管理</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right"/>
              <w:rPr>
                <w:rFonts w:hint="eastAsia" w:ascii="宋体" w:hAnsi="宋体" w:eastAsia="宋体" w:cs="宋体"/>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jc w:val="left"/>
              <w:rPr>
                <w:rFonts w:hint="default" w:ascii="Times New Roman" w:hAnsi="Times New Roman" w:eastAsia="宋体" w:cs="Times New Roman"/>
                <w:i w:val="0"/>
                <w:color w:val="000000"/>
                <w:sz w:val="24"/>
                <w:szCs w:val="24"/>
                <w:u w:val="none"/>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spacing w:after="0"/>
        <w:jc w:val="right"/>
        <w:rPr>
          <w:sz w:val="21"/>
          <w:szCs w:val="44"/>
        </w:rPr>
        <w:sectPr>
          <w:pgSz w:w="11910" w:h="16840"/>
          <w:pgMar w:top="1580" w:right="280" w:bottom="280" w:left="600" w:header="720" w:footer="720" w:gutter="0"/>
        </w:sectPr>
      </w:pPr>
    </w:p>
    <w:p>
      <w:pPr>
        <w:spacing w:before="58"/>
        <w:ind w:left="374" w:right="0" w:firstLine="0"/>
        <w:jc w:val="left"/>
        <w:rPr>
          <w:rFonts w:hint="eastAsia" w:ascii="宋体" w:eastAsia="宋体"/>
          <w:sz w:val="14"/>
        </w:rPr>
      </w:pPr>
      <w:r>
        <w:rPr>
          <w:rFonts w:hint="eastAsia" w:ascii="宋体" w:eastAsia="宋体"/>
          <w:sz w:val="14"/>
        </w:rPr>
        <w:t>表四</w:t>
      </w:r>
    </w:p>
    <w:p>
      <w:pPr>
        <w:spacing w:before="45"/>
        <w:ind w:left="445" w:right="316" w:firstLine="0"/>
        <w:jc w:val="center"/>
        <w:rPr>
          <w:rFonts w:hint="eastAsia" w:ascii="宋体" w:eastAsia="宋体"/>
          <w:b/>
          <w:sz w:val="24"/>
        </w:rPr>
      </w:pPr>
      <w:r>
        <w:rPr>
          <w:rFonts w:hint="eastAsia" w:ascii="宋体" w:eastAsia="宋体"/>
          <w:b/>
          <w:sz w:val="24"/>
        </w:rPr>
        <w:t>财政拨款收支预算总体情况表</w:t>
      </w:r>
    </w:p>
    <w:p>
      <w:pPr>
        <w:tabs>
          <w:tab w:val="left" w:pos="10017"/>
        </w:tabs>
        <w:spacing w:before="36" w:after="28"/>
        <w:ind w:left="374" w:right="0" w:firstLine="0"/>
        <w:jc w:val="left"/>
        <w:rPr>
          <w:rFonts w:hint="eastAsia" w:ascii="宋体" w:eastAsia="宋体"/>
          <w:sz w:val="15"/>
        </w:rPr>
      </w:pPr>
      <w:r>
        <w:rPr>
          <w:rFonts w:hint="eastAsia" w:ascii="宋体" w:eastAsia="宋体"/>
          <w:position w:val="1"/>
          <w:sz w:val="14"/>
        </w:rPr>
        <w:t>编制部门：新疆维吾尔自治区矿产资源储量评审中心</w:t>
      </w:r>
      <w:r>
        <w:rPr>
          <w:rFonts w:hint="eastAsia" w:ascii="宋体" w:eastAsia="宋体"/>
          <w:position w:val="1"/>
          <w:sz w:val="14"/>
        </w:rPr>
        <w:tab/>
      </w:r>
      <w:r>
        <w:rPr>
          <w:rFonts w:hint="eastAsia" w:ascii="宋体" w:eastAsia="宋体"/>
          <w:sz w:val="15"/>
        </w:rPr>
        <w:t>单位：万元</w:t>
      </w:r>
    </w:p>
    <w:tbl>
      <w:tblPr>
        <w:tblStyle w:val="10"/>
        <w:tblW w:w="0" w:type="auto"/>
        <w:tblInd w:w="35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76"/>
        <w:gridCol w:w="1826"/>
        <w:gridCol w:w="1988"/>
        <w:gridCol w:w="1653"/>
        <w:gridCol w:w="1653"/>
        <w:gridCol w:w="165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7" w:hRule="atLeast"/>
        </w:trPr>
        <w:tc>
          <w:tcPr>
            <w:tcW w:w="3502" w:type="dxa"/>
            <w:gridSpan w:val="2"/>
          </w:tcPr>
          <w:p>
            <w:pPr>
              <w:pStyle w:val="14"/>
              <w:spacing w:before="66"/>
              <w:ind w:left="1344" w:right="1263"/>
              <w:jc w:val="center"/>
              <w:rPr>
                <w:sz w:val="20"/>
                <w:szCs w:val="36"/>
              </w:rPr>
            </w:pPr>
            <w:r>
              <w:rPr>
                <w:sz w:val="20"/>
                <w:szCs w:val="36"/>
              </w:rPr>
              <w:t>财政拨款收入</w:t>
            </w:r>
          </w:p>
        </w:tc>
        <w:tc>
          <w:tcPr>
            <w:tcW w:w="6947" w:type="dxa"/>
            <w:gridSpan w:val="4"/>
          </w:tcPr>
          <w:p>
            <w:pPr>
              <w:pStyle w:val="14"/>
              <w:spacing w:before="56"/>
              <w:ind w:left="3049" w:right="2943"/>
              <w:jc w:val="center"/>
              <w:rPr>
                <w:sz w:val="21"/>
                <w:szCs w:val="36"/>
              </w:rPr>
            </w:pPr>
            <w:r>
              <w:rPr>
                <w:sz w:val="21"/>
                <w:szCs w:val="36"/>
              </w:rPr>
              <w:t>财政拨款支出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8" w:hRule="atLeast"/>
        </w:trPr>
        <w:tc>
          <w:tcPr>
            <w:tcW w:w="1676" w:type="dxa"/>
          </w:tcPr>
          <w:p>
            <w:pPr>
              <w:pStyle w:val="14"/>
              <w:tabs>
                <w:tab w:val="left" w:pos="974"/>
              </w:tabs>
              <w:spacing w:before="66"/>
              <w:ind w:left="559"/>
              <w:rPr>
                <w:sz w:val="20"/>
                <w:szCs w:val="36"/>
              </w:rPr>
            </w:pPr>
            <w:r>
              <w:rPr>
                <w:sz w:val="20"/>
                <w:szCs w:val="36"/>
              </w:rPr>
              <w:t>项</w:t>
            </w:r>
            <w:r>
              <w:rPr>
                <w:sz w:val="20"/>
                <w:szCs w:val="36"/>
              </w:rPr>
              <w:tab/>
            </w:r>
            <w:r>
              <w:rPr>
                <w:sz w:val="20"/>
                <w:szCs w:val="36"/>
              </w:rPr>
              <w:t>目</w:t>
            </w:r>
          </w:p>
        </w:tc>
        <w:tc>
          <w:tcPr>
            <w:tcW w:w="1826" w:type="dxa"/>
          </w:tcPr>
          <w:p>
            <w:pPr>
              <w:pStyle w:val="14"/>
              <w:tabs>
                <w:tab w:val="left" w:pos="1090"/>
              </w:tabs>
              <w:spacing w:before="66"/>
              <w:ind w:left="605"/>
              <w:rPr>
                <w:sz w:val="20"/>
                <w:szCs w:val="36"/>
              </w:rPr>
            </w:pPr>
            <w:r>
              <w:rPr>
                <w:sz w:val="20"/>
                <w:szCs w:val="36"/>
              </w:rPr>
              <w:t>合</w:t>
            </w:r>
            <w:r>
              <w:rPr>
                <w:sz w:val="20"/>
                <w:szCs w:val="36"/>
              </w:rPr>
              <w:tab/>
            </w:r>
            <w:r>
              <w:rPr>
                <w:sz w:val="20"/>
                <w:szCs w:val="36"/>
              </w:rPr>
              <w:t>计</w:t>
            </w:r>
          </w:p>
        </w:tc>
        <w:tc>
          <w:tcPr>
            <w:tcW w:w="1988" w:type="dxa"/>
          </w:tcPr>
          <w:p>
            <w:pPr>
              <w:pStyle w:val="14"/>
              <w:spacing w:before="66"/>
              <w:ind w:left="514"/>
              <w:rPr>
                <w:sz w:val="20"/>
                <w:szCs w:val="36"/>
              </w:rPr>
            </w:pPr>
            <w:r>
              <w:rPr>
                <w:sz w:val="20"/>
                <w:szCs w:val="36"/>
              </w:rPr>
              <w:t>功 能 分 类</w:t>
            </w:r>
          </w:p>
        </w:tc>
        <w:tc>
          <w:tcPr>
            <w:tcW w:w="1653" w:type="dxa"/>
          </w:tcPr>
          <w:p>
            <w:pPr>
              <w:pStyle w:val="14"/>
              <w:tabs>
                <w:tab w:val="left" w:pos="1023"/>
              </w:tabs>
              <w:spacing w:before="66"/>
              <w:ind w:left="502"/>
              <w:rPr>
                <w:sz w:val="20"/>
                <w:szCs w:val="36"/>
              </w:rPr>
            </w:pPr>
            <w:r>
              <w:rPr>
                <w:sz w:val="20"/>
                <w:szCs w:val="36"/>
              </w:rPr>
              <w:t>合</w:t>
            </w:r>
            <w:r>
              <w:rPr>
                <w:sz w:val="20"/>
                <w:szCs w:val="36"/>
              </w:rPr>
              <w:tab/>
            </w:r>
            <w:r>
              <w:rPr>
                <w:sz w:val="20"/>
                <w:szCs w:val="36"/>
              </w:rPr>
              <w:t>计</w:t>
            </w:r>
          </w:p>
        </w:tc>
        <w:tc>
          <w:tcPr>
            <w:tcW w:w="1653" w:type="dxa"/>
          </w:tcPr>
          <w:p>
            <w:pPr>
              <w:pStyle w:val="14"/>
              <w:spacing w:before="66"/>
              <w:ind w:right="45"/>
              <w:jc w:val="right"/>
              <w:rPr>
                <w:sz w:val="20"/>
                <w:szCs w:val="36"/>
              </w:rPr>
            </w:pPr>
            <w:r>
              <w:rPr>
                <w:sz w:val="20"/>
                <w:szCs w:val="36"/>
              </w:rPr>
              <w:t>一 般 公 共 预 算</w:t>
            </w:r>
          </w:p>
        </w:tc>
        <w:tc>
          <w:tcPr>
            <w:tcW w:w="1653" w:type="dxa"/>
          </w:tcPr>
          <w:p>
            <w:pPr>
              <w:pStyle w:val="14"/>
              <w:spacing w:before="66"/>
              <w:ind w:left="399"/>
              <w:rPr>
                <w:sz w:val="20"/>
                <w:szCs w:val="36"/>
              </w:rPr>
            </w:pPr>
            <w:r>
              <w:rPr>
                <w:sz w:val="20"/>
                <w:szCs w:val="36"/>
              </w:rPr>
              <w:t>基 金 预 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spacing w:before="43"/>
              <w:ind w:left="27"/>
              <w:rPr>
                <w:sz w:val="20"/>
                <w:szCs w:val="36"/>
              </w:rPr>
            </w:pPr>
            <w:r>
              <w:rPr>
                <w:sz w:val="20"/>
                <w:szCs w:val="36"/>
              </w:rPr>
              <w:t>财政拨款（补助）</w:t>
            </w:r>
          </w:p>
        </w:tc>
        <w:tc>
          <w:tcPr>
            <w:tcW w:w="1826" w:type="dxa"/>
            <w:vAlign w:val="top"/>
          </w:tcPr>
          <w:p>
            <w:pPr>
              <w:pStyle w:val="14"/>
              <w:spacing w:before="62"/>
              <w:ind w:left="0" w:leftChars="0" w:right="94" w:rightChars="0"/>
              <w:jc w:val="right"/>
              <w:rPr>
                <w:rFonts w:hint="default" w:ascii="宋体" w:hAnsi="宋体" w:eastAsia="宋体" w:cs="宋体"/>
                <w:sz w:val="18"/>
                <w:szCs w:val="22"/>
                <w:lang w:val="en-US" w:eastAsia="zh-CN" w:bidi="zh-CN"/>
              </w:rPr>
            </w:pPr>
            <w:r>
              <w:rPr>
                <w:rFonts w:hint="eastAsia" w:cs="宋体"/>
                <w:sz w:val="18"/>
                <w:szCs w:val="22"/>
                <w:lang w:val="en-US" w:eastAsia="zh-CN" w:bidi="zh-CN"/>
              </w:rPr>
              <w:t>283.99</w:t>
            </w:r>
          </w:p>
        </w:tc>
        <w:tc>
          <w:tcPr>
            <w:tcW w:w="1988" w:type="dxa"/>
          </w:tcPr>
          <w:p>
            <w:pPr>
              <w:pStyle w:val="14"/>
              <w:spacing w:before="43"/>
              <w:ind w:left="28"/>
              <w:rPr>
                <w:sz w:val="20"/>
                <w:szCs w:val="36"/>
              </w:rPr>
            </w:pPr>
            <w:r>
              <w:rPr>
                <w:sz w:val="20"/>
                <w:szCs w:val="36"/>
              </w:rPr>
              <w:t>201 一般公共服务支出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spacing w:before="43"/>
              <w:ind w:left="304"/>
              <w:rPr>
                <w:sz w:val="20"/>
                <w:szCs w:val="36"/>
              </w:rPr>
            </w:pPr>
            <w:r>
              <w:rPr>
                <w:sz w:val="20"/>
                <w:szCs w:val="36"/>
              </w:rPr>
              <w:t>一般公共预算</w:t>
            </w:r>
          </w:p>
        </w:tc>
        <w:tc>
          <w:tcPr>
            <w:tcW w:w="1826" w:type="dxa"/>
            <w:vAlign w:val="top"/>
          </w:tcPr>
          <w:p>
            <w:pPr>
              <w:pStyle w:val="14"/>
              <w:spacing w:before="62"/>
              <w:ind w:left="0" w:leftChars="0" w:right="94" w:rightChars="0"/>
              <w:jc w:val="right"/>
              <w:rPr>
                <w:rFonts w:hint="default" w:ascii="宋体" w:hAnsi="宋体" w:eastAsia="宋体" w:cs="宋体"/>
                <w:sz w:val="18"/>
                <w:szCs w:val="22"/>
                <w:lang w:val="en-US" w:eastAsia="zh-CN" w:bidi="zh-CN"/>
              </w:rPr>
            </w:pPr>
            <w:r>
              <w:rPr>
                <w:rFonts w:hint="eastAsia" w:cs="宋体"/>
                <w:sz w:val="18"/>
                <w:szCs w:val="22"/>
                <w:lang w:val="en-US" w:eastAsia="zh-CN" w:bidi="zh-CN"/>
              </w:rPr>
              <w:t>283.99</w:t>
            </w:r>
          </w:p>
        </w:tc>
        <w:tc>
          <w:tcPr>
            <w:tcW w:w="1988" w:type="dxa"/>
          </w:tcPr>
          <w:p>
            <w:pPr>
              <w:pStyle w:val="14"/>
              <w:spacing w:before="43"/>
              <w:ind w:left="28"/>
              <w:rPr>
                <w:sz w:val="20"/>
                <w:szCs w:val="36"/>
              </w:rPr>
            </w:pPr>
            <w:r>
              <w:rPr>
                <w:sz w:val="20"/>
                <w:szCs w:val="36"/>
              </w:rPr>
              <w:t>202 外交支出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spacing w:before="43"/>
              <w:ind w:right="384"/>
              <w:jc w:val="right"/>
              <w:rPr>
                <w:sz w:val="20"/>
                <w:szCs w:val="36"/>
              </w:rPr>
            </w:pPr>
            <w:r>
              <w:rPr>
                <w:w w:val="95"/>
                <w:sz w:val="20"/>
                <w:szCs w:val="36"/>
              </w:rPr>
              <w:t>政府性基金预算</w:t>
            </w: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203 国防支出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204 公共安全支出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205 教育支出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206 科学技术支出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207 文化体育与传媒支出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208 社会保障和就业支出</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20.68</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20.68</w:t>
            </w:r>
          </w:p>
        </w:tc>
        <w:tc>
          <w:tcPr>
            <w:tcW w:w="1653" w:type="dxa"/>
          </w:tcPr>
          <w:p>
            <w:pPr>
              <w:pStyle w:val="14"/>
              <w:rPr>
                <w:rFonts w:hint="default" w:ascii="Times New Roman"/>
                <w:sz w:val="20"/>
                <w:szCs w:val="36"/>
                <w:lang w:val="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209 社会保险基金支出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210 医疗卫生与计划生育支出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211 节能环保支出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212 城乡社区支出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213 农林水支出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214 交通运输支出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215 资源勘探信息等支出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216 商业服务业等支出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217 金融支出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219 援助其他地区支出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1"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220 国土资源气象等支出</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263.31</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263.31</w:t>
            </w: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221 住房保障支出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222 粮油物资管理支出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223 国有资本经营预算支出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227 预备费</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229 其他支出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231 债务还本支出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232 债务付息支出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233 债务发行费支出</w:t>
            </w: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tabs>
                <w:tab w:val="left" w:pos="900"/>
              </w:tabs>
              <w:spacing w:before="43"/>
              <w:ind w:right="303"/>
              <w:jc w:val="right"/>
              <w:rPr>
                <w:sz w:val="20"/>
                <w:szCs w:val="36"/>
              </w:rPr>
            </w:pPr>
            <w:r>
              <w:rPr>
                <w:sz w:val="20"/>
                <w:szCs w:val="36"/>
              </w:rPr>
              <w:t>小</w:t>
            </w:r>
            <w:r>
              <w:rPr>
                <w:sz w:val="20"/>
                <w:szCs w:val="36"/>
              </w:rPr>
              <w:tab/>
            </w:r>
            <w:r>
              <w:rPr>
                <w:w w:val="95"/>
                <w:sz w:val="20"/>
                <w:szCs w:val="36"/>
              </w:rPr>
              <w:t>计</w:t>
            </w:r>
          </w:p>
        </w:tc>
        <w:tc>
          <w:tcPr>
            <w:tcW w:w="1826" w:type="dxa"/>
          </w:tcPr>
          <w:p>
            <w:pPr>
              <w:pStyle w:val="14"/>
              <w:spacing w:before="43"/>
              <w:ind w:right="12"/>
              <w:jc w:val="right"/>
              <w:rPr>
                <w:rFonts w:hint="default" w:eastAsia="宋体"/>
                <w:sz w:val="20"/>
                <w:szCs w:val="36"/>
                <w:lang w:val="en-US" w:eastAsia="zh-CN"/>
              </w:rPr>
            </w:pPr>
            <w:r>
              <w:rPr>
                <w:rFonts w:hint="eastAsia"/>
                <w:sz w:val="20"/>
                <w:szCs w:val="36"/>
                <w:lang w:val="en-US" w:eastAsia="zh-CN"/>
              </w:rPr>
              <w:t>283.99</w:t>
            </w:r>
          </w:p>
        </w:tc>
        <w:tc>
          <w:tcPr>
            <w:tcW w:w="1988" w:type="dxa"/>
          </w:tcPr>
          <w:p>
            <w:pPr>
              <w:pStyle w:val="14"/>
              <w:tabs>
                <w:tab w:val="left" w:pos="1380"/>
              </w:tabs>
              <w:spacing w:before="43"/>
              <w:ind w:left="479"/>
              <w:rPr>
                <w:sz w:val="20"/>
                <w:szCs w:val="36"/>
              </w:rPr>
            </w:pPr>
            <w:r>
              <w:rPr>
                <w:sz w:val="20"/>
                <w:szCs w:val="36"/>
              </w:rPr>
              <w:t>小</w:t>
            </w:r>
            <w:r>
              <w:rPr>
                <w:sz w:val="20"/>
                <w:szCs w:val="36"/>
              </w:rPr>
              <w:tab/>
            </w:r>
            <w:r>
              <w:rPr>
                <w:sz w:val="20"/>
                <w:szCs w:val="36"/>
              </w:rPr>
              <w:t>计</w:t>
            </w:r>
          </w:p>
        </w:tc>
        <w:tc>
          <w:tcPr>
            <w:tcW w:w="1653" w:type="dxa"/>
            <w:vAlign w:val="top"/>
          </w:tcPr>
          <w:p>
            <w:pPr>
              <w:pStyle w:val="14"/>
              <w:spacing w:before="43"/>
              <w:ind w:left="0" w:leftChars="0" w:right="12" w:rightChars="0"/>
              <w:jc w:val="right"/>
              <w:rPr>
                <w:rFonts w:ascii="宋体" w:hAnsi="宋体" w:eastAsia="宋体" w:cs="宋体"/>
                <w:sz w:val="20"/>
                <w:szCs w:val="36"/>
                <w:lang w:val="zh-CN" w:eastAsia="zh-CN" w:bidi="zh-CN"/>
              </w:rPr>
            </w:pPr>
            <w:r>
              <w:rPr>
                <w:rFonts w:hint="eastAsia"/>
                <w:sz w:val="20"/>
                <w:szCs w:val="36"/>
                <w:lang w:val="en-US" w:eastAsia="zh-CN"/>
              </w:rPr>
              <w:t>283.99</w:t>
            </w:r>
          </w:p>
        </w:tc>
        <w:tc>
          <w:tcPr>
            <w:tcW w:w="1653" w:type="dxa"/>
            <w:vAlign w:val="top"/>
          </w:tcPr>
          <w:p>
            <w:pPr>
              <w:pStyle w:val="14"/>
              <w:spacing w:before="43"/>
              <w:ind w:left="0" w:leftChars="0" w:right="12" w:rightChars="0"/>
              <w:jc w:val="right"/>
              <w:rPr>
                <w:rFonts w:ascii="宋体" w:hAnsi="宋体" w:eastAsia="宋体" w:cs="宋体"/>
                <w:sz w:val="20"/>
                <w:szCs w:val="36"/>
                <w:lang w:val="zh-CN" w:eastAsia="zh-CN" w:bidi="zh-CN"/>
              </w:rPr>
            </w:pPr>
            <w:r>
              <w:rPr>
                <w:rFonts w:hint="eastAsia"/>
                <w:sz w:val="20"/>
                <w:szCs w:val="36"/>
                <w:lang w:val="en-US" w:eastAsia="zh-CN"/>
              </w:rPr>
              <w:t>283.99</w:t>
            </w: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spacing w:before="43"/>
              <w:ind w:left="28"/>
              <w:rPr>
                <w:sz w:val="20"/>
                <w:szCs w:val="36"/>
              </w:rPr>
            </w:pPr>
            <w:r>
              <w:rPr>
                <w:sz w:val="20"/>
                <w:szCs w:val="36"/>
              </w:rPr>
              <w:t>230 转移性支出</w:t>
            </w:r>
          </w:p>
        </w:tc>
        <w:tc>
          <w:tcPr>
            <w:tcW w:w="1653" w:type="dxa"/>
            <w:vAlign w:val="top"/>
          </w:tcPr>
          <w:p>
            <w:pPr>
              <w:pStyle w:val="14"/>
              <w:ind w:left="0" w:leftChars="0" w:right="0" w:rightChars="0"/>
              <w:rPr>
                <w:rFonts w:ascii="Times New Roman" w:hAnsi="宋体" w:eastAsia="宋体" w:cs="宋体"/>
                <w:sz w:val="20"/>
                <w:szCs w:val="36"/>
                <w:lang w:val="zh-CN" w:eastAsia="zh-CN" w:bidi="zh-CN"/>
              </w:rPr>
            </w:pPr>
          </w:p>
        </w:tc>
        <w:tc>
          <w:tcPr>
            <w:tcW w:w="1653" w:type="dxa"/>
            <w:vAlign w:val="top"/>
          </w:tcPr>
          <w:p>
            <w:pPr>
              <w:pStyle w:val="14"/>
              <w:ind w:left="0" w:leftChars="0" w:right="0" w:rightChars="0"/>
              <w:rPr>
                <w:rFonts w:ascii="Times New Roman" w:hAnsi="宋体" w:eastAsia="宋体" w:cs="宋体"/>
                <w:sz w:val="20"/>
                <w:szCs w:val="36"/>
                <w:lang w:val="zh-CN" w:eastAsia="zh-CN" w:bidi="zh-CN"/>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rPr>
                <w:rFonts w:ascii="Times New Roman"/>
                <w:sz w:val="20"/>
                <w:szCs w:val="36"/>
              </w:rPr>
            </w:pPr>
          </w:p>
        </w:tc>
        <w:tc>
          <w:tcPr>
            <w:tcW w:w="1826" w:type="dxa"/>
          </w:tcPr>
          <w:p>
            <w:pPr>
              <w:pStyle w:val="14"/>
              <w:rPr>
                <w:rFonts w:ascii="Times New Roman"/>
                <w:sz w:val="20"/>
                <w:szCs w:val="36"/>
              </w:rPr>
            </w:pPr>
          </w:p>
        </w:tc>
        <w:tc>
          <w:tcPr>
            <w:tcW w:w="1988"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c>
          <w:tcPr>
            <w:tcW w:w="1653" w:type="dxa"/>
          </w:tcPr>
          <w:p>
            <w:pPr>
              <w:pStyle w:val="14"/>
              <w:rPr>
                <w:rFonts w:ascii="Times New Roman"/>
                <w:sz w:val="20"/>
                <w:szCs w:val="3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2" w:hRule="atLeast"/>
        </w:trPr>
        <w:tc>
          <w:tcPr>
            <w:tcW w:w="1676" w:type="dxa"/>
          </w:tcPr>
          <w:p>
            <w:pPr>
              <w:pStyle w:val="14"/>
              <w:spacing w:before="43"/>
              <w:ind w:right="337"/>
              <w:jc w:val="right"/>
              <w:rPr>
                <w:sz w:val="20"/>
                <w:szCs w:val="36"/>
              </w:rPr>
            </w:pPr>
            <w:r>
              <w:rPr>
                <w:sz w:val="20"/>
                <w:szCs w:val="36"/>
              </w:rPr>
              <w:t>收 入 总 计</w:t>
            </w:r>
          </w:p>
        </w:tc>
        <w:tc>
          <w:tcPr>
            <w:tcW w:w="1826" w:type="dxa"/>
          </w:tcPr>
          <w:p>
            <w:pPr>
              <w:pStyle w:val="14"/>
              <w:spacing w:before="43"/>
              <w:ind w:right="12"/>
              <w:jc w:val="right"/>
              <w:rPr>
                <w:rFonts w:hint="default" w:eastAsia="宋体"/>
                <w:sz w:val="20"/>
                <w:szCs w:val="36"/>
                <w:lang w:val="en-US" w:eastAsia="zh-CN"/>
              </w:rPr>
            </w:pPr>
            <w:r>
              <w:rPr>
                <w:rFonts w:hint="eastAsia"/>
                <w:sz w:val="20"/>
                <w:szCs w:val="36"/>
                <w:lang w:val="en-US" w:eastAsia="zh-CN"/>
              </w:rPr>
              <w:t>283.99</w:t>
            </w:r>
          </w:p>
        </w:tc>
        <w:tc>
          <w:tcPr>
            <w:tcW w:w="1988" w:type="dxa"/>
          </w:tcPr>
          <w:p>
            <w:pPr>
              <w:pStyle w:val="14"/>
              <w:spacing w:before="43"/>
              <w:ind w:left="514"/>
              <w:rPr>
                <w:sz w:val="20"/>
                <w:szCs w:val="36"/>
              </w:rPr>
            </w:pPr>
            <w:r>
              <w:rPr>
                <w:sz w:val="20"/>
                <w:szCs w:val="36"/>
              </w:rPr>
              <w:t>支 出 合 计</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283.99</w:t>
            </w:r>
          </w:p>
        </w:tc>
        <w:tc>
          <w:tcPr>
            <w:tcW w:w="1653" w:type="dxa"/>
          </w:tcPr>
          <w:p>
            <w:pPr>
              <w:pStyle w:val="14"/>
              <w:spacing w:before="43"/>
              <w:ind w:right="11"/>
              <w:jc w:val="right"/>
              <w:rPr>
                <w:rFonts w:hint="default" w:eastAsia="宋体"/>
                <w:sz w:val="20"/>
                <w:szCs w:val="36"/>
                <w:lang w:val="en-US" w:eastAsia="zh-CN"/>
              </w:rPr>
            </w:pPr>
            <w:r>
              <w:rPr>
                <w:rFonts w:hint="eastAsia"/>
                <w:sz w:val="20"/>
                <w:szCs w:val="36"/>
                <w:lang w:val="en-US" w:eastAsia="zh-CN"/>
              </w:rPr>
              <w:t>283.99</w:t>
            </w:r>
          </w:p>
        </w:tc>
        <w:tc>
          <w:tcPr>
            <w:tcW w:w="1653" w:type="dxa"/>
          </w:tcPr>
          <w:p>
            <w:pPr>
              <w:pStyle w:val="14"/>
              <w:rPr>
                <w:rFonts w:ascii="Times New Roman"/>
                <w:sz w:val="20"/>
                <w:szCs w:val="36"/>
              </w:rPr>
            </w:pPr>
          </w:p>
        </w:tc>
      </w:tr>
    </w:tbl>
    <w:p>
      <w:pPr>
        <w:spacing w:after="0"/>
        <w:rPr>
          <w:rFonts w:ascii="Times New Roman"/>
          <w:sz w:val="14"/>
        </w:rPr>
        <w:sectPr>
          <w:pgSz w:w="11910" w:h="16840"/>
          <w:pgMar w:top="700" w:right="280" w:bottom="280" w:left="600" w:header="720" w:footer="720" w:gutter="0"/>
        </w:sectPr>
      </w:pPr>
    </w:p>
    <w:p>
      <w:pPr>
        <w:spacing w:before="66"/>
        <w:ind w:left="155" w:right="0" w:firstLine="0"/>
        <w:jc w:val="left"/>
        <w:rPr>
          <w:rFonts w:hint="eastAsia" w:ascii="宋体" w:eastAsia="宋体"/>
          <w:sz w:val="14"/>
        </w:rPr>
      </w:pPr>
      <w:r>
        <w:rPr>
          <w:rFonts w:hint="eastAsia" w:ascii="宋体" w:eastAsia="宋体"/>
          <w:w w:val="105"/>
          <w:sz w:val="14"/>
        </w:rPr>
        <w:t>表五</w:t>
      </w:r>
    </w:p>
    <w:p>
      <w:pPr>
        <w:spacing w:before="27"/>
        <w:ind w:left="0" w:right="307" w:firstLine="0"/>
        <w:jc w:val="center"/>
        <w:rPr>
          <w:rFonts w:hint="eastAsia" w:ascii="宋体" w:eastAsia="宋体"/>
          <w:b/>
          <w:sz w:val="24"/>
        </w:rPr>
      </w:pPr>
      <w:r>
        <w:rPr>
          <w:rFonts w:hint="eastAsia" w:ascii="宋体" w:eastAsia="宋体"/>
          <w:b/>
          <w:sz w:val="24"/>
        </w:rPr>
        <w:t>一般公共预算支出情况表</w:t>
      </w:r>
    </w:p>
    <w:p>
      <w:pPr>
        <w:tabs>
          <w:tab w:val="left" w:pos="9811"/>
        </w:tabs>
        <w:spacing w:before="31" w:after="29"/>
        <w:ind w:left="155" w:right="0" w:firstLine="0"/>
        <w:jc w:val="left"/>
        <w:rPr>
          <w:rFonts w:hint="eastAsia" w:ascii="宋体" w:eastAsia="宋体"/>
          <w:sz w:val="14"/>
        </w:rPr>
      </w:pPr>
      <w:r>
        <w:rPr>
          <w:rFonts w:hint="eastAsia" w:ascii="宋体" w:eastAsia="宋体"/>
          <w:w w:val="105"/>
          <w:position w:val="1"/>
          <w:sz w:val="13"/>
        </w:rPr>
        <w:t>编制部门：新疆维吾尔自治区矿产资源储量评审中心</w:t>
      </w:r>
      <w:r>
        <w:rPr>
          <w:rFonts w:hint="eastAsia" w:ascii="宋体" w:eastAsia="宋体"/>
          <w:w w:val="105"/>
          <w:position w:val="1"/>
          <w:sz w:val="13"/>
        </w:rPr>
        <w:tab/>
      </w:r>
      <w:r>
        <w:rPr>
          <w:rFonts w:hint="eastAsia" w:ascii="宋体" w:eastAsia="宋体"/>
          <w:w w:val="105"/>
          <w:sz w:val="14"/>
        </w:rPr>
        <w:t>单位：万元</w:t>
      </w:r>
    </w:p>
    <w:tbl>
      <w:tblPr>
        <w:tblStyle w:val="10"/>
        <w:tblW w:w="0" w:type="auto"/>
        <w:tblInd w:w="13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8"/>
        <w:gridCol w:w="579"/>
        <w:gridCol w:w="523"/>
        <w:gridCol w:w="3579"/>
        <w:gridCol w:w="1841"/>
        <w:gridCol w:w="1682"/>
        <w:gridCol w:w="16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249" w:type="dxa"/>
            <w:gridSpan w:val="4"/>
          </w:tcPr>
          <w:p>
            <w:pPr>
              <w:pStyle w:val="14"/>
              <w:spacing w:before="50"/>
              <w:ind w:left="2471" w:right="2450"/>
              <w:jc w:val="center"/>
              <w:rPr>
                <w:sz w:val="22"/>
                <w:szCs w:val="44"/>
              </w:rPr>
            </w:pPr>
            <w:r>
              <w:rPr>
                <w:w w:val="105"/>
                <w:sz w:val="22"/>
                <w:szCs w:val="44"/>
              </w:rPr>
              <w:t>项目</w:t>
            </w:r>
          </w:p>
        </w:tc>
        <w:tc>
          <w:tcPr>
            <w:tcW w:w="5205" w:type="dxa"/>
            <w:gridSpan w:val="3"/>
          </w:tcPr>
          <w:p>
            <w:pPr>
              <w:pStyle w:val="14"/>
              <w:spacing w:before="50"/>
              <w:ind w:left="2037" w:right="2020"/>
              <w:jc w:val="center"/>
              <w:rPr>
                <w:sz w:val="22"/>
                <w:szCs w:val="44"/>
              </w:rPr>
            </w:pPr>
            <w:r>
              <w:rPr>
                <w:w w:val="105"/>
                <w:sz w:val="22"/>
                <w:szCs w:val="44"/>
              </w:rPr>
              <w:t>一般公共预算支出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1" w:hRule="atLeast"/>
        </w:trPr>
        <w:tc>
          <w:tcPr>
            <w:tcW w:w="1670" w:type="dxa"/>
            <w:gridSpan w:val="3"/>
          </w:tcPr>
          <w:p>
            <w:pPr>
              <w:pStyle w:val="14"/>
              <w:spacing w:before="61"/>
              <w:ind w:left="287"/>
              <w:rPr>
                <w:sz w:val="20"/>
                <w:szCs w:val="36"/>
              </w:rPr>
            </w:pPr>
            <w:r>
              <w:rPr>
                <w:w w:val="105"/>
                <w:sz w:val="20"/>
                <w:szCs w:val="36"/>
              </w:rPr>
              <w:t>功能分类科目编码</w:t>
            </w:r>
          </w:p>
        </w:tc>
        <w:tc>
          <w:tcPr>
            <w:tcW w:w="3579" w:type="dxa"/>
            <w:vMerge w:val="restart"/>
          </w:tcPr>
          <w:p>
            <w:pPr>
              <w:pStyle w:val="14"/>
              <w:rPr>
                <w:sz w:val="21"/>
                <w:szCs w:val="36"/>
              </w:rPr>
            </w:pPr>
          </w:p>
          <w:p>
            <w:pPr>
              <w:pStyle w:val="14"/>
              <w:spacing w:before="3"/>
              <w:rPr>
                <w:sz w:val="16"/>
                <w:szCs w:val="36"/>
              </w:rPr>
            </w:pPr>
          </w:p>
          <w:p>
            <w:pPr>
              <w:pStyle w:val="14"/>
              <w:spacing w:before="1"/>
              <w:ind w:left="1220" w:right="1211"/>
              <w:jc w:val="center"/>
              <w:rPr>
                <w:sz w:val="20"/>
                <w:szCs w:val="36"/>
              </w:rPr>
            </w:pPr>
            <w:r>
              <w:rPr>
                <w:w w:val="105"/>
                <w:sz w:val="20"/>
                <w:szCs w:val="36"/>
              </w:rPr>
              <w:t>功能分类科目名称</w:t>
            </w:r>
          </w:p>
        </w:tc>
        <w:tc>
          <w:tcPr>
            <w:tcW w:w="1841" w:type="dxa"/>
            <w:vMerge w:val="restart"/>
          </w:tcPr>
          <w:p>
            <w:pPr>
              <w:pStyle w:val="14"/>
              <w:rPr>
                <w:sz w:val="21"/>
                <w:szCs w:val="36"/>
              </w:rPr>
            </w:pPr>
          </w:p>
          <w:p>
            <w:pPr>
              <w:pStyle w:val="14"/>
              <w:spacing w:before="3"/>
              <w:rPr>
                <w:sz w:val="16"/>
                <w:szCs w:val="36"/>
              </w:rPr>
            </w:pPr>
          </w:p>
          <w:p>
            <w:pPr>
              <w:pStyle w:val="14"/>
              <w:tabs>
                <w:tab w:val="left" w:pos="1127"/>
              </w:tabs>
              <w:spacing w:before="1"/>
              <w:ind w:left="582"/>
              <w:rPr>
                <w:sz w:val="20"/>
                <w:szCs w:val="36"/>
              </w:rPr>
            </w:pPr>
            <w:r>
              <w:rPr>
                <w:w w:val="105"/>
                <w:sz w:val="20"/>
                <w:szCs w:val="36"/>
              </w:rPr>
              <w:t>总</w:t>
            </w:r>
            <w:r>
              <w:rPr>
                <w:w w:val="105"/>
                <w:sz w:val="20"/>
                <w:szCs w:val="36"/>
              </w:rPr>
              <w:tab/>
            </w:r>
            <w:r>
              <w:rPr>
                <w:w w:val="105"/>
                <w:sz w:val="20"/>
                <w:szCs w:val="36"/>
              </w:rPr>
              <w:t>计</w:t>
            </w:r>
          </w:p>
        </w:tc>
        <w:tc>
          <w:tcPr>
            <w:tcW w:w="1682" w:type="dxa"/>
            <w:vMerge w:val="restart"/>
          </w:tcPr>
          <w:p>
            <w:pPr>
              <w:pStyle w:val="14"/>
              <w:rPr>
                <w:sz w:val="21"/>
                <w:szCs w:val="36"/>
              </w:rPr>
            </w:pPr>
          </w:p>
          <w:p>
            <w:pPr>
              <w:pStyle w:val="14"/>
              <w:spacing w:before="3"/>
              <w:rPr>
                <w:sz w:val="16"/>
                <w:szCs w:val="36"/>
              </w:rPr>
            </w:pPr>
          </w:p>
          <w:p>
            <w:pPr>
              <w:pStyle w:val="14"/>
              <w:spacing w:before="1"/>
              <w:ind w:left="570"/>
              <w:rPr>
                <w:sz w:val="20"/>
                <w:szCs w:val="36"/>
              </w:rPr>
            </w:pPr>
            <w:r>
              <w:rPr>
                <w:w w:val="105"/>
                <w:sz w:val="20"/>
                <w:szCs w:val="36"/>
              </w:rPr>
              <w:t>基本支出</w:t>
            </w:r>
          </w:p>
        </w:tc>
        <w:tc>
          <w:tcPr>
            <w:tcW w:w="1682" w:type="dxa"/>
            <w:vMerge w:val="restart"/>
          </w:tcPr>
          <w:p>
            <w:pPr>
              <w:pStyle w:val="14"/>
              <w:rPr>
                <w:sz w:val="21"/>
                <w:szCs w:val="36"/>
              </w:rPr>
            </w:pPr>
          </w:p>
          <w:p>
            <w:pPr>
              <w:pStyle w:val="14"/>
              <w:spacing w:before="3"/>
              <w:rPr>
                <w:sz w:val="16"/>
                <w:szCs w:val="36"/>
              </w:rPr>
            </w:pPr>
          </w:p>
          <w:p>
            <w:pPr>
              <w:pStyle w:val="14"/>
              <w:spacing w:before="1"/>
              <w:ind w:left="539" w:right="542"/>
              <w:jc w:val="center"/>
              <w:rPr>
                <w:sz w:val="20"/>
                <w:szCs w:val="36"/>
              </w:rPr>
            </w:pPr>
            <w:r>
              <w:rPr>
                <w:w w:val="105"/>
                <w:sz w:val="20"/>
                <w:szCs w:val="36"/>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3" w:hRule="atLeast"/>
        </w:trPr>
        <w:tc>
          <w:tcPr>
            <w:tcW w:w="568" w:type="dxa"/>
          </w:tcPr>
          <w:p>
            <w:pPr>
              <w:pStyle w:val="14"/>
              <w:spacing w:before="11"/>
              <w:rPr>
                <w:sz w:val="18"/>
                <w:szCs w:val="36"/>
              </w:rPr>
            </w:pPr>
          </w:p>
          <w:p>
            <w:pPr>
              <w:pStyle w:val="14"/>
              <w:ind w:left="23"/>
              <w:jc w:val="center"/>
              <w:rPr>
                <w:sz w:val="20"/>
                <w:szCs w:val="36"/>
              </w:rPr>
            </w:pPr>
            <w:r>
              <w:rPr>
                <w:w w:val="105"/>
                <w:sz w:val="20"/>
                <w:szCs w:val="36"/>
              </w:rPr>
              <w:t>类</w:t>
            </w:r>
          </w:p>
        </w:tc>
        <w:tc>
          <w:tcPr>
            <w:tcW w:w="579" w:type="dxa"/>
          </w:tcPr>
          <w:p>
            <w:pPr>
              <w:pStyle w:val="14"/>
              <w:spacing w:before="11"/>
              <w:rPr>
                <w:sz w:val="18"/>
                <w:szCs w:val="36"/>
              </w:rPr>
            </w:pPr>
          </w:p>
          <w:p>
            <w:pPr>
              <w:pStyle w:val="14"/>
              <w:ind w:left="219"/>
              <w:rPr>
                <w:sz w:val="20"/>
                <w:szCs w:val="36"/>
              </w:rPr>
            </w:pPr>
            <w:r>
              <w:rPr>
                <w:w w:val="105"/>
                <w:sz w:val="20"/>
                <w:szCs w:val="36"/>
              </w:rPr>
              <w:t>款</w:t>
            </w:r>
          </w:p>
        </w:tc>
        <w:tc>
          <w:tcPr>
            <w:tcW w:w="523" w:type="dxa"/>
          </w:tcPr>
          <w:p>
            <w:pPr>
              <w:pStyle w:val="14"/>
              <w:spacing w:before="11"/>
              <w:rPr>
                <w:sz w:val="18"/>
                <w:szCs w:val="36"/>
              </w:rPr>
            </w:pPr>
          </w:p>
          <w:p>
            <w:pPr>
              <w:pStyle w:val="14"/>
              <w:ind w:left="23"/>
              <w:jc w:val="center"/>
              <w:rPr>
                <w:sz w:val="20"/>
                <w:szCs w:val="36"/>
              </w:rPr>
            </w:pPr>
            <w:r>
              <w:rPr>
                <w:w w:val="105"/>
                <w:sz w:val="20"/>
                <w:szCs w:val="36"/>
              </w:rPr>
              <w:t>项</w:t>
            </w:r>
          </w:p>
        </w:tc>
        <w:tc>
          <w:tcPr>
            <w:tcW w:w="3579" w:type="dxa"/>
            <w:vMerge w:val="continue"/>
            <w:tcBorders>
              <w:top w:val="nil"/>
            </w:tcBorders>
          </w:tcPr>
          <w:p>
            <w:pPr>
              <w:rPr>
                <w:sz w:val="13"/>
                <w:szCs w:val="13"/>
              </w:rPr>
            </w:pPr>
          </w:p>
        </w:tc>
        <w:tc>
          <w:tcPr>
            <w:tcW w:w="1841" w:type="dxa"/>
            <w:vMerge w:val="continue"/>
            <w:tcBorders>
              <w:top w:val="nil"/>
            </w:tcBorders>
          </w:tcPr>
          <w:p>
            <w:pPr>
              <w:rPr>
                <w:sz w:val="13"/>
                <w:szCs w:val="13"/>
              </w:rPr>
            </w:pPr>
          </w:p>
        </w:tc>
        <w:tc>
          <w:tcPr>
            <w:tcW w:w="1682" w:type="dxa"/>
            <w:vMerge w:val="continue"/>
            <w:tcBorders>
              <w:top w:val="nil"/>
            </w:tcBorders>
          </w:tcPr>
          <w:p>
            <w:pPr>
              <w:rPr>
                <w:sz w:val="13"/>
                <w:szCs w:val="13"/>
              </w:rPr>
            </w:pPr>
          </w:p>
        </w:tc>
        <w:tc>
          <w:tcPr>
            <w:tcW w:w="1682" w:type="dxa"/>
            <w:vMerge w:val="continue"/>
            <w:tcBorders>
              <w:top w:val="nil"/>
            </w:tcBorders>
          </w:tcPr>
          <w:p>
            <w:pPr>
              <w:rPr>
                <w:sz w:val="13"/>
                <w:szCs w:val="13"/>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0" w:hRule="atLeast"/>
        </w:trPr>
        <w:tc>
          <w:tcPr>
            <w:tcW w:w="568" w:type="dxa"/>
          </w:tcPr>
          <w:p>
            <w:pPr>
              <w:pStyle w:val="14"/>
              <w:spacing w:before="61"/>
              <w:ind w:left="108" w:right="86"/>
              <w:jc w:val="center"/>
              <w:rPr>
                <w:sz w:val="20"/>
                <w:szCs w:val="36"/>
              </w:rPr>
            </w:pPr>
            <w:r>
              <w:rPr>
                <w:w w:val="105"/>
                <w:sz w:val="20"/>
                <w:szCs w:val="36"/>
              </w:rPr>
              <w:t>※※</w:t>
            </w:r>
          </w:p>
        </w:tc>
        <w:tc>
          <w:tcPr>
            <w:tcW w:w="579" w:type="dxa"/>
          </w:tcPr>
          <w:p>
            <w:pPr>
              <w:pStyle w:val="14"/>
              <w:spacing w:before="61"/>
              <w:ind w:right="138"/>
              <w:jc w:val="right"/>
              <w:rPr>
                <w:sz w:val="20"/>
                <w:szCs w:val="36"/>
              </w:rPr>
            </w:pPr>
            <w:r>
              <w:rPr>
                <w:w w:val="105"/>
                <w:sz w:val="20"/>
                <w:szCs w:val="36"/>
              </w:rPr>
              <w:t>※※</w:t>
            </w:r>
          </w:p>
        </w:tc>
        <w:tc>
          <w:tcPr>
            <w:tcW w:w="523" w:type="dxa"/>
          </w:tcPr>
          <w:p>
            <w:pPr>
              <w:pStyle w:val="14"/>
              <w:spacing w:before="61"/>
              <w:ind w:left="108" w:right="86"/>
              <w:jc w:val="center"/>
              <w:rPr>
                <w:sz w:val="20"/>
                <w:szCs w:val="36"/>
              </w:rPr>
            </w:pPr>
            <w:r>
              <w:rPr>
                <w:w w:val="105"/>
                <w:sz w:val="20"/>
                <w:szCs w:val="36"/>
              </w:rPr>
              <w:t>※※</w:t>
            </w:r>
          </w:p>
        </w:tc>
        <w:tc>
          <w:tcPr>
            <w:tcW w:w="3579" w:type="dxa"/>
          </w:tcPr>
          <w:p>
            <w:pPr>
              <w:pStyle w:val="14"/>
              <w:spacing w:before="61"/>
              <w:ind w:left="1220" w:right="1210"/>
              <w:jc w:val="center"/>
              <w:rPr>
                <w:sz w:val="20"/>
                <w:szCs w:val="36"/>
              </w:rPr>
            </w:pPr>
            <w:r>
              <w:rPr>
                <w:w w:val="105"/>
                <w:sz w:val="20"/>
                <w:szCs w:val="36"/>
              </w:rPr>
              <w:t>※※</w:t>
            </w:r>
          </w:p>
        </w:tc>
        <w:tc>
          <w:tcPr>
            <w:tcW w:w="1841" w:type="dxa"/>
          </w:tcPr>
          <w:p>
            <w:pPr>
              <w:pStyle w:val="14"/>
              <w:spacing w:before="61"/>
              <w:ind w:left="21"/>
              <w:jc w:val="center"/>
              <w:rPr>
                <w:sz w:val="20"/>
                <w:szCs w:val="36"/>
              </w:rPr>
            </w:pPr>
            <w:r>
              <w:rPr>
                <w:w w:val="105"/>
                <w:sz w:val="20"/>
                <w:szCs w:val="36"/>
              </w:rPr>
              <w:t>1</w:t>
            </w:r>
          </w:p>
        </w:tc>
        <w:tc>
          <w:tcPr>
            <w:tcW w:w="1682" w:type="dxa"/>
          </w:tcPr>
          <w:p>
            <w:pPr>
              <w:pStyle w:val="14"/>
              <w:spacing w:before="61"/>
              <w:ind w:left="19"/>
              <w:jc w:val="center"/>
              <w:rPr>
                <w:sz w:val="20"/>
                <w:szCs w:val="36"/>
              </w:rPr>
            </w:pPr>
            <w:r>
              <w:rPr>
                <w:w w:val="105"/>
                <w:sz w:val="20"/>
                <w:szCs w:val="36"/>
              </w:rPr>
              <w:t>2</w:t>
            </w:r>
          </w:p>
        </w:tc>
        <w:tc>
          <w:tcPr>
            <w:tcW w:w="1682" w:type="dxa"/>
          </w:tcPr>
          <w:p>
            <w:pPr>
              <w:pStyle w:val="14"/>
              <w:spacing w:before="61"/>
              <w:ind w:left="18"/>
              <w:jc w:val="center"/>
              <w:rPr>
                <w:sz w:val="20"/>
                <w:szCs w:val="36"/>
              </w:rPr>
            </w:pPr>
            <w:r>
              <w:rPr>
                <w:w w:val="105"/>
                <w:sz w:val="20"/>
                <w:szCs w:val="36"/>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rPr>
                <w:rFonts w:ascii="Times New Roman"/>
                <w:sz w:val="32"/>
                <w:szCs w:val="48"/>
              </w:rPr>
            </w:pPr>
          </w:p>
        </w:tc>
        <w:tc>
          <w:tcPr>
            <w:tcW w:w="579" w:type="dxa"/>
          </w:tcPr>
          <w:p>
            <w:pPr>
              <w:pStyle w:val="14"/>
              <w:rPr>
                <w:rFonts w:ascii="Times New Roman"/>
                <w:sz w:val="32"/>
                <w:szCs w:val="48"/>
              </w:rPr>
            </w:pPr>
          </w:p>
        </w:tc>
        <w:tc>
          <w:tcPr>
            <w:tcW w:w="523" w:type="dxa"/>
          </w:tcPr>
          <w:p>
            <w:pPr>
              <w:pStyle w:val="14"/>
              <w:rPr>
                <w:rFonts w:ascii="Times New Roman"/>
                <w:sz w:val="32"/>
                <w:szCs w:val="48"/>
              </w:rPr>
            </w:pPr>
          </w:p>
        </w:tc>
        <w:tc>
          <w:tcPr>
            <w:tcW w:w="3579" w:type="dxa"/>
          </w:tcPr>
          <w:p>
            <w:pPr>
              <w:pStyle w:val="14"/>
              <w:spacing w:before="50"/>
              <w:ind w:left="26"/>
              <w:rPr>
                <w:sz w:val="24"/>
                <w:szCs w:val="48"/>
              </w:rPr>
            </w:pPr>
            <w:r>
              <w:rPr>
                <w:w w:val="105"/>
                <w:sz w:val="24"/>
                <w:szCs w:val="48"/>
              </w:rPr>
              <w:t>合计</w:t>
            </w:r>
          </w:p>
        </w:tc>
        <w:tc>
          <w:tcPr>
            <w:tcW w:w="1841" w:type="dxa"/>
          </w:tcPr>
          <w:p>
            <w:pPr>
              <w:pStyle w:val="14"/>
              <w:spacing w:before="50"/>
              <w:ind w:right="14"/>
              <w:jc w:val="right"/>
              <w:rPr>
                <w:rFonts w:hint="default" w:eastAsia="宋体"/>
                <w:sz w:val="24"/>
                <w:szCs w:val="48"/>
                <w:lang w:val="en-US" w:eastAsia="zh-CN"/>
              </w:rPr>
            </w:pPr>
            <w:r>
              <w:rPr>
                <w:rFonts w:hint="eastAsia"/>
                <w:sz w:val="28"/>
                <w:szCs w:val="52"/>
                <w:lang w:val="en-US" w:eastAsia="zh-CN"/>
              </w:rPr>
              <w:t>283.99</w:t>
            </w:r>
          </w:p>
        </w:tc>
        <w:tc>
          <w:tcPr>
            <w:tcW w:w="1682" w:type="dxa"/>
          </w:tcPr>
          <w:p>
            <w:pPr>
              <w:pStyle w:val="14"/>
              <w:spacing w:before="50"/>
              <w:ind w:right="15"/>
              <w:jc w:val="right"/>
              <w:rPr>
                <w:rFonts w:hint="default" w:eastAsia="宋体"/>
                <w:sz w:val="24"/>
                <w:szCs w:val="48"/>
                <w:lang w:val="en-US" w:eastAsia="zh-CN"/>
              </w:rPr>
            </w:pPr>
            <w:r>
              <w:rPr>
                <w:rFonts w:hint="eastAsia"/>
                <w:sz w:val="24"/>
                <w:szCs w:val="48"/>
                <w:lang w:val="en-US" w:eastAsia="zh-CN"/>
              </w:rPr>
              <w:t>138.99</w:t>
            </w:r>
          </w:p>
        </w:tc>
        <w:tc>
          <w:tcPr>
            <w:tcW w:w="1682" w:type="dxa"/>
          </w:tcPr>
          <w:p>
            <w:pPr>
              <w:pStyle w:val="14"/>
              <w:spacing w:before="50"/>
              <w:ind w:right="16"/>
              <w:jc w:val="right"/>
              <w:rPr>
                <w:rFonts w:hint="default" w:eastAsia="宋体"/>
                <w:sz w:val="24"/>
                <w:szCs w:val="48"/>
                <w:lang w:val="en-US" w:eastAsia="zh-CN"/>
              </w:rPr>
            </w:pPr>
            <w:r>
              <w:rPr>
                <w:rFonts w:hint="eastAsia"/>
                <w:sz w:val="24"/>
                <w:szCs w:val="48"/>
                <w:lang w:val="en-US" w:eastAsia="zh-CN"/>
              </w:rPr>
              <w:t>145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rPr>
                <w:rFonts w:ascii="Times New Roman"/>
                <w:sz w:val="32"/>
                <w:szCs w:val="48"/>
              </w:rPr>
            </w:pPr>
          </w:p>
        </w:tc>
        <w:tc>
          <w:tcPr>
            <w:tcW w:w="579" w:type="dxa"/>
          </w:tcPr>
          <w:p>
            <w:pPr>
              <w:pStyle w:val="14"/>
              <w:rPr>
                <w:rFonts w:ascii="Times New Roman"/>
                <w:sz w:val="32"/>
                <w:szCs w:val="48"/>
              </w:rPr>
            </w:pPr>
          </w:p>
        </w:tc>
        <w:tc>
          <w:tcPr>
            <w:tcW w:w="523" w:type="dxa"/>
          </w:tcPr>
          <w:p>
            <w:pPr>
              <w:pStyle w:val="14"/>
              <w:rPr>
                <w:rFonts w:ascii="Times New Roman"/>
                <w:sz w:val="32"/>
                <w:szCs w:val="48"/>
              </w:rPr>
            </w:pPr>
          </w:p>
        </w:tc>
        <w:tc>
          <w:tcPr>
            <w:tcW w:w="3579" w:type="dxa"/>
          </w:tcPr>
          <w:p>
            <w:pPr>
              <w:pStyle w:val="14"/>
              <w:spacing w:before="50"/>
              <w:ind w:left="26"/>
              <w:rPr>
                <w:sz w:val="24"/>
                <w:szCs w:val="48"/>
              </w:rPr>
            </w:pPr>
            <w:r>
              <w:rPr>
                <w:w w:val="105"/>
                <w:sz w:val="24"/>
                <w:szCs w:val="48"/>
              </w:rPr>
              <w:t>新疆维吾尔自治区矿产资源储量评审中心</w:t>
            </w:r>
          </w:p>
        </w:tc>
        <w:tc>
          <w:tcPr>
            <w:tcW w:w="1841" w:type="dxa"/>
          </w:tcPr>
          <w:p>
            <w:pPr>
              <w:pStyle w:val="14"/>
              <w:spacing w:before="50"/>
              <w:ind w:right="14"/>
              <w:jc w:val="right"/>
              <w:rPr>
                <w:rFonts w:hint="default" w:eastAsia="宋体"/>
                <w:sz w:val="24"/>
                <w:szCs w:val="48"/>
                <w:lang w:val="en-US" w:eastAsia="zh-CN"/>
              </w:rPr>
            </w:pPr>
            <w:r>
              <w:rPr>
                <w:rFonts w:hint="eastAsia"/>
                <w:sz w:val="24"/>
                <w:szCs w:val="48"/>
                <w:lang w:val="en-US" w:eastAsia="zh-CN"/>
              </w:rPr>
              <w:t>283.99</w:t>
            </w:r>
          </w:p>
        </w:tc>
        <w:tc>
          <w:tcPr>
            <w:tcW w:w="1682" w:type="dxa"/>
          </w:tcPr>
          <w:p>
            <w:pPr>
              <w:pStyle w:val="14"/>
              <w:spacing w:before="50"/>
              <w:ind w:right="15"/>
              <w:jc w:val="right"/>
              <w:rPr>
                <w:rFonts w:hint="default" w:eastAsia="宋体"/>
                <w:sz w:val="24"/>
                <w:szCs w:val="48"/>
                <w:lang w:val="en-US" w:eastAsia="zh-CN"/>
              </w:rPr>
            </w:pPr>
            <w:r>
              <w:rPr>
                <w:rFonts w:hint="eastAsia"/>
                <w:sz w:val="24"/>
                <w:szCs w:val="48"/>
                <w:lang w:val="en-US" w:eastAsia="zh-CN"/>
              </w:rPr>
              <w:t>138.99</w:t>
            </w:r>
          </w:p>
        </w:tc>
        <w:tc>
          <w:tcPr>
            <w:tcW w:w="1682" w:type="dxa"/>
          </w:tcPr>
          <w:p>
            <w:pPr>
              <w:pStyle w:val="14"/>
              <w:spacing w:before="50"/>
              <w:ind w:right="16"/>
              <w:jc w:val="right"/>
              <w:rPr>
                <w:rFonts w:hint="default" w:eastAsia="宋体"/>
                <w:sz w:val="24"/>
                <w:szCs w:val="48"/>
                <w:lang w:val="en-US" w:eastAsia="zh-CN"/>
              </w:rPr>
            </w:pPr>
            <w:r>
              <w:rPr>
                <w:rFonts w:hint="eastAsia"/>
                <w:sz w:val="24"/>
                <w:szCs w:val="48"/>
                <w:lang w:val="en-US" w:eastAsia="zh-CN"/>
              </w:rPr>
              <w:t>145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86" w:right="86"/>
              <w:jc w:val="center"/>
              <w:rPr>
                <w:sz w:val="24"/>
                <w:szCs w:val="48"/>
              </w:rPr>
            </w:pPr>
            <w:r>
              <w:rPr>
                <w:w w:val="105"/>
                <w:sz w:val="24"/>
                <w:szCs w:val="48"/>
              </w:rPr>
              <w:t>208</w:t>
            </w:r>
          </w:p>
        </w:tc>
        <w:tc>
          <w:tcPr>
            <w:tcW w:w="579" w:type="dxa"/>
          </w:tcPr>
          <w:p>
            <w:pPr>
              <w:pStyle w:val="14"/>
              <w:rPr>
                <w:rFonts w:ascii="Times New Roman"/>
                <w:sz w:val="32"/>
                <w:szCs w:val="48"/>
              </w:rPr>
            </w:pPr>
          </w:p>
        </w:tc>
        <w:tc>
          <w:tcPr>
            <w:tcW w:w="523" w:type="dxa"/>
          </w:tcPr>
          <w:p>
            <w:pPr>
              <w:pStyle w:val="14"/>
              <w:rPr>
                <w:rFonts w:ascii="Times New Roman"/>
                <w:sz w:val="32"/>
                <w:szCs w:val="48"/>
              </w:rPr>
            </w:pPr>
          </w:p>
        </w:tc>
        <w:tc>
          <w:tcPr>
            <w:tcW w:w="3579" w:type="dxa"/>
          </w:tcPr>
          <w:p>
            <w:pPr>
              <w:pStyle w:val="14"/>
              <w:spacing w:before="50"/>
              <w:ind w:left="163"/>
              <w:rPr>
                <w:sz w:val="24"/>
                <w:szCs w:val="48"/>
              </w:rPr>
            </w:pPr>
            <w:r>
              <w:rPr>
                <w:w w:val="105"/>
                <w:sz w:val="24"/>
                <w:szCs w:val="48"/>
              </w:rPr>
              <w:t>社会保障和就业支出</w:t>
            </w:r>
          </w:p>
        </w:tc>
        <w:tc>
          <w:tcPr>
            <w:tcW w:w="1841" w:type="dxa"/>
          </w:tcPr>
          <w:p>
            <w:pPr>
              <w:pStyle w:val="14"/>
              <w:spacing w:before="50"/>
              <w:ind w:right="14"/>
              <w:jc w:val="right"/>
              <w:rPr>
                <w:rFonts w:hint="default" w:eastAsia="宋体"/>
                <w:sz w:val="24"/>
                <w:szCs w:val="48"/>
                <w:lang w:val="en-US" w:eastAsia="zh-CN"/>
              </w:rPr>
            </w:pPr>
            <w:r>
              <w:rPr>
                <w:rFonts w:hint="eastAsia"/>
                <w:sz w:val="24"/>
                <w:szCs w:val="48"/>
                <w:lang w:val="en-US" w:eastAsia="zh-CN"/>
              </w:rPr>
              <w:t>20.68</w:t>
            </w:r>
          </w:p>
        </w:tc>
        <w:tc>
          <w:tcPr>
            <w:tcW w:w="1682" w:type="dxa"/>
          </w:tcPr>
          <w:p>
            <w:pPr>
              <w:pStyle w:val="14"/>
              <w:spacing w:before="50"/>
              <w:ind w:right="15"/>
              <w:jc w:val="right"/>
              <w:rPr>
                <w:rFonts w:hint="default" w:eastAsia="宋体"/>
                <w:sz w:val="24"/>
                <w:szCs w:val="48"/>
                <w:lang w:val="en-US" w:eastAsia="zh-CN"/>
              </w:rPr>
            </w:pPr>
            <w:r>
              <w:rPr>
                <w:rFonts w:hint="eastAsia"/>
                <w:sz w:val="24"/>
                <w:szCs w:val="48"/>
                <w:lang w:val="en-US" w:eastAsia="zh-CN"/>
              </w:rPr>
              <w:t>20.68</w:t>
            </w:r>
          </w:p>
        </w:tc>
        <w:tc>
          <w:tcPr>
            <w:tcW w:w="1682" w:type="dxa"/>
          </w:tcPr>
          <w:p>
            <w:pPr>
              <w:pStyle w:val="14"/>
              <w:rPr>
                <w:rFonts w:ascii="Times New Roman"/>
                <w:sz w:val="32"/>
                <w:szCs w:val="4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rPr>
                <w:rFonts w:ascii="Times New Roman"/>
                <w:sz w:val="32"/>
                <w:szCs w:val="48"/>
              </w:rPr>
            </w:pPr>
          </w:p>
        </w:tc>
        <w:tc>
          <w:tcPr>
            <w:tcW w:w="579" w:type="dxa"/>
          </w:tcPr>
          <w:p>
            <w:pPr>
              <w:pStyle w:val="14"/>
              <w:spacing w:before="50"/>
              <w:ind w:left="219"/>
              <w:rPr>
                <w:sz w:val="24"/>
                <w:szCs w:val="48"/>
              </w:rPr>
            </w:pPr>
            <w:r>
              <w:rPr>
                <w:w w:val="105"/>
                <w:sz w:val="24"/>
                <w:szCs w:val="48"/>
              </w:rPr>
              <w:t>05</w:t>
            </w:r>
          </w:p>
        </w:tc>
        <w:tc>
          <w:tcPr>
            <w:tcW w:w="523" w:type="dxa"/>
          </w:tcPr>
          <w:p>
            <w:pPr>
              <w:pStyle w:val="14"/>
              <w:rPr>
                <w:rFonts w:ascii="Times New Roman"/>
                <w:sz w:val="32"/>
                <w:szCs w:val="48"/>
              </w:rPr>
            </w:pPr>
          </w:p>
        </w:tc>
        <w:tc>
          <w:tcPr>
            <w:tcW w:w="3579" w:type="dxa"/>
          </w:tcPr>
          <w:p>
            <w:pPr>
              <w:pStyle w:val="14"/>
              <w:spacing w:before="50"/>
              <w:ind w:left="299"/>
              <w:rPr>
                <w:sz w:val="24"/>
                <w:szCs w:val="48"/>
              </w:rPr>
            </w:pPr>
            <w:r>
              <w:rPr>
                <w:w w:val="105"/>
                <w:sz w:val="24"/>
                <w:szCs w:val="48"/>
              </w:rPr>
              <w:t>行政事业单位离退休</w:t>
            </w:r>
          </w:p>
        </w:tc>
        <w:tc>
          <w:tcPr>
            <w:tcW w:w="1841" w:type="dxa"/>
            <w:vAlign w:val="top"/>
          </w:tcPr>
          <w:p>
            <w:pPr>
              <w:pStyle w:val="14"/>
              <w:spacing w:before="50"/>
              <w:ind w:left="0" w:leftChars="0" w:right="14" w:rightChars="0"/>
              <w:jc w:val="right"/>
              <w:rPr>
                <w:rFonts w:hint="default" w:ascii="宋体" w:hAnsi="宋体" w:eastAsia="宋体" w:cs="宋体"/>
                <w:sz w:val="24"/>
                <w:szCs w:val="48"/>
                <w:lang w:val="en-US" w:eastAsia="zh-CN" w:bidi="zh-CN"/>
              </w:rPr>
            </w:pPr>
            <w:r>
              <w:rPr>
                <w:rFonts w:hint="eastAsia" w:cs="宋体"/>
                <w:sz w:val="24"/>
                <w:szCs w:val="48"/>
                <w:lang w:val="en-US" w:eastAsia="zh-CN" w:bidi="zh-CN"/>
              </w:rPr>
              <w:t>20.68</w:t>
            </w:r>
          </w:p>
        </w:tc>
        <w:tc>
          <w:tcPr>
            <w:tcW w:w="1682" w:type="dxa"/>
            <w:vAlign w:val="top"/>
          </w:tcPr>
          <w:p>
            <w:pPr>
              <w:pStyle w:val="14"/>
              <w:spacing w:before="50"/>
              <w:ind w:left="0" w:leftChars="0" w:right="15" w:rightChars="0"/>
              <w:jc w:val="right"/>
              <w:rPr>
                <w:rFonts w:hint="default" w:ascii="宋体" w:hAnsi="宋体" w:eastAsia="宋体" w:cs="宋体"/>
                <w:sz w:val="24"/>
                <w:szCs w:val="48"/>
                <w:lang w:val="en-US" w:eastAsia="zh-CN" w:bidi="zh-CN"/>
              </w:rPr>
            </w:pPr>
            <w:r>
              <w:rPr>
                <w:rFonts w:hint="eastAsia" w:cs="宋体"/>
                <w:sz w:val="24"/>
                <w:szCs w:val="48"/>
                <w:lang w:val="en-US" w:eastAsia="zh-CN" w:bidi="zh-CN"/>
              </w:rPr>
              <w:t>20.68</w:t>
            </w:r>
          </w:p>
        </w:tc>
        <w:tc>
          <w:tcPr>
            <w:tcW w:w="1682" w:type="dxa"/>
          </w:tcPr>
          <w:p>
            <w:pPr>
              <w:pStyle w:val="14"/>
              <w:rPr>
                <w:rFonts w:ascii="Times New Roman"/>
                <w:sz w:val="32"/>
                <w:szCs w:val="4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221" w:right="86"/>
              <w:jc w:val="center"/>
              <w:rPr>
                <w:sz w:val="24"/>
                <w:szCs w:val="48"/>
              </w:rPr>
            </w:pPr>
            <w:r>
              <w:rPr>
                <w:w w:val="105"/>
                <w:sz w:val="24"/>
                <w:szCs w:val="48"/>
              </w:rPr>
              <w:t>208</w:t>
            </w:r>
          </w:p>
        </w:tc>
        <w:tc>
          <w:tcPr>
            <w:tcW w:w="579" w:type="dxa"/>
          </w:tcPr>
          <w:p>
            <w:pPr>
              <w:pStyle w:val="14"/>
              <w:spacing w:before="50"/>
              <w:ind w:right="138"/>
              <w:jc w:val="right"/>
              <w:rPr>
                <w:sz w:val="24"/>
                <w:szCs w:val="48"/>
              </w:rPr>
            </w:pPr>
            <w:r>
              <w:rPr>
                <w:w w:val="105"/>
                <w:sz w:val="24"/>
                <w:szCs w:val="48"/>
              </w:rPr>
              <w:t>05</w:t>
            </w:r>
          </w:p>
        </w:tc>
        <w:tc>
          <w:tcPr>
            <w:tcW w:w="523" w:type="dxa"/>
          </w:tcPr>
          <w:p>
            <w:pPr>
              <w:pStyle w:val="14"/>
              <w:spacing w:before="50"/>
              <w:ind w:left="86" w:right="86"/>
              <w:jc w:val="center"/>
              <w:rPr>
                <w:sz w:val="24"/>
                <w:szCs w:val="48"/>
              </w:rPr>
            </w:pPr>
            <w:r>
              <w:rPr>
                <w:w w:val="105"/>
                <w:sz w:val="24"/>
                <w:szCs w:val="48"/>
              </w:rPr>
              <w:t>05</w:t>
            </w:r>
          </w:p>
        </w:tc>
        <w:tc>
          <w:tcPr>
            <w:tcW w:w="3579" w:type="dxa"/>
          </w:tcPr>
          <w:p>
            <w:pPr>
              <w:pStyle w:val="14"/>
              <w:spacing w:before="50"/>
              <w:ind w:left="435"/>
              <w:rPr>
                <w:sz w:val="24"/>
                <w:szCs w:val="48"/>
              </w:rPr>
            </w:pPr>
            <w:r>
              <w:rPr>
                <w:w w:val="105"/>
                <w:sz w:val="24"/>
                <w:szCs w:val="48"/>
              </w:rPr>
              <w:t>机关事业单位基本养老保险缴费支出</w:t>
            </w:r>
          </w:p>
        </w:tc>
        <w:tc>
          <w:tcPr>
            <w:tcW w:w="1841" w:type="dxa"/>
            <w:vAlign w:val="center"/>
          </w:tcPr>
          <w:p>
            <w:pPr>
              <w:keepNext w:val="0"/>
              <w:keepLines w:val="0"/>
              <w:widowControl/>
              <w:suppressLineNumbers w:val="0"/>
              <w:ind w:left="0" w:leftChars="0" w:right="0" w:rightChars="0"/>
              <w:jc w:val="right"/>
              <w:textAlignment w:val="center"/>
              <w:rPr>
                <w:rFonts w:hint="default" w:ascii="宋体" w:hAnsi="宋体" w:eastAsia="宋体" w:cs="宋体"/>
                <w:i w:val="0"/>
                <w:color w:val="000000"/>
                <w:sz w:val="24"/>
                <w:szCs w:val="24"/>
                <w:u w:val="none"/>
                <w:lang w:val="en-US" w:eastAsia="zh-CN" w:bidi="zh-CN"/>
              </w:rPr>
            </w:pPr>
            <w:r>
              <w:rPr>
                <w:rFonts w:hint="eastAsia" w:ascii="宋体" w:hAnsi="宋体" w:eastAsia="宋体" w:cs="宋体"/>
                <w:i w:val="0"/>
                <w:color w:val="000000"/>
                <w:sz w:val="24"/>
                <w:szCs w:val="24"/>
                <w:u w:val="none"/>
                <w:lang w:val="en-US" w:eastAsia="zh-CN" w:bidi="zh-CN"/>
              </w:rPr>
              <w:t>14.01</w:t>
            </w:r>
          </w:p>
        </w:tc>
        <w:tc>
          <w:tcPr>
            <w:tcW w:w="1682" w:type="dxa"/>
            <w:vAlign w:val="center"/>
          </w:tcPr>
          <w:p>
            <w:pPr>
              <w:keepNext w:val="0"/>
              <w:keepLines w:val="0"/>
              <w:widowControl/>
              <w:suppressLineNumbers w:val="0"/>
              <w:ind w:left="0" w:leftChars="0" w:right="0" w:rightChars="0"/>
              <w:jc w:val="right"/>
              <w:textAlignment w:val="center"/>
              <w:rPr>
                <w:rFonts w:hint="eastAsia" w:ascii="宋体" w:hAnsi="宋体" w:eastAsia="宋体" w:cs="宋体"/>
                <w:i w:val="0"/>
                <w:color w:val="000000"/>
                <w:sz w:val="24"/>
                <w:szCs w:val="24"/>
                <w:u w:val="none"/>
                <w:lang w:val="zh-CN" w:eastAsia="zh-CN" w:bidi="zh-CN"/>
              </w:rPr>
            </w:pPr>
            <w:r>
              <w:rPr>
                <w:rFonts w:hint="eastAsia" w:ascii="宋体" w:hAnsi="宋体" w:eastAsia="宋体" w:cs="宋体"/>
                <w:i w:val="0"/>
                <w:color w:val="000000"/>
                <w:sz w:val="24"/>
                <w:szCs w:val="24"/>
                <w:u w:val="none"/>
                <w:lang w:val="en-US" w:eastAsia="zh-CN" w:bidi="zh-CN"/>
              </w:rPr>
              <w:t>14.01</w:t>
            </w:r>
          </w:p>
        </w:tc>
        <w:tc>
          <w:tcPr>
            <w:tcW w:w="1682" w:type="dxa"/>
          </w:tcPr>
          <w:p>
            <w:pPr>
              <w:pStyle w:val="14"/>
              <w:rPr>
                <w:rFonts w:ascii="Times New Roman"/>
                <w:sz w:val="32"/>
                <w:szCs w:val="4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221" w:right="86"/>
              <w:jc w:val="center"/>
              <w:rPr>
                <w:sz w:val="24"/>
                <w:szCs w:val="48"/>
              </w:rPr>
            </w:pPr>
            <w:r>
              <w:rPr>
                <w:w w:val="105"/>
                <w:sz w:val="24"/>
                <w:szCs w:val="48"/>
              </w:rPr>
              <w:t>208</w:t>
            </w:r>
          </w:p>
        </w:tc>
        <w:tc>
          <w:tcPr>
            <w:tcW w:w="579" w:type="dxa"/>
          </w:tcPr>
          <w:p>
            <w:pPr>
              <w:pStyle w:val="14"/>
              <w:spacing w:before="50"/>
              <w:ind w:right="138"/>
              <w:jc w:val="right"/>
              <w:rPr>
                <w:sz w:val="24"/>
                <w:szCs w:val="48"/>
              </w:rPr>
            </w:pPr>
            <w:r>
              <w:rPr>
                <w:w w:val="105"/>
                <w:sz w:val="24"/>
                <w:szCs w:val="48"/>
              </w:rPr>
              <w:t>05</w:t>
            </w:r>
          </w:p>
        </w:tc>
        <w:tc>
          <w:tcPr>
            <w:tcW w:w="523" w:type="dxa"/>
          </w:tcPr>
          <w:p>
            <w:pPr>
              <w:pStyle w:val="14"/>
              <w:spacing w:before="50"/>
              <w:ind w:left="86" w:right="86"/>
              <w:jc w:val="center"/>
              <w:rPr>
                <w:sz w:val="24"/>
                <w:szCs w:val="48"/>
              </w:rPr>
            </w:pPr>
            <w:r>
              <w:rPr>
                <w:w w:val="105"/>
                <w:sz w:val="24"/>
                <w:szCs w:val="48"/>
              </w:rPr>
              <w:t>06</w:t>
            </w:r>
          </w:p>
        </w:tc>
        <w:tc>
          <w:tcPr>
            <w:tcW w:w="3579" w:type="dxa"/>
          </w:tcPr>
          <w:p>
            <w:pPr>
              <w:pStyle w:val="14"/>
              <w:spacing w:before="50"/>
              <w:ind w:left="435"/>
              <w:rPr>
                <w:sz w:val="24"/>
                <w:szCs w:val="48"/>
              </w:rPr>
            </w:pPr>
            <w:r>
              <w:rPr>
                <w:w w:val="105"/>
                <w:sz w:val="24"/>
                <w:szCs w:val="48"/>
              </w:rPr>
              <w:t>机关事业单位职业年金缴费支出</w:t>
            </w:r>
          </w:p>
        </w:tc>
        <w:tc>
          <w:tcPr>
            <w:tcW w:w="1841" w:type="dxa"/>
            <w:vAlign w:val="center"/>
          </w:tcPr>
          <w:p>
            <w:pPr>
              <w:keepNext w:val="0"/>
              <w:keepLines w:val="0"/>
              <w:widowControl/>
              <w:suppressLineNumbers w:val="0"/>
              <w:ind w:left="0" w:leftChars="0" w:right="0" w:rightChars="0"/>
              <w:jc w:val="right"/>
              <w:textAlignment w:val="center"/>
              <w:rPr>
                <w:rFonts w:hint="default" w:ascii="宋体" w:hAnsi="宋体" w:eastAsia="宋体" w:cs="宋体"/>
                <w:i w:val="0"/>
                <w:color w:val="000000"/>
                <w:sz w:val="24"/>
                <w:szCs w:val="24"/>
                <w:u w:val="none"/>
                <w:lang w:val="en-US" w:eastAsia="zh-CN" w:bidi="zh-CN"/>
              </w:rPr>
            </w:pPr>
            <w:r>
              <w:rPr>
                <w:rFonts w:hint="eastAsia" w:ascii="宋体" w:hAnsi="宋体" w:eastAsia="宋体" w:cs="宋体"/>
                <w:i w:val="0"/>
                <w:color w:val="000000"/>
                <w:sz w:val="24"/>
                <w:szCs w:val="24"/>
                <w:u w:val="none"/>
                <w:lang w:val="en-US" w:eastAsia="zh-CN" w:bidi="zh-CN"/>
              </w:rPr>
              <w:t>6.67</w:t>
            </w:r>
          </w:p>
        </w:tc>
        <w:tc>
          <w:tcPr>
            <w:tcW w:w="1682" w:type="dxa"/>
            <w:vAlign w:val="center"/>
          </w:tcPr>
          <w:p>
            <w:pPr>
              <w:keepNext w:val="0"/>
              <w:keepLines w:val="0"/>
              <w:widowControl/>
              <w:suppressLineNumbers w:val="0"/>
              <w:ind w:left="0" w:leftChars="0" w:right="0" w:rightChars="0"/>
              <w:jc w:val="right"/>
              <w:textAlignment w:val="center"/>
              <w:rPr>
                <w:rFonts w:hint="eastAsia" w:ascii="宋体" w:hAnsi="宋体" w:eastAsia="宋体" w:cs="宋体"/>
                <w:i w:val="0"/>
                <w:color w:val="000000"/>
                <w:sz w:val="24"/>
                <w:szCs w:val="24"/>
                <w:u w:val="none"/>
                <w:lang w:val="zh-CN" w:eastAsia="zh-CN" w:bidi="zh-CN"/>
              </w:rPr>
            </w:pPr>
            <w:r>
              <w:rPr>
                <w:rFonts w:hint="eastAsia" w:ascii="宋体" w:hAnsi="宋体" w:eastAsia="宋体" w:cs="宋体"/>
                <w:i w:val="0"/>
                <w:color w:val="000000"/>
                <w:sz w:val="24"/>
                <w:szCs w:val="24"/>
                <w:u w:val="none"/>
                <w:lang w:val="en-US" w:eastAsia="zh-CN" w:bidi="zh-CN"/>
              </w:rPr>
              <w:t>6.67</w:t>
            </w:r>
          </w:p>
        </w:tc>
        <w:tc>
          <w:tcPr>
            <w:tcW w:w="1682" w:type="dxa"/>
          </w:tcPr>
          <w:p>
            <w:pPr>
              <w:pStyle w:val="14"/>
              <w:rPr>
                <w:rFonts w:ascii="Times New Roman"/>
                <w:sz w:val="32"/>
                <w:szCs w:val="4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3" w:hRule="atLeast"/>
        </w:trPr>
        <w:tc>
          <w:tcPr>
            <w:tcW w:w="568" w:type="dxa"/>
          </w:tcPr>
          <w:p>
            <w:pPr>
              <w:pStyle w:val="14"/>
              <w:spacing w:before="50"/>
              <w:ind w:left="86" w:right="86"/>
              <w:jc w:val="center"/>
              <w:rPr>
                <w:sz w:val="24"/>
                <w:szCs w:val="48"/>
              </w:rPr>
            </w:pPr>
            <w:r>
              <w:rPr>
                <w:w w:val="105"/>
                <w:sz w:val="24"/>
                <w:szCs w:val="48"/>
              </w:rPr>
              <w:t>220</w:t>
            </w:r>
          </w:p>
        </w:tc>
        <w:tc>
          <w:tcPr>
            <w:tcW w:w="579" w:type="dxa"/>
          </w:tcPr>
          <w:p>
            <w:pPr>
              <w:pStyle w:val="14"/>
              <w:rPr>
                <w:rFonts w:ascii="Times New Roman"/>
                <w:sz w:val="32"/>
                <w:szCs w:val="48"/>
              </w:rPr>
            </w:pPr>
          </w:p>
        </w:tc>
        <w:tc>
          <w:tcPr>
            <w:tcW w:w="523" w:type="dxa"/>
          </w:tcPr>
          <w:p>
            <w:pPr>
              <w:pStyle w:val="14"/>
              <w:rPr>
                <w:rFonts w:ascii="Times New Roman"/>
                <w:sz w:val="32"/>
                <w:szCs w:val="48"/>
              </w:rPr>
            </w:pPr>
          </w:p>
        </w:tc>
        <w:tc>
          <w:tcPr>
            <w:tcW w:w="3579" w:type="dxa"/>
          </w:tcPr>
          <w:p>
            <w:pPr>
              <w:pStyle w:val="14"/>
              <w:spacing w:before="50"/>
              <w:ind w:left="163"/>
              <w:rPr>
                <w:sz w:val="24"/>
                <w:szCs w:val="48"/>
              </w:rPr>
            </w:pPr>
            <w:r>
              <w:rPr>
                <w:w w:val="105"/>
                <w:sz w:val="24"/>
                <w:szCs w:val="48"/>
              </w:rPr>
              <w:t>国土海洋气象等支出</w:t>
            </w:r>
          </w:p>
        </w:tc>
        <w:tc>
          <w:tcPr>
            <w:tcW w:w="1841" w:type="dxa"/>
          </w:tcPr>
          <w:p>
            <w:pPr>
              <w:pStyle w:val="14"/>
              <w:spacing w:before="50"/>
              <w:ind w:right="14"/>
              <w:jc w:val="right"/>
              <w:rPr>
                <w:rFonts w:hint="default" w:eastAsia="宋体"/>
                <w:sz w:val="24"/>
                <w:szCs w:val="48"/>
                <w:lang w:val="en-US" w:eastAsia="zh-CN"/>
              </w:rPr>
            </w:pPr>
            <w:r>
              <w:rPr>
                <w:rFonts w:hint="eastAsia"/>
                <w:sz w:val="24"/>
                <w:szCs w:val="48"/>
                <w:lang w:val="en-US" w:eastAsia="zh-CN"/>
              </w:rPr>
              <w:t>263.31</w:t>
            </w:r>
          </w:p>
        </w:tc>
        <w:tc>
          <w:tcPr>
            <w:tcW w:w="1682" w:type="dxa"/>
            <w:vAlign w:val="top"/>
          </w:tcPr>
          <w:p>
            <w:pPr>
              <w:pStyle w:val="14"/>
              <w:spacing w:before="50"/>
              <w:ind w:left="0" w:leftChars="0" w:right="14" w:rightChars="0"/>
              <w:jc w:val="right"/>
              <w:rPr>
                <w:rFonts w:hint="default" w:eastAsia="宋体"/>
                <w:sz w:val="24"/>
                <w:szCs w:val="48"/>
                <w:lang w:val="en-US" w:eastAsia="zh-CN"/>
              </w:rPr>
            </w:pPr>
            <w:r>
              <w:rPr>
                <w:rFonts w:hint="eastAsia"/>
                <w:sz w:val="24"/>
                <w:szCs w:val="48"/>
                <w:lang w:val="en-US" w:eastAsia="zh-CN"/>
              </w:rPr>
              <w:t>118.31</w:t>
            </w:r>
          </w:p>
        </w:tc>
        <w:tc>
          <w:tcPr>
            <w:tcW w:w="1682" w:type="dxa"/>
          </w:tcPr>
          <w:p>
            <w:pPr>
              <w:pStyle w:val="14"/>
              <w:spacing w:before="50"/>
              <w:ind w:right="16"/>
              <w:jc w:val="right"/>
              <w:rPr>
                <w:rFonts w:hint="default" w:eastAsia="宋体"/>
                <w:sz w:val="24"/>
                <w:szCs w:val="48"/>
                <w:lang w:val="en-US" w:eastAsia="zh-CN"/>
              </w:rPr>
            </w:pPr>
            <w:r>
              <w:rPr>
                <w:rFonts w:hint="eastAsia"/>
                <w:w w:val="105"/>
                <w:sz w:val="24"/>
                <w:szCs w:val="48"/>
                <w:lang w:eastAsia="zh-CN"/>
              </w:rPr>
              <w:t>1</w:t>
            </w:r>
            <w:r>
              <w:rPr>
                <w:rFonts w:hint="eastAsia"/>
                <w:w w:val="105"/>
                <w:sz w:val="24"/>
                <w:szCs w:val="48"/>
                <w:lang w:val="en-US" w:eastAsia="zh-CN"/>
              </w:rPr>
              <w:t>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rPr>
                <w:rFonts w:ascii="Times New Roman"/>
                <w:sz w:val="32"/>
                <w:szCs w:val="48"/>
              </w:rPr>
            </w:pPr>
          </w:p>
        </w:tc>
        <w:tc>
          <w:tcPr>
            <w:tcW w:w="579" w:type="dxa"/>
          </w:tcPr>
          <w:p>
            <w:pPr>
              <w:pStyle w:val="14"/>
              <w:spacing w:before="50"/>
              <w:ind w:left="219"/>
              <w:rPr>
                <w:sz w:val="24"/>
                <w:szCs w:val="48"/>
              </w:rPr>
            </w:pPr>
            <w:r>
              <w:rPr>
                <w:w w:val="105"/>
                <w:sz w:val="24"/>
                <w:szCs w:val="48"/>
              </w:rPr>
              <w:t>01</w:t>
            </w:r>
          </w:p>
        </w:tc>
        <w:tc>
          <w:tcPr>
            <w:tcW w:w="523" w:type="dxa"/>
          </w:tcPr>
          <w:p>
            <w:pPr>
              <w:pStyle w:val="14"/>
              <w:rPr>
                <w:rFonts w:ascii="Times New Roman"/>
                <w:sz w:val="32"/>
                <w:szCs w:val="48"/>
              </w:rPr>
            </w:pPr>
          </w:p>
        </w:tc>
        <w:tc>
          <w:tcPr>
            <w:tcW w:w="3579" w:type="dxa"/>
          </w:tcPr>
          <w:p>
            <w:pPr>
              <w:pStyle w:val="14"/>
              <w:spacing w:before="50"/>
              <w:ind w:left="299"/>
              <w:rPr>
                <w:sz w:val="24"/>
                <w:szCs w:val="48"/>
              </w:rPr>
            </w:pPr>
            <w:r>
              <w:rPr>
                <w:w w:val="105"/>
                <w:sz w:val="24"/>
                <w:szCs w:val="48"/>
              </w:rPr>
              <w:t>国土资源事务</w:t>
            </w:r>
          </w:p>
        </w:tc>
        <w:tc>
          <w:tcPr>
            <w:tcW w:w="1841" w:type="dxa"/>
          </w:tcPr>
          <w:p>
            <w:pPr>
              <w:pStyle w:val="14"/>
              <w:spacing w:before="50"/>
              <w:ind w:right="14"/>
              <w:jc w:val="right"/>
              <w:rPr>
                <w:rFonts w:hint="default" w:eastAsia="宋体"/>
                <w:sz w:val="24"/>
                <w:szCs w:val="48"/>
                <w:lang w:val="en-US" w:eastAsia="zh-CN"/>
              </w:rPr>
            </w:pPr>
            <w:r>
              <w:rPr>
                <w:rFonts w:hint="eastAsia"/>
                <w:sz w:val="24"/>
                <w:szCs w:val="48"/>
                <w:lang w:val="en-US" w:eastAsia="zh-CN"/>
              </w:rPr>
              <w:t>118.31</w:t>
            </w:r>
          </w:p>
        </w:tc>
        <w:tc>
          <w:tcPr>
            <w:tcW w:w="1682" w:type="dxa"/>
            <w:vAlign w:val="top"/>
          </w:tcPr>
          <w:p>
            <w:pPr>
              <w:spacing w:before="50"/>
              <w:ind w:left="0" w:leftChars="0" w:right="0" w:rightChars="0"/>
              <w:jc w:val="right"/>
              <w:rPr>
                <w:rFonts w:hint="default" w:eastAsia="仿宋"/>
                <w:sz w:val="24"/>
                <w:szCs w:val="48"/>
                <w:lang w:val="en-US" w:eastAsia="zh-CN"/>
              </w:rPr>
            </w:pPr>
            <w:r>
              <w:rPr>
                <w:rFonts w:hint="eastAsia"/>
                <w:sz w:val="24"/>
                <w:szCs w:val="48"/>
                <w:lang w:val="en-US" w:eastAsia="zh-CN"/>
              </w:rPr>
              <w:t>118.31</w:t>
            </w:r>
          </w:p>
        </w:tc>
        <w:tc>
          <w:tcPr>
            <w:tcW w:w="1682" w:type="dxa"/>
          </w:tcPr>
          <w:p>
            <w:pPr>
              <w:pStyle w:val="14"/>
              <w:spacing w:before="50"/>
              <w:ind w:right="16"/>
              <w:jc w:val="right"/>
              <w:rPr>
                <w:rFonts w:hint="default" w:eastAsia="宋体"/>
                <w:sz w:val="24"/>
                <w:szCs w:val="48"/>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221" w:right="86"/>
              <w:jc w:val="center"/>
              <w:rPr>
                <w:sz w:val="24"/>
                <w:szCs w:val="48"/>
              </w:rPr>
            </w:pPr>
            <w:r>
              <w:rPr>
                <w:w w:val="105"/>
                <w:sz w:val="24"/>
                <w:szCs w:val="48"/>
              </w:rPr>
              <w:t>220</w:t>
            </w:r>
          </w:p>
        </w:tc>
        <w:tc>
          <w:tcPr>
            <w:tcW w:w="579" w:type="dxa"/>
          </w:tcPr>
          <w:p>
            <w:pPr>
              <w:pStyle w:val="14"/>
              <w:spacing w:before="50"/>
              <w:ind w:right="138"/>
              <w:jc w:val="right"/>
              <w:rPr>
                <w:sz w:val="24"/>
                <w:szCs w:val="48"/>
              </w:rPr>
            </w:pPr>
            <w:r>
              <w:rPr>
                <w:w w:val="105"/>
                <w:sz w:val="24"/>
                <w:szCs w:val="48"/>
              </w:rPr>
              <w:t>01</w:t>
            </w:r>
          </w:p>
        </w:tc>
        <w:tc>
          <w:tcPr>
            <w:tcW w:w="523" w:type="dxa"/>
          </w:tcPr>
          <w:p>
            <w:pPr>
              <w:pStyle w:val="14"/>
              <w:spacing w:before="50"/>
              <w:ind w:left="86" w:right="86"/>
              <w:jc w:val="center"/>
              <w:rPr>
                <w:sz w:val="24"/>
                <w:szCs w:val="48"/>
              </w:rPr>
            </w:pPr>
            <w:r>
              <w:rPr>
                <w:w w:val="105"/>
                <w:sz w:val="24"/>
                <w:szCs w:val="48"/>
              </w:rPr>
              <w:t>50</w:t>
            </w:r>
          </w:p>
        </w:tc>
        <w:tc>
          <w:tcPr>
            <w:tcW w:w="3579" w:type="dxa"/>
          </w:tcPr>
          <w:p>
            <w:pPr>
              <w:pStyle w:val="14"/>
              <w:spacing w:before="50"/>
              <w:ind w:left="435"/>
              <w:rPr>
                <w:sz w:val="24"/>
                <w:szCs w:val="48"/>
              </w:rPr>
            </w:pPr>
            <w:r>
              <w:rPr>
                <w:w w:val="105"/>
                <w:sz w:val="24"/>
                <w:szCs w:val="48"/>
              </w:rPr>
              <w:t>事业运行</w:t>
            </w:r>
          </w:p>
        </w:tc>
        <w:tc>
          <w:tcPr>
            <w:tcW w:w="1841" w:type="dxa"/>
          </w:tcPr>
          <w:p>
            <w:pPr>
              <w:pStyle w:val="14"/>
              <w:spacing w:before="50"/>
              <w:ind w:right="14"/>
              <w:jc w:val="right"/>
              <w:rPr>
                <w:rFonts w:hint="default" w:eastAsia="宋体"/>
                <w:sz w:val="24"/>
                <w:szCs w:val="48"/>
                <w:lang w:val="en-US" w:eastAsia="zh-CN"/>
              </w:rPr>
            </w:pPr>
            <w:r>
              <w:rPr>
                <w:rFonts w:hint="eastAsia"/>
                <w:sz w:val="24"/>
                <w:szCs w:val="48"/>
                <w:lang w:val="en-US" w:eastAsia="zh-CN"/>
              </w:rPr>
              <w:t>118.31</w:t>
            </w:r>
          </w:p>
        </w:tc>
        <w:tc>
          <w:tcPr>
            <w:tcW w:w="1682" w:type="dxa"/>
            <w:vAlign w:val="top"/>
          </w:tcPr>
          <w:p>
            <w:pPr>
              <w:spacing w:before="50"/>
              <w:ind w:left="0" w:leftChars="0" w:right="0" w:rightChars="0"/>
              <w:jc w:val="right"/>
              <w:rPr>
                <w:rFonts w:hint="default" w:eastAsia="仿宋"/>
                <w:sz w:val="24"/>
                <w:szCs w:val="48"/>
                <w:lang w:val="en-US" w:eastAsia="zh-CN"/>
              </w:rPr>
            </w:pPr>
            <w:r>
              <w:rPr>
                <w:rFonts w:hint="eastAsia"/>
                <w:sz w:val="24"/>
                <w:szCs w:val="48"/>
                <w:lang w:val="en-US" w:eastAsia="zh-CN"/>
              </w:rPr>
              <w:t>118.31</w:t>
            </w:r>
          </w:p>
        </w:tc>
        <w:tc>
          <w:tcPr>
            <w:tcW w:w="1682" w:type="dxa"/>
          </w:tcPr>
          <w:p>
            <w:pPr>
              <w:pStyle w:val="14"/>
              <w:rPr>
                <w:rFonts w:hint="default" w:ascii="Times New Roman" w:eastAsia="宋体"/>
                <w:sz w:val="32"/>
                <w:szCs w:val="48"/>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221" w:right="86"/>
              <w:jc w:val="center"/>
              <w:rPr>
                <w:sz w:val="24"/>
                <w:szCs w:val="48"/>
              </w:rPr>
            </w:pPr>
            <w:r>
              <w:rPr>
                <w:w w:val="105"/>
                <w:sz w:val="24"/>
                <w:szCs w:val="48"/>
              </w:rPr>
              <w:t>220</w:t>
            </w:r>
          </w:p>
        </w:tc>
        <w:tc>
          <w:tcPr>
            <w:tcW w:w="579" w:type="dxa"/>
          </w:tcPr>
          <w:p>
            <w:pPr>
              <w:pStyle w:val="14"/>
              <w:spacing w:before="50"/>
              <w:ind w:right="138"/>
              <w:jc w:val="right"/>
              <w:rPr>
                <w:sz w:val="24"/>
                <w:szCs w:val="48"/>
              </w:rPr>
            </w:pPr>
            <w:r>
              <w:rPr>
                <w:w w:val="105"/>
                <w:sz w:val="24"/>
                <w:szCs w:val="48"/>
              </w:rPr>
              <w:t>01</w:t>
            </w:r>
          </w:p>
        </w:tc>
        <w:tc>
          <w:tcPr>
            <w:tcW w:w="523" w:type="dxa"/>
          </w:tcPr>
          <w:p>
            <w:pPr>
              <w:pStyle w:val="14"/>
              <w:spacing w:before="50"/>
              <w:ind w:left="86" w:right="86"/>
              <w:jc w:val="center"/>
              <w:rPr>
                <w:sz w:val="24"/>
                <w:szCs w:val="48"/>
              </w:rPr>
            </w:pPr>
            <w:r>
              <w:rPr>
                <w:w w:val="105"/>
                <w:sz w:val="24"/>
                <w:szCs w:val="48"/>
              </w:rPr>
              <w:t>99</w:t>
            </w:r>
          </w:p>
        </w:tc>
        <w:tc>
          <w:tcPr>
            <w:tcW w:w="3579" w:type="dxa"/>
          </w:tcPr>
          <w:p>
            <w:pPr>
              <w:pStyle w:val="14"/>
              <w:spacing w:before="50"/>
              <w:ind w:left="435"/>
              <w:rPr>
                <w:sz w:val="24"/>
                <w:szCs w:val="48"/>
              </w:rPr>
            </w:pPr>
            <w:r>
              <w:rPr>
                <w:w w:val="105"/>
                <w:sz w:val="24"/>
                <w:szCs w:val="48"/>
              </w:rPr>
              <w:t>其他国土资源事务支出</w:t>
            </w:r>
          </w:p>
        </w:tc>
        <w:tc>
          <w:tcPr>
            <w:tcW w:w="1841" w:type="dxa"/>
          </w:tcPr>
          <w:p>
            <w:pPr>
              <w:pStyle w:val="14"/>
              <w:spacing w:before="50"/>
              <w:ind w:right="14"/>
              <w:jc w:val="right"/>
              <w:rPr>
                <w:rFonts w:hint="default" w:eastAsia="宋体"/>
                <w:sz w:val="24"/>
                <w:szCs w:val="48"/>
                <w:lang w:val="en-US" w:eastAsia="zh-CN"/>
              </w:rPr>
            </w:pPr>
            <w:r>
              <w:rPr>
                <w:rFonts w:hint="eastAsia"/>
                <w:w w:val="105"/>
                <w:sz w:val="24"/>
                <w:szCs w:val="48"/>
                <w:lang w:val="en-US" w:eastAsia="zh-CN"/>
              </w:rPr>
              <w:t>115</w:t>
            </w:r>
          </w:p>
        </w:tc>
        <w:tc>
          <w:tcPr>
            <w:tcW w:w="1682" w:type="dxa"/>
          </w:tcPr>
          <w:p>
            <w:pPr>
              <w:pStyle w:val="14"/>
              <w:rPr>
                <w:rFonts w:ascii="Times New Roman"/>
                <w:sz w:val="32"/>
                <w:szCs w:val="48"/>
              </w:rPr>
            </w:pPr>
          </w:p>
        </w:tc>
        <w:tc>
          <w:tcPr>
            <w:tcW w:w="1682" w:type="dxa"/>
          </w:tcPr>
          <w:p>
            <w:pPr>
              <w:pStyle w:val="14"/>
              <w:spacing w:before="50"/>
              <w:ind w:right="16"/>
              <w:jc w:val="right"/>
              <w:rPr>
                <w:rFonts w:hint="default" w:eastAsia="宋体"/>
                <w:sz w:val="24"/>
                <w:szCs w:val="48"/>
                <w:lang w:val="en-US" w:eastAsia="zh-CN"/>
              </w:rPr>
            </w:pPr>
            <w:r>
              <w:rPr>
                <w:rFonts w:hint="eastAsia"/>
                <w:w w:val="105"/>
                <w:sz w:val="24"/>
                <w:szCs w:val="48"/>
                <w:lang w:val="en-US" w:eastAsia="zh-CN"/>
              </w:rPr>
              <w:t>115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7" w:hRule="atLeast"/>
        </w:trPr>
        <w:tc>
          <w:tcPr>
            <w:tcW w:w="568" w:type="dxa"/>
          </w:tcPr>
          <w:p>
            <w:pPr>
              <w:pStyle w:val="14"/>
              <w:spacing w:before="50"/>
              <w:ind w:left="221" w:right="86"/>
              <w:jc w:val="center"/>
              <w:rPr>
                <w:rFonts w:hint="default" w:eastAsia="宋体"/>
                <w:w w:val="105"/>
                <w:sz w:val="24"/>
                <w:szCs w:val="48"/>
                <w:lang w:val="en-US" w:eastAsia="zh-CN"/>
              </w:rPr>
            </w:pPr>
            <w:r>
              <w:rPr>
                <w:rFonts w:hint="eastAsia"/>
                <w:w w:val="105"/>
                <w:sz w:val="24"/>
                <w:szCs w:val="48"/>
                <w:lang w:val="en-US" w:eastAsia="zh-CN"/>
              </w:rPr>
              <w:t>220</w:t>
            </w:r>
          </w:p>
        </w:tc>
        <w:tc>
          <w:tcPr>
            <w:tcW w:w="579" w:type="dxa"/>
          </w:tcPr>
          <w:p>
            <w:pPr>
              <w:pStyle w:val="14"/>
              <w:spacing w:before="50"/>
              <w:ind w:right="138"/>
              <w:jc w:val="right"/>
              <w:rPr>
                <w:rFonts w:hint="default" w:eastAsia="宋体"/>
                <w:w w:val="105"/>
                <w:sz w:val="24"/>
                <w:szCs w:val="48"/>
                <w:lang w:val="en-US" w:eastAsia="zh-CN"/>
              </w:rPr>
            </w:pPr>
            <w:r>
              <w:rPr>
                <w:rFonts w:hint="eastAsia"/>
                <w:w w:val="105"/>
                <w:sz w:val="24"/>
                <w:szCs w:val="48"/>
                <w:lang w:val="en-US" w:eastAsia="zh-CN"/>
              </w:rPr>
              <w:t>01</w:t>
            </w:r>
          </w:p>
        </w:tc>
        <w:tc>
          <w:tcPr>
            <w:tcW w:w="523" w:type="dxa"/>
          </w:tcPr>
          <w:p>
            <w:pPr>
              <w:pStyle w:val="14"/>
              <w:spacing w:before="50"/>
              <w:ind w:left="86" w:right="86"/>
              <w:jc w:val="center"/>
              <w:rPr>
                <w:rFonts w:hint="default" w:eastAsia="宋体"/>
                <w:w w:val="105"/>
                <w:sz w:val="24"/>
                <w:szCs w:val="48"/>
                <w:lang w:val="en-US" w:eastAsia="zh-CN"/>
              </w:rPr>
            </w:pPr>
            <w:r>
              <w:rPr>
                <w:rFonts w:hint="eastAsia"/>
                <w:w w:val="105"/>
                <w:sz w:val="24"/>
                <w:szCs w:val="48"/>
                <w:lang w:val="en-US" w:eastAsia="zh-CN"/>
              </w:rPr>
              <w:t>08</w:t>
            </w:r>
          </w:p>
        </w:tc>
        <w:tc>
          <w:tcPr>
            <w:tcW w:w="3579" w:type="dxa"/>
          </w:tcPr>
          <w:p>
            <w:pPr>
              <w:pStyle w:val="14"/>
              <w:spacing w:before="50"/>
              <w:ind w:left="435"/>
              <w:rPr>
                <w:w w:val="105"/>
                <w:sz w:val="24"/>
                <w:szCs w:val="48"/>
              </w:rPr>
            </w:pPr>
            <w:r>
              <w:rPr>
                <w:rFonts w:hint="eastAsia"/>
                <w:sz w:val="28"/>
                <w:szCs w:val="72"/>
                <w:lang w:val="en-US" w:eastAsia="zh-CN"/>
              </w:rPr>
              <w:t>自然资源行业业务管理</w:t>
            </w:r>
          </w:p>
        </w:tc>
        <w:tc>
          <w:tcPr>
            <w:tcW w:w="1841" w:type="dxa"/>
          </w:tcPr>
          <w:p>
            <w:pPr>
              <w:pStyle w:val="14"/>
              <w:spacing w:before="50"/>
              <w:ind w:right="14"/>
              <w:jc w:val="right"/>
              <w:rPr>
                <w:rFonts w:hint="default" w:eastAsia="宋体"/>
                <w:w w:val="105"/>
                <w:sz w:val="24"/>
                <w:szCs w:val="48"/>
                <w:lang w:val="en-US" w:eastAsia="zh-CN"/>
              </w:rPr>
            </w:pPr>
            <w:r>
              <w:rPr>
                <w:rFonts w:hint="eastAsia"/>
                <w:w w:val="105"/>
                <w:sz w:val="24"/>
                <w:szCs w:val="48"/>
                <w:lang w:val="en-US" w:eastAsia="zh-CN"/>
              </w:rPr>
              <w:t>30</w:t>
            </w:r>
          </w:p>
        </w:tc>
        <w:tc>
          <w:tcPr>
            <w:tcW w:w="1682" w:type="dxa"/>
          </w:tcPr>
          <w:p>
            <w:pPr>
              <w:pStyle w:val="14"/>
              <w:rPr>
                <w:rFonts w:ascii="Times New Roman"/>
                <w:sz w:val="32"/>
                <w:szCs w:val="48"/>
              </w:rPr>
            </w:pPr>
          </w:p>
        </w:tc>
        <w:tc>
          <w:tcPr>
            <w:tcW w:w="1682" w:type="dxa"/>
          </w:tcPr>
          <w:p>
            <w:pPr>
              <w:pStyle w:val="14"/>
              <w:spacing w:before="50"/>
              <w:ind w:right="16"/>
              <w:jc w:val="right"/>
              <w:rPr>
                <w:rFonts w:hint="default"/>
                <w:w w:val="105"/>
                <w:sz w:val="24"/>
                <w:szCs w:val="48"/>
                <w:lang w:val="en-US" w:eastAsia="zh-CN"/>
              </w:rPr>
            </w:pPr>
            <w:r>
              <w:rPr>
                <w:rFonts w:hint="eastAsia"/>
                <w:w w:val="105"/>
                <w:sz w:val="24"/>
                <w:szCs w:val="48"/>
                <w:lang w:val="en-US" w:eastAsia="zh-CN"/>
              </w:rPr>
              <w:t>30</w:t>
            </w:r>
          </w:p>
        </w:tc>
      </w:tr>
    </w:tbl>
    <w:p>
      <w:pPr>
        <w:pStyle w:val="7"/>
        <w:rPr>
          <w:rFonts w:ascii="宋体"/>
          <w:sz w:val="28"/>
          <w:szCs w:val="44"/>
        </w:rPr>
      </w:pPr>
    </w:p>
    <w:p>
      <w:pPr>
        <w:pStyle w:val="7"/>
        <w:rPr>
          <w:rFonts w:ascii="宋体"/>
          <w:sz w:val="20"/>
        </w:rPr>
      </w:pPr>
    </w:p>
    <w:p>
      <w:pPr>
        <w:pStyle w:val="7"/>
        <w:rPr>
          <w:rFonts w:ascii="宋体"/>
          <w:sz w:val="20"/>
        </w:rPr>
      </w:pPr>
    </w:p>
    <w:p>
      <w:pPr>
        <w:pStyle w:val="7"/>
        <w:spacing w:before="6"/>
        <w:rPr>
          <w:rFonts w:ascii="宋体"/>
          <w:sz w:val="15"/>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w w:val="105"/>
          <w:sz w:val="18"/>
        </w:rPr>
      </w:pPr>
    </w:p>
    <w:p>
      <w:pPr>
        <w:spacing w:before="79"/>
        <w:ind w:left="206" w:right="0" w:firstLine="0"/>
        <w:jc w:val="left"/>
        <w:rPr>
          <w:rFonts w:hint="eastAsia" w:ascii="宋体" w:eastAsia="宋体"/>
          <w:sz w:val="18"/>
        </w:rPr>
      </w:pPr>
      <w:bookmarkStart w:id="0" w:name="_GoBack"/>
      <w:bookmarkEnd w:id="0"/>
      <w:r>
        <w:rPr>
          <w:rFonts w:hint="eastAsia" w:ascii="宋体" w:eastAsia="宋体"/>
          <w:w w:val="105"/>
          <w:sz w:val="18"/>
        </w:rPr>
        <w:t>表六</w:t>
      </w:r>
    </w:p>
    <w:p>
      <w:pPr>
        <w:pStyle w:val="5"/>
        <w:ind w:right="303"/>
        <w:jc w:val="center"/>
        <w:rPr>
          <w:sz w:val="40"/>
          <w:szCs w:val="40"/>
        </w:rPr>
      </w:pPr>
      <w:r>
        <w:rPr>
          <w:sz w:val="40"/>
          <w:szCs w:val="40"/>
        </w:rPr>
        <w:t>一般公共预算基本支出情况表</w:t>
      </w:r>
    </w:p>
    <w:p>
      <w:pPr>
        <w:tabs>
          <w:tab w:val="left" w:pos="9618"/>
        </w:tabs>
        <w:spacing w:before="34" w:after="35"/>
        <w:ind w:left="163" w:right="0" w:firstLine="0"/>
        <w:jc w:val="left"/>
        <w:rPr>
          <w:rFonts w:hint="eastAsia" w:ascii="宋体" w:eastAsia="宋体"/>
          <w:sz w:val="22"/>
          <w:szCs w:val="32"/>
        </w:rPr>
      </w:pPr>
      <w:r>
        <w:rPr>
          <w:rFonts w:hint="eastAsia" w:ascii="宋体" w:eastAsia="宋体"/>
          <w:position w:val="1"/>
          <w:sz w:val="21"/>
          <w:szCs w:val="32"/>
        </w:rPr>
        <w:t>编制部门：新疆维吾尔自治区矿产资源储量评审中心</w:t>
      </w:r>
      <w:r>
        <w:rPr>
          <w:rFonts w:hint="eastAsia" w:ascii="宋体" w:eastAsia="宋体"/>
          <w:position w:val="1"/>
          <w:sz w:val="21"/>
          <w:szCs w:val="32"/>
        </w:rPr>
        <w:tab/>
      </w:r>
      <w:r>
        <w:rPr>
          <w:rFonts w:hint="eastAsia" w:ascii="宋体" w:eastAsia="宋体"/>
          <w:sz w:val="22"/>
          <w:szCs w:val="32"/>
        </w:rPr>
        <w:t>单位：万元</w:t>
      </w:r>
    </w:p>
    <w:tbl>
      <w:tblPr>
        <w:tblStyle w:val="10"/>
        <w:tblW w:w="0" w:type="auto"/>
        <w:tblInd w:w="13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26"/>
        <w:gridCol w:w="667"/>
        <w:gridCol w:w="3962"/>
        <w:gridCol w:w="1860"/>
        <w:gridCol w:w="1718"/>
        <w:gridCol w:w="17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155" w:type="dxa"/>
            <w:gridSpan w:val="3"/>
          </w:tcPr>
          <w:p>
            <w:pPr>
              <w:pStyle w:val="14"/>
              <w:spacing w:before="57"/>
              <w:ind w:left="2386" w:right="2374"/>
              <w:jc w:val="center"/>
              <w:rPr>
                <w:sz w:val="21"/>
                <w:szCs w:val="32"/>
              </w:rPr>
            </w:pPr>
            <w:r>
              <w:rPr>
                <w:sz w:val="21"/>
                <w:szCs w:val="32"/>
              </w:rPr>
              <w:t>项目</w:t>
            </w:r>
          </w:p>
        </w:tc>
        <w:tc>
          <w:tcPr>
            <w:tcW w:w="5296" w:type="dxa"/>
            <w:gridSpan w:val="3"/>
          </w:tcPr>
          <w:p>
            <w:pPr>
              <w:pStyle w:val="14"/>
              <w:spacing w:before="57"/>
              <w:ind w:left="1775" w:right="1766"/>
              <w:jc w:val="center"/>
              <w:rPr>
                <w:sz w:val="21"/>
                <w:szCs w:val="32"/>
              </w:rPr>
            </w:pPr>
            <w:r>
              <w:rPr>
                <w:sz w:val="21"/>
                <w:szCs w:val="32"/>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5" w:hRule="atLeast"/>
        </w:trPr>
        <w:tc>
          <w:tcPr>
            <w:tcW w:w="1193" w:type="dxa"/>
            <w:gridSpan w:val="2"/>
          </w:tcPr>
          <w:p>
            <w:pPr>
              <w:pStyle w:val="14"/>
              <w:spacing w:before="88" w:line="235" w:lineRule="auto"/>
              <w:ind w:left="418" w:right="77" w:hanging="341"/>
              <w:rPr>
                <w:sz w:val="21"/>
                <w:szCs w:val="28"/>
              </w:rPr>
            </w:pPr>
            <w:r>
              <w:rPr>
                <w:sz w:val="21"/>
                <w:szCs w:val="28"/>
              </w:rPr>
              <w:t>经济分类科目编码</w:t>
            </w:r>
          </w:p>
        </w:tc>
        <w:tc>
          <w:tcPr>
            <w:tcW w:w="3962" w:type="dxa"/>
            <w:vMerge w:val="restart"/>
          </w:tcPr>
          <w:p>
            <w:pPr>
              <w:pStyle w:val="14"/>
              <w:rPr>
                <w:sz w:val="20"/>
                <w:szCs w:val="28"/>
              </w:rPr>
            </w:pPr>
          </w:p>
          <w:p>
            <w:pPr>
              <w:pStyle w:val="14"/>
              <w:spacing w:before="10"/>
              <w:rPr>
                <w:sz w:val="16"/>
                <w:szCs w:val="28"/>
              </w:rPr>
            </w:pPr>
          </w:p>
          <w:p>
            <w:pPr>
              <w:pStyle w:val="14"/>
              <w:ind w:left="1298"/>
              <w:rPr>
                <w:sz w:val="21"/>
                <w:szCs w:val="28"/>
              </w:rPr>
            </w:pPr>
            <w:r>
              <w:rPr>
                <w:sz w:val="21"/>
                <w:szCs w:val="28"/>
              </w:rPr>
              <w:t>经济分类科目名称</w:t>
            </w:r>
          </w:p>
        </w:tc>
        <w:tc>
          <w:tcPr>
            <w:tcW w:w="1860" w:type="dxa"/>
            <w:vMerge w:val="restart"/>
          </w:tcPr>
          <w:p>
            <w:pPr>
              <w:pStyle w:val="14"/>
              <w:rPr>
                <w:sz w:val="20"/>
                <w:szCs w:val="28"/>
              </w:rPr>
            </w:pPr>
          </w:p>
          <w:p>
            <w:pPr>
              <w:pStyle w:val="14"/>
              <w:spacing w:before="10"/>
              <w:rPr>
                <w:sz w:val="16"/>
                <w:szCs w:val="28"/>
              </w:rPr>
            </w:pPr>
          </w:p>
          <w:p>
            <w:pPr>
              <w:pStyle w:val="14"/>
              <w:tabs>
                <w:tab w:val="left" w:pos="437"/>
              </w:tabs>
              <w:ind w:left="11"/>
              <w:jc w:val="center"/>
              <w:rPr>
                <w:sz w:val="21"/>
                <w:szCs w:val="28"/>
              </w:rPr>
            </w:pPr>
            <w:r>
              <w:rPr>
                <w:sz w:val="21"/>
                <w:szCs w:val="28"/>
              </w:rPr>
              <w:t>总</w:t>
            </w:r>
            <w:r>
              <w:rPr>
                <w:sz w:val="21"/>
                <w:szCs w:val="28"/>
              </w:rPr>
              <w:tab/>
            </w:r>
            <w:r>
              <w:rPr>
                <w:sz w:val="21"/>
                <w:szCs w:val="28"/>
              </w:rPr>
              <w:t>计</w:t>
            </w:r>
          </w:p>
        </w:tc>
        <w:tc>
          <w:tcPr>
            <w:tcW w:w="1718" w:type="dxa"/>
            <w:vMerge w:val="restart"/>
          </w:tcPr>
          <w:p>
            <w:pPr>
              <w:pStyle w:val="14"/>
              <w:rPr>
                <w:sz w:val="20"/>
                <w:szCs w:val="28"/>
              </w:rPr>
            </w:pPr>
          </w:p>
          <w:p>
            <w:pPr>
              <w:pStyle w:val="14"/>
              <w:spacing w:before="10"/>
              <w:rPr>
                <w:sz w:val="16"/>
                <w:szCs w:val="28"/>
              </w:rPr>
            </w:pPr>
          </w:p>
          <w:p>
            <w:pPr>
              <w:pStyle w:val="14"/>
              <w:ind w:left="516"/>
              <w:rPr>
                <w:sz w:val="21"/>
                <w:szCs w:val="28"/>
              </w:rPr>
            </w:pPr>
            <w:r>
              <w:rPr>
                <w:sz w:val="21"/>
                <w:szCs w:val="28"/>
              </w:rPr>
              <w:t>人员经费</w:t>
            </w:r>
          </w:p>
        </w:tc>
        <w:tc>
          <w:tcPr>
            <w:tcW w:w="1718" w:type="dxa"/>
            <w:vMerge w:val="restart"/>
          </w:tcPr>
          <w:p>
            <w:pPr>
              <w:pStyle w:val="14"/>
              <w:rPr>
                <w:sz w:val="20"/>
                <w:szCs w:val="28"/>
              </w:rPr>
            </w:pPr>
          </w:p>
          <w:p>
            <w:pPr>
              <w:pStyle w:val="14"/>
              <w:spacing w:before="10"/>
              <w:rPr>
                <w:sz w:val="16"/>
                <w:szCs w:val="28"/>
              </w:rPr>
            </w:pPr>
          </w:p>
          <w:p>
            <w:pPr>
              <w:pStyle w:val="14"/>
              <w:ind w:left="516"/>
              <w:rPr>
                <w:sz w:val="21"/>
                <w:szCs w:val="28"/>
              </w:rPr>
            </w:pPr>
            <w:r>
              <w:rPr>
                <w:sz w:val="21"/>
                <w:szCs w:val="28"/>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526" w:type="dxa"/>
          </w:tcPr>
          <w:p>
            <w:pPr>
              <w:pStyle w:val="14"/>
              <w:spacing w:before="70"/>
              <w:ind w:left="177"/>
              <w:rPr>
                <w:sz w:val="21"/>
                <w:szCs w:val="28"/>
              </w:rPr>
            </w:pPr>
            <w:r>
              <w:rPr>
                <w:w w:val="100"/>
                <w:sz w:val="21"/>
                <w:szCs w:val="28"/>
              </w:rPr>
              <w:t>类</w:t>
            </w:r>
          </w:p>
        </w:tc>
        <w:tc>
          <w:tcPr>
            <w:tcW w:w="667" w:type="dxa"/>
          </w:tcPr>
          <w:p>
            <w:pPr>
              <w:pStyle w:val="14"/>
              <w:spacing w:before="70"/>
              <w:ind w:left="13"/>
              <w:jc w:val="center"/>
              <w:rPr>
                <w:sz w:val="21"/>
                <w:szCs w:val="28"/>
              </w:rPr>
            </w:pPr>
            <w:r>
              <w:rPr>
                <w:w w:val="100"/>
                <w:sz w:val="21"/>
                <w:szCs w:val="28"/>
              </w:rPr>
              <w:t>款</w:t>
            </w:r>
          </w:p>
        </w:tc>
        <w:tc>
          <w:tcPr>
            <w:tcW w:w="3962" w:type="dxa"/>
            <w:vMerge w:val="continue"/>
            <w:tcBorders>
              <w:top w:val="nil"/>
            </w:tcBorders>
          </w:tcPr>
          <w:p>
            <w:pPr>
              <w:rPr>
                <w:sz w:val="13"/>
                <w:szCs w:val="13"/>
              </w:rPr>
            </w:pPr>
          </w:p>
        </w:tc>
        <w:tc>
          <w:tcPr>
            <w:tcW w:w="1860" w:type="dxa"/>
            <w:vMerge w:val="continue"/>
            <w:tcBorders>
              <w:top w:val="nil"/>
            </w:tcBorders>
          </w:tcPr>
          <w:p>
            <w:pPr>
              <w:rPr>
                <w:sz w:val="13"/>
                <w:szCs w:val="13"/>
              </w:rPr>
            </w:pPr>
          </w:p>
        </w:tc>
        <w:tc>
          <w:tcPr>
            <w:tcW w:w="1718" w:type="dxa"/>
            <w:vMerge w:val="continue"/>
            <w:tcBorders>
              <w:top w:val="nil"/>
            </w:tcBorders>
          </w:tcPr>
          <w:p>
            <w:pPr>
              <w:rPr>
                <w:sz w:val="13"/>
                <w:szCs w:val="13"/>
              </w:rPr>
            </w:pPr>
          </w:p>
        </w:tc>
        <w:tc>
          <w:tcPr>
            <w:tcW w:w="1718" w:type="dxa"/>
            <w:vMerge w:val="continue"/>
            <w:tcBorders>
              <w:top w:val="nil"/>
            </w:tcBorders>
          </w:tcPr>
          <w:p>
            <w:pPr>
              <w:rPr>
                <w:sz w:val="13"/>
                <w:szCs w:val="13"/>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9" w:hRule="atLeast"/>
        </w:trPr>
        <w:tc>
          <w:tcPr>
            <w:tcW w:w="526" w:type="dxa"/>
          </w:tcPr>
          <w:p>
            <w:pPr>
              <w:pStyle w:val="14"/>
              <w:spacing w:before="71"/>
              <w:ind w:right="76"/>
              <w:jc w:val="right"/>
              <w:rPr>
                <w:sz w:val="21"/>
                <w:szCs w:val="28"/>
              </w:rPr>
            </w:pPr>
            <w:r>
              <w:rPr>
                <w:sz w:val="21"/>
                <w:szCs w:val="28"/>
              </w:rPr>
              <w:t>※※</w:t>
            </w:r>
          </w:p>
        </w:tc>
        <w:tc>
          <w:tcPr>
            <w:tcW w:w="667" w:type="dxa"/>
          </w:tcPr>
          <w:p>
            <w:pPr>
              <w:pStyle w:val="14"/>
              <w:spacing w:before="71"/>
              <w:ind w:left="142" w:right="130"/>
              <w:jc w:val="center"/>
              <w:rPr>
                <w:sz w:val="21"/>
                <w:szCs w:val="28"/>
              </w:rPr>
            </w:pPr>
            <w:r>
              <w:rPr>
                <w:sz w:val="21"/>
                <w:szCs w:val="28"/>
              </w:rPr>
              <w:t>※※</w:t>
            </w:r>
          </w:p>
        </w:tc>
        <w:tc>
          <w:tcPr>
            <w:tcW w:w="3962" w:type="dxa"/>
          </w:tcPr>
          <w:p>
            <w:pPr>
              <w:pStyle w:val="14"/>
              <w:spacing w:before="71"/>
              <w:ind w:left="1789" w:right="1777"/>
              <w:jc w:val="center"/>
              <w:rPr>
                <w:sz w:val="21"/>
                <w:szCs w:val="28"/>
              </w:rPr>
            </w:pPr>
            <w:r>
              <w:rPr>
                <w:sz w:val="21"/>
                <w:szCs w:val="28"/>
              </w:rPr>
              <w:t>※※</w:t>
            </w:r>
          </w:p>
        </w:tc>
        <w:tc>
          <w:tcPr>
            <w:tcW w:w="1860" w:type="dxa"/>
          </w:tcPr>
          <w:p>
            <w:pPr>
              <w:pStyle w:val="14"/>
              <w:spacing w:before="71"/>
              <w:ind w:left="11"/>
              <w:jc w:val="center"/>
              <w:rPr>
                <w:sz w:val="21"/>
                <w:szCs w:val="28"/>
              </w:rPr>
            </w:pPr>
            <w:r>
              <w:rPr>
                <w:w w:val="100"/>
                <w:sz w:val="21"/>
                <w:szCs w:val="28"/>
              </w:rPr>
              <w:t>1</w:t>
            </w:r>
          </w:p>
        </w:tc>
        <w:tc>
          <w:tcPr>
            <w:tcW w:w="1718" w:type="dxa"/>
          </w:tcPr>
          <w:p>
            <w:pPr>
              <w:pStyle w:val="14"/>
              <w:spacing w:before="71"/>
              <w:ind w:left="12"/>
              <w:jc w:val="center"/>
              <w:rPr>
                <w:sz w:val="21"/>
                <w:szCs w:val="28"/>
              </w:rPr>
            </w:pPr>
            <w:r>
              <w:rPr>
                <w:w w:val="100"/>
                <w:sz w:val="21"/>
                <w:szCs w:val="28"/>
              </w:rPr>
              <w:t>2</w:t>
            </w:r>
          </w:p>
        </w:tc>
        <w:tc>
          <w:tcPr>
            <w:tcW w:w="1718" w:type="dxa"/>
          </w:tcPr>
          <w:p>
            <w:pPr>
              <w:pStyle w:val="14"/>
              <w:spacing w:before="71"/>
              <w:ind w:left="11"/>
              <w:jc w:val="center"/>
              <w:rPr>
                <w:sz w:val="21"/>
                <w:szCs w:val="28"/>
              </w:rPr>
            </w:pPr>
            <w:r>
              <w:rPr>
                <w:w w:val="100"/>
                <w:sz w:val="21"/>
                <w:szCs w:val="28"/>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rPr>
                <w:rFonts w:ascii="Times New Roman"/>
                <w:sz w:val="20"/>
                <w:szCs w:val="28"/>
              </w:rPr>
            </w:pPr>
          </w:p>
        </w:tc>
        <w:tc>
          <w:tcPr>
            <w:tcW w:w="667" w:type="dxa"/>
          </w:tcPr>
          <w:p>
            <w:pPr>
              <w:pStyle w:val="14"/>
              <w:rPr>
                <w:rFonts w:ascii="Times New Roman"/>
                <w:sz w:val="20"/>
                <w:szCs w:val="28"/>
              </w:rPr>
            </w:pPr>
          </w:p>
        </w:tc>
        <w:tc>
          <w:tcPr>
            <w:tcW w:w="3962" w:type="dxa"/>
          </w:tcPr>
          <w:p>
            <w:pPr>
              <w:pStyle w:val="14"/>
              <w:spacing w:before="56"/>
              <w:ind w:left="34"/>
              <w:rPr>
                <w:sz w:val="21"/>
                <w:szCs w:val="28"/>
              </w:rPr>
            </w:pPr>
            <w:r>
              <w:rPr>
                <w:sz w:val="21"/>
                <w:szCs w:val="28"/>
              </w:rPr>
              <w:t>新疆维吾尔自治区矿产资源储量评审中心</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138.99</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136.75</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2.24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left="134"/>
              <w:rPr>
                <w:sz w:val="21"/>
                <w:szCs w:val="28"/>
              </w:rPr>
            </w:pPr>
            <w:r>
              <w:rPr>
                <w:sz w:val="21"/>
                <w:szCs w:val="28"/>
              </w:rPr>
              <w:t>301</w:t>
            </w:r>
          </w:p>
        </w:tc>
        <w:tc>
          <w:tcPr>
            <w:tcW w:w="667" w:type="dxa"/>
          </w:tcPr>
          <w:p>
            <w:pPr>
              <w:pStyle w:val="14"/>
              <w:rPr>
                <w:rFonts w:ascii="Times New Roman"/>
                <w:sz w:val="20"/>
                <w:szCs w:val="28"/>
              </w:rPr>
            </w:pPr>
          </w:p>
        </w:tc>
        <w:tc>
          <w:tcPr>
            <w:tcW w:w="3962" w:type="dxa"/>
          </w:tcPr>
          <w:p>
            <w:pPr>
              <w:pStyle w:val="14"/>
              <w:spacing w:before="56"/>
              <w:ind w:left="205"/>
              <w:rPr>
                <w:sz w:val="21"/>
                <w:szCs w:val="28"/>
              </w:rPr>
            </w:pPr>
            <w:r>
              <w:rPr>
                <w:sz w:val="21"/>
                <w:szCs w:val="28"/>
              </w:rPr>
              <w:t>工资福利支出</w:t>
            </w:r>
          </w:p>
        </w:tc>
        <w:tc>
          <w:tcPr>
            <w:tcW w:w="1860" w:type="dxa"/>
            <w:vAlign w:val="top"/>
          </w:tcPr>
          <w:p>
            <w:pPr>
              <w:pStyle w:val="14"/>
              <w:spacing w:before="56"/>
              <w:ind w:left="0" w:leftChars="0" w:right="20" w:rightChars="0"/>
              <w:jc w:val="right"/>
              <w:rPr>
                <w:rFonts w:hint="default" w:ascii="宋体" w:hAnsi="宋体" w:eastAsia="宋体" w:cs="宋体"/>
                <w:sz w:val="21"/>
                <w:szCs w:val="28"/>
                <w:lang w:val="en-US" w:eastAsia="zh-CN" w:bidi="zh-CN"/>
              </w:rPr>
            </w:pPr>
            <w:r>
              <w:rPr>
                <w:rFonts w:hint="eastAsia"/>
                <w:sz w:val="21"/>
                <w:szCs w:val="28"/>
                <w:lang w:val="en-US" w:eastAsia="zh-CN"/>
              </w:rPr>
              <w:t>138.99</w:t>
            </w:r>
          </w:p>
        </w:tc>
        <w:tc>
          <w:tcPr>
            <w:tcW w:w="1718" w:type="dxa"/>
            <w:vAlign w:val="top"/>
          </w:tcPr>
          <w:p>
            <w:pPr>
              <w:pStyle w:val="14"/>
              <w:spacing w:before="56"/>
              <w:ind w:left="0" w:leftChars="0" w:right="20" w:rightChars="0"/>
              <w:jc w:val="right"/>
              <w:rPr>
                <w:rFonts w:hint="default" w:ascii="宋体" w:hAnsi="宋体" w:eastAsia="宋体" w:cs="宋体"/>
                <w:sz w:val="21"/>
                <w:szCs w:val="28"/>
                <w:lang w:val="en-US" w:eastAsia="zh-CN" w:bidi="zh-CN"/>
              </w:rPr>
            </w:pPr>
            <w:r>
              <w:rPr>
                <w:rFonts w:hint="eastAsia"/>
                <w:sz w:val="21"/>
                <w:szCs w:val="28"/>
                <w:lang w:val="en-US" w:eastAsia="zh-CN"/>
              </w:rPr>
              <w:t>136.75</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285" o:spid="_x0000_s1285" o:spt="203" style="height:2.15pt;width:1.8pt;" coordsize="36,43">
                  <o:lock v:ext="edit"/>
                  <v:line id="_x0000_s1286" o:spid="_x0000_s1286" o:spt="20" style="position:absolute;left:7;top:7;height:0;width:28;" stroked="t" coordsize="21600,21600">
                    <v:path arrowok="t"/>
                    <v:fill focussize="0,0"/>
                    <v:stroke weight="0.708582677165354pt" color="#008000"/>
                    <v:imagedata o:title=""/>
                    <o:lock v:ext="edit"/>
                  </v:line>
                  <v:line id="_x0000_s1287" o:spid="_x0000_s1287" o:spt="20" style="position:absolute;left:7;top:21;height:0;width:14;" stroked="t" coordsize="21600,21600">
                    <v:path arrowok="t"/>
                    <v:fill focussize="0,0"/>
                    <v:stroke weight="0.708582677165354pt" color="#008000"/>
                    <v:imagedata o:title=""/>
                    <o:lock v:ext="edit"/>
                  </v:line>
                  <v:rect id="_x0000_s1288" o:spid="_x0000_s1288"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01</w:t>
            </w:r>
          </w:p>
        </w:tc>
        <w:tc>
          <w:tcPr>
            <w:tcW w:w="3962" w:type="dxa"/>
          </w:tcPr>
          <w:p>
            <w:pPr>
              <w:pStyle w:val="14"/>
              <w:spacing w:before="57"/>
              <w:ind w:left="375"/>
              <w:rPr>
                <w:sz w:val="21"/>
                <w:szCs w:val="28"/>
              </w:rPr>
            </w:pPr>
            <w:r>
              <w:rPr>
                <w:sz w:val="21"/>
                <w:szCs w:val="28"/>
              </w:rPr>
              <w:t>基本工资</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49.79</w:t>
            </w: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49.79</w:t>
            </w:r>
          </w:p>
        </w:tc>
        <w:tc>
          <w:tcPr>
            <w:tcW w:w="1718" w:type="dxa"/>
          </w:tcPr>
          <w:p>
            <w:pPr>
              <w:pStyle w:val="14"/>
              <w:spacing w:before="57"/>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6" w:hRule="atLeast"/>
        </w:trPr>
        <w:tc>
          <w:tcPr>
            <w:tcW w:w="526" w:type="dxa"/>
          </w:tcPr>
          <w:p>
            <w:pPr>
              <w:pStyle w:val="14"/>
              <w:spacing w:before="56"/>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289" o:spid="_x0000_s1289" o:spt="203" style="height:2.15pt;width:1.8pt;" coordsize="36,43">
                  <o:lock v:ext="edit"/>
                  <v:line id="_x0000_s1290" o:spid="_x0000_s1290" o:spt="20" style="position:absolute;left:7;top:7;height:0;width:28;" stroked="t" coordsize="21600,21600">
                    <v:path arrowok="t"/>
                    <v:fill focussize="0,0"/>
                    <v:stroke weight="0.708582677165354pt" color="#008000"/>
                    <v:imagedata o:title=""/>
                    <o:lock v:ext="edit"/>
                  </v:line>
                  <v:line id="_x0000_s1291" o:spid="_x0000_s1291" o:spt="20" style="position:absolute;left:7;top:21;height:0;width:14;" stroked="t" coordsize="21600,21600">
                    <v:path arrowok="t"/>
                    <v:fill focussize="0,0"/>
                    <v:stroke weight="0.708582677165354pt" color="#008000"/>
                    <v:imagedata o:title=""/>
                    <o:lock v:ext="edit"/>
                  </v:line>
                  <v:rect id="_x0000_s1292" o:spid="_x0000_s1292"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02</w:t>
            </w:r>
          </w:p>
        </w:tc>
        <w:tc>
          <w:tcPr>
            <w:tcW w:w="3962" w:type="dxa"/>
          </w:tcPr>
          <w:p>
            <w:pPr>
              <w:pStyle w:val="14"/>
              <w:spacing w:before="56"/>
              <w:ind w:left="375"/>
              <w:rPr>
                <w:sz w:val="21"/>
                <w:szCs w:val="28"/>
              </w:rPr>
            </w:pPr>
            <w:r>
              <w:rPr>
                <w:sz w:val="21"/>
                <w:szCs w:val="28"/>
              </w:rPr>
              <w:t>津贴补贴</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9.37</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9.37</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293" o:spid="_x0000_s1293" o:spt="203" style="height:2.15pt;width:1.8pt;" coordsize="36,43">
                  <o:lock v:ext="edit"/>
                  <v:line id="_x0000_s1294" o:spid="_x0000_s1294" o:spt="20" style="position:absolute;left:7;top:7;height:0;width:28;" stroked="t" coordsize="21600,21600">
                    <v:path arrowok="t"/>
                    <v:fill focussize="0,0"/>
                    <v:stroke weight="0.708582677165354pt" color="#008000"/>
                    <v:imagedata o:title=""/>
                    <o:lock v:ext="edit"/>
                  </v:line>
                  <v:line id="_x0000_s1295" o:spid="_x0000_s1295" o:spt="20" style="position:absolute;left:7;top:21;height:0;width:14;" stroked="t" coordsize="21600,21600">
                    <v:path arrowok="t"/>
                    <v:fill focussize="0,0"/>
                    <v:stroke weight="0.708582677165354pt" color="#008000"/>
                    <v:imagedata o:title=""/>
                    <o:lock v:ext="edit"/>
                  </v:line>
                  <v:rect id="_x0000_s1296" o:spid="_x0000_s1296"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03</w:t>
            </w:r>
          </w:p>
        </w:tc>
        <w:tc>
          <w:tcPr>
            <w:tcW w:w="3962" w:type="dxa"/>
          </w:tcPr>
          <w:p>
            <w:pPr>
              <w:pStyle w:val="14"/>
              <w:spacing w:before="56"/>
              <w:ind w:left="375"/>
              <w:rPr>
                <w:sz w:val="21"/>
                <w:szCs w:val="28"/>
              </w:rPr>
            </w:pPr>
            <w:r>
              <w:rPr>
                <w:sz w:val="21"/>
                <w:szCs w:val="28"/>
              </w:rPr>
              <w:t>奖金</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4.15</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4.15</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297" o:spid="_x0000_s1297" o:spt="203" style="height:2.15pt;width:1.8pt;" coordsize="36,43">
                  <o:lock v:ext="edit"/>
                  <v:line id="_x0000_s1298" o:spid="_x0000_s1298" o:spt="20" style="position:absolute;left:7;top:7;height:0;width:28;" stroked="t" coordsize="21600,21600">
                    <v:path arrowok="t"/>
                    <v:fill focussize="0,0"/>
                    <v:stroke weight="0.708582677165354pt" color="#008000"/>
                    <v:imagedata o:title=""/>
                    <o:lock v:ext="edit"/>
                  </v:line>
                  <v:line id="_x0000_s1299" o:spid="_x0000_s1299" o:spt="20" style="position:absolute;left:7;top:21;height:0;width:14;" stroked="t" coordsize="21600,21600">
                    <v:path arrowok="t"/>
                    <v:fill focussize="0,0"/>
                    <v:stroke weight="0.708582677165354pt" color="#008000"/>
                    <v:imagedata o:title=""/>
                    <o:lock v:ext="edit"/>
                  </v:line>
                  <v:rect id="_x0000_s1300" o:spid="_x0000_s1300"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08</w:t>
            </w:r>
          </w:p>
        </w:tc>
        <w:tc>
          <w:tcPr>
            <w:tcW w:w="3962" w:type="dxa"/>
          </w:tcPr>
          <w:p>
            <w:pPr>
              <w:pStyle w:val="14"/>
              <w:spacing w:before="57"/>
              <w:ind w:left="375"/>
              <w:rPr>
                <w:sz w:val="21"/>
                <w:szCs w:val="28"/>
              </w:rPr>
            </w:pPr>
            <w:r>
              <w:rPr>
                <w:sz w:val="21"/>
                <w:szCs w:val="28"/>
              </w:rPr>
              <w:t>机关事业单位基本养老保险缴费</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14.01</w:t>
            </w: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14.01</w:t>
            </w:r>
          </w:p>
        </w:tc>
        <w:tc>
          <w:tcPr>
            <w:tcW w:w="1718" w:type="dxa"/>
          </w:tcPr>
          <w:p>
            <w:pPr>
              <w:pStyle w:val="14"/>
              <w:spacing w:before="57"/>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6" w:hRule="atLeast"/>
        </w:trPr>
        <w:tc>
          <w:tcPr>
            <w:tcW w:w="526" w:type="dxa"/>
          </w:tcPr>
          <w:p>
            <w:pPr>
              <w:pStyle w:val="14"/>
              <w:spacing w:before="56"/>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01" o:spid="_x0000_s1301" o:spt="203" style="height:2.15pt;width:1.8pt;" coordsize="36,43">
                  <o:lock v:ext="edit"/>
                  <v:line id="_x0000_s1302" o:spid="_x0000_s1302" o:spt="20" style="position:absolute;left:7;top:7;height:0;width:28;" stroked="t" coordsize="21600,21600">
                    <v:path arrowok="t"/>
                    <v:fill focussize="0,0"/>
                    <v:stroke weight="0.708582677165354pt" color="#008000"/>
                    <v:imagedata o:title=""/>
                    <o:lock v:ext="edit"/>
                  </v:line>
                  <v:line id="_x0000_s1303" o:spid="_x0000_s1303" o:spt="20" style="position:absolute;left:7;top:22;height:0;width:14;" stroked="t" coordsize="21600,21600">
                    <v:path arrowok="t"/>
                    <v:fill focussize="0,0"/>
                    <v:stroke weight="0.708582677165354pt" color="#008000"/>
                    <v:imagedata o:title=""/>
                    <o:lock v:ext="edit"/>
                  </v:line>
                  <v:rect id="_x0000_s1304" o:spid="_x0000_s1304"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09</w:t>
            </w:r>
          </w:p>
        </w:tc>
        <w:tc>
          <w:tcPr>
            <w:tcW w:w="3962" w:type="dxa"/>
          </w:tcPr>
          <w:p>
            <w:pPr>
              <w:pStyle w:val="14"/>
              <w:spacing w:before="56"/>
              <w:ind w:left="375"/>
              <w:rPr>
                <w:sz w:val="21"/>
                <w:szCs w:val="28"/>
              </w:rPr>
            </w:pPr>
            <w:r>
              <w:rPr>
                <w:sz w:val="21"/>
                <w:szCs w:val="28"/>
              </w:rPr>
              <w:t>职业年金缴费</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6.67</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6.67</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05" o:spid="_x0000_s1305" o:spt="203" style="height:2.15pt;width:1.8pt;" coordsize="36,43">
                  <o:lock v:ext="edit"/>
                  <v:line id="_x0000_s1306" o:spid="_x0000_s1306" o:spt="20" style="position:absolute;left:7;top:7;height:0;width:28;" stroked="t" coordsize="21600,21600">
                    <v:path arrowok="t"/>
                    <v:fill focussize="0,0"/>
                    <v:stroke weight="0.708582677165354pt" color="#008000"/>
                    <v:imagedata o:title=""/>
                    <o:lock v:ext="edit"/>
                  </v:line>
                  <v:line id="_x0000_s1307" o:spid="_x0000_s1307" o:spt="20" style="position:absolute;left:7;top:21;height:0;width:14;" stroked="t" coordsize="21600,21600">
                    <v:path arrowok="t"/>
                    <v:fill focussize="0,0"/>
                    <v:stroke weight="0.708582677165354pt" color="#008000"/>
                    <v:imagedata o:title=""/>
                    <o:lock v:ext="edit"/>
                  </v:line>
                  <v:rect id="_x0000_s1308" o:spid="_x0000_s1308"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10</w:t>
            </w:r>
          </w:p>
        </w:tc>
        <w:tc>
          <w:tcPr>
            <w:tcW w:w="3962" w:type="dxa"/>
          </w:tcPr>
          <w:p>
            <w:pPr>
              <w:pStyle w:val="14"/>
              <w:spacing w:before="56"/>
              <w:ind w:left="375"/>
              <w:rPr>
                <w:sz w:val="21"/>
                <w:szCs w:val="28"/>
              </w:rPr>
            </w:pPr>
            <w:r>
              <w:rPr>
                <w:sz w:val="21"/>
                <w:szCs w:val="28"/>
              </w:rPr>
              <w:t>职工基本医疗保险缴费</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7.51</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7.51</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09" o:spid="_x0000_s1309" o:spt="203" style="height:2.15pt;width:1.8pt;" coordsize="36,43">
                  <o:lock v:ext="edit"/>
                  <v:line id="_x0000_s1310" o:spid="_x0000_s1310" o:spt="20" style="position:absolute;left:7;top:7;height:0;width:28;" stroked="t" coordsize="21600,21600">
                    <v:path arrowok="t"/>
                    <v:fill focussize="0,0"/>
                    <v:stroke weight="0.708582677165354pt" color="#008000"/>
                    <v:imagedata o:title=""/>
                    <o:lock v:ext="edit"/>
                  </v:line>
                  <v:line id="_x0000_s1311" o:spid="_x0000_s1311" o:spt="20" style="position:absolute;left:7;top:21;height:0;width:14;" stroked="t" coordsize="21600,21600">
                    <v:path arrowok="t"/>
                    <v:fill focussize="0,0"/>
                    <v:stroke weight="0.708582677165354pt" color="#008000"/>
                    <v:imagedata o:title=""/>
                    <o:lock v:ext="edit"/>
                  </v:line>
                  <v:rect id="_x0000_s1312" o:spid="_x0000_s1312"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11</w:t>
            </w:r>
          </w:p>
        </w:tc>
        <w:tc>
          <w:tcPr>
            <w:tcW w:w="3962" w:type="dxa"/>
          </w:tcPr>
          <w:p>
            <w:pPr>
              <w:pStyle w:val="14"/>
              <w:spacing w:before="57"/>
              <w:ind w:left="375"/>
              <w:rPr>
                <w:sz w:val="21"/>
                <w:szCs w:val="28"/>
              </w:rPr>
            </w:pPr>
            <w:r>
              <w:rPr>
                <w:sz w:val="21"/>
                <w:szCs w:val="28"/>
              </w:rPr>
              <w:t>公务员医疗补助缴费</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5.84</w:t>
            </w: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5.84</w:t>
            </w:r>
          </w:p>
        </w:tc>
        <w:tc>
          <w:tcPr>
            <w:tcW w:w="1718" w:type="dxa"/>
          </w:tcPr>
          <w:p>
            <w:pPr>
              <w:pStyle w:val="14"/>
              <w:spacing w:before="57"/>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13" o:spid="_x0000_s1313" o:spt="203" style="height:2.15pt;width:1.8pt;" coordsize="36,43">
                  <o:lock v:ext="edit"/>
                  <v:line id="_x0000_s1314" o:spid="_x0000_s1314" o:spt="20" style="position:absolute;left:7;top:7;height:0;width:28;" stroked="t" coordsize="21600,21600">
                    <v:path arrowok="t"/>
                    <v:fill focussize="0,0"/>
                    <v:stroke weight="0.708582677165354pt" color="#008000"/>
                    <v:imagedata o:title=""/>
                    <o:lock v:ext="edit"/>
                  </v:line>
                  <v:line id="_x0000_s1315" o:spid="_x0000_s1315" o:spt="20" style="position:absolute;left:7;top:21;height:0;width:14;" stroked="t" coordsize="21600,21600">
                    <v:path arrowok="t"/>
                    <v:fill focussize="0,0"/>
                    <v:stroke weight="0.708582677165354pt" color="#008000"/>
                    <v:imagedata o:title=""/>
                    <o:lock v:ext="edit"/>
                  </v:line>
                  <v:rect id="_x0000_s1316" o:spid="_x0000_s1316"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12</w:t>
            </w:r>
          </w:p>
        </w:tc>
        <w:tc>
          <w:tcPr>
            <w:tcW w:w="3962" w:type="dxa"/>
          </w:tcPr>
          <w:p>
            <w:pPr>
              <w:pStyle w:val="14"/>
              <w:spacing w:before="57"/>
              <w:ind w:left="375"/>
              <w:rPr>
                <w:sz w:val="21"/>
                <w:szCs w:val="28"/>
              </w:rPr>
            </w:pPr>
            <w:r>
              <w:rPr>
                <w:sz w:val="21"/>
                <w:szCs w:val="28"/>
              </w:rPr>
              <w:t>其他社会保障缴费</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2.14</w:t>
            </w: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2.14</w:t>
            </w:r>
          </w:p>
        </w:tc>
        <w:tc>
          <w:tcPr>
            <w:tcW w:w="1718" w:type="dxa"/>
          </w:tcPr>
          <w:p>
            <w:pPr>
              <w:pStyle w:val="14"/>
              <w:spacing w:before="57"/>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right="34"/>
              <w:jc w:val="right"/>
              <w:rPr>
                <w:sz w:val="21"/>
                <w:szCs w:val="28"/>
              </w:rPr>
            </w:pPr>
            <w:r>
              <w:rPr>
                <w:sz w:val="21"/>
                <w:szCs w:val="28"/>
              </w:rPr>
              <w:t>301</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17" o:spid="_x0000_s1317" o:spt="203" style="height:2.15pt;width:1.8pt;" coordsize="36,43">
                  <o:lock v:ext="edit"/>
                  <v:line id="_x0000_s1318" o:spid="_x0000_s1318" o:spt="20" style="position:absolute;left:7;top:7;height:0;width:28;" stroked="t" coordsize="21600,21600">
                    <v:path arrowok="t"/>
                    <v:fill focussize="0,0"/>
                    <v:stroke weight="0.708582677165354pt" color="#008000"/>
                    <v:imagedata o:title=""/>
                    <o:lock v:ext="edit"/>
                  </v:line>
                  <v:line id="_x0000_s1319" o:spid="_x0000_s1319" o:spt="20" style="position:absolute;left:7;top:21;height:0;width:14;" stroked="t" coordsize="21600,21600">
                    <v:path arrowok="t"/>
                    <v:fill focussize="0,0"/>
                    <v:stroke weight="0.708582677165354pt" color="#008000"/>
                    <v:imagedata o:title=""/>
                    <o:lock v:ext="edit"/>
                  </v:line>
                  <v:rect id="_x0000_s1320" o:spid="_x0000_s1320"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13</w:t>
            </w:r>
          </w:p>
        </w:tc>
        <w:tc>
          <w:tcPr>
            <w:tcW w:w="3962" w:type="dxa"/>
          </w:tcPr>
          <w:p>
            <w:pPr>
              <w:pStyle w:val="14"/>
              <w:spacing w:before="56"/>
              <w:ind w:left="375"/>
              <w:rPr>
                <w:sz w:val="21"/>
                <w:szCs w:val="28"/>
              </w:rPr>
            </w:pPr>
            <w:r>
              <w:rPr>
                <w:sz w:val="21"/>
                <w:szCs w:val="28"/>
              </w:rPr>
              <w:t>住房公积金</w:t>
            </w:r>
          </w:p>
        </w:tc>
        <w:tc>
          <w:tcPr>
            <w:tcW w:w="1860"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10.51</w:t>
            </w:r>
          </w:p>
        </w:tc>
        <w:tc>
          <w:tcPr>
            <w:tcW w:w="1718" w:type="dxa"/>
          </w:tcPr>
          <w:p>
            <w:pPr>
              <w:pStyle w:val="14"/>
              <w:spacing w:before="56"/>
              <w:ind w:right="20"/>
              <w:jc w:val="right"/>
              <w:rPr>
                <w:rFonts w:hint="default" w:eastAsia="宋体"/>
                <w:sz w:val="21"/>
                <w:szCs w:val="28"/>
                <w:lang w:val="en-US" w:eastAsia="zh-CN"/>
              </w:rPr>
            </w:pPr>
            <w:r>
              <w:rPr>
                <w:rFonts w:hint="eastAsia"/>
                <w:sz w:val="21"/>
                <w:szCs w:val="28"/>
                <w:lang w:val="en-US" w:eastAsia="zh-CN"/>
              </w:rPr>
              <w:t>10.51</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right="34"/>
              <w:jc w:val="right"/>
              <w:rPr>
                <w:rFonts w:hint="default" w:eastAsia="宋体"/>
                <w:sz w:val="21"/>
                <w:szCs w:val="28"/>
                <w:lang w:val="en-US" w:eastAsia="zh-CN"/>
              </w:rPr>
            </w:pPr>
            <w:r>
              <w:rPr>
                <w:rFonts w:hint="eastAsia"/>
                <w:sz w:val="21"/>
                <w:szCs w:val="28"/>
                <w:lang w:val="en-US" w:eastAsia="zh-CN"/>
              </w:rPr>
              <w:t>301</w:t>
            </w:r>
          </w:p>
        </w:tc>
        <w:tc>
          <w:tcPr>
            <w:tcW w:w="667" w:type="dxa"/>
          </w:tcPr>
          <w:p>
            <w:pPr>
              <w:pStyle w:val="14"/>
              <w:ind w:left="142" w:right="130"/>
              <w:jc w:val="center"/>
              <w:rPr>
                <w:rFonts w:hint="default" w:eastAsia="宋体"/>
                <w:sz w:val="21"/>
                <w:szCs w:val="28"/>
                <w:lang w:val="en-US" w:eastAsia="zh-CN"/>
              </w:rPr>
            </w:pPr>
            <w:r>
              <w:rPr>
                <w:rFonts w:hint="eastAsia"/>
                <w:sz w:val="21"/>
                <w:szCs w:val="28"/>
                <w:lang w:val="en-US" w:eastAsia="zh-CN"/>
              </w:rPr>
              <w:t>99</w:t>
            </w:r>
          </w:p>
        </w:tc>
        <w:tc>
          <w:tcPr>
            <w:tcW w:w="3962" w:type="dxa"/>
          </w:tcPr>
          <w:p>
            <w:pPr>
              <w:pStyle w:val="14"/>
              <w:spacing w:before="56"/>
              <w:ind w:left="375"/>
              <w:rPr>
                <w:rFonts w:hint="eastAsia" w:eastAsia="宋体"/>
                <w:sz w:val="21"/>
                <w:szCs w:val="28"/>
                <w:lang w:eastAsia="zh-CN"/>
              </w:rPr>
            </w:pPr>
            <w:r>
              <w:rPr>
                <w:rFonts w:hint="eastAsia"/>
                <w:sz w:val="21"/>
                <w:szCs w:val="28"/>
                <w:lang w:eastAsia="zh-CN"/>
              </w:rPr>
              <w:t>其他工资福利支出</w:t>
            </w:r>
          </w:p>
        </w:tc>
        <w:tc>
          <w:tcPr>
            <w:tcW w:w="1860" w:type="dxa"/>
          </w:tcPr>
          <w:p>
            <w:pPr>
              <w:pStyle w:val="14"/>
              <w:spacing w:before="56"/>
              <w:ind w:right="20"/>
              <w:jc w:val="right"/>
              <w:rPr>
                <w:rFonts w:hint="default"/>
                <w:sz w:val="21"/>
                <w:szCs w:val="28"/>
                <w:lang w:val="en-US" w:eastAsia="zh-CN"/>
              </w:rPr>
            </w:pPr>
            <w:r>
              <w:rPr>
                <w:rFonts w:hint="eastAsia"/>
                <w:sz w:val="21"/>
                <w:szCs w:val="28"/>
                <w:lang w:val="en-US" w:eastAsia="zh-CN"/>
              </w:rPr>
              <w:t>2.5</w:t>
            </w:r>
          </w:p>
        </w:tc>
        <w:tc>
          <w:tcPr>
            <w:tcW w:w="1718" w:type="dxa"/>
          </w:tcPr>
          <w:p>
            <w:pPr>
              <w:pStyle w:val="14"/>
              <w:spacing w:before="56"/>
              <w:ind w:right="20"/>
              <w:jc w:val="right"/>
              <w:rPr>
                <w:rFonts w:hint="default"/>
                <w:sz w:val="21"/>
                <w:szCs w:val="28"/>
                <w:lang w:val="en-US" w:eastAsia="zh-CN"/>
              </w:rPr>
            </w:pPr>
            <w:r>
              <w:rPr>
                <w:rFonts w:hint="eastAsia"/>
                <w:sz w:val="21"/>
                <w:szCs w:val="28"/>
                <w:lang w:val="en-US" w:eastAsia="zh-CN"/>
              </w:rPr>
              <w:t>2.5</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6"/>
              <w:ind w:right="34"/>
              <w:jc w:val="right"/>
              <w:rPr>
                <w:rFonts w:hint="default"/>
                <w:sz w:val="21"/>
                <w:szCs w:val="28"/>
                <w:lang w:val="en-US" w:eastAsia="zh-CN"/>
              </w:rPr>
            </w:pPr>
            <w:r>
              <w:rPr>
                <w:rFonts w:hint="eastAsia"/>
                <w:sz w:val="21"/>
                <w:szCs w:val="28"/>
                <w:lang w:val="en-US" w:eastAsia="zh-CN"/>
              </w:rPr>
              <w:t>301</w:t>
            </w:r>
          </w:p>
        </w:tc>
        <w:tc>
          <w:tcPr>
            <w:tcW w:w="667" w:type="dxa"/>
          </w:tcPr>
          <w:p>
            <w:pPr>
              <w:pStyle w:val="14"/>
              <w:ind w:left="142" w:right="130"/>
              <w:jc w:val="center"/>
              <w:rPr>
                <w:rFonts w:hint="default"/>
                <w:sz w:val="21"/>
                <w:szCs w:val="28"/>
                <w:lang w:val="en-US" w:eastAsia="zh-CN"/>
              </w:rPr>
            </w:pPr>
            <w:r>
              <w:rPr>
                <w:rFonts w:hint="eastAsia"/>
                <w:sz w:val="21"/>
                <w:szCs w:val="28"/>
                <w:lang w:val="en-US" w:eastAsia="zh-CN"/>
              </w:rPr>
              <w:t>07</w:t>
            </w:r>
          </w:p>
        </w:tc>
        <w:tc>
          <w:tcPr>
            <w:tcW w:w="3962" w:type="dxa"/>
          </w:tcPr>
          <w:p>
            <w:pPr>
              <w:pStyle w:val="14"/>
              <w:spacing w:before="56"/>
              <w:ind w:left="375"/>
              <w:rPr>
                <w:rFonts w:hint="eastAsia"/>
                <w:sz w:val="21"/>
                <w:szCs w:val="28"/>
                <w:lang w:eastAsia="zh-CN"/>
              </w:rPr>
            </w:pPr>
            <w:r>
              <w:rPr>
                <w:rFonts w:hint="eastAsia"/>
                <w:sz w:val="21"/>
                <w:szCs w:val="28"/>
                <w:lang w:eastAsia="zh-CN"/>
              </w:rPr>
              <w:t>绩效工资</w:t>
            </w:r>
          </w:p>
        </w:tc>
        <w:tc>
          <w:tcPr>
            <w:tcW w:w="1860" w:type="dxa"/>
          </w:tcPr>
          <w:p>
            <w:pPr>
              <w:pStyle w:val="14"/>
              <w:spacing w:before="56"/>
              <w:ind w:right="20"/>
              <w:jc w:val="right"/>
              <w:rPr>
                <w:rFonts w:hint="default"/>
                <w:sz w:val="21"/>
                <w:szCs w:val="28"/>
                <w:lang w:val="en-US" w:eastAsia="zh-CN"/>
              </w:rPr>
            </w:pPr>
            <w:r>
              <w:rPr>
                <w:rFonts w:hint="eastAsia"/>
                <w:sz w:val="21"/>
                <w:szCs w:val="28"/>
                <w:lang w:val="en-US" w:eastAsia="zh-CN"/>
              </w:rPr>
              <w:t>24.26</w:t>
            </w:r>
          </w:p>
        </w:tc>
        <w:tc>
          <w:tcPr>
            <w:tcW w:w="1718" w:type="dxa"/>
          </w:tcPr>
          <w:p>
            <w:pPr>
              <w:pStyle w:val="14"/>
              <w:spacing w:before="56"/>
              <w:ind w:right="20"/>
              <w:jc w:val="right"/>
              <w:rPr>
                <w:rFonts w:hint="default"/>
                <w:sz w:val="21"/>
                <w:szCs w:val="28"/>
                <w:lang w:val="en-US" w:eastAsia="zh-CN"/>
              </w:rPr>
            </w:pPr>
            <w:r>
              <w:rPr>
                <w:rFonts w:hint="eastAsia"/>
                <w:sz w:val="21"/>
                <w:szCs w:val="28"/>
                <w:lang w:val="en-US" w:eastAsia="zh-CN"/>
              </w:rPr>
              <w:t>24.26</w:t>
            </w:r>
          </w:p>
        </w:tc>
        <w:tc>
          <w:tcPr>
            <w:tcW w:w="1718" w:type="dxa"/>
          </w:tcPr>
          <w:p>
            <w:pPr>
              <w:pStyle w:val="14"/>
              <w:spacing w:before="56"/>
              <w:ind w:right="20"/>
              <w:jc w:val="right"/>
              <w:rPr>
                <w:sz w:val="21"/>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left="134"/>
              <w:rPr>
                <w:sz w:val="21"/>
                <w:szCs w:val="28"/>
              </w:rPr>
            </w:pPr>
            <w:r>
              <w:rPr>
                <w:sz w:val="21"/>
                <w:szCs w:val="28"/>
              </w:rPr>
              <w:t>302</w:t>
            </w:r>
          </w:p>
        </w:tc>
        <w:tc>
          <w:tcPr>
            <w:tcW w:w="667" w:type="dxa"/>
          </w:tcPr>
          <w:p>
            <w:pPr>
              <w:pStyle w:val="14"/>
              <w:rPr>
                <w:rFonts w:ascii="Times New Roman"/>
                <w:sz w:val="20"/>
                <w:szCs w:val="28"/>
              </w:rPr>
            </w:pPr>
          </w:p>
        </w:tc>
        <w:tc>
          <w:tcPr>
            <w:tcW w:w="3962" w:type="dxa"/>
          </w:tcPr>
          <w:p>
            <w:pPr>
              <w:pStyle w:val="14"/>
              <w:spacing w:before="57"/>
              <w:ind w:left="205"/>
              <w:rPr>
                <w:sz w:val="21"/>
                <w:szCs w:val="28"/>
              </w:rPr>
            </w:pPr>
            <w:r>
              <w:rPr>
                <w:sz w:val="21"/>
                <w:szCs w:val="28"/>
              </w:rPr>
              <w:t>商品和服务支出</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2.24</w:t>
            </w:r>
          </w:p>
        </w:tc>
        <w:tc>
          <w:tcPr>
            <w:tcW w:w="1718" w:type="dxa"/>
          </w:tcPr>
          <w:p>
            <w:pPr>
              <w:pStyle w:val="14"/>
              <w:spacing w:before="57"/>
              <w:ind w:right="20"/>
              <w:jc w:val="right"/>
              <w:rPr>
                <w:sz w:val="21"/>
                <w:szCs w:val="28"/>
              </w:rPr>
            </w:pP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2.24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 w:hRule="atLeast"/>
        </w:trPr>
        <w:tc>
          <w:tcPr>
            <w:tcW w:w="526" w:type="dxa"/>
          </w:tcPr>
          <w:p>
            <w:pPr>
              <w:pStyle w:val="14"/>
              <w:spacing w:before="57"/>
              <w:ind w:right="34"/>
              <w:jc w:val="right"/>
              <w:rPr>
                <w:sz w:val="21"/>
                <w:szCs w:val="28"/>
              </w:rPr>
            </w:pPr>
            <w:r>
              <w:rPr>
                <w:sz w:val="21"/>
                <w:szCs w:val="28"/>
              </w:rPr>
              <w:t>302</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21" o:spid="_x0000_s1321" o:spt="203" style="height:2.15pt;width:1.8pt;" coordsize="36,43">
                  <o:lock v:ext="edit"/>
                  <v:line id="_x0000_s1322" o:spid="_x0000_s1322" o:spt="20" style="position:absolute;left:7;top:7;height:0;width:28;" stroked="t" coordsize="21600,21600">
                    <v:path arrowok="t"/>
                    <v:fill focussize="0,0"/>
                    <v:stroke weight="0.708582677165354pt" color="#008000"/>
                    <v:imagedata o:title=""/>
                    <o:lock v:ext="edit"/>
                  </v:line>
                  <v:line id="_x0000_s1323" o:spid="_x0000_s1323" o:spt="20" style="position:absolute;left:7;top:21;height:0;width:14;" stroked="t" coordsize="21600,21600">
                    <v:path arrowok="t"/>
                    <v:fill focussize="0,0"/>
                    <v:stroke weight="0.708582677165354pt" color="#008000"/>
                    <v:imagedata o:title=""/>
                    <o:lock v:ext="edit"/>
                  </v:line>
                  <v:rect id="_x0000_s1324" o:spid="_x0000_s1324"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28</w:t>
            </w:r>
          </w:p>
        </w:tc>
        <w:tc>
          <w:tcPr>
            <w:tcW w:w="3962" w:type="dxa"/>
          </w:tcPr>
          <w:p>
            <w:pPr>
              <w:pStyle w:val="14"/>
              <w:spacing w:before="57"/>
              <w:ind w:left="375"/>
              <w:rPr>
                <w:sz w:val="21"/>
                <w:szCs w:val="28"/>
              </w:rPr>
            </w:pPr>
            <w:r>
              <w:rPr>
                <w:sz w:val="21"/>
                <w:szCs w:val="28"/>
              </w:rPr>
              <w:t>工会经费</w:t>
            </w:r>
          </w:p>
        </w:tc>
        <w:tc>
          <w:tcPr>
            <w:tcW w:w="1860"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1.18</w:t>
            </w:r>
          </w:p>
        </w:tc>
        <w:tc>
          <w:tcPr>
            <w:tcW w:w="1718" w:type="dxa"/>
          </w:tcPr>
          <w:p>
            <w:pPr>
              <w:pStyle w:val="14"/>
              <w:spacing w:before="57"/>
              <w:ind w:right="20"/>
              <w:jc w:val="right"/>
              <w:rPr>
                <w:sz w:val="21"/>
                <w:szCs w:val="28"/>
              </w:rPr>
            </w:pP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1.18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6" w:hRule="atLeast"/>
        </w:trPr>
        <w:tc>
          <w:tcPr>
            <w:tcW w:w="526" w:type="dxa"/>
          </w:tcPr>
          <w:p>
            <w:pPr>
              <w:pStyle w:val="14"/>
              <w:spacing w:before="57"/>
              <w:ind w:right="34"/>
              <w:jc w:val="right"/>
              <w:rPr>
                <w:sz w:val="21"/>
                <w:szCs w:val="28"/>
              </w:rPr>
            </w:pPr>
            <w:r>
              <w:rPr>
                <w:sz w:val="21"/>
                <w:szCs w:val="28"/>
              </w:rPr>
              <w:t>302</w:t>
            </w:r>
          </w:p>
        </w:tc>
        <w:tc>
          <w:tcPr>
            <w:tcW w:w="667" w:type="dxa"/>
          </w:tcPr>
          <w:p>
            <w:pPr>
              <w:pStyle w:val="14"/>
              <w:spacing w:before="1"/>
              <w:rPr>
                <w:sz w:val="13"/>
                <w:szCs w:val="28"/>
              </w:rPr>
            </w:pPr>
          </w:p>
          <w:p>
            <w:pPr>
              <w:pStyle w:val="14"/>
              <w:spacing w:line="43" w:lineRule="exact"/>
              <w:ind w:left="5"/>
              <w:rPr>
                <w:sz w:val="13"/>
                <w:szCs w:val="28"/>
              </w:rPr>
            </w:pPr>
            <w:r>
              <w:rPr>
                <w:position w:val="0"/>
                <w:sz w:val="13"/>
                <w:szCs w:val="28"/>
              </w:rPr>
              <w:pict>
                <v:group id="_x0000_s1325" o:spid="_x0000_s1325" o:spt="203" style="height:2.15pt;width:1.8pt;" coordsize="36,43">
                  <o:lock v:ext="edit"/>
                  <v:line id="_x0000_s1326" o:spid="_x0000_s1326" o:spt="20" style="position:absolute;left:7;top:7;height:0;width:28;" stroked="t" coordsize="21600,21600">
                    <v:path arrowok="t"/>
                    <v:fill focussize="0,0"/>
                    <v:stroke weight="0.708582677165354pt" color="#008000"/>
                    <v:imagedata o:title=""/>
                    <o:lock v:ext="edit"/>
                  </v:line>
                  <v:line id="_x0000_s1327" o:spid="_x0000_s1327" o:spt="20" style="position:absolute;left:7;top:21;height:0;width:14;" stroked="t" coordsize="21600,21600">
                    <v:path arrowok="t"/>
                    <v:fill focussize="0,0"/>
                    <v:stroke weight="0.708582677165354pt" color="#008000"/>
                    <v:imagedata o:title=""/>
                    <o:lock v:ext="edit"/>
                  </v:line>
                  <v:rect id="_x0000_s1328" o:spid="_x0000_s1328" o:spt="1" style="position:absolute;left:0;top:28;height:15;width:15;" fillcolor="#008000" filled="t" stroked="f" coordsize="21600,21600">
                    <v:path/>
                    <v:fill on="t" focussize="0,0"/>
                    <v:stroke on="f"/>
                    <v:imagedata o:title=""/>
                    <o:lock v:ext="edit"/>
                  </v:rect>
                  <w10:wrap type="none"/>
                  <w10:anchorlock/>
                </v:group>
              </w:pict>
            </w:r>
          </w:p>
          <w:p>
            <w:pPr>
              <w:pStyle w:val="14"/>
              <w:ind w:left="142" w:right="130"/>
              <w:jc w:val="center"/>
              <w:rPr>
                <w:sz w:val="21"/>
                <w:szCs w:val="28"/>
              </w:rPr>
            </w:pPr>
            <w:r>
              <w:rPr>
                <w:sz w:val="21"/>
                <w:szCs w:val="28"/>
              </w:rPr>
              <w:t>29</w:t>
            </w:r>
          </w:p>
        </w:tc>
        <w:tc>
          <w:tcPr>
            <w:tcW w:w="3962" w:type="dxa"/>
          </w:tcPr>
          <w:p>
            <w:pPr>
              <w:pStyle w:val="14"/>
              <w:spacing w:before="57"/>
              <w:ind w:left="375"/>
              <w:rPr>
                <w:sz w:val="21"/>
                <w:szCs w:val="28"/>
              </w:rPr>
            </w:pPr>
            <w:r>
              <w:rPr>
                <w:sz w:val="21"/>
                <w:szCs w:val="28"/>
              </w:rPr>
              <w:t>福利费</w:t>
            </w:r>
          </w:p>
        </w:tc>
        <w:tc>
          <w:tcPr>
            <w:tcW w:w="1860" w:type="dxa"/>
            <w:vAlign w:val="top"/>
          </w:tcPr>
          <w:p>
            <w:pPr>
              <w:pStyle w:val="14"/>
              <w:spacing w:before="57"/>
              <w:ind w:left="0" w:leftChars="0" w:right="20" w:rightChars="0"/>
              <w:jc w:val="right"/>
              <w:rPr>
                <w:rFonts w:hint="default" w:ascii="宋体" w:hAnsi="宋体" w:eastAsia="宋体" w:cs="宋体"/>
                <w:sz w:val="21"/>
                <w:szCs w:val="28"/>
                <w:lang w:val="en-US" w:eastAsia="zh-CN" w:bidi="zh-CN"/>
              </w:rPr>
            </w:pPr>
            <w:r>
              <w:rPr>
                <w:rFonts w:hint="eastAsia" w:cs="宋体"/>
                <w:sz w:val="21"/>
                <w:szCs w:val="28"/>
                <w:lang w:val="en-US" w:eastAsia="zh-CN" w:bidi="zh-CN"/>
              </w:rPr>
              <w:t>1.06</w:t>
            </w:r>
          </w:p>
        </w:tc>
        <w:tc>
          <w:tcPr>
            <w:tcW w:w="1718" w:type="dxa"/>
          </w:tcPr>
          <w:p>
            <w:pPr>
              <w:pStyle w:val="14"/>
              <w:spacing w:before="57"/>
              <w:ind w:right="20"/>
              <w:jc w:val="right"/>
              <w:rPr>
                <w:sz w:val="21"/>
                <w:szCs w:val="28"/>
              </w:rPr>
            </w:pPr>
          </w:p>
        </w:tc>
        <w:tc>
          <w:tcPr>
            <w:tcW w:w="1718" w:type="dxa"/>
          </w:tcPr>
          <w:p>
            <w:pPr>
              <w:pStyle w:val="14"/>
              <w:spacing w:before="57"/>
              <w:ind w:right="20"/>
              <w:jc w:val="right"/>
              <w:rPr>
                <w:rFonts w:hint="default" w:eastAsia="宋体"/>
                <w:sz w:val="21"/>
                <w:szCs w:val="28"/>
                <w:lang w:val="en-US" w:eastAsia="zh-CN"/>
              </w:rPr>
            </w:pPr>
            <w:r>
              <w:rPr>
                <w:rFonts w:hint="eastAsia"/>
                <w:sz w:val="21"/>
                <w:szCs w:val="28"/>
                <w:lang w:val="en-US" w:eastAsia="zh-CN"/>
              </w:rPr>
              <w:t>1.06</w:t>
            </w:r>
          </w:p>
        </w:tc>
      </w:tr>
    </w:tbl>
    <w:p>
      <w:pPr>
        <w:spacing w:after="0"/>
        <w:jc w:val="right"/>
        <w:rPr>
          <w:sz w:val="21"/>
          <w:szCs w:val="28"/>
        </w:rPr>
        <w:sectPr>
          <w:pgSz w:w="11910" w:h="16840"/>
          <w:pgMar w:top="700" w:right="280" w:bottom="280" w:left="600" w:header="720" w:footer="720" w:gutter="0"/>
        </w:sectPr>
      </w:pPr>
    </w:p>
    <w:p>
      <w:pPr>
        <w:spacing w:before="63"/>
        <w:ind w:left="179" w:right="0" w:firstLine="0"/>
        <w:jc w:val="left"/>
        <w:rPr>
          <w:rFonts w:hint="eastAsia" w:ascii="宋体" w:eastAsia="宋体"/>
          <w:sz w:val="10"/>
          <w:szCs w:val="24"/>
        </w:rPr>
      </w:pPr>
      <w:r>
        <w:rPr>
          <w:rFonts w:hint="eastAsia" w:ascii="宋体" w:eastAsia="宋体"/>
          <w:w w:val="105"/>
          <w:sz w:val="10"/>
          <w:szCs w:val="24"/>
        </w:rPr>
        <w:t>表七</w:t>
      </w:r>
    </w:p>
    <w:p>
      <w:pPr>
        <w:spacing w:before="25"/>
        <w:ind w:left="0" w:right="315" w:firstLine="0"/>
        <w:jc w:val="center"/>
        <w:rPr>
          <w:rFonts w:hint="eastAsia" w:ascii="宋体" w:eastAsia="宋体"/>
          <w:b/>
          <w:sz w:val="16"/>
          <w:szCs w:val="24"/>
        </w:rPr>
      </w:pPr>
      <w:r>
        <w:rPr>
          <w:rFonts w:hint="eastAsia" w:ascii="宋体" w:eastAsia="宋体"/>
          <w:b/>
          <w:w w:val="105"/>
          <w:sz w:val="16"/>
          <w:szCs w:val="24"/>
        </w:rPr>
        <w:t>项目支出情况表</w:t>
      </w:r>
    </w:p>
    <w:p>
      <w:pPr>
        <w:tabs>
          <w:tab w:val="left" w:pos="10078"/>
        </w:tabs>
        <w:spacing w:before="30" w:after="20"/>
        <w:ind w:left="142" w:right="0" w:firstLine="0"/>
        <w:jc w:val="left"/>
        <w:rPr>
          <w:rFonts w:hint="eastAsia" w:ascii="宋体" w:eastAsia="宋体"/>
          <w:sz w:val="10"/>
          <w:szCs w:val="24"/>
        </w:rPr>
      </w:pPr>
      <w:r>
        <w:rPr>
          <w:rFonts w:hint="eastAsia" w:ascii="宋体" w:eastAsia="宋体"/>
          <w:w w:val="105"/>
          <w:sz w:val="10"/>
          <w:szCs w:val="24"/>
        </w:rPr>
        <w:t>编制部门：新疆维吾尔自治区矿产资源储量评审中心</w:t>
      </w:r>
      <w:r>
        <w:rPr>
          <w:rFonts w:hint="eastAsia" w:ascii="宋体" w:eastAsia="宋体"/>
          <w:w w:val="105"/>
          <w:sz w:val="10"/>
          <w:szCs w:val="24"/>
        </w:rPr>
        <w:tab/>
      </w:r>
      <w:r>
        <w:rPr>
          <w:rFonts w:hint="eastAsia" w:ascii="宋体" w:eastAsia="宋体"/>
          <w:w w:val="105"/>
          <w:sz w:val="10"/>
          <w:szCs w:val="24"/>
        </w:rPr>
        <w:t>单位：万元</w:t>
      </w:r>
    </w:p>
    <w:tbl>
      <w:tblPr>
        <w:tblStyle w:val="10"/>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4"/>
        <w:gridCol w:w="319"/>
        <w:gridCol w:w="326"/>
        <w:gridCol w:w="1727"/>
        <w:gridCol w:w="1905"/>
        <w:gridCol w:w="533"/>
        <w:gridCol w:w="533"/>
        <w:gridCol w:w="533"/>
        <w:gridCol w:w="533"/>
        <w:gridCol w:w="533"/>
        <w:gridCol w:w="533"/>
        <w:gridCol w:w="533"/>
        <w:gridCol w:w="533"/>
        <w:gridCol w:w="533"/>
        <w:gridCol w:w="533"/>
        <w:gridCol w:w="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949" w:type="dxa"/>
            <w:gridSpan w:val="3"/>
          </w:tcPr>
          <w:p>
            <w:pPr>
              <w:pStyle w:val="14"/>
              <w:spacing w:before="57"/>
              <w:ind w:left="120"/>
              <w:rPr>
                <w:sz w:val="21"/>
                <w:szCs w:val="52"/>
              </w:rPr>
            </w:pPr>
            <w:r>
              <w:rPr>
                <w:sz w:val="21"/>
                <w:szCs w:val="52"/>
              </w:rPr>
              <w:t>功能分类科目编码</w:t>
            </w:r>
          </w:p>
        </w:tc>
        <w:tc>
          <w:tcPr>
            <w:tcW w:w="1727" w:type="dxa"/>
            <w:vMerge w:val="restart"/>
          </w:tcPr>
          <w:p>
            <w:pPr>
              <w:pStyle w:val="14"/>
              <w:spacing w:before="12"/>
              <w:rPr>
                <w:sz w:val="24"/>
                <w:szCs w:val="52"/>
              </w:rPr>
            </w:pPr>
          </w:p>
          <w:p>
            <w:pPr>
              <w:pStyle w:val="14"/>
              <w:ind w:left="506"/>
              <w:rPr>
                <w:sz w:val="21"/>
                <w:szCs w:val="52"/>
              </w:rPr>
            </w:pPr>
            <w:r>
              <w:rPr>
                <w:sz w:val="21"/>
                <w:szCs w:val="52"/>
              </w:rPr>
              <w:t>功能分类科目名称</w:t>
            </w:r>
          </w:p>
        </w:tc>
        <w:tc>
          <w:tcPr>
            <w:tcW w:w="1905" w:type="dxa"/>
            <w:vMerge w:val="restart"/>
          </w:tcPr>
          <w:p>
            <w:pPr>
              <w:pStyle w:val="14"/>
              <w:spacing w:before="12"/>
              <w:rPr>
                <w:sz w:val="24"/>
                <w:szCs w:val="52"/>
              </w:rPr>
            </w:pPr>
          </w:p>
          <w:p>
            <w:pPr>
              <w:pStyle w:val="14"/>
              <w:ind w:left="752" w:right="743"/>
              <w:jc w:val="center"/>
              <w:rPr>
                <w:sz w:val="21"/>
                <w:szCs w:val="52"/>
              </w:rPr>
            </w:pPr>
            <w:r>
              <w:rPr>
                <w:sz w:val="21"/>
                <w:szCs w:val="52"/>
              </w:rPr>
              <w:t>项目名称</w:t>
            </w:r>
          </w:p>
        </w:tc>
        <w:tc>
          <w:tcPr>
            <w:tcW w:w="533" w:type="dxa"/>
            <w:vMerge w:val="restart"/>
          </w:tcPr>
          <w:p>
            <w:pPr>
              <w:pStyle w:val="14"/>
              <w:spacing w:before="7"/>
              <w:rPr>
                <w:sz w:val="20"/>
                <w:szCs w:val="52"/>
              </w:rPr>
            </w:pPr>
          </w:p>
          <w:p>
            <w:pPr>
              <w:pStyle w:val="14"/>
              <w:spacing w:before="1" w:line="230" w:lineRule="auto"/>
              <w:ind w:left="219" w:right="16" w:hanging="179"/>
              <w:rPr>
                <w:sz w:val="21"/>
                <w:szCs w:val="52"/>
              </w:rPr>
            </w:pPr>
            <w:r>
              <w:rPr>
                <w:sz w:val="21"/>
                <w:szCs w:val="52"/>
              </w:rPr>
              <w:t>项目支出合计</w:t>
            </w:r>
          </w:p>
        </w:tc>
        <w:tc>
          <w:tcPr>
            <w:tcW w:w="533" w:type="dxa"/>
            <w:vMerge w:val="restart"/>
          </w:tcPr>
          <w:p>
            <w:pPr>
              <w:pStyle w:val="14"/>
              <w:spacing w:before="7"/>
              <w:rPr>
                <w:sz w:val="20"/>
                <w:szCs w:val="52"/>
              </w:rPr>
            </w:pPr>
          </w:p>
          <w:p>
            <w:pPr>
              <w:pStyle w:val="14"/>
              <w:spacing w:before="1" w:line="230" w:lineRule="auto"/>
              <w:ind w:left="219" w:right="16" w:hanging="178"/>
              <w:rPr>
                <w:sz w:val="21"/>
                <w:szCs w:val="52"/>
              </w:rPr>
            </w:pPr>
            <w:r>
              <w:rPr>
                <w:sz w:val="21"/>
                <w:szCs w:val="52"/>
              </w:rPr>
              <w:t>工资福利支出</w:t>
            </w:r>
          </w:p>
        </w:tc>
        <w:tc>
          <w:tcPr>
            <w:tcW w:w="533" w:type="dxa"/>
            <w:vMerge w:val="restart"/>
          </w:tcPr>
          <w:p>
            <w:pPr>
              <w:pStyle w:val="14"/>
              <w:spacing w:before="7"/>
              <w:rPr>
                <w:sz w:val="20"/>
                <w:szCs w:val="52"/>
              </w:rPr>
            </w:pPr>
          </w:p>
          <w:p>
            <w:pPr>
              <w:pStyle w:val="14"/>
              <w:spacing w:before="1" w:line="230" w:lineRule="auto"/>
              <w:ind w:left="176" w:right="15" w:hanging="134"/>
              <w:rPr>
                <w:sz w:val="21"/>
                <w:szCs w:val="52"/>
              </w:rPr>
            </w:pPr>
            <w:r>
              <w:rPr>
                <w:sz w:val="21"/>
                <w:szCs w:val="52"/>
              </w:rPr>
              <w:t>商品和服务支出</w:t>
            </w:r>
          </w:p>
        </w:tc>
        <w:tc>
          <w:tcPr>
            <w:tcW w:w="533" w:type="dxa"/>
            <w:vMerge w:val="restart"/>
          </w:tcPr>
          <w:p>
            <w:pPr>
              <w:pStyle w:val="14"/>
              <w:spacing w:before="46" w:line="230" w:lineRule="auto"/>
              <w:ind w:left="43" w:right="32"/>
              <w:jc w:val="center"/>
              <w:rPr>
                <w:sz w:val="21"/>
                <w:szCs w:val="52"/>
              </w:rPr>
            </w:pPr>
            <w:r>
              <w:rPr>
                <w:w w:val="95"/>
                <w:sz w:val="21"/>
                <w:szCs w:val="52"/>
              </w:rPr>
              <w:t>对个人和家庭的补助支</w:t>
            </w:r>
            <w:r>
              <w:rPr>
                <w:sz w:val="21"/>
                <w:szCs w:val="52"/>
              </w:rPr>
              <w:t>出</w:t>
            </w:r>
          </w:p>
        </w:tc>
        <w:tc>
          <w:tcPr>
            <w:tcW w:w="533" w:type="dxa"/>
            <w:vMerge w:val="restart"/>
          </w:tcPr>
          <w:p>
            <w:pPr>
              <w:pStyle w:val="14"/>
              <w:spacing w:before="7"/>
              <w:rPr>
                <w:sz w:val="20"/>
                <w:szCs w:val="52"/>
              </w:rPr>
            </w:pPr>
          </w:p>
          <w:p>
            <w:pPr>
              <w:pStyle w:val="14"/>
              <w:spacing w:before="1" w:line="230" w:lineRule="auto"/>
              <w:ind w:left="88" w:right="15" w:hanging="45"/>
              <w:rPr>
                <w:sz w:val="21"/>
                <w:szCs w:val="52"/>
              </w:rPr>
            </w:pPr>
            <w:r>
              <w:rPr>
                <w:sz w:val="21"/>
                <w:szCs w:val="52"/>
              </w:rPr>
              <w:t>债务利息及费用支出</w:t>
            </w:r>
          </w:p>
        </w:tc>
        <w:tc>
          <w:tcPr>
            <w:tcW w:w="533" w:type="dxa"/>
            <w:vMerge w:val="restart"/>
          </w:tcPr>
          <w:p>
            <w:pPr>
              <w:pStyle w:val="14"/>
              <w:spacing w:before="42" w:line="113" w:lineRule="exact"/>
              <w:ind w:left="45"/>
              <w:rPr>
                <w:sz w:val="21"/>
                <w:szCs w:val="52"/>
              </w:rPr>
            </w:pPr>
            <w:r>
              <w:rPr>
                <w:sz w:val="21"/>
                <w:szCs w:val="52"/>
              </w:rPr>
              <w:t>资本性支出</w:t>
            </w:r>
          </w:p>
          <w:p>
            <w:pPr>
              <w:pStyle w:val="14"/>
              <w:spacing w:before="2" w:line="230" w:lineRule="auto"/>
              <w:ind w:left="178" w:right="37" w:hanging="89"/>
              <w:rPr>
                <w:sz w:val="21"/>
                <w:szCs w:val="52"/>
              </w:rPr>
            </w:pPr>
            <w:r>
              <w:rPr>
                <w:sz w:val="21"/>
                <w:szCs w:val="52"/>
              </w:rPr>
              <w:t>（基本建设）</w:t>
            </w:r>
          </w:p>
        </w:tc>
        <w:tc>
          <w:tcPr>
            <w:tcW w:w="533" w:type="dxa"/>
            <w:vMerge w:val="restart"/>
          </w:tcPr>
          <w:p>
            <w:pPr>
              <w:pStyle w:val="14"/>
              <w:spacing w:before="12"/>
              <w:rPr>
                <w:sz w:val="24"/>
                <w:szCs w:val="52"/>
              </w:rPr>
            </w:pPr>
          </w:p>
          <w:p>
            <w:pPr>
              <w:pStyle w:val="14"/>
              <w:ind w:left="46"/>
              <w:rPr>
                <w:sz w:val="21"/>
                <w:szCs w:val="52"/>
              </w:rPr>
            </w:pPr>
            <w:r>
              <w:rPr>
                <w:sz w:val="21"/>
                <w:szCs w:val="52"/>
              </w:rPr>
              <w:t>资本性支出</w:t>
            </w:r>
          </w:p>
        </w:tc>
        <w:tc>
          <w:tcPr>
            <w:tcW w:w="533" w:type="dxa"/>
            <w:vMerge w:val="restart"/>
          </w:tcPr>
          <w:p>
            <w:pPr>
              <w:pStyle w:val="14"/>
              <w:spacing w:before="42" w:line="113" w:lineRule="exact"/>
              <w:ind w:left="47"/>
              <w:rPr>
                <w:sz w:val="21"/>
                <w:szCs w:val="52"/>
              </w:rPr>
            </w:pPr>
            <w:r>
              <w:rPr>
                <w:sz w:val="21"/>
                <w:szCs w:val="52"/>
              </w:rPr>
              <w:t>对企业补助</w:t>
            </w:r>
          </w:p>
          <w:p>
            <w:pPr>
              <w:pStyle w:val="14"/>
              <w:spacing w:before="2" w:line="230" w:lineRule="auto"/>
              <w:ind w:left="180" w:right="36" w:hanging="89"/>
              <w:rPr>
                <w:sz w:val="21"/>
                <w:szCs w:val="52"/>
              </w:rPr>
            </w:pPr>
            <w:r>
              <w:rPr>
                <w:sz w:val="21"/>
                <w:szCs w:val="52"/>
              </w:rPr>
              <w:t>（基本建设）</w:t>
            </w:r>
          </w:p>
        </w:tc>
        <w:tc>
          <w:tcPr>
            <w:tcW w:w="533" w:type="dxa"/>
            <w:vMerge w:val="restart"/>
          </w:tcPr>
          <w:p>
            <w:pPr>
              <w:pStyle w:val="14"/>
              <w:spacing w:before="12"/>
              <w:rPr>
                <w:sz w:val="24"/>
                <w:szCs w:val="52"/>
              </w:rPr>
            </w:pPr>
          </w:p>
          <w:p>
            <w:pPr>
              <w:pStyle w:val="14"/>
              <w:ind w:left="48"/>
              <w:rPr>
                <w:sz w:val="21"/>
                <w:szCs w:val="52"/>
              </w:rPr>
            </w:pPr>
            <w:r>
              <w:rPr>
                <w:sz w:val="21"/>
                <w:szCs w:val="52"/>
              </w:rPr>
              <w:t>对企业补助</w:t>
            </w:r>
          </w:p>
        </w:tc>
        <w:tc>
          <w:tcPr>
            <w:tcW w:w="533" w:type="dxa"/>
            <w:vMerge w:val="restart"/>
          </w:tcPr>
          <w:p>
            <w:pPr>
              <w:pStyle w:val="14"/>
              <w:spacing w:before="7"/>
              <w:rPr>
                <w:sz w:val="20"/>
                <w:szCs w:val="52"/>
              </w:rPr>
            </w:pPr>
          </w:p>
          <w:p>
            <w:pPr>
              <w:pStyle w:val="14"/>
              <w:spacing w:before="1" w:line="230" w:lineRule="auto"/>
              <w:ind w:left="93" w:right="12" w:hanging="45"/>
              <w:rPr>
                <w:sz w:val="21"/>
                <w:szCs w:val="52"/>
              </w:rPr>
            </w:pPr>
            <w:r>
              <w:rPr>
                <w:sz w:val="21"/>
                <w:szCs w:val="52"/>
              </w:rPr>
              <w:t>对社会保障基金补助</w:t>
            </w:r>
          </w:p>
        </w:tc>
        <w:tc>
          <w:tcPr>
            <w:tcW w:w="533" w:type="dxa"/>
            <w:vMerge w:val="restart"/>
          </w:tcPr>
          <w:p>
            <w:pPr>
              <w:pStyle w:val="14"/>
              <w:spacing w:before="12"/>
              <w:rPr>
                <w:sz w:val="24"/>
                <w:szCs w:val="52"/>
              </w:rPr>
            </w:pPr>
          </w:p>
          <w:p>
            <w:pPr>
              <w:pStyle w:val="14"/>
              <w:ind w:left="94"/>
              <w:rPr>
                <w:sz w:val="21"/>
                <w:szCs w:val="52"/>
              </w:rPr>
            </w:pPr>
            <w:r>
              <w:rPr>
                <w:sz w:val="21"/>
                <w:szCs w:val="52"/>
              </w:rPr>
              <w:t>其他支出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27"/>
              <w:ind w:left="106"/>
              <w:rPr>
                <w:sz w:val="21"/>
                <w:szCs w:val="52"/>
              </w:rPr>
            </w:pPr>
            <w:r>
              <w:rPr>
                <w:w w:val="99"/>
                <w:sz w:val="21"/>
                <w:szCs w:val="52"/>
              </w:rPr>
              <w:t>类</w:t>
            </w:r>
          </w:p>
        </w:tc>
        <w:tc>
          <w:tcPr>
            <w:tcW w:w="319" w:type="dxa"/>
          </w:tcPr>
          <w:p>
            <w:pPr>
              <w:pStyle w:val="14"/>
              <w:spacing w:before="27"/>
              <w:ind w:left="113"/>
              <w:rPr>
                <w:sz w:val="21"/>
                <w:szCs w:val="52"/>
              </w:rPr>
            </w:pPr>
            <w:r>
              <w:rPr>
                <w:w w:val="99"/>
                <w:sz w:val="21"/>
                <w:szCs w:val="52"/>
              </w:rPr>
              <w:t>款</w:t>
            </w:r>
          </w:p>
        </w:tc>
        <w:tc>
          <w:tcPr>
            <w:tcW w:w="326" w:type="dxa"/>
          </w:tcPr>
          <w:p>
            <w:pPr>
              <w:pStyle w:val="14"/>
              <w:spacing w:before="27"/>
              <w:ind w:left="14"/>
              <w:jc w:val="center"/>
              <w:rPr>
                <w:sz w:val="21"/>
                <w:szCs w:val="52"/>
              </w:rPr>
            </w:pPr>
            <w:r>
              <w:rPr>
                <w:w w:val="99"/>
                <w:sz w:val="21"/>
                <w:szCs w:val="52"/>
              </w:rPr>
              <w:t>项</w:t>
            </w:r>
          </w:p>
        </w:tc>
        <w:tc>
          <w:tcPr>
            <w:tcW w:w="1727" w:type="dxa"/>
            <w:vMerge w:val="continue"/>
            <w:tcBorders>
              <w:top w:val="nil"/>
            </w:tcBorders>
          </w:tcPr>
          <w:p>
            <w:pPr>
              <w:rPr>
                <w:sz w:val="16"/>
                <w:szCs w:val="16"/>
              </w:rPr>
            </w:pPr>
          </w:p>
        </w:tc>
        <w:tc>
          <w:tcPr>
            <w:tcW w:w="1905"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c>
          <w:tcPr>
            <w:tcW w:w="533" w:type="dxa"/>
            <w:vMerge w:val="continue"/>
            <w:tcBorders>
              <w:top w:val="nil"/>
            </w:tcBorders>
          </w:tcPr>
          <w:p>
            <w:pPr>
              <w:rPr>
                <w:sz w:val="16"/>
                <w:szCs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61"/>
              <w:rPr>
                <w:sz w:val="21"/>
                <w:szCs w:val="52"/>
              </w:rPr>
            </w:pPr>
            <w:r>
              <w:rPr>
                <w:sz w:val="21"/>
                <w:szCs w:val="52"/>
              </w:rPr>
              <w:t>※※</w:t>
            </w:r>
          </w:p>
        </w:tc>
        <w:tc>
          <w:tcPr>
            <w:tcW w:w="319" w:type="dxa"/>
          </w:tcPr>
          <w:p>
            <w:pPr>
              <w:pStyle w:val="14"/>
              <w:spacing w:before="34"/>
              <w:ind w:left="69"/>
              <w:rPr>
                <w:sz w:val="21"/>
                <w:szCs w:val="52"/>
              </w:rPr>
            </w:pPr>
            <w:r>
              <w:rPr>
                <w:sz w:val="21"/>
                <w:szCs w:val="52"/>
              </w:rPr>
              <w:t>※※</w:t>
            </w:r>
          </w:p>
        </w:tc>
        <w:tc>
          <w:tcPr>
            <w:tcW w:w="326" w:type="dxa"/>
          </w:tcPr>
          <w:p>
            <w:pPr>
              <w:pStyle w:val="14"/>
              <w:spacing w:before="34"/>
              <w:ind w:left="55" w:right="41"/>
              <w:jc w:val="center"/>
              <w:rPr>
                <w:sz w:val="21"/>
                <w:szCs w:val="52"/>
              </w:rPr>
            </w:pPr>
            <w:r>
              <w:rPr>
                <w:sz w:val="21"/>
                <w:szCs w:val="52"/>
              </w:rPr>
              <w:t>※※</w:t>
            </w:r>
          </w:p>
        </w:tc>
        <w:tc>
          <w:tcPr>
            <w:tcW w:w="1727" w:type="dxa"/>
          </w:tcPr>
          <w:p>
            <w:pPr>
              <w:pStyle w:val="14"/>
              <w:spacing w:before="34"/>
              <w:ind w:left="752" w:right="744"/>
              <w:jc w:val="center"/>
              <w:rPr>
                <w:sz w:val="21"/>
                <w:szCs w:val="52"/>
              </w:rPr>
            </w:pPr>
            <w:r>
              <w:rPr>
                <w:sz w:val="21"/>
                <w:szCs w:val="52"/>
              </w:rPr>
              <w:t>※※</w:t>
            </w:r>
          </w:p>
        </w:tc>
        <w:tc>
          <w:tcPr>
            <w:tcW w:w="1905" w:type="dxa"/>
          </w:tcPr>
          <w:p>
            <w:pPr>
              <w:pStyle w:val="14"/>
              <w:spacing w:before="34"/>
              <w:ind w:left="752" w:right="743"/>
              <w:jc w:val="center"/>
              <w:rPr>
                <w:sz w:val="21"/>
                <w:szCs w:val="52"/>
              </w:rPr>
            </w:pPr>
            <w:r>
              <w:rPr>
                <w:sz w:val="21"/>
                <w:szCs w:val="52"/>
              </w:rPr>
              <w:t>**</w:t>
            </w:r>
          </w:p>
        </w:tc>
        <w:tc>
          <w:tcPr>
            <w:tcW w:w="533" w:type="dxa"/>
          </w:tcPr>
          <w:p>
            <w:pPr>
              <w:pStyle w:val="14"/>
              <w:spacing w:before="34"/>
              <w:ind w:left="248"/>
              <w:rPr>
                <w:sz w:val="21"/>
                <w:szCs w:val="52"/>
              </w:rPr>
            </w:pPr>
            <w:r>
              <w:rPr>
                <w:w w:val="99"/>
                <w:sz w:val="21"/>
                <w:szCs w:val="52"/>
              </w:rPr>
              <w:t>1</w:t>
            </w:r>
          </w:p>
        </w:tc>
        <w:tc>
          <w:tcPr>
            <w:tcW w:w="533" w:type="dxa"/>
          </w:tcPr>
          <w:p>
            <w:pPr>
              <w:pStyle w:val="14"/>
              <w:spacing w:before="34"/>
              <w:ind w:left="249"/>
              <w:rPr>
                <w:sz w:val="21"/>
                <w:szCs w:val="52"/>
              </w:rPr>
            </w:pPr>
            <w:r>
              <w:rPr>
                <w:w w:val="99"/>
                <w:sz w:val="21"/>
                <w:szCs w:val="52"/>
              </w:rPr>
              <w:t>2</w:t>
            </w:r>
          </w:p>
        </w:tc>
        <w:tc>
          <w:tcPr>
            <w:tcW w:w="533" w:type="dxa"/>
          </w:tcPr>
          <w:p>
            <w:pPr>
              <w:pStyle w:val="14"/>
              <w:spacing w:before="34"/>
              <w:ind w:left="250"/>
              <w:rPr>
                <w:sz w:val="21"/>
                <w:szCs w:val="52"/>
              </w:rPr>
            </w:pPr>
            <w:r>
              <w:rPr>
                <w:w w:val="99"/>
                <w:sz w:val="21"/>
                <w:szCs w:val="52"/>
              </w:rPr>
              <w:t>3</w:t>
            </w:r>
          </w:p>
        </w:tc>
        <w:tc>
          <w:tcPr>
            <w:tcW w:w="533" w:type="dxa"/>
          </w:tcPr>
          <w:p>
            <w:pPr>
              <w:pStyle w:val="14"/>
              <w:spacing w:before="34"/>
              <w:ind w:left="24"/>
              <w:jc w:val="center"/>
              <w:rPr>
                <w:sz w:val="21"/>
                <w:szCs w:val="52"/>
              </w:rPr>
            </w:pPr>
            <w:r>
              <w:rPr>
                <w:w w:val="99"/>
                <w:sz w:val="21"/>
                <w:szCs w:val="52"/>
              </w:rPr>
              <w:t>4</w:t>
            </w:r>
          </w:p>
        </w:tc>
        <w:tc>
          <w:tcPr>
            <w:tcW w:w="533" w:type="dxa"/>
          </w:tcPr>
          <w:p>
            <w:pPr>
              <w:pStyle w:val="14"/>
              <w:spacing w:before="34"/>
              <w:ind w:left="26"/>
              <w:jc w:val="center"/>
              <w:rPr>
                <w:sz w:val="21"/>
                <w:szCs w:val="52"/>
              </w:rPr>
            </w:pPr>
            <w:r>
              <w:rPr>
                <w:w w:val="99"/>
                <w:sz w:val="21"/>
                <w:szCs w:val="52"/>
              </w:rPr>
              <w:t>5</w:t>
            </w:r>
          </w:p>
        </w:tc>
        <w:tc>
          <w:tcPr>
            <w:tcW w:w="533" w:type="dxa"/>
          </w:tcPr>
          <w:p>
            <w:pPr>
              <w:pStyle w:val="14"/>
              <w:spacing w:before="34"/>
              <w:ind w:left="27"/>
              <w:jc w:val="center"/>
              <w:rPr>
                <w:sz w:val="21"/>
                <w:szCs w:val="52"/>
              </w:rPr>
            </w:pPr>
            <w:r>
              <w:rPr>
                <w:w w:val="99"/>
                <w:sz w:val="21"/>
                <w:szCs w:val="52"/>
              </w:rPr>
              <w:t>6</w:t>
            </w:r>
          </w:p>
        </w:tc>
        <w:tc>
          <w:tcPr>
            <w:tcW w:w="533" w:type="dxa"/>
          </w:tcPr>
          <w:p>
            <w:pPr>
              <w:pStyle w:val="14"/>
              <w:spacing w:before="34"/>
              <w:ind w:left="29"/>
              <w:jc w:val="center"/>
              <w:rPr>
                <w:sz w:val="21"/>
                <w:szCs w:val="52"/>
              </w:rPr>
            </w:pPr>
            <w:r>
              <w:rPr>
                <w:w w:val="99"/>
                <w:sz w:val="21"/>
                <w:szCs w:val="52"/>
              </w:rPr>
              <w:t>7</w:t>
            </w:r>
          </w:p>
        </w:tc>
        <w:tc>
          <w:tcPr>
            <w:tcW w:w="533" w:type="dxa"/>
          </w:tcPr>
          <w:p>
            <w:pPr>
              <w:pStyle w:val="14"/>
              <w:spacing w:before="34"/>
              <w:ind w:left="31"/>
              <w:jc w:val="center"/>
              <w:rPr>
                <w:sz w:val="21"/>
                <w:szCs w:val="52"/>
              </w:rPr>
            </w:pPr>
            <w:r>
              <w:rPr>
                <w:w w:val="99"/>
                <w:sz w:val="21"/>
                <w:szCs w:val="52"/>
              </w:rPr>
              <w:t>8</w:t>
            </w:r>
          </w:p>
        </w:tc>
        <w:tc>
          <w:tcPr>
            <w:tcW w:w="533" w:type="dxa"/>
          </w:tcPr>
          <w:p>
            <w:pPr>
              <w:pStyle w:val="14"/>
              <w:spacing w:before="34"/>
              <w:ind w:left="33"/>
              <w:jc w:val="center"/>
              <w:rPr>
                <w:sz w:val="21"/>
                <w:szCs w:val="52"/>
              </w:rPr>
            </w:pPr>
            <w:r>
              <w:rPr>
                <w:w w:val="99"/>
                <w:sz w:val="21"/>
                <w:szCs w:val="52"/>
              </w:rPr>
              <w:t>9</w:t>
            </w:r>
          </w:p>
        </w:tc>
        <w:tc>
          <w:tcPr>
            <w:tcW w:w="533" w:type="dxa"/>
          </w:tcPr>
          <w:p>
            <w:pPr>
              <w:pStyle w:val="14"/>
              <w:spacing w:before="34"/>
              <w:ind w:left="43" w:right="9"/>
              <w:jc w:val="center"/>
              <w:rPr>
                <w:sz w:val="21"/>
                <w:szCs w:val="52"/>
              </w:rPr>
            </w:pPr>
            <w:r>
              <w:rPr>
                <w:sz w:val="21"/>
                <w:szCs w:val="52"/>
              </w:rPr>
              <w:t>10</w:t>
            </w:r>
          </w:p>
        </w:tc>
        <w:tc>
          <w:tcPr>
            <w:tcW w:w="533" w:type="dxa"/>
          </w:tcPr>
          <w:p>
            <w:pPr>
              <w:pStyle w:val="14"/>
              <w:spacing w:before="34"/>
              <w:ind w:left="43" w:right="7"/>
              <w:jc w:val="center"/>
              <w:rPr>
                <w:sz w:val="21"/>
                <w:szCs w:val="52"/>
              </w:rPr>
            </w:pPr>
            <w:r>
              <w:rPr>
                <w:sz w:val="21"/>
                <w:szCs w:val="52"/>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rPr>
                <w:rFonts w:ascii="Times New Roman"/>
                <w:sz w:val="22"/>
                <w:szCs w:val="52"/>
              </w:rPr>
            </w:pPr>
          </w:p>
        </w:tc>
        <w:tc>
          <w:tcPr>
            <w:tcW w:w="319" w:type="dxa"/>
          </w:tcPr>
          <w:p>
            <w:pPr>
              <w:pStyle w:val="14"/>
              <w:rPr>
                <w:rFonts w:ascii="Times New Roman"/>
                <w:sz w:val="22"/>
                <w:szCs w:val="52"/>
              </w:rPr>
            </w:pPr>
          </w:p>
        </w:tc>
        <w:tc>
          <w:tcPr>
            <w:tcW w:w="326" w:type="dxa"/>
          </w:tcPr>
          <w:p>
            <w:pPr>
              <w:pStyle w:val="14"/>
              <w:rPr>
                <w:rFonts w:ascii="Times New Roman"/>
                <w:sz w:val="22"/>
                <w:szCs w:val="52"/>
              </w:rPr>
            </w:pPr>
          </w:p>
        </w:tc>
        <w:tc>
          <w:tcPr>
            <w:tcW w:w="1727" w:type="dxa"/>
          </w:tcPr>
          <w:p>
            <w:pPr>
              <w:pStyle w:val="14"/>
              <w:spacing w:before="34"/>
              <w:ind w:left="17"/>
              <w:rPr>
                <w:sz w:val="21"/>
                <w:szCs w:val="52"/>
              </w:rPr>
            </w:pPr>
            <w:r>
              <w:rPr>
                <w:sz w:val="21"/>
                <w:szCs w:val="52"/>
              </w:rPr>
              <w:t>合计</w:t>
            </w:r>
          </w:p>
        </w:tc>
        <w:tc>
          <w:tcPr>
            <w:tcW w:w="1905" w:type="dxa"/>
          </w:tcPr>
          <w:p>
            <w:pPr>
              <w:pStyle w:val="14"/>
              <w:rPr>
                <w:rFonts w:ascii="Times New Roman"/>
                <w:sz w:val="22"/>
                <w:szCs w:val="52"/>
              </w:rPr>
            </w:pPr>
          </w:p>
        </w:tc>
        <w:tc>
          <w:tcPr>
            <w:tcW w:w="533" w:type="dxa"/>
          </w:tcPr>
          <w:p>
            <w:pPr>
              <w:pStyle w:val="14"/>
              <w:spacing w:before="34"/>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4"/>
              <w:ind w:left="293"/>
              <w:rPr>
                <w:sz w:val="21"/>
                <w:szCs w:val="52"/>
              </w:rPr>
            </w:pPr>
          </w:p>
        </w:tc>
        <w:tc>
          <w:tcPr>
            <w:tcW w:w="533" w:type="dxa"/>
          </w:tcPr>
          <w:p>
            <w:pPr>
              <w:pStyle w:val="14"/>
              <w:spacing w:before="34"/>
              <w:ind w:left="250"/>
              <w:rPr>
                <w:rFonts w:hint="default" w:eastAsia="宋体"/>
                <w:sz w:val="21"/>
                <w:szCs w:val="52"/>
                <w:lang w:val="en-US" w:eastAsia="zh-CN"/>
              </w:rPr>
            </w:pPr>
            <w:r>
              <w:rPr>
                <w:rFonts w:hint="eastAsia"/>
                <w:sz w:val="21"/>
                <w:szCs w:val="52"/>
                <w:lang w:val="en-US" w:eastAsia="zh-CN"/>
              </w:rPr>
              <w:t>145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rPr>
                <w:rFonts w:ascii="Times New Roman"/>
                <w:sz w:val="22"/>
                <w:szCs w:val="52"/>
              </w:rPr>
            </w:pPr>
          </w:p>
        </w:tc>
        <w:tc>
          <w:tcPr>
            <w:tcW w:w="319" w:type="dxa"/>
          </w:tcPr>
          <w:p>
            <w:pPr>
              <w:pStyle w:val="14"/>
              <w:rPr>
                <w:rFonts w:ascii="Times New Roman"/>
                <w:sz w:val="22"/>
                <w:szCs w:val="52"/>
              </w:rPr>
            </w:pPr>
          </w:p>
        </w:tc>
        <w:tc>
          <w:tcPr>
            <w:tcW w:w="326" w:type="dxa"/>
          </w:tcPr>
          <w:p>
            <w:pPr>
              <w:pStyle w:val="14"/>
              <w:rPr>
                <w:rFonts w:ascii="Times New Roman"/>
                <w:sz w:val="22"/>
                <w:szCs w:val="52"/>
              </w:rPr>
            </w:pPr>
          </w:p>
        </w:tc>
        <w:tc>
          <w:tcPr>
            <w:tcW w:w="1727" w:type="dxa"/>
          </w:tcPr>
          <w:p>
            <w:pPr>
              <w:pStyle w:val="14"/>
              <w:spacing w:before="35"/>
              <w:ind w:left="17"/>
              <w:rPr>
                <w:sz w:val="21"/>
                <w:szCs w:val="52"/>
              </w:rPr>
            </w:pPr>
            <w:r>
              <w:rPr>
                <w:sz w:val="21"/>
                <w:szCs w:val="52"/>
              </w:rPr>
              <w:t>【201】自治区国土资源厅</w:t>
            </w:r>
          </w:p>
        </w:tc>
        <w:tc>
          <w:tcPr>
            <w:tcW w:w="1905" w:type="dxa"/>
          </w:tcPr>
          <w:p>
            <w:pPr>
              <w:pStyle w:val="14"/>
              <w:rPr>
                <w:rFonts w:ascii="Times New Roman"/>
                <w:sz w:val="22"/>
                <w:szCs w:val="52"/>
              </w:rPr>
            </w:pPr>
          </w:p>
        </w:tc>
        <w:tc>
          <w:tcPr>
            <w:tcW w:w="533" w:type="dxa"/>
          </w:tcPr>
          <w:p>
            <w:pPr>
              <w:pStyle w:val="14"/>
              <w:spacing w:before="35"/>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5"/>
              <w:ind w:left="293"/>
              <w:rPr>
                <w:sz w:val="21"/>
                <w:szCs w:val="52"/>
              </w:rPr>
            </w:pPr>
          </w:p>
        </w:tc>
        <w:tc>
          <w:tcPr>
            <w:tcW w:w="533" w:type="dxa"/>
          </w:tcPr>
          <w:p>
            <w:pPr>
              <w:pStyle w:val="14"/>
              <w:spacing w:before="35"/>
              <w:ind w:left="250"/>
              <w:rPr>
                <w:rFonts w:hint="default" w:eastAsia="宋体"/>
                <w:sz w:val="21"/>
                <w:szCs w:val="52"/>
                <w:lang w:val="en-US" w:eastAsia="zh-CN"/>
              </w:rPr>
            </w:pPr>
            <w:r>
              <w:rPr>
                <w:rFonts w:hint="eastAsia"/>
                <w:sz w:val="21"/>
                <w:szCs w:val="52"/>
                <w:lang w:val="en-US" w:eastAsia="zh-CN"/>
              </w:rPr>
              <w:t>145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304" w:type="dxa"/>
          </w:tcPr>
          <w:p>
            <w:pPr>
              <w:pStyle w:val="14"/>
              <w:rPr>
                <w:rFonts w:ascii="Times New Roman"/>
                <w:sz w:val="22"/>
                <w:szCs w:val="52"/>
              </w:rPr>
            </w:pPr>
          </w:p>
        </w:tc>
        <w:tc>
          <w:tcPr>
            <w:tcW w:w="319" w:type="dxa"/>
          </w:tcPr>
          <w:p>
            <w:pPr>
              <w:pStyle w:val="14"/>
              <w:rPr>
                <w:rFonts w:ascii="Times New Roman"/>
                <w:sz w:val="22"/>
                <w:szCs w:val="52"/>
              </w:rPr>
            </w:pPr>
          </w:p>
        </w:tc>
        <w:tc>
          <w:tcPr>
            <w:tcW w:w="326" w:type="dxa"/>
          </w:tcPr>
          <w:p>
            <w:pPr>
              <w:pStyle w:val="14"/>
              <w:rPr>
                <w:rFonts w:ascii="Times New Roman"/>
                <w:sz w:val="22"/>
                <w:szCs w:val="52"/>
              </w:rPr>
            </w:pPr>
          </w:p>
        </w:tc>
        <w:tc>
          <w:tcPr>
            <w:tcW w:w="1727" w:type="dxa"/>
          </w:tcPr>
          <w:p>
            <w:pPr>
              <w:pStyle w:val="14"/>
              <w:spacing w:before="35"/>
              <w:ind w:left="106"/>
              <w:rPr>
                <w:sz w:val="21"/>
                <w:szCs w:val="52"/>
              </w:rPr>
            </w:pPr>
            <w:r>
              <w:rPr>
                <w:w w:val="95"/>
                <w:sz w:val="21"/>
                <w:szCs w:val="52"/>
              </w:rPr>
              <w:t>新疆维吾尔自治区矿产资源储量评审中心</w:t>
            </w:r>
          </w:p>
        </w:tc>
        <w:tc>
          <w:tcPr>
            <w:tcW w:w="1905" w:type="dxa"/>
          </w:tcPr>
          <w:p>
            <w:pPr>
              <w:pStyle w:val="14"/>
              <w:rPr>
                <w:rFonts w:ascii="Times New Roman"/>
                <w:sz w:val="22"/>
                <w:szCs w:val="52"/>
              </w:rPr>
            </w:pPr>
          </w:p>
        </w:tc>
        <w:tc>
          <w:tcPr>
            <w:tcW w:w="533" w:type="dxa"/>
          </w:tcPr>
          <w:p>
            <w:pPr>
              <w:pStyle w:val="14"/>
              <w:spacing w:before="35"/>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5"/>
              <w:ind w:left="293"/>
              <w:rPr>
                <w:sz w:val="21"/>
                <w:szCs w:val="52"/>
              </w:rPr>
            </w:pPr>
          </w:p>
        </w:tc>
        <w:tc>
          <w:tcPr>
            <w:tcW w:w="533" w:type="dxa"/>
          </w:tcPr>
          <w:p>
            <w:pPr>
              <w:pStyle w:val="14"/>
              <w:spacing w:before="35"/>
              <w:ind w:left="250"/>
              <w:rPr>
                <w:rFonts w:hint="default" w:eastAsia="宋体"/>
                <w:sz w:val="21"/>
                <w:szCs w:val="52"/>
                <w:lang w:val="en-US" w:eastAsia="zh-CN"/>
              </w:rPr>
            </w:pPr>
            <w:r>
              <w:rPr>
                <w:rFonts w:hint="eastAsia"/>
                <w:sz w:val="21"/>
                <w:szCs w:val="52"/>
                <w:lang w:val="en-US" w:eastAsia="zh-CN"/>
              </w:rPr>
              <w:t>145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5"/>
              <w:ind w:left="83"/>
              <w:rPr>
                <w:sz w:val="21"/>
                <w:szCs w:val="52"/>
              </w:rPr>
            </w:pPr>
            <w:r>
              <w:rPr>
                <w:sz w:val="21"/>
                <w:szCs w:val="52"/>
              </w:rPr>
              <w:t>220</w:t>
            </w:r>
          </w:p>
        </w:tc>
        <w:tc>
          <w:tcPr>
            <w:tcW w:w="319" w:type="dxa"/>
          </w:tcPr>
          <w:p>
            <w:pPr>
              <w:pStyle w:val="14"/>
              <w:rPr>
                <w:rFonts w:ascii="Times New Roman"/>
                <w:sz w:val="22"/>
                <w:szCs w:val="52"/>
              </w:rPr>
            </w:pPr>
          </w:p>
        </w:tc>
        <w:tc>
          <w:tcPr>
            <w:tcW w:w="326" w:type="dxa"/>
          </w:tcPr>
          <w:p>
            <w:pPr>
              <w:pStyle w:val="14"/>
              <w:rPr>
                <w:rFonts w:ascii="Times New Roman"/>
                <w:sz w:val="22"/>
                <w:szCs w:val="52"/>
              </w:rPr>
            </w:pPr>
          </w:p>
        </w:tc>
        <w:tc>
          <w:tcPr>
            <w:tcW w:w="1727" w:type="dxa"/>
          </w:tcPr>
          <w:p>
            <w:pPr>
              <w:pStyle w:val="14"/>
              <w:spacing w:before="35"/>
              <w:ind w:left="195"/>
              <w:rPr>
                <w:sz w:val="21"/>
                <w:szCs w:val="52"/>
              </w:rPr>
            </w:pPr>
            <w:r>
              <w:rPr>
                <w:sz w:val="21"/>
                <w:szCs w:val="52"/>
              </w:rPr>
              <w:t>国土海洋气象等支出</w:t>
            </w:r>
          </w:p>
        </w:tc>
        <w:tc>
          <w:tcPr>
            <w:tcW w:w="1905" w:type="dxa"/>
          </w:tcPr>
          <w:p>
            <w:pPr>
              <w:pStyle w:val="14"/>
              <w:rPr>
                <w:rFonts w:ascii="Times New Roman"/>
                <w:sz w:val="22"/>
                <w:szCs w:val="52"/>
              </w:rPr>
            </w:pPr>
          </w:p>
        </w:tc>
        <w:tc>
          <w:tcPr>
            <w:tcW w:w="533" w:type="dxa"/>
          </w:tcPr>
          <w:p>
            <w:pPr>
              <w:pStyle w:val="14"/>
              <w:spacing w:before="35"/>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5"/>
              <w:ind w:left="293"/>
              <w:rPr>
                <w:sz w:val="21"/>
                <w:szCs w:val="52"/>
              </w:rPr>
            </w:pPr>
          </w:p>
        </w:tc>
        <w:tc>
          <w:tcPr>
            <w:tcW w:w="533" w:type="dxa"/>
          </w:tcPr>
          <w:p>
            <w:pPr>
              <w:pStyle w:val="14"/>
              <w:spacing w:before="35"/>
              <w:ind w:left="250"/>
              <w:rPr>
                <w:rFonts w:hint="default" w:eastAsia="宋体"/>
                <w:sz w:val="21"/>
                <w:szCs w:val="52"/>
                <w:lang w:val="en-US" w:eastAsia="zh-CN"/>
              </w:rPr>
            </w:pPr>
            <w:r>
              <w:rPr>
                <w:rFonts w:hint="eastAsia"/>
                <w:sz w:val="21"/>
                <w:szCs w:val="52"/>
                <w:lang w:val="en-US" w:eastAsia="zh-CN"/>
              </w:rPr>
              <w:t>145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rPr>
                <w:rFonts w:ascii="Times New Roman"/>
                <w:sz w:val="22"/>
                <w:szCs w:val="52"/>
              </w:rPr>
            </w:pPr>
          </w:p>
        </w:tc>
        <w:tc>
          <w:tcPr>
            <w:tcW w:w="319" w:type="dxa"/>
          </w:tcPr>
          <w:p>
            <w:pPr>
              <w:pStyle w:val="14"/>
              <w:spacing w:before="34"/>
              <w:ind w:left="113"/>
              <w:rPr>
                <w:sz w:val="21"/>
                <w:szCs w:val="52"/>
              </w:rPr>
            </w:pPr>
            <w:r>
              <w:rPr>
                <w:sz w:val="21"/>
                <w:szCs w:val="52"/>
              </w:rPr>
              <w:t>01</w:t>
            </w:r>
          </w:p>
        </w:tc>
        <w:tc>
          <w:tcPr>
            <w:tcW w:w="326" w:type="dxa"/>
          </w:tcPr>
          <w:p>
            <w:pPr>
              <w:pStyle w:val="14"/>
              <w:rPr>
                <w:rFonts w:ascii="Times New Roman"/>
                <w:sz w:val="22"/>
                <w:szCs w:val="52"/>
              </w:rPr>
            </w:pPr>
          </w:p>
        </w:tc>
        <w:tc>
          <w:tcPr>
            <w:tcW w:w="1727" w:type="dxa"/>
          </w:tcPr>
          <w:p>
            <w:pPr>
              <w:pStyle w:val="14"/>
              <w:spacing w:before="34"/>
              <w:ind w:left="284"/>
              <w:rPr>
                <w:sz w:val="21"/>
                <w:szCs w:val="52"/>
              </w:rPr>
            </w:pPr>
            <w:r>
              <w:rPr>
                <w:sz w:val="21"/>
                <w:szCs w:val="52"/>
              </w:rPr>
              <w:t>国土资源事务</w:t>
            </w:r>
          </w:p>
        </w:tc>
        <w:tc>
          <w:tcPr>
            <w:tcW w:w="1905" w:type="dxa"/>
          </w:tcPr>
          <w:p>
            <w:pPr>
              <w:pStyle w:val="14"/>
              <w:rPr>
                <w:rFonts w:ascii="Times New Roman"/>
                <w:sz w:val="22"/>
                <w:szCs w:val="52"/>
              </w:rPr>
            </w:pPr>
          </w:p>
        </w:tc>
        <w:tc>
          <w:tcPr>
            <w:tcW w:w="533" w:type="dxa"/>
          </w:tcPr>
          <w:p>
            <w:pPr>
              <w:pStyle w:val="14"/>
              <w:spacing w:before="34"/>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4"/>
              <w:ind w:left="293"/>
              <w:rPr>
                <w:sz w:val="21"/>
                <w:szCs w:val="52"/>
              </w:rPr>
            </w:pPr>
          </w:p>
        </w:tc>
        <w:tc>
          <w:tcPr>
            <w:tcW w:w="533" w:type="dxa"/>
          </w:tcPr>
          <w:p>
            <w:pPr>
              <w:pStyle w:val="14"/>
              <w:spacing w:before="34"/>
              <w:ind w:left="250"/>
              <w:rPr>
                <w:rFonts w:hint="default" w:eastAsia="宋体"/>
                <w:sz w:val="21"/>
                <w:szCs w:val="52"/>
                <w:lang w:val="en-US" w:eastAsia="zh-CN"/>
              </w:rPr>
            </w:pPr>
            <w:r>
              <w:rPr>
                <w:rFonts w:hint="eastAsia"/>
                <w:sz w:val="21"/>
                <w:szCs w:val="52"/>
                <w:lang w:val="en-US" w:eastAsia="zh-CN"/>
              </w:rPr>
              <w:t>145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rPr>
                <w:rFonts w:ascii="Times New Roman"/>
                <w:sz w:val="22"/>
                <w:szCs w:val="52"/>
              </w:rPr>
            </w:pPr>
          </w:p>
        </w:tc>
        <w:tc>
          <w:tcPr>
            <w:tcW w:w="319" w:type="dxa"/>
          </w:tcPr>
          <w:p>
            <w:pPr>
              <w:pStyle w:val="14"/>
              <w:rPr>
                <w:rFonts w:ascii="Times New Roman"/>
                <w:sz w:val="22"/>
                <w:szCs w:val="52"/>
              </w:rPr>
            </w:pPr>
          </w:p>
        </w:tc>
        <w:tc>
          <w:tcPr>
            <w:tcW w:w="326" w:type="dxa"/>
          </w:tcPr>
          <w:p>
            <w:pPr>
              <w:pStyle w:val="14"/>
              <w:spacing w:before="34"/>
              <w:ind w:left="41" w:right="41"/>
              <w:jc w:val="center"/>
              <w:rPr>
                <w:sz w:val="21"/>
                <w:szCs w:val="52"/>
              </w:rPr>
            </w:pPr>
            <w:r>
              <w:rPr>
                <w:sz w:val="21"/>
                <w:szCs w:val="52"/>
              </w:rPr>
              <w:t>99</w:t>
            </w:r>
          </w:p>
        </w:tc>
        <w:tc>
          <w:tcPr>
            <w:tcW w:w="1727" w:type="dxa"/>
          </w:tcPr>
          <w:p>
            <w:pPr>
              <w:pStyle w:val="14"/>
              <w:spacing w:before="34"/>
              <w:ind w:left="373"/>
              <w:rPr>
                <w:sz w:val="21"/>
                <w:szCs w:val="52"/>
              </w:rPr>
            </w:pPr>
            <w:r>
              <w:rPr>
                <w:sz w:val="21"/>
                <w:szCs w:val="52"/>
              </w:rPr>
              <w:t>其他国土资源事务支出</w:t>
            </w:r>
          </w:p>
        </w:tc>
        <w:tc>
          <w:tcPr>
            <w:tcW w:w="1905" w:type="dxa"/>
          </w:tcPr>
          <w:p>
            <w:pPr>
              <w:pStyle w:val="14"/>
              <w:rPr>
                <w:rFonts w:ascii="Times New Roman"/>
                <w:sz w:val="22"/>
                <w:szCs w:val="52"/>
              </w:rPr>
            </w:pPr>
          </w:p>
        </w:tc>
        <w:tc>
          <w:tcPr>
            <w:tcW w:w="533" w:type="dxa"/>
          </w:tcPr>
          <w:p>
            <w:pPr>
              <w:pStyle w:val="14"/>
              <w:spacing w:before="34"/>
              <w:ind w:left="248"/>
              <w:rPr>
                <w:rFonts w:hint="default" w:eastAsia="宋体"/>
                <w:sz w:val="21"/>
                <w:szCs w:val="52"/>
                <w:lang w:val="en-US" w:eastAsia="zh-CN"/>
              </w:rPr>
            </w:pPr>
            <w:r>
              <w:rPr>
                <w:rFonts w:hint="eastAsia"/>
                <w:sz w:val="21"/>
                <w:szCs w:val="52"/>
                <w:lang w:val="en-US" w:eastAsia="zh-CN"/>
              </w:rPr>
              <w:t>171.7</w:t>
            </w:r>
          </w:p>
        </w:tc>
        <w:tc>
          <w:tcPr>
            <w:tcW w:w="533" w:type="dxa"/>
          </w:tcPr>
          <w:p>
            <w:pPr>
              <w:pStyle w:val="14"/>
              <w:spacing w:before="34"/>
              <w:ind w:left="293"/>
              <w:rPr>
                <w:sz w:val="21"/>
                <w:szCs w:val="52"/>
              </w:rPr>
            </w:pPr>
          </w:p>
        </w:tc>
        <w:tc>
          <w:tcPr>
            <w:tcW w:w="533" w:type="dxa"/>
          </w:tcPr>
          <w:p>
            <w:pPr>
              <w:pStyle w:val="14"/>
              <w:spacing w:before="34"/>
              <w:ind w:left="250"/>
              <w:rPr>
                <w:rFonts w:hint="eastAsia"/>
                <w:sz w:val="21"/>
                <w:szCs w:val="52"/>
                <w:lang w:val="en-US" w:eastAsia="zh-CN"/>
              </w:rPr>
            </w:pPr>
            <w:r>
              <w:rPr>
                <w:rFonts w:hint="eastAsia"/>
                <w:sz w:val="21"/>
                <w:szCs w:val="52"/>
                <w:lang w:val="en-US" w:eastAsia="zh-CN"/>
              </w:rPr>
              <w:t>145</w:t>
            </w:r>
          </w:p>
          <w:p>
            <w:pPr>
              <w:pStyle w:val="14"/>
              <w:spacing w:before="34"/>
              <w:ind w:left="250"/>
              <w:rPr>
                <w:rFonts w:hint="default"/>
                <w:sz w:val="21"/>
                <w:szCs w:val="52"/>
                <w:lang w:val="en-US" w:eastAsia="zh-CN"/>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vAlign w:val="top"/>
          </w:tcPr>
          <w:p>
            <w:pPr>
              <w:pStyle w:val="14"/>
              <w:ind w:left="0" w:leftChars="0" w:right="0" w:rightChars="0"/>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128"/>
              <w:rPr>
                <w:sz w:val="21"/>
                <w:szCs w:val="52"/>
              </w:rPr>
            </w:pPr>
            <w:r>
              <w:rPr>
                <w:sz w:val="21"/>
                <w:szCs w:val="52"/>
              </w:rPr>
              <w:t>220</w:t>
            </w:r>
          </w:p>
        </w:tc>
        <w:tc>
          <w:tcPr>
            <w:tcW w:w="319" w:type="dxa"/>
          </w:tcPr>
          <w:p>
            <w:pPr>
              <w:pStyle w:val="14"/>
              <w:spacing w:before="34"/>
              <w:ind w:left="158"/>
              <w:rPr>
                <w:sz w:val="21"/>
                <w:szCs w:val="52"/>
              </w:rPr>
            </w:pPr>
            <w:r>
              <w:rPr>
                <w:sz w:val="21"/>
                <w:szCs w:val="52"/>
              </w:rPr>
              <w:t>01</w:t>
            </w:r>
          </w:p>
        </w:tc>
        <w:tc>
          <w:tcPr>
            <w:tcW w:w="326" w:type="dxa"/>
          </w:tcPr>
          <w:p>
            <w:pPr>
              <w:pStyle w:val="14"/>
              <w:spacing w:before="34"/>
              <w:ind w:left="129" w:right="41"/>
              <w:jc w:val="center"/>
              <w:rPr>
                <w:sz w:val="21"/>
                <w:szCs w:val="52"/>
              </w:rPr>
            </w:pPr>
            <w:r>
              <w:rPr>
                <w:sz w:val="21"/>
                <w:szCs w:val="52"/>
              </w:rPr>
              <w:t>99</w:t>
            </w:r>
          </w:p>
        </w:tc>
        <w:tc>
          <w:tcPr>
            <w:tcW w:w="1727" w:type="dxa"/>
          </w:tcPr>
          <w:p>
            <w:pPr>
              <w:pStyle w:val="14"/>
              <w:spacing w:before="34"/>
              <w:ind w:left="462"/>
              <w:rPr>
                <w:sz w:val="21"/>
                <w:szCs w:val="52"/>
              </w:rPr>
            </w:pPr>
            <w:r>
              <w:rPr>
                <w:sz w:val="21"/>
                <w:szCs w:val="52"/>
              </w:rPr>
              <w:t>其他国土资源事务支出</w:t>
            </w:r>
          </w:p>
        </w:tc>
        <w:tc>
          <w:tcPr>
            <w:tcW w:w="1905" w:type="dxa"/>
          </w:tcPr>
          <w:p>
            <w:pPr>
              <w:pStyle w:val="14"/>
              <w:spacing w:line="96" w:lineRule="exact"/>
              <w:ind w:left="18"/>
              <w:rPr>
                <w:sz w:val="21"/>
                <w:szCs w:val="52"/>
              </w:rPr>
            </w:pPr>
            <w:r>
              <w:rPr>
                <w:w w:val="95"/>
                <w:sz w:val="21"/>
                <w:szCs w:val="52"/>
              </w:rPr>
              <w:t>新疆维吾尔自治区矿业权出让基准价制定工作项</w:t>
            </w:r>
          </w:p>
          <w:p>
            <w:pPr>
              <w:pStyle w:val="14"/>
              <w:spacing w:line="59" w:lineRule="exact"/>
              <w:ind w:left="18"/>
              <w:rPr>
                <w:sz w:val="21"/>
                <w:szCs w:val="52"/>
              </w:rPr>
            </w:pPr>
            <w:r>
              <w:rPr>
                <w:w w:val="99"/>
                <w:sz w:val="21"/>
                <w:szCs w:val="52"/>
              </w:rPr>
              <w:t>目</w:t>
            </w:r>
          </w:p>
        </w:tc>
        <w:tc>
          <w:tcPr>
            <w:tcW w:w="533" w:type="dxa"/>
          </w:tcPr>
          <w:p>
            <w:pPr>
              <w:pStyle w:val="14"/>
              <w:spacing w:before="34"/>
              <w:ind w:left="248"/>
              <w:rPr>
                <w:sz w:val="21"/>
                <w:szCs w:val="52"/>
              </w:rPr>
            </w:pPr>
            <w:r>
              <w:rPr>
                <w:rFonts w:hint="eastAsia"/>
                <w:sz w:val="21"/>
                <w:szCs w:val="52"/>
                <w:lang w:val="en-US" w:eastAsia="zh-CN"/>
              </w:rPr>
              <w:t>100</w:t>
            </w:r>
          </w:p>
        </w:tc>
        <w:tc>
          <w:tcPr>
            <w:tcW w:w="533" w:type="dxa"/>
          </w:tcPr>
          <w:p>
            <w:pPr>
              <w:pStyle w:val="14"/>
              <w:spacing w:before="34"/>
              <w:ind w:left="293"/>
              <w:rPr>
                <w:sz w:val="21"/>
                <w:szCs w:val="52"/>
              </w:rPr>
            </w:pPr>
          </w:p>
        </w:tc>
        <w:tc>
          <w:tcPr>
            <w:tcW w:w="533" w:type="dxa"/>
          </w:tcPr>
          <w:p>
            <w:pPr>
              <w:pStyle w:val="14"/>
              <w:spacing w:before="34"/>
              <w:ind w:left="294"/>
              <w:rPr>
                <w:rFonts w:hint="default" w:eastAsia="宋体"/>
                <w:sz w:val="21"/>
                <w:szCs w:val="52"/>
                <w:lang w:val="en-US" w:eastAsia="zh-CN"/>
              </w:rPr>
            </w:pPr>
            <w:r>
              <w:rPr>
                <w:rFonts w:hint="eastAsia"/>
                <w:sz w:val="21"/>
                <w:szCs w:val="52"/>
                <w:lang w:val="en-US" w:eastAsia="zh-CN"/>
              </w:rPr>
              <w:t>100</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128"/>
              <w:rPr>
                <w:sz w:val="21"/>
                <w:szCs w:val="52"/>
              </w:rPr>
            </w:pPr>
            <w:r>
              <w:rPr>
                <w:sz w:val="21"/>
                <w:szCs w:val="52"/>
              </w:rPr>
              <w:t>220</w:t>
            </w:r>
          </w:p>
        </w:tc>
        <w:tc>
          <w:tcPr>
            <w:tcW w:w="319" w:type="dxa"/>
          </w:tcPr>
          <w:p>
            <w:pPr>
              <w:pStyle w:val="14"/>
              <w:spacing w:before="34"/>
              <w:ind w:left="158"/>
              <w:rPr>
                <w:sz w:val="21"/>
                <w:szCs w:val="52"/>
              </w:rPr>
            </w:pPr>
            <w:r>
              <w:rPr>
                <w:sz w:val="21"/>
                <w:szCs w:val="52"/>
              </w:rPr>
              <w:t>01</w:t>
            </w:r>
          </w:p>
        </w:tc>
        <w:tc>
          <w:tcPr>
            <w:tcW w:w="326" w:type="dxa"/>
          </w:tcPr>
          <w:p>
            <w:pPr>
              <w:pStyle w:val="14"/>
              <w:spacing w:line="37" w:lineRule="exact"/>
              <w:ind w:left="2"/>
              <w:rPr>
                <w:sz w:val="16"/>
                <w:szCs w:val="52"/>
              </w:rPr>
            </w:pPr>
            <w:r>
              <w:rPr>
                <w:position w:val="0"/>
                <w:sz w:val="16"/>
                <w:szCs w:val="52"/>
              </w:rPr>
              <w:pict>
                <v:group id="_x0000_s1329" o:spid="_x0000_s1329" o:spt="203" style="height:1.85pt;width:1.9pt;" coordsize="38,37">
                  <o:lock v:ext="edit"/>
                  <v:line id="_x0000_s1330" o:spid="_x0000_s1330" o:spt="20" style="position:absolute;left:4;top:4;height:0;width:29;" stroked="t" coordsize="21600,21600">
                    <v:path arrowok="t"/>
                    <v:fill focussize="0,0"/>
                    <v:stroke weight="0.369685039370079pt" color="#008000"/>
                    <v:imagedata o:title=""/>
                    <o:lock v:ext="edit"/>
                  </v:line>
                  <v:rect id="_x0000_s1331" o:spid="_x0000_s1331" o:spt="1" style="position:absolute;left:0;top:0;height:8;width:38;" fillcolor="#008000" filled="t" stroked="f" coordsize="21600,21600">
                    <v:path/>
                    <v:fill on="t" focussize="0,0"/>
                    <v:stroke on="f"/>
                    <v:imagedata o:title=""/>
                    <o:lock v:ext="edit"/>
                  </v:rect>
                  <v:line id="_x0000_s1332" o:spid="_x0000_s1332" o:spt="20" style="position:absolute;left:4;top:11;height:0;width:22;" stroked="t" coordsize="21600,21600">
                    <v:path arrowok="t"/>
                    <v:fill focussize="0,0"/>
                    <v:stroke weight="0.369685039370079pt" color="#008000"/>
                    <v:imagedata o:title=""/>
                    <o:lock v:ext="edit"/>
                  </v:line>
                  <v:rect id="_x0000_s1333" o:spid="_x0000_s1333" o:spt="1" style="position:absolute;left:0;top:7;height:8;width:30;" fillcolor="#008000" filled="t" stroked="f" coordsize="21600,21600">
                    <v:path/>
                    <v:fill on="t" focussize="0,0"/>
                    <v:stroke on="f"/>
                    <v:imagedata o:title=""/>
                    <o:lock v:ext="edit"/>
                  </v:rect>
                  <v:line id="_x0000_s1334" o:spid="_x0000_s1334" o:spt="20" style="position:absolute;left:4;top:18;height:0;width:15;" stroked="t" coordsize="21600,21600">
                    <v:path arrowok="t"/>
                    <v:fill focussize="0,0"/>
                    <v:stroke weight="0.369685039370079pt" color="#008000"/>
                    <v:imagedata o:title=""/>
                    <o:lock v:ext="edit"/>
                  </v:line>
                  <v:rect id="_x0000_s1335" o:spid="_x0000_s1335" o:spt="1" style="position:absolute;left:0;top:14;height:8;width:23;" fillcolor="#008000" filled="t" stroked="f" coordsize="21600,21600">
                    <v:path/>
                    <v:fill on="t" focussize="0,0"/>
                    <v:stroke on="f"/>
                    <v:imagedata o:title=""/>
                    <o:lock v:ext="edit"/>
                  </v:rect>
                  <v:line id="_x0000_s1336" o:spid="_x0000_s1336" o:spt="20" style="position:absolute;left:4;top:26;height:0;width:7;" stroked="t" coordsize="21600,21600">
                    <v:path arrowok="t"/>
                    <v:fill focussize="0,0"/>
                    <v:stroke weight="0.369685039370079pt" color="#008000"/>
                    <v:imagedata o:title=""/>
                    <o:lock v:ext="edit"/>
                  </v:line>
                  <v:rect id="_x0000_s1337" o:spid="_x0000_s1337" o:spt="1" style="position:absolute;left:0;top:22;height:8;width:15;" fillcolor="#008000" filled="t" stroked="f" coordsize="21600,21600">
                    <v:path/>
                    <v:fill on="t" focussize="0,0"/>
                    <v:stroke on="f"/>
                    <v:imagedata o:title=""/>
                    <o:lock v:ext="edit"/>
                  </v:rect>
                  <v:rect id="_x0000_s1338" o:spid="_x0000_s1338" o:spt="1" style="position:absolute;left:0;top:29;height:8;width:8;" fillcolor="#008000" filled="t" stroked="f" coordsize="21600,21600">
                    <v:path/>
                    <v:fill on="t" focussize="0,0"/>
                    <v:stroke on="f"/>
                    <v:imagedata o:title=""/>
                    <o:lock v:ext="edit"/>
                  </v:rect>
                  <w10:wrap type="none"/>
                  <w10:anchorlock/>
                </v:group>
              </w:pict>
            </w:r>
          </w:p>
          <w:p>
            <w:pPr>
              <w:pStyle w:val="14"/>
              <w:ind w:left="129" w:right="41"/>
              <w:jc w:val="center"/>
              <w:rPr>
                <w:sz w:val="21"/>
                <w:szCs w:val="52"/>
              </w:rPr>
            </w:pPr>
            <w:r>
              <w:rPr>
                <w:sz w:val="21"/>
                <w:szCs w:val="52"/>
              </w:rPr>
              <w:t>99</w:t>
            </w:r>
          </w:p>
        </w:tc>
        <w:tc>
          <w:tcPr>
            <w:tcW w:w="1727" w:type="dxa"/>
          </w:tcPr>
          <w:p>
            <w:pPr>
              <w:pStyle w:val="14"/>
              <w:spacing w:before="34"/>
              <w:ind w:left="462"/>
              <w:rPr>
                <w:sz w:val="21"/>
                <w:szCs w:val="52"/>
              </w:rPr>
            </w:pPr>
            <w:r>
              <w:rPr>
                <w:sz w:val="21"/>
                <w:szCs w:val="52"/>
              </w:rPr>
              <w:t>其他国土资源事务支出</w:t>
            </w:r>
          </w:p>
        </w:tc>
        <w:tc>
          <w:tcPr>
            <w:tcW w:w="1905" w:type="dxa"/>
          </w:tcPr>
          <w:p>
            <w:pPr>
              <w:pStyle w:val="14"/>
              <w:spacing w:before="34"/>
              <w:ind w:left="18"/>
              <w:rPr>
                <w:sz w:val="21"/>
                <w:szCs w:val="52"/>
              </w:rPr>
            </w:pPr>
            <w:r>
              <w:rPr>
                <w:sz w:val="21"/>
                <w:szCs w:val="52"/>
              </w:rPr>
              <w:t>评审中心业务工作经费</w:t>
            </w:r>
          </w:p>
        </w:tc>
        <w:tc>
          <w:tcPr>
            <w:tcW w:w="533" w:type="dxa"/>
          </w:tcPr>
          <w:p>
            <w:pPr>
              <w:pStyle w:val="14"/>
              <w:spacing w:before="34"/>
              <w:ind w:left="248"/>
              <w:rPr>
                <w:rFonts w:hint="default" w:eastAsia="宋体"/>
                <w:sz w:val="21"/>
                <w:szCs w:val="52"/>
                <w:lang w:val="en-US" w:eastAsia="zh-CN"/>
              </w:rPr>
            </w:pPr>
            <w:r>
              <w:rPr>
                <w:rFonts w:hint="eastAsia"/>
                <w:sz w:val="21"/>
                <w:szCs w:val="52"/>
                <w:lang w:val="en-US" w:eastAsia="zh-CN"/>
              </w:rPr>
              <w:t>15</w:t>
            </w:r>
          </w:p>
        </w:tc>
        <w:tc>
          <w:tcPr>
            <w:tcW w:w="533" w:type="dxa"/>
          </w:tcPr>
          <w:p>
            <w:pPr>
              <w:pStyle w:val="14"/>
              <w:spacing w:before="34"/>
              <w:ind w:left="293"/>
              <w:rPr>
                <w:sz w:val="21"/>
                <w:szCs w:val="52"/>
              </w:rPr>
            </w:pPr>
          </w:p>
        </w:tc>
        <w:tc>
          <w:tcPr>
            <w:tcW w:w="533" w:type="dxa"/>
          </w:tcPr>
          <w:p>
            <w:pPr>
              <w:pStyle w:val="14"/>
              <w:spacing w:before="34"/>
              <w:ind w:left="250"/>
              <w:rPr>
                <w:rFonts w:hint="default" w:eastAsia="宋体"/>
                <w:sz w:val="21"/>
                <w:szCs w:val="52"/>
                <w:lang w:val="en-US" w:eastAsia="zh-CN"/>
              </w:rPr>
            </w:pPr>
            <w:r>
              <w:rPr>
                <w:rFonts w:hint="eastAsia"/>
                <w:sz w:val="21"/>
                <w:szCs w:val="52"/>
                <w:lang w:val="en-US" w:eastAsia="zh-CN"/>
              </w:rPr>
              <w:t>15</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128"/>
              <w:rPr>
                <w:rFonts w:hint="default" w:eastAsia="宋体"/>
                <w:sz w:val="21"/>
                <w:szCs w:val="52"/>
                <w:lang w:val="en-US" w:eastAsia="zh-CN"/>
              </w:rPr>
            </w:pPr>
            <w:r>
              <w:rPr>
                <w:rFonts w:hint="eastAsia"/>
                <w:sz w:val="21"/>
                <w:szCs w:val="52"/>
                <w:lang w:val="en-US" w:eastAsia="zh-CN"/>
              </w:rPr>
              <w:t>220</w:t>
            </w:r>
          </w:p>
        </w:tc>
        <w:tc>
          <w:tcPr>
            <w:tcW w:w="319" w:type="dxa"/>
          </w:tcPr>
          <w:p>
            <w:pPr>
              <w:pStyle w:val="14"/>
              <w:spacing w:before="34"/>
              <w:ind w:left="158"/>
              <w:rPr>
                <w:rFonts w:hint="default" w:eastAsia="宋体"/>
                <w:sz w:val="21"/>
                <w:szCs w:val="52"/>
                <w:lang w:val="en-US" w:eastAsia="zh-CN"/>
              </w:rPr>
            </w:pPr>
            <w:r>
              <w:rPr>
                <w:rFonts w:hint="eastAsia"/>
                <w:sz w:val="21"/>
                <w:szCs w:val="52"/>
                <w:lang w:val="en-US" w:eastAsia="zh-CN"/>
              </w:rPr>
              <w:t>01</w:t>
            </w:r>
          </w:p>
        </w:tc>
        <w:tc>
          <w:tcPr>
            <w:tcW w:w="326" w:type="dxa"/>
          </w:tcPr>
          <w:p>
            <w:pPr>
              <w:pStyle w:val="14"/>
              <w:ind w:left="129" w:right="41"/>
              <w:jc w:val="center"/>
              <w:rPr>
                <w:rFonts w:hint="default" w:eastAsia="宋体"/>
                <w:sz w:val="21"/>
                <w:szCs w:val="52"/>
                <w:lang w:val="en-US" w:eastAsia="zh-CN"/>
              </w:rPr>
            </w:pPr>
            <w:r>
              <w:rPr>
                <w:rFonts w:hint="eastAsia"/>
                <w:sz w:val="21"/>
                <w:szCs w:val="52"/>
                <w:lang w:val="en-US" w:eastAsia="zh-CN"/>
              </w:rPr>
              <w:t>99</w:t>
            </w:r>
          </w:p>
        </w:tc>
        <w:tc>
          <w:tcPr>
            <w:tcW w:w="1727" w:type="dxa"/>
          </w:tcPr>
          <w:p>
            <w:pPr>
              <w:pStyle w:val="14"/>
              <w:spacing w:before="34"/>
              <w:ind w:left="462"/>
              <w:rPr>
                <w:sz w:val="21"/>
                <w:szCs w:val="52"/>
              </w:rPr>
            </w:pPr>
            <w:r>
              <w:rPr>
                <w:sz w:val="21"/>
                <w:szCs w:val="52"/>
              </w:rPr>
              <w:t>其他国土资源事务支出</w:t>
            </w:r>
          </w:p>
        </w:tc>
        <w:tc>
          <w:tcPr>
            <w:tcW w:w="1905" w:type="dxa"/>
          </w:tcPr>
          <w:p>
            <w:pPr>
              <w:pStyle w:val="14"/>
              <w:spacing w:before="34"/>
              <w:ind w:left="18"/>
              <w:rPr>
                <w:rFonts w:hint="eastAsia" w:eastAsia="宋体"/>
                <w:sz w:val="21"/>
                <w:szCs w:val="52"/>
                <w:lang w:eastAsia="zh-CN"/>
              </w:rPr>
            </w:pPr>
            <w:r>
              <w:rPr>
                <w:rFonts w:hint="eastAsia"/>
                <w:sz w:val="21"/>
                <w:szCs w:val="52"/>
                <w:lang w:eastAsia="zh-CN"/>
              </w:rPr>
              <w:t>经营支出</w:t>
            </w:r>
          </w:p>
        </w:tc>
        <w:tc>
          <w:tcPr>
            <w:tcW w:w="533" w:type="dxa"/>
          </w:tcPr>
          <w:p>
            <w:pPr>
              <w:pStyle w:val="14"/>
              <w:spacing w:before="34"/>
              <w:ind w:left="248"/>
              <w:rPr>
                <w:rFonts w:hint="default"/>
                <w:sz w:val="21"/>
                <w:szCs w:val="52"/>
                <w:lang w:val="en-US" w:eastAsia="zh-CN"/>
              </w:rPr>
            </w:pPr>
            <w:r>
              <w:rPr>
                <w:rFonts w:hint="eastAsia"/>
                <w:sz w:val="21"/>
                <w:szCs w:val="52"/>
                <w:lang w:val="en-US" w:eastAsia="zh-CN"/>
              </w:rPr>
              <w:t>26.7</w:t>
            </w:r>
          </w:p>
        </w:tc>
        <w:tc>
          <w:tcPr>
            <w:tcW w:w="533" w:type="dxa"/>
          </w:tcPr>
          <w:p>
            <w:pPr>
              <w:pStyle w:val="14"/>
              <w:spacing w:before="34"/>
              <w:ind w:left="293"/>
              <w:rPr>
                <w:sz w:val="21"/>
                <w:szCs w:val="52"/>
              </w:rPr>
            </w:pPr>
          </w:p>
        </w:tc>
        <w:tc>
          <w:tcPr>
            <w:tcW w:w="533" w:type="dxa"/>
          </w:tcPr>
          <w:p>
            <w:pPr>
              <w:pStyle w:val="14"/>
              <w:spacing w:before="34"/>
              <w:ind w:left="250"/>
              <w:rPr>
                <w:rFonts w:hint="eastAsia"/>
                <w:sz w:val="21"/>
                <w:szCs w:val="52"/>
                <w:lang w:val="en-US" w:eastAsia="zh-CN"/>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hint="default" w:ascii="Times New Roman" w:eastAsia="宋体"/>
                <w:sz w:val="22"/>
                <w:szCs w:val="52"/>
                <w:lang w:val="en-US" w:eastAsia="zh-CN"/>
              </w:rPr>
            </w:pPr>
            <w:r>
              <w:rPr>
                <w:rFonts w:hint="eastAsia" w:ascii="Times New Roman"/>
                <w:sz w:val="22"/>
                <w:szCs w:val="52"/>
                <w:lang w:val="en-US" w:eastAsia="zh-CN"/>
              </w:rPr>
              <w:t>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128"/>
              <w:rPr>
                <w:rFonts w:hint="default" w:eastAsia="宋体"/>
                <w:sz w:val="21"/>
                <w:szCs w:val="52"/>
                <w:lang w:val="en-US" w:eastAsia="zh-CN"/>
              </w:rPr>
            </w:pPr>
            <w:r>
              <w:rPr>
                <w:rFonts w:hint="eastAsia"/>
                <w:sz w:val="21"/>
                <w:szCs w:val="52"/>
                <w:lang w:val="en-US" w:eastAsia="zh-CN"/>
              </w:rPr>
              <w:t>220</w:t>
            </w:r>
          </w:p>
        </w:tc>
        <w:tc>
          <w:tcPr>
            <w:tcW w:w="319" w:type="dxa"/>
          </w:tcPr>
          <w:p>
            <w:pPr>
              <w:pStyle w:val="14"/>
              <w:spacing w:before="34"/>
              <w:ind w:left="158"/>
              <w:rPr>
                <w:rFonts w:hint="default" w:eastAsia="宋体"/>
                <w:sz w:val="21"/>
                <w:szCs w:val="52"/>
                <w:lang w:val="en-US" w:eastAsia="zh-CN"/>
              </w:rPr>
            </w:pPr>
            <w:r>
              <w:rPr>
                <w:rFonts w:hint="eastAsia"/>
                <w:sz w:val="21"/>
                <w:szCs w:val="52"/>
                <w:lang w:val="en-US" w:eastAsia="zh-CN"/>
              </w:rPr>
              <w:t>01</w:t>
            </w:r>
          </w:p>
        </w:tc>
        <w:tc>
          <w:tcPr>
            <w:tcW w:w="326" w:type="dxa"/>
          </w:tcPr>
          <w:p>
            <w:pPr>
              <w:pStyle w:val="14"/>
              <w:ind w:left="129" w:right="41"/>
              <w:jc w:val="center"/>
              <w:rPr>
                <w:rFonts w:hint="default" w:eastAsia="宋体"/>
                <w:sz w:val="21"/>
                <w:szCs w:val="52"/>
                <w:lang w:val="en-US" w:eastAsia="zh-CN"/>
              </w:rPr>
            </w:pPr>
            <w:r>
              <w:rPr>
                <w:rFonts w:hint="eastAsia"/>
                <w:sz w:val="21"/>
                <w:szCs w:val="52"/>
                <w:lang w:val="en-US" w:eastAsia="zh-CN"/>
              </w:rPr>
              <w:t>08</w:t>
            </w:r>
          </w:p>
        </w:tc>
        <w:tc>
          <w:tcPr>
            <w:tcW w:w="1727" w:type="dxa"/>
          </w:tcPr>
          <w:p>
            <w:pPr>
              <w:pStyle w:val="14"/>
              <w:spacing w:before="34"/>
              <w:ind w:left="462"/>
              <w:rPr>
                <w:sz w:val="21"/>
                <w:szCs w:val="52"/>
              </w:rPr>
            </w:pPr>
            <w:r>
              <w:rPr>
                <w:rFonts w:hint="eastAsia"/>
                <w:sz w:val="22"/>
                <w:szCs w:val="52"/>
                <w:lang w:val="en-US" w:eastAsia="zh-CN"/>
              </w:rPr>
              <w:t>自然资源行业业务管理</w:t>
            </w:r>
          </w:p>
        </w:tc>
        <w:tc>
          <w:tcPr>
            <w:tcW w:w="1905" w:type="dxa"/>
          </w:tcPr>
          <w:p>
            <w:pPr>
              <w:pStyle w:val="14"/>
              <w:spacing w:before="34"/>
              <w:ind w:left="18"/>
              <w:rPr>
                <w:sz w:val="21"/>
                <w:szCs w:val="52"/>
              </w:rPr>
            </w:pPr>
          </w:p>
        </w:tc>
        <w:tc>
          <w:tcPr>
            <w:tcW w:w="533" w:type="dxa"/>
          </w:tcPr>
          <w:p>
            <w:pPr>
              <w:pStyle w:val="14"/>
              <w:spacing w:before="34"/>
              <w:ind w:left="248"/>
              <w:rPr>
                <w:rFonts w:hint="default" w:eastAsia="宋体"/>
                <w:sz w:val="21"/>
                <w:szCs w:val="52"/>
                <w:lang w:val="en-US" w:eastAsia="zh-CN"/>
              </w:rPr>
            </w:pPr>
            <w:r>
              <w:rPr>
                <w:rFonts w:hint="eastAsia"/>
                <w:sz w:val="21"/>
                <w:szCs w:val="52"/>
                <w:lang w:val="en-US" w:eastAsia="zh-CN"/>
              </w:rPr>
              <w:t>30</w:t>
            </w:r>
          </w:p>
        </w:tc>
        <w:tc>
          <w:tcPr>
            <w:tcW w:w="533" w:type="dxa"/>
          </w:tcPr>
          <w:p>
            <w:pPr>
              <w:pStyle w:val="14"/>
              <w:spacing w:before="34"/>
              <w:ind w:left="293"/>
              <w:rPr>
                <w:sz w:val="21"/>
                <w:szCs w:val="52"/>
              </w:rPr>
            </w:pPr>
          </w:p>
        </w:tc>
        <w:tc>
          <w:tcPr>
            <w:tcW w:w="533" w:type="dxa"/>
          </w:tcPr>
          <w:p>
            <w:pPr>
              <w:pStyle w:val="14"/>
              <w:spacing w:before="34"/>
              <w:ind w:left="250"/>
              <w:rPr>
                <w:rFonts w:hint="default" w:eastAsia="宋体"/>
                <w:w w:val="95"/>
                <w:sz w:val="21"/>
                <w:szCs w:val="52"/>
                <w:lang w:val="en-US" w:eastAsia="zh-CN"/>
              </w:rPr>
            </w:pPr>
            <w:r>
              <w:rPr>
                <w:rFonts w:hint="eastAsia"/>
                <w:w w:val="95"/>
                <w:sz w:val="21"/>
                <w:szCs w:val="52"/>
                <w:lang w:val="en-US" w:eastAsia="zh-CN"/>
              </w:rPr>
              <w:t>30</w:t>
            </w: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c>
          <w:tcPr>
            <w:tcW w:w="533" w:type="dxa"/>
          </w:tcPr>
          <w:p>
            <w:pPr>
              <w:pStyle w:val="14"/>
              <w:rPr>
                <w:rFonts w:ascii="Times New Roman"/>
                <w:sz w:val="22"/>
                <w:szCs w:val="5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trPr>
        <w:tc>
          <w:tcPr>
            <w:tcW w:w="304" w:type="dxa"/>
          </w:tcPr>
          <w:p>
            <w:pPr>
              <w:pStyle w:val="14"/>
              <w:spacing w:before="34"/>
              <w:ind w:left="128"/>
              <w:rPr>
                <w:rFonts w:hint="eastAsia"/>
                <w:sz w:val="20"/>
                <w:szCs w:val="48"/>
                <w:lang w:val="en-US" w:eastAsia="zh-CN"/>
              </w:rPr>
            </w:pPr>
          </w:p>
        </w:tc>
        <w:tc>
          <w:tcPr>
            <w:tcW w:w="319" w:type="dxa"/>
          </w:tcPr>
          <w:p>
            <w:pPr>
              <w:pStyle w:val="14"/>
              <w:spacing w:before="34"/>
              <w:ind w:left="158"/>
              <w:rPr>
                <w:rFonts w:hint="eastAsia"/>
                <w:sz w:val="20"/>
                <w:szCs w:val="48"/>
                <w:lang w:val="en-US" w:eastAsia="zh-CN"/>
              </w:rPr>
            </w:pPr>
          </w:p>
        </w:tc>
        <w:tc>
          <w:tcPr>
            <w:tcW w:w="326" w:type="dxa"/>
          </w:tcPr>
          <w:p>
            <w:pPr>
              <w:pStyle w:val="14"/>
              <w:ind w:left="129" w:right="41"/>
              <w:jc w:val="center"/>
              <w:rPr>
                <w:rFonts w:hint="eastAsia"/>
                <w:sz w:val="20"/>
                <w:szCs w:val="48"/>
                <w:lang w:val="en-US" w:eastAsia="zh-CN"/>
              </w:rPr>
            </w:pPr>
          </w:p>
        </w:tc>
        <w:tc>
          <w:tcPr>
            <w:tcW w:w="1727" w:type="dxa"/>
          </w:tcPr>
          <w:p>
            <w:pPr>
              <w:pStyle w:val="14"/>
              <w:spacing w:before="34"/>
              <w:ind w:left="462"/>
              <w:rPr>
                <w:rFonts w:hint="eastAsia"/>
                <w:sz w:val="21"/>
                <w:szCs w:val="48"/>
                <w:lang w:val="en-US" w:eastAsia="zh-CN"/>
              </w:rPr>
            </w:pPr>
          </w:p>
        </w:tc>
        <w:tc>
          <w:tcPr>
            <w:tcW w:w="1905" w:type="dxa"/>
          </w:tcPr>
          <w:p>
            <w:pPr>
              <w:pStyle w:val="14"/>
              <w:spacing w:before="34"/>
              <w:ind w:left="18"/>
              <w:rPr>
                <w:sz w:val="20"/>
                <w:szCs w:val="48"/>
              </w:rPr>
            </w:pPr>
          </w:p>
        </w:tc>
        <w:tc>
          <w:tcPr>
            <w:tcW w:w="533" w:type="dxa"/>
          </w:tcPr>
          <w:p>
            <w:pPr>
              <w:pStyle w:val="14"/>
              <w:spacing w:before="34"/>
              <w:ind w:left="248"/>
              <w:rPr>
                <w:rFonts w:hint="eastAsia"/>
                <w:sz w:val="20"/>
                <w:szCs w:val="48"/>
                <w:lang w:val="en-US" w:eastAsia="zh-CN"/>
              </w:rPr>
            </w:pPr>
          </w:p>
        </w:tc>
        <w:tc>
          <w:tcPr>
            <w:tcW w:w="533" w:type="dxa"/>
          </w:tcPr>
          <w:p>
            <w:pPr>
              <w:pStyle w:val="14"/>
              <w:spacing w:before="34"/>
              <w:ind w:left="293"/>
              <w:rPr>
                <w:sz w:val="20"/>
                <w:szCs w:val="48"/>
              </w:rPr>
            </w:pPr>
          </w:p>
        </w:tc>
        <w:tc>
          <w:tcPr>
            <w:tcW w:w="533" w:type="dxa"/>
          </w:tcPr>
          <w:p>
            <w:pPr>
              <w:pStyle w:val="14"/>
              <w:spacing w:before="34"/>
              <w:ind w:left="250"/>
              <w:rPr>
                <w:rFonts w:hint="eastAsia"/>
                <w:w w:val="95"/>
                <w:sz w:val="20"/>
                <w:szCs w:val="48"/>
                <w:lang w:val="en-US" w:eastAsia="zh-CN"/>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c>
          <w:tcPr>
            <w:tcW w:w="533" w:type="dxa"/>
          </w:tcPr>
          <w:p>
            <w:pPr>
              <w:pStyle w:val="14"/>
              <w:rPr>
                <w:rFonts w:ascii="Times New Roman"/>
                <w:sz w:val="21"/>
                <w:szCs w:val="48"/>
              </w:rPr>
            </w:pPr>
          </w:p>
        </w:tc>
      </w:tr>
    </w:tbl>
    <w:p>
      <w:pPr>
        <w:pStyle w:val="7"/>
        <w:rPr>
          <w:rFonts w:ascii="宋体"/>
          <w:sz w:val="44"/>
          <w:szCs w:val="72"/>
        </w:rPr>
      </w:pPr>
    </w:p>
    <w:p>
      <w:pPr>
        <w:pStyle w:val="7"/>
        <w:rPr>
          <w:rFonts w:ascii="宋体"/>
          <w:sz w:val="20"/>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w w:val="105"/>
          <w:sz w:val="11"/>
        </w:rPr>
      </w:pPr>
    </w:p>
    <w:p>
      <w:pPr>
        <w:spacing w:before="89"/>
        <w:ind w:right="0"/>
        <w:jc w:val="left"/>
        <w:rPr>
          <w:rFonts w:hint="eastAsia" w:ascii="宋体" w:eastAsia="宋体"/>
          <w:sz w:val="11"/>
        </w:rPr>
      </w:pPr>
      <w:r>
        <w:rPr>
          <w:rFonts w:hint="eastAsia" w:ascii="宋体" w:eastAsia="宋体"/>
          <w:w w:val="105"/>
          <w:sz w:val="11"/>
        </w:rPr>
        <w:t>表八</w:t>
      </w:r>
    </w:p>
    <w:p>
      <w:pPr>
        <w:spacing w:before="8"/>
        <w:ind w:left="0" w:right="319" w:firstLine="0"/>
        <w:jc w:val="center"/>
        <w:rPr>
          <w:rFonts w:hint="eastAsia" w:ascii="宋体" w:hAnsi="宋体" w:eastAsia="宋体"/>
          <w:b/>
          <w:sz w:val="20"/>
        </w:rPr>
      </w:pPr>
      <w:r>
        <w:rPr>
          <w:rFonts w:hint="eastAsia" w:ascii="宋体" w:hAnsi="宋体" w:eastAsia="宋体"/>
          <w:b/>
          <w:sz w:val="20"/>
        </w:rPr>
        <w:t>一般公共预算“三公”经费支出情况表</w:t>
      </w:r>
    </w:p>
    <w:p>
      <w:pPr>
        <w:tabs>
          <w:tab w:val="left" w:pos="9981"/>
        </w:tabs>
        <w:spacing w:before="34" w:after="36"/>
        <w:ind w:left="148" w:right="0" w:firstLine="0"/>
        <w:jc w:val="left"/>
        <w:rPr>
          <w:rFonts w:hint="eastAsia" w:ascii="宋体" w:eastAsia="宋体"/>
          <w:sz w:val="11"/>
        </w:rPr>
      </w:pPr>
      <w:r>
        <w:rPr>
          <w:rFonts w:hint="eastAsia" w:ascii="宋体" w:eastAsia="宋体"/>
          <w:w w:val="105"/>
          <w:sz w:val="11"/>
        </w:rPr>
        <w:t>编制部门：新疆维吾尔自治区矿产资源储量评审中心</w:t>
      </w:r>
      <w:r>
        <w:rPr>
          <w:rFonts w:hint="eastAsia" w:ascii="宋体" w:eastAsia="宋体"/>
          <w:w w:val="105"/>
          <w:sz w:val="11"/>
        </w:rPr>
        <w:tab/>
      </w:r>
      <w:r>
        <w:rPr>
          <w:rFonts w:hint="eastAsia" w:ascii="宋体" w:eastAsia="宋体"/>
          <w:w w:val="105"/>
          <w:sz w:val="11"/>
        </w:rPr>
        <w:t>单位：万元</w:t>
      </w:r>
    </w:p>
    <w:tbl>
      <w:tblPr>
        <w:tblStyle w:val="10"/>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79"/>
        <w:gridCol w:w="1613"/>
        <w:gridCol w:w="1165"/>
        <w:gridCol w:w="1184"/>
        <w:gridCol w:w="1184"/>
        <w:gridCol w:w="1184"/>
        <w:gridCol w:w="11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2979" w:type="dxa"/>
            <w:vMerge w:val="restart"/>
          </w:tcPr>
          <w:p>
            <w:pPr>
              <w:pStyle w:val="14"/>
              <w:rPr>
                <w:sz w:val="18"/>
                <w:szCs w:val="40"/>
              </w:rPr>
            </w:pPr>
          </w:p>
          <w:p>
            <w:pPr>
              <w:pStyle w:val="14"/>
              <w:spacing w:before="2"/>
              <w:rPr>
                <w:sz w:val="20"/>
                <w:szCs w:val="40"/>
              </w:rPr>
            </w:pPr>
          </w:p>
          <w:p>
            <w:pPr>
              <w:pStyle w:val="14"/>
              <w:ind w:left="1320" w:right="1320"/>
              <w:jc w:val="center"/>
              <w:rPr>
                <w:sz w:val="20"/>
                <w:szCs w:val="40"/>
              </w:rPr>
            </w:pPr>
            <w:r>
              <w:rPr>
                <w:w w:val="105"/>
                <w:sz w:val="20"/>
                <w:szCs w:val="40"/>
              </w:rPr>
              <w:t>单 位</w:t>
            </w:r>
          </w:p>
        </w:tc>
        <w:tc>
          <w:tcPr>
            <w:tcW w:w="1613" w:type="dxa"/>
            <w:vMerge w:val="restart"/>
          </w:tcPr>
          <w:p>
            <w:pPr>
              <w:pStyle w:val="14"/>
              <w:rPr>
                <w:sz w:val="18"/>
                <w:szCs w:val="40"/>
              </w:rPr>
            </w:pPr>
          </w:p>
          <w:p>
            <w:pPr>
              <w:pStyle w:val="14"/>
              <w:spacing w:before="2"/>
              <w:rPr>
                <w:sz w:val="20"/>
                <w:szCs w:val="40"/>
              </w:rPr>
            </w:pPr>
          </w:p>
          <w:p>
            <w:pPr>
              <w:pStyle w:val="14"/>
              <w:ind w:left="670" w:right="662"/>
              <w:jc w:val="center"/>
              <w:rPr>
                <w:sz w:val="20"/>
                <w:szCs w:val="40"/>
              </w:rPr>
            </w:pPr>
            <w:r>
              <w:rPr>
                <w:w w:val="105"/>
                <w:sz w:val="20"/>
                <w:szCs w:val="40"/>
              </w:rPr>
              <w:t>合计</w:t>
            </w:r>
          </w:p>
        </w:tc>
        <w:tc>
          <w:tcPr>
            <w:tcW w:w="1165" w:type="dxa"/>
            <w:vMerge w:val="restart"/>
          </w:tcPr>
          <w:p>
            <w:pPr>
              <w:pStyle w:val="14"/>
              <w:rPr>
                <w:sz w:val="18"/>
                <w:szCs w:val="40"/>
              </w:rPr>
            </w:pPr>
          </w:p>
          <w:p>
            <w:pPr>
              <w:pStyle w:val="14"/>
              <w:spacing w:before="2"/>
              <w:rPr>
                <w:sz w:val="20"/>
                <w:szCs w:val="40"/>
              </w:rPr>
            </w:pPr>
          </w:p>
          <w:p>
            <w:pPr>
              <w:pStyle w:val="14"/>
              <w:ind w:left="119"/>
              <w:rPr>
                <w:sz w:val="20"/>
                <w:szCs w:val="40"/>
              </w:rPr>
            </w:pPr>
            <w:r>
              <w:rPr>
                <w:w w:val="105"/>
                <w:sz w:val="20"/>
                <w:szCs w:val="40"/>
              </w:rPr>
              <w:t>因公出国（境）费</w:t>
            </w:r>
          </w:p>
        </w:tc>
        <w:tc>
          <w:tcPr>
            <w:tcW w:w="3552" w:type="dxa"/>
            <w:gridSpan w:val="3"/>
          </w:tcPr>
          <w:p>
            <w:pPr>
              <w:pStyle w:val="14"/>
              <w:spacing w:before="3"/>
              <w:rPr>
                <w:sz w:val="20"/>
                <w:szCs w:val="40"/>
              </w:rPr>
            </w:pPr>
          </w:p>
          <w:p>
            <w:pPr>
              <w:pStyle w:val="14"/>
              <w:ind w:left="1181" w:right="1165"/>
              <w:jc w:val="center"/>
              <w:rPr>
                <w:sz w:val="20"/>
                <w:szCs w:val="40"/>
              </w:rPr>
            </w:pPr>
            <w:r>
              <w:rPr>
                <w:w w:val="105"/>
                <w:sz w:val="20"/>
                <w:szCs w:val="40"/>
              </w:rPr>
              <w:t>公务用车购置及运行费</w:t>
            </w:r>
          </w:p>
        </w:tc>
        <w:tc>
          <w:tcPr>
            <w:tcW w:w="1146" w:type="dxa"/>
            <w:vMerge w:val="restart"/>
          </w:tcPr>
          <w:p>
            <w:pPr>
              <w:pStyle w:val="14"/>
              <w:rPr>
                <w:sz w:val="18"/>
                <w:szCs w:val="40"/>
              </w:rPr>
            </w:pPr>
          </w:p>
          <w:p>
            <w:pPr>
              <w:pStyle w:val="14"/>
              <w:spacing w:before="2"/>
              <w:rPr>
                <w:sz w:val="20"/>
                <w:szCs w:val="40"/>
              </w:rPr>
            </w:pPr>
          </w:p>
          <w:p>
            <w:pPr>
              <w:pStyle w:val="14"/>
              <w:ind w:left="289"/>
              <w:rPr>
                <w:sz w:val="20"/>
                <w:szCs w:val="40"/>
              </w:rPr>
            </w:pPr>
            <w:r>
              <w:rPr>
                <w:w w:val="105"/>
                <w:sz w:val="20"/>
                <w:szCs w:val="40"/>
              </w:rPr>
              <w:t>公务接待费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2979" w:type="dxa"/>
            <w:vMerge w:val="continue"/>
            <w:tcBorders>
              <w:top w:val="nil"/>
            </w:tcBorders>
          </w:tcPr>
          <w:p>
            <w:pPr>
              <w:rPr>
                <w:sz w:val="11"/>
                <w:szCs w:val="11"/>
              </w:rPr>
            </w:pPr>
          </w:p>
        </w:tc>
        <w:tc>
          <w:tcPr>
            <w:tcW w:w="1613" w:type="dxa"/>
            <w:vMerge w:val="continue"/>
            <w:tcBorders>
              <w:top w:val="nil"/>
            </w:tcBorders>
          </w:tcPr>
          <w:p>
            <w:pPr>
              <w:rPr>
                <w:sz w:val="11"/>
                <w:szCs w:val="11"/>
              </w:rPr>
            </w:pPr>
          </w:p>
        </w:tc>
        <w:tc>
          <w:tcPr>
            <w:tcW w:w="1165" w:type="dxa"/>
            <w:vMerge w:val="continue"/>
            <w:tcBorders>
              <w:top w:val="nil"/>
            </w:tcBorders>
          </w:tcPr>
          <w:p>
            <w:pPr>
              <w:rPr>
                <w:sz w:val="11"/>
                <w:szCs w:val="11"/>
              </w:rPr>
            </w:pPr>
          </w:p>
        </w:tc>
        <w:tc>
          <w:tcPr>
            <w:tcW w:w="1184" w:type="dxa"/>
          </w:tcPr>
          <w:p>
            <w:pPr>
              <w:pStyle w:val="14"/>
              <w:spacing w:before="42"/>
              <w:ind w:left="161" w:right="162"/>
              <w:jc w:val="center"/>
              <w:rPr>
                <w:sz w:val="20"/>
                <w:szCs w:val="40"/>
              </w:rPr>
            </w:pPr>
            <w:r>
              <w:rPr>
                <w:w w:val="105"/>
                <w:sz w:val="20"/>
                <w:szCs w:val="40"/>
              </w:rPr>
              <w:t>小计</w:t>
            </w:r>
          </w:p>
        </w:tc>
        <w:tc>
          <w:tcPr>
            <w:tcW w:w="1184" w:type="dxa"/>
          </w:tcPr>
          <w:p>
            <w:pPr>
              <w:pStyle w:val="14"/>
              <w:spacing w:before="42"/>
              <w:ind w:left="162" w:right="162"/>
              <w:jc w:val="center"/>
              <w:rPr>
                <w:sz w:val="20"/>
                <w:szCs w:val="40"/>
              </w:rPr>
            </w:pPr>
            <w:r>
              <w:rPr>
                <w:w w:val="105"/>
                <w:sz w:val="20"/>
                <w:szCs w:val="40"/>
              </w:rPr>
              <w:t>公务用车购置费</w:t>
            </w:r>
          </w:p>
        </w:tc>
        <w:tc>
          <w:tcPr>
            <w:tcW w:w="1184" w:type="dxa"/>
          </w:tcPr>
          <w:p>
            <w:pPr>
              <w:pStyle w:val="14"/>
              <w:spacing w:before="42"/>
              <w:ind w:left="162" w:right="162"/>
              <w:jc w:val="center"/>
              <w:rPr>
                <w:sz w:val="20"/>
                <w:szCs w:val="40"/>
              </w:rPr>
            </w:pPr>
            <w:r>
              <w:rPr>
                <w:w w:val="105"/>
                <w:sz w:val="20"/>
                <w:szCs w:val="40"/>
              </w:rPr>
              <w:t>公务用车运行费</w:t>
            </w:r>
          </w:p>
        </w:tc>
        <w:tc>
          <w:tcPr>
            <w:tcW w:w="1146" w:type="dxa"/>
            <w:vMerge w:val="continue"/>
            <w:tcBorders>
              <w:top w:val="nil"/>
            </w:tcBorders>
          </w:tcPr>
          <w:p>
            <w:pPr>
              <w:rPr>
                <w:sz w:val="11"/>
                <w:szCs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2979" w:type="dxa"/>
          </w:tcPr>
          <w:p>
            <w:pPr>
              <w:pStyle w:val="14"/>
              <w:spacing w:before="42"/>
              <w:ind w:left="1320" w:right="1302"/>
              <w:jc w:val="center"/>
              <w:rPr>
                <w:sz w:val="20"/>
                <w:szCs w:val="40"/>
              </w:rPr>
            </w:pPr>
            <w:r>
              <w:rPr>
                <w:w w:val="105"/>
                <w:sz w:val="20"/>
                <w:szCs w:val="40"/>
              </w:rPr>
              <w:t>※※</w:t>
            </w:r>
          </w:p>
        </w:tc>
        <w:tc>
          <w:tcPr>
            <w:tcW w:w="1613" w:type="dxa"/>
          </w:tcPr>
          <w:p>
            <w:pPr>
              <w:pStyle w:val="14"/>
              <w:spacing w:before="42"/>
              <w:ind w:left="9"/>
              <w:jc w:val="center"/>
              <w:rPr>
                <w:sz w:val="20"/>
                <w:szCs w:val="40"/>
              </w:rPr>
            </w:pPr>
            <w:r>
              <w:rPr>
                <w:w w:val="104"/>
                <w:sz w:val="20"/>
                <w:szCs w:val="40"/>
              </w:rPr>
              <w:t>1</w:t>
            </w:r>
          </w:p>
        </w:tc>
        <w:tc>
          <w:tcPr>
            <w:tcW w:w="1165" w:type="dxa"/>
          </w:tcPr>
          <w:p>
            <w:pPr>
              <w:pStyle w:val="14"/>
              <w:spacing w:before="42"/>
              <w:ind w:left="18"/>
              <w:jc w:val="center"/>
              <w:rPr>
                <w:sz w:val="20"/>
                <w:szCs w:val="40"/>
              </w:rPr>
            </w:pPr>
            <w:r>
              <w:rPr>
                <w:w w:val="104"/>
                <w:sz w:val="20"/>
                <w:szCs w:val="40"/>
              </w:rPr>
              <w:t>2</w:t>
            </w:r>
          </w:p>
        </w:tc>
        <w:tc>
          <w:tcPr>
            <w:tcW w:w="1184" w:type="dxa"/>
          </w:tcPr>
          <w:p>
            <w:pPr>
              <w:pStyle w:val="14"/>
              <w:spacing w:before="42"/>
              <w:ind w:left="17"/>
              <w:jc w:val="center"/>
              <w:rPr>
                <w:sz w:val="20"/>
                <w:szCs w:val="40"/>
              </w:rPr>
            </w:pPr>
            <w:r>
              <w:rPr>
                <w:w w:val="104"/>
                <w:sz w:val="20"/>
                <w:szCs w:val="40"/>
              </w:rPr>
              <w:t>3</w:t>
            </w:r>
          </w:p>
        </w:tc>
        <w:tc>
          <w:tcPr>
            <w:tcW w:w="1184" w:type="dxa"/>
          </w:tcPr>
          <w:p>
            <w:pPr>
              <w:pStyle w:val="14"/>
              <w:spacing w:before="42"/>
              <w:ind w:left="17"/>
              <w:jc w:val="center"/>
              <w:rPr>
                <w:sz w:val="20"/>
                <w:szCs w:val="40"/>
              </w:rPr>
            </w:pPr>
            <w:r>
              <w:rPr>
                <w:w w:val="104"/>
                <w:sz w:val="20"/>
                <w:szCs w:val="40"/>
              </w:rPr>
              <w:t>4</w:t>
            </w:r>
          </w:p>
        </w:tc>
        <w:tc>
          <w:tcPr>
            <w:tcW w:w="1184" w:type="dxa"/>
          </w:tcPr>
          <w:p>
            <w:pPr>
              <w:pStyle w:val="14"/>
              <w:spacing w:before="42"/>
              <w:ind w:left="17"/>
              <w:jc w:val="center"/>
              <w:rPr>
                <w:sz w:val="20"/>
                <w:szCs w:val="40"/>
              </w:rPr>
            </w:pPr>
            <w:r>
              <w:rPr>
                <w:w w:val="104"/>
                <w:sz w:val="20"/>
                <w:szCs w:val="40"/>
              </w:rPr>
              <w:t>5</w:t>
            </w:r>
          </w:p>
        </w:tc>
        <w:tc>
          <w:tcPr>
            <w:tcW w:w="1146" w:type="dxa"/>
          </w:tcPr>
          <w:p>
            <w:pPr>
              <w:pStyle w:val="14"/>
              <w:spacing w:before="42"/>
              <w:ind w:left="16"/>
              <w:jc w:val="center"/>
              <w:rPr>
                <w:sz w:val="20"/>
                <w:szCs w:val="40"/>
              </w:rPr>
            </w:pPr>
            <w:r>
              <w:rPr>
                <w:w w:val="104"/>
                <w:sz w:val="20"/>
                <w:szCs w:val="4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2979" w:type="dxa"/>
          </w:tcPr>
          <w:p>
            <w:pPr>
              <w:pStyle w:val="14"/>
              <w:rPr>
                <w:rFonts w:ascii="Times New Roman"/>
                <w:sz w:val="18"/>
                <w:szCs w:val="40"/>
              </w:rPr>
            </w:pPr>
          </w:p>
        </w:tc>
        <w:tc>
          <w:tcPr>
            <w:tcW w:w="1613" w:type="dxa"/>
          </w:tcPr>
          <w:p>
            <w:pPr>
              <w:pStyle w:val="14"/>
              <w:rPr>
                <w:rFonts w:ascii="Times New Roman"/>
                <w:sz w:val="18"/>
                <w:szCs w:val="40"/>
              </w:rPr>
            </w:pPr>
          </w:p>
        </w:tc>
        <w:tc>
          <w:tcPr>
            <w:tcW w:w="1165" w:type="dxa"/>
          </w:tcPr>
          <w:p>
            <w:pPr>
              <w:pStyle w:val="14"/>
              <w:rPr>
                <w:rFonts w:ascii="Times New Roman"/>
                <w:sz w:val="18"/>
                <w:szCs w:val="40"/>
              </w:rPr>
            </w:pPr>
          </w:p>
        </w:tc>
        <w:tc>
          <w:tcPr>
            <w:tcW w:w="1184" w:type="dxa"/>
          </w:tcPr>
          <w:p>
            <w:pPr>
              <w:pStyle w:val="14"/>
              <w:rPr>
                <w:rFonts w:ascii="Times New Roman"/>
                <w:sz w:val="18"/>
                <w:szCs w:val="40"/>
              </w:rPr>
            </w:pPr>
          </w:p>
        </w:tc>
        <w:tc>
          <w:tcPr>
            <w:tcW w:w="1184" w:type="dxa"/>
          </w:tcPr>
          <w:p>
            <w:pPr>
              <w:pStyle w:val="14"/>
              <w:rPr>
                <w:rFonts w:ascii="Times New Roman"/>
                <w:sz w:val="18"/>
                <w:szCs w:val="40"/>
              </w:rPr>
            </w:pPr>
          </w:p>
        </w:tc>
        <w:tc>
          <w:tcPr>
            <w:tcW w:w="1184" w:type="dxa"/>
          </w:tcPr>
          <w:p>
            <w:pPr>
              <w:pStyle w:val="14"/>
              <w:rPr>
                <w:rFonts w:ascii="Times New Roman"/>
                <w:sz w:val="18"/>
                <w:szCs w:val="40"/>
              </w:rPr>
            </w:pPr>
          </w:p>
        </w:tc>
        <w:tc>
          <w:tcPr>
            <w:tcW w:w="1146" w:type="dxa"/>
          </w:tcPr>
          <w:p>
            <w:pPr>
              <w:pStyle w:val="14"/>
              <w:rPr>
                <w:rFonts w:ascii="Times New Roman"/>
                <w:sz w:val="18"/>
                <w:szCs w:val="40"/>
              </w:rPr>
            </w:pPr>
          </w:p>
        </w:tc>
      </w:tr>
    </w:tbl>
    <w:p>
      <w:pPr>
        <w:pStyle w:val="7"/>
        <w:spacing w:before="12"/>
        <w:rPr>
          <w:rFonts w:ascii="宋体"/>
          <w:sz w:val="44"/>
          <w:szCs w:val="48"/>
        </w:rPr>
      </w:pPr>
    </w:p>
    <w:p>
      <w:pPr>
        <w:spacing w:before="85"/>
        <w:ind w:left="253" w:right="0" w:firstLine="0"/>
        <w:jc w:val="left"/>
        <w:rPr>
          <w:rFonts w:hint="eastAsia" w:ascii="宋体" w:eastAsia="宋体"/>
          <w:sz w:val="13"/>
          <w:szCs w:val="22"/>
        </w:rPr>
      </w:pPr>
      <w:r>
        <w:rPr>
          <w:rFonts w:hint="eastAsia" w:ascii="宋体" w:eastAsia="宋体"/>
          <w:w w:val="105"/>
          <w:sz w:val="13"/>
          <w:szCs w:val="22"/>
        </w:rPr>
        <w:t>表九</w:t>
      </w:r>
    </w:p>
    <w:p>
      <w:pPr>
        <w:spacing w:before="31"/>
        <w:ind w:left="0" w:right="310" w:firstLine="0"/>
        <w:jc w:val="center"/>
        <w:rPr>
          <w:rFonts w:hint="eastAsia" w:ascii="宋体" w:eastAsia="宋体"/>
          <w:b/>
          <w:sz w:val="21"/>
          <w:szCs w:val="22"/>
        </w:rPr>
      </w:pPr>
      <w:r>
        <w:rPr>
          <w:rFonts w:hint="eastAsia" w:ascii="宋体" w:eastAsia="宋体"/>
          <w:b/>
          <w:w w:val="105"/>
          <w:sz w:val="21"/>
          <w:szCs w:val="22"/>
        </w:rPr>
        <w:t>政府性基金预算支出情况表</w:t>
      </w:r>
    </w:p>
    <w:p>
      <w:pPr>
        <w:tabs>
          <w:tab w:val="left" w:pos="9883"/>
        </w:tabs>
        <w:spacing w:before="27" w:after="25"/>
        <w:ind w:left="150" w:right="0" w:firstLine="0"/>
        <w:jc w:val="left"/>
        <w:rPr>
          <w:rFonts w:hint="eastAsia" w:ascii="宋体" w:eastAsia="宋体"/>
          <w:sz w:val="13"/>
          <w:szCs w:val="22"/>
        </w:rPr>
      </w:pPr>
      <w:r>
        <w:rPr>
          <w:rFonts w:hint="eastAsia" w:ascii="宋体" w:eastAsia="宋体"/>
          <w:position w:val="1"/>
          <w:sz w:val="13"/>
          <w:szCs w:val="22"/>
        </w:rPr>
        <w:t>编制部门：新疆维吾尔自治区矿产资源储量评审中心</w:t>
      </w:r>
      <w:r>
        <w:rPr>
          <w:rFonts w:hint="eastAsia" w:ascii="宋体" w:eastAsia="宋体"/>
          <w:position w:val="1"/>
          <w:sz w:val="13"/>
          <w:szCs w:val="22"/>
        </w:rPr>
        <w:tab/>
      </w:r>
      <w:r>
        <w:rPr>
          <w:rFonts w:hint="eastAsia" w:ascii="宋体" w:eastAsia="宋体"/>
          <w:w w:val="105"/>
          <w:sz w:val="13"/>
          <w:szCs w:val="22"/>
        </w:rPr>
        <w:t>单位：万元</w:t>
      </w:r>
    </w:p>
    <w:tbl>
      <w:tblPr>
        <w:tblStyle w:val="10"/>
        <w:tblW w:w="0" w:type="auto"/>
        <w:tblInd w:w="13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13"/>
        <w:gridCol w:w="524"/>
        <w:gridCol w:w="472"/>
        <w:gridCol w:w="3460"/>
        <w:gridCol w:w="2033"/>
        <w:gridCol w:w="1725"/>
        <w:gridCol w:w="17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1" w:hRule="atLeast"/>
        </w:trPr>
        <w:tc>
          <w:tcPr>
            <w:tcW w:w="4969" w:type="dxa"/>
            <w:gridSpan w:val="4"/>
          </w:tcPr>
          <w:p>
            <w:pPr>
              <w:pStyle w:val="14"/>
              <w:spacing w:before="52"/>
              <w:ind w:left="2341" w:right="2321"/>
              <w:jc w:val="center"/>
              <w:rPr>
                <w:sz w:val="13"/>
                <w:szCs w:val="22"/>
              </w:rPr>
            </w:pPr>
            <w:r>
              <w:rPr>
                <w:w w:val="105"/>
                <w:sz w:val="13"/>
                <w:szCs w:val="22"/>
              </w:rPr>
              <w:t>项目</w:t>
            </w:r>
          </w:p>
        </w:tc>
        <w:tc>
          <w:tcPr>
            <w:tcW w:w="5483" w:type="dxa"/>
            <w:gridSpan w:val="3"/>
          </w:tcPr>
          <w:p>
            <w:pPr>
              <w:pStyle w:val="14"/>
              <w:spacing w:before="52"/>
              <w:ind w:left="2156" w:right="2137"/>
              <w:jc w:val="center"/>
              <w:rPr>
                <w:sz w:val="13"/>
                <w:szCs w:val="22"/>
              </w:rPr>
            </w:pPr>
            <w:r>
              <w:rPr>
                <w:w w:val="105"/>
                <w:sz w:val="13"/>
                <w:szCs w:val="22"/>
              </w:rPr>
              <w:t>政府性基金预算支出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1" w:hRule="atLeast"/>
        </w:trPr>
        <w:tc>
          <w:tcPr>
            <w:tcW w:w="1509" w:type="dxa"/>
            <w:gridSpan w:val="3"/>
          </w:tcPr>
          <w:p>
            <w:pPr>
              <w:pStyle w:val="14"/>
              <w:spacing w:before="42"/>
              <w:ind w:left="259"/>
              <w:rPr>
                <w:sz w:val="16"/>
                <w:szCs w:val="32"/>
              </w:rPr>
            </w:pPr>
            <w:r>
              <w:rPr>
                <w:w w:val="105"/>
                <w:sz w:val="16"/>
                <w:szCs w:val="32"/>
              </w:rPr>
              <w:t>功能分类科目编码</w:t>
            </w:r>
          </w:p>
        </w:tc>
        <w:tc>
          <w:tcPr>
            <w:tcW w:w="3460" w:type="dxa"/>
            <w:vMerge w:val="restart"/>
          </w:tcPr>
          <w:p>
            <w:pPr>
              <w:pStyle w:val="14"/>
              <w:spacing w:before="11"/>
              <w:rPr>
                <w:sz w:val="21"/>
                <w:szCs w:val="32"/>
              </w:rPr>
            </w:pPr>
          </w:p>
          <w:p>
            <w:pPr>
              <w:pStyle w:val="14"/>
              <w:ind w:left="1203" w:right="1194"/>
              <w:jc w:val="center"/>
              <w:rPr>
                <w:sz w:val="16"/>
                <w:szCs w:val="32"/>
              </w:rPr>
            </w:pPr>
            <w:r>
              <w:rPr>
                <w:w w:val="105"/>
                <w:sz w:val="16"/>
                <w:szCs w:val="32"/>
              </w:rPr>
              <w:t>功能分类科目名称</w:t>
            </w:r>
          </w:p>
        </w:tc>
        <w:tc>
          <w:tcPr>
            <w:tcW w:w="2033" w:type="dxa"/>
            <w:vMerge w:val="restart"/>
          </w:tcPr>
          <w:p>
            <w:pPr>
              <w:pStyle w:val="14"/>
              <w:spacing w:before="11"/>
              <w:rPr>
                <w:sz w:val="21"/>
                <w:szCs w:val="32"/>
              </w:rPr>
            </w:pPr>
          </w:p>
          <w:p>
            <w:pPr>
              <w:pStyle w:val="14"/>
              <w:tabs>
                <w:tab w:val="left" w:pos="512"/>
              </w:tabs>
              <w:ind w:left="20"/>
              <w:jc w:val="center"/>
              <w:rPr>
                <w:sz w:val="16"/>
                <w:szCs w:val="32"/>
              </w:rPr>
            </w:pPr>
            <w:r>
              <w:rPr>
                <w:w w:val="105"/>
                <w:sz w:val="16"/>
                <w:szCs w:val="32"/>
              </w:rPr>
              <w:t>总</w:t>
            </w:r>
            <w:r>
              <w:rPr>
                <w:w w:val="105"/>
                <w:sz w:val="16"/>
                <w:szCs w:val="32"/>
              </w:rPr>
              <w:tab/>
            </w:r>
            <w:r>
              <w:rPr>
                <w:w w:val="105"/>
                <w:sz w:val="16"/>
                <w:szCs w:val="32"/>
              </w:rPr>
              <w:t>计</w:t>
            </w:r>
          </w:p>
        </w:tc>
        <w:tc>
          <w:tcPr>
            <w:tcW w:w="1725" w:type="dxa"/>
            <w:vMerge w:val="restart"/>
          </w:tcPr>
          <w:p>
            <w:pPr>
              <w:pStyle w:val="14"/>
              <w:spacing w:before="11"/>
              <w:rPr>
                <w:sz w:val="21"/>
                <w:szCs w:val="32"/>
              </w:rPr>
            </w:pPr>
          </w:p>
          <w:p>
            <w:pPr>
              <w:pStyle w:val="14"/>
              <w:ind w:left="583" w:right="563"/>
              <w:jc w:val="center"/>
              <w:rPr>
                <w:sz w:val="16"/>
                <w:szCs w:val="32"/>
              </w:rPr>
            </w:pPr>
            <w:r>
              <w:rPr>
                <w:w w:val="105"/>
                <w:sz w:val="16"/>
                <w:szCs w:val="32"/>
              </w:rPr>
              <w:t>基本支出</w:t>
            </w:r>
          </w:p>
        </w:tc>
        <w:tc>
          <w:tcPr>
            <w:tcW w:w="1725" w:type="dxa"/>
            <w:vMerge w:val="restart"/>
          </w:tcPr>
          <w:p>
            <w:pPr>
              <w:pStyle w:val="14"/>
              <w:spacing w:before="11"/>
              <w:rPr>
                <w:sz w:val="21"/>
                <w:szCs w:val="32"/>
              </w:rPr>
            </w:pPr>
          </w:p>
          <w:p>
            <w:pPr>
              <w:pStyle w:val="14"/>
              <w:ind w:left="573" w:right="573"/>
              <w:jc w:val="center"/>
              <w:rPr>
                <w:sz w:val="16"/>
                <w:szCs w:val="32"/>
              </w:rPr>
            </w:pPr>
            <w:r>
              <w:rPr>
                <w:w w:val="105"/>
                <w:sz w:val="16"/>
                <w:szCs w:val="32"/>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4" w:hRule="atLeast"/>
        </w:trPr>
        <w:tc>
          <w:tcPr>
            <w:tcW w:w="513" w:type="dxa"/>
          </w:tcPr>
          <w:p>
            <w:pPr>
              <w:pStyle w:val="14"/>
              <w:spacing w:before="93"/>
              <w:ind w:left="21"/>
              <w:jc w:val="center"/>
              <w:rPr>
                <w:sz w:val="16"/>
                <w:szCs w:val="32"/>
              </w:rPr>
            </w:pPr>
            <w:r>
              <w:rPr>
                <w:w w:val="103"/>
                <w:sz w:val="16"/>
                <w:szCs w:val="32"/>
              </w:rPr>
              <w:t>类</w:t>
            </w:r>
          </w:p>
        </w:tc>
        <w:tc>
          <w:tcPr>
            <w:tcW w:w="524" w:type="dxa"/>
          </w:tcPr>
          <w:p>
            <w:pPr>
              <w:pStyle w:val="14"/>
              <w:spacing w:before="93"/>
              <w:ind w:left="11"/>
              <w:jc w:val="center"/>
              <w:rPr>
                <w:sz w:val="16"/>
                <w:szCs w:val="32"/>
              </w:rPr>
            </w:pPr>
            <w:r>
              <w:rPr>
                <w:w w:val="103"/>
                <w:sz w:val="16"/>
                <w:szCs w:val="32"/>
              </w:rPr>
              <w:t>款</w:t>
            </w:r>
          </w:p>
        </w:tc>
        <w:tc>
          <w:tcPr>
            <w:tcW w:w="472" w:type="dxa"/>
          </w:tcPr>
          <w:p>
            <w:pPr>
              <w:pStyle w:val="14"/>
              <w:spacing w:before="93"/>
              <w:ind w:left="177"/>
              <w:rPr>
                <w:sz w:val="16"/>
                <w:szCs w:val="32"/>
              </w:rPr>
            </w:pPr>
            <w:r>
              <w:rPr>
                <w:w w:val="103"/>
                <w:sz w:val="16"/>
                <w:szCs w:val="32"/>
              </w:rPr>
              <w:t>项</w:t>
            </w:r>
          </w:p>
        </w:tc>
        <w:tc>
          <w:tcPr>
            <w:tcW w:w="3460" w:type="dxa"/>
            <w:vMerge w:val="continue"/>
            <w:tcBorders>
              <w:top w:val="nil"/>
            </w:tcBorders>
          </w:tcPr>
          <w:p>
            <w:pPr>
              <w:rPr>
                <w:sz w:val="10"/>
                <w:szCs w:val="10"/>
              </w:rPr>
            </w:pPr>
          </w:p>
        </w:tc>
        <w:tc>
          <w:tcPr>
            <w:tcW w:w="2033" w:type="dxa"/>
            <w:vMerge w:val="continue"/>
            <w:tcBorders>
              <w:top w:val="nil"/>
            </w:tcBorders>
          </w:tcPr>
          <w:p>
            <w:pPr>
              <w:rPr>
                <w:sz w:val="10"/>
                <w:szCs w:val="10"/>
              </w:rPr>
            </w:pPr>
          </w:p>
        </w:tc>
        <w:tc>
          <w:tcPr>
            <w:tcW w:w="1725" w:type="dxa"/>
            <w:vMerge w:val="continue"/>
            <w:tcBorders>
              <w:top w:val="nil"/>
            </w:tcBorders>
          </w:tcPr>
          <w:p>
            <w:pPr>
              <w:rPr>
                <w:sz w:val="10"/>
                <w:szCs w:val="10"/>
              </w:rPr>
            </w:pPr>
          </w:p>
        </w:tc>
        <w:tc>
          <w:tcPr>
            <w:tcW w:w="1725" w:type="dxa"/>
            <w:vMerge w:val="continue"/>
            <w:tcBorders>
              <w:top w:val="nil"/>
            </w:tcBorders>
          </w:tcPr>
          <w:p>
            <w:pPr>
              <w:rPr>
                <w:sz w:val="10"/>
                <w:szCs w:val="1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2" w:hRule="atLeast"/>
        </w:trPr>
        <w:tc>
          <w:tcPr>
            <w:tcW w:w="513" w:type="dxa"/>
          </w:tcPr>
          <w:p>
            <w:pPr>
              <w:pStyle w:val="14"/>
              <w:spacing w:before="52"/>
              <w:ind w:left="113" w:right="93"/>
              <w:jc w:val="center"/>
              <w:rPr>
                <w:sz w:val="16"/>
                <w:szCs w:val="32"/>
              </w:rPr>
            </w:pPr>
            <w:r>
              <w:rPr>
                <w:w w:val="105"/>
                <w:sz w:val="16"/>
                <w:szCs w:val="32"/>
              </w:rPr>
              <w:t>※※</w:t>
            </w:r>
          </w:p>
        </w:tc>
        <w:tc>
          <w:tcPr>
            <w:tcW w:w="524" w:type="dxa"/>
          </w:tcPr>
          <w:p>
            <w:pPr>
              <w:pStyle w:val="14"/>
              <w:spacing w:before="52"/>
              <w:ind w:left="113" w:right="103"/>
              <w:jc w:val="center"/>
              <w:rPr>
                <w:sz w:val="16"/>
                <w:szCs w:val="32"/>
              </w:rPr>
            </w:pPr>
            <w:r>
              <w:rPr>
                <w:w w:val="105"/>
                <w:sz w:val="16"/>
                <w:szCs w:val="32"/>
              </w:rPr>
              <w:t>※※</w:t>
            </w:r>
          </w:p>
        </w:tc>
        <w:tc>
          <w:tcPr>
            <w:tcW w:w="472" w:type="dxa"/>
          </w:tcPr>
          <w:p>
            <w:pPr>
              <w:pStyle w:val="14"/>
              <w:spacing w:before="52"/>
              <w:ind w:left="115"/>
              <w:rPr>
                <w:sz w:val="16"/>
                <w:szCs w:val="32"/>
              </w:rPr>
            </w:pPr>
            <w:r>
              <w:rPr>
                <w:w w:val="105"/>
                <w:sz w:val="16"/>
                <w:szCs w:val="32"/>
              </w:rPr>
              <w:t>※※</w:t>
            </w:r>
          </w:p>
        </w:tc>
        <w:tc>
          <w:tcPr>
            <w:tcW w:w="3460" w:type="dxa"/>
          </w:tcPr>
          <w:p>
            <w:pPr>
              <w:pStyle w:val="14"/>
              <w:spacing w:before="52"/>
              <w:ind w:left="1203" w:right="1193"/>
              <w:jc w:val="center"/>
              <w:rPr>
                <w:sz w:val="16"/>
                <w:szCs w:val="32"/>
              </w:rPr>
            </w:pPr>
            <w:r>
              <w:rPr>
                <w:w w:val="105"/>
                <w:sz w:val="16"/>
                <w:szCs w:val="32"/>
              </w:rPr>
              <w:t>※※</w:t>
            </w:r>
          </w:p>
        </w:tc>
        <w:tc>
          <w:tcPr>
            <w:tcW w:w="2033" w:type="dxa"/>
          </w:tcPr>
          <w:p>
            <w:pPr>
              <w:pStyle w:val="14"/>
              <w:spacing w:before="52"/>
              <w:ind w:left="21"/>
              <w:jc w:val="center"/>
              <w:rPr>
                <w:sz w:val="16"/>
                <w:szCs w:val="32"/>
              </w:rPr>
            </w:pPr>
            <w:r>
              <w:rPr>
                <w:w w:val="103"/>
                <w:sz w:val="16"/>
                <w:szCs w:val="32"/>
              </w:rPr>
              <w:t>1</w:t>
            </w:r>
          </w:p>
        </w:tc>
        <w:tc>
          <w:tcPr>
            <w:tcW w:w="1725" w:type="dxa"/>
          </w:tcPr>
          <w:p>
            <w:pPr>
              <w:pStyle w:val="14"/>
              <w:spacing w:before="52"/>
              <w:ind w:left="20"/>
              <w:jc w:val="center"/>
              <w:rPr>
                <w:sz w:val="16"/>
                <w:szCs w:val="32"/>
              </w:rPr>
            </w:pPr>
            <w:r>
              <w:rPr>
                <w:w w:val="103"/>
                <w:sz w:val="16"/>
                <w:szCs w:val="32"/>
              </w:rPr>
              <w:t>2</w:t>
            </w:r>
          </w:p>
        </w:tc>
        <w:tc>
          <w:tcPr>
            <w:tcW w:w="1725" w:type="dxa"/>
          </w:tcPr>
          <w:p>
            <w:pPr>
              <w:pStyle w:val="14"/>
              <w:spacing w:before="52"/>
              <w:ind w:left="20"/>
              <w:jc w:val="center"/>
              <w:rPr>
                <w:sz w:val="16"/>
                <w:szCs w:val="32"/>
              </w:rPr>
            </w:pPr>
            <w:r>
              <w:rPr>
                <w:w w:val="103"/>
                <w:sz w:val="16"/>
                <w:szCs w:val="32"/>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1" w:hRule="atLeast"/>
        </w:trPr>
        <w:tc>
          <w:tcPr>
            <w:tcW w:w="513" w:type="dxa"/>
          </w:tcPr>
          <w:p>
            <w:pPr>
              <w:pStyle w:val="14"/>
              <w:rPr>
                <w:rFonts w:ascii="Times New Roman"/>
                <w:sz w:val="15"/>
                <w:szCs w:val="32"/>
              </w:rPr>
            </w:pPr>
          </w:p>
        </w:tc>
        <w:tc>
          <w:tcPr>
            <w:tcW w:w="524" w:type="dxa"/>
          </w:tcPr>
          <w:p>
            <w:pPr>
              <w:pStyle w:val="14"/>
              <w:rPr>
                <w:rFonts w:ascii="Times New Roman"/>
                <w:sz w:val="15"/>
                <w:szCs w:val="32"/>
              </w:rPr>
            </w:pPr>
          </w:p>
        </w:tc>
        <w:tc>
          <w:tcPr>
            <w:tcW w:w="472" w:type="dxa"/>
          </w:tcPr>
          <w:p>
            <w:pPr>
              <w:pStyle w:val="14"/>
              <w:rPr>
                <w:rFonts w:ascii="Times New Roman"/>
                <w:sz w:val="15"/>
                <w:szCs w:val="32"/>
              </w:rPr>
            </w:pPr>
          </w:p>
        </w:tc>
        <w:tc>
          <w:tcPr>
            <w:tcW w:w="3460" w:type="dxa"/>
          </w:tcPr>
          <w:p>
            <w:pPr>
              <w:pStyle w:val="14"/>
              <w:rPr>
                <w:rFonts w:ascii="Times New Roman"/>
                <w:sz w:val="15"/>
                <w:szCs w:val="32"/>
              </w:rPr>
            </w:pPr>
          </w:p>
        </w:tc>
        <w:tc>
          <w:tcPr>
            <w:tcW w:w="2033" w:type="dxa"/>
          </w:tcPr>
          <w:p>
            <w:pPr>
              <w:pStyle w:val="14"/>
              <w:rPr>
                <w:rFonts w:ascii="Times New Roman"/>
                <w:sz w:val="15"/>
                <w:szCs w:val="32"/>
              </w:rPr>
            </w:pPr>
          </w:p>
        </w:tc>
        <w:tc>
          <w:tcPr>
            <w:tcW w:w="1725" w:type="dxa"/>
          </w:tcPr>
          <w:p>
            <w:pPr>
              <w:pStyle w:val="14"/>
              <w:rPr>
                <w:rFonts w:ascii="Times New Roman"/>
                <w:sz w:val="15"/>
                <w:szCs w:val="32"/>
              </w:rPr>
            </w:pPr>
          </w:p>
        </w:tc>
        <w:tc>
          <w:tcPr>
            <w:tcW w:w="1725" w:type="dxa"/>
          </w:tcPr>
          <w:p>
            <w:pPr>
              <w:pStyle w:val="14"/>
              <w:rPr>
                <w:rFonts w:ascii="Times New Roman"/>
                <w:sz w:val="15"/>
                <w:szCs w:val="32"/>
              </w:rPr>
            </w:pPr>
          </w:p>
        </w:tc>
      </w:tr>
    </w:tbl>
    <w:p>
      <w:pPr>
        <w:spacing w:before="95"/>
        <w:ind w:left="150" w:right="0" w:firstLine="0"/>
        <w:jc w:val="left"/>
        <w:rPr>
          <w:rFonts w:hint="eastAsia" w:ascii="宋体" w:eastAsia="宋体"/>
          <w:sz w:val="13"/>
          <w:szCs w:val="22"/>
        </w:rPr>
      </w:pPr>
      <w:r>
        <w:rPr>
          <w:rFonts w:hint="eastAsia" w:ascii="宋体" w:eastAsia="宋体"/>
          <w:w w:val="105"/>
          <w:sz w:val="13"/>
          <w:szCs w:val="22"/>
        </w:rPr>
        <w:t>备注：无内容应公开空表并说明情况。</w:t>
      </w:r>
    </w:p>
    <w:p>
      <w:pPr>
        <w:spacing w:after="0"/>
        <w:jc w:val="left"/>
        <w:rPr>
          <w:rFonts w:hint="eastAsia" w:ascii="宋体" w:eastAsia="宋体"/>
          <w:sz w:val="12"/>
        </w:rPr>
        <w:sectPr>
          <w:pgSz w:w="11910" w:h="16840"/>
          <w:pgMar w:top="660" w:right="280" w:bottom="280" w:left="600" w:header="720" w:footer="720" w:gutter="0"/>
        </w:sectPr>
      </w:pPr>
    </w:p>
    <w:p>
      <w:pPr>
        <w:pStyle w:val="2"/>
        <w:ind w:left="1003"/>
      </w:pPr>
      <w:r>
        <w:t>第三部分</w:t>
      </w:r>
    </w:p>
    <w:p>
      <w:pPr>
        <w:pStyle w:val="7"/>
        <w:rPr>
          <w:b/>
          <w:sz w:val="20"/>
        </w:rPr>
      </w:pPr>
    </w:p>
    <w:p>
      <w:pPr>
        <w:pStyle w:val="7"/>
        <w:rPr>
          <w:b/>
          <w:sz w:val="20"/>
        </w:rPr>
      </w:pPr>
    </w:p>
    <w:p>
      <w:pPr>
        <w:pStyle w:val="7"/>
        <w:rPr>
          <w:b/>
          <w:sz w:val="20"/>
        </w:rPr>
      </w:pPr>
    </w:p>
    <w:p>
      <w:pPr>
        <w:pStyle w:val="7"/>
        <w:rPr>
          <w:b/>
          <w:sz w:val="20"/>
        </w:rPr>
      </w:pPr>
    </w:p>
    <w:p>
      <w:pPr>
        <w:pStyle w:val="7"/>
        <w:rPr>
          <w:b/>
          <w:sz w:val="20"/>
        </w:rPr>
      </w:pPr>
    </w:p>
    <w:p>
      <w:pPr>
        <w:pStyle w:val="7"/>
        <w:rPr>
          <w:b/>
          <w:sz w:val="20"/>
        </w:rPr>
      </w:pPr>
    </w:p>
    <w:p>
      <w:pPr>
        <w:spacing w:before="211"/>
        <w:ind w:left="0" w:right="320" w:firstLine="0"/>
        <w:jc w:val="center"/>
        <w:rPr>
          <w:b/>
          <w:sz w:val="44"/>
        </w:rPr>
      </w:pPr>
      <w:r>
        <w:rPr>
          <w:b/>
          <w:sz w:val="44"/>
        </w:rPr>
        <w:t>20</w:t>
      </w:r>
      <w:r>
        <w:rPr>
          <w:rFonts w:hint="eastAsia"/>
          <w:b/>
          <w:sz w:val="44"/>
          <w:lang w:val="en-US" w:eastAsia="zh-CN"/>
        </w:rPr>
        <w:t>20</w:t>
      </w:r>
      <w:r>
        <w:rPr>
          <w:b/>
          <w:sz w:val="44"/>
        </w:rPr>
        <w:t>年部门预算情况说明</w:t>
      </w:r>
    </w:p>
    <w:p>
      <w:pPr>
        <w:spacing w:after="0"/>
        <w:jc w:val="center"/>
        <w:rPr>
          <w:sz w:val="44"/>
        </w:rPr>
        <w:sectPr>
          <w:pgSz w:w="11910" w:h="16840"/>
          <w:pgMar w:top="680" w:right="280" w:bottom="280" w:left="600" w:header="720" w:footer="720" w:gutter="0"/>
        </w:sectPr>
      </w:pPr>
    </w:p>
    <w:p>
      <w:pPr>
        <w:pStyle w:val="3"/>
        <w:spacing w:before="43"/>
        <w:ind w:right="313"/>
        <w:jc w:val="center"/>
      </w:pPr>
      <w:r>
        <w:t>20</w:t>
      </w:r>
      <w:r>
        <w:rPr>
          <w:rFonts w:hint="eastAsia"/>
          <w:lang w:val="en-US" w:eastAsia="zh-CN"/>
        </w:rPr>
        <w:t>20</w:t>
      </w:r>
      <w:r>
        <w:t>年部门预算情况说明</w:t>
      </w:r>
    </w:p>
    <w:p>
      <w:pPr>
        <w:pStyle w:val="7"/>
        <w:rPr>
          <w:b/>
          <w:sz w:val="32"/>
        </w:rPr>
      </w:pPr>
    </w:p>
    <w:p>
      <w:pPr>
        <w:pStyle w:val="7"/>
        <w:spacing w:before="12"/>
        <w:rPr>
          <w:b/>
          <w:sz w:val="27"/>
        </w:rPr>
      </w:pPr>
    </w:p>
    <w:p>
      <w:pPr>
        <w:pStyle w:val="6"/>
        <w:ind w:left="674"/>
      </w:pPr>
      <w:r>
        <w:t>一、 关于评审中心部门年收支预算情况的总体说明</w:t>
      </w:r>
    </w:p>
    <w:p>
      <w:pPr>
        <w:pStyle w:val="7"/>
        <w:spacing w:before="205"/>
        <w:ind w:left="674"/>
      </w:pPr>
      <w:r>
        <w:t>按照全口径预算的原则，评审中心部门 20</w:t>
      </w:r>
      <w:r>
        <w:rPr>
          <w:rFonts w:hint="eastAsia"/>
          <w:lang w:val="en-US" w:eastAsia="zh-CN"/>
        </w:rPr>
        <w:t>20</w:t>
      </w:r>
      <w:r>
        <w:t>年所有收入和支出均纳入部门预算</w:t>
      </w:r>
    </w:p>
    <w:p>
      <w:pPr>
        <w:pStyle w:val="7"/>
        <w:spacing w:before="203"/>
        <w:ind w:left="120"/>
      </w:pPr>
      <w:r>
        <w:t xml:space="preserve">管理。收支总预算为 </w:t>
      </w:r>
      <w:r>
        <w:rPr>
          <w:rFonts w:hint="eastAsia"/>
          <w:lang w:val="en-US" w:eastAsia="zh-CN"/>
        </w:rPr>
        <w:t>310.69</w:t>
      </w:r>
      <w:r>
        <w:t xml:space="preserve"> 万元。</w:t>
      </w:r>
    </w:p>
    <w:p>
      <w:pPr>
        <w:pStyle w:val="7"/>
        <w:spacing w:before="205" w:line="242" w:lineRule="auto"/>
        <w:ind w:left="120" w:right="376" w:firstLine="571"/>
      </w:pPr>
      <w:r>
        <w:t>收入预算包括：财政拨款（补助）</w:t>
      </w:r>
      <w:r>
        <w:rPr>
          <w:rFonts w:hint="eastAsia"/>
          <w:lang w:val="en-US" w:eastAsia="zh-CN"/>
        </w:rPr>
        <w:t>283.99</w:t>
      </w:r>
      <w:r>
        <w:t xml:space="preserve">万元；一般公共预算 </w:t>
      </w:r>
      <w:r>
        <w:rPr>
          <w:rFonts w:hint="eastAsia"/>
          <w:lang w:val="en-US" w:eastAsia="zh-CN"/>
        </w:rPr>
        <w:t>283.99</w:t>
      </w:r>
      <w:r>
        <w:t xml:space="preserve"> 万元；事业单位经营收入 </w:t>
      </w:r>
      <w:r>
        <w:rPr>
          <w:rFonts w:hint="eastAsia"/>
          <w:lang w:val="en-US" w:eastAsia="zh-CN"/>
        </w:rPr>
        <w:t>26.7</w:t>
      </w:r>
      <w:r>
        <w:t>万元；</w:t>
      </w:r>
    </w:p>
    <w:p>
      <w:pPr>
        <w:pStyle w:val="7"/>
        <w:spacing w:before="202" w:line="242" w:lineRule="auto"/>
        <w:ind w:left="120" w:right="434" w:firstLine="571"/>
      </w:pPr>
      <w:r>
        <w:t xml:space="preserve">支出预算包括：社会保障和就业支出 </w:t>
      </w:r>
      <w:r>
        <w:rPr>
          <w:rFonts w:hint="eastAsia"/>
          <w:lang w:val="en-US" w:eastAsia="zh-CN"/>
        </w:rPr>
        <w:t>20.68</w:t>
      </w:r>
      <w:r>
        <w:t xml:space="preserve"> 万元；国土资源气象等支出 </w:t>
      </w:r>
      <w:r>
        <w:rPr>
          <w:rFonts w:hint="eastAsia"/>
          <w:lang w:val="en-US" w:eastAsia="zh-CN"/>
        </w:rPr>
        <w:t>290.01</w:t>
      </w:r>
      <w:r>
        <w:t>万元。</w:t>
      </w:r>
    </w:p>
    <w:p>
      <w:pPr>
        <w:spacing w:before="202" w:line="376" w:lineRule="auto"/>
        <w:ind w:left="674" w:right="4147" w:firstLine="0"/>
        <w:jc w:val="left"/>
        <w:rPr>
          <w:sz w:val="28"/>
        </w:rPr>
      </w:pPr>
      <w:r>
        <w:rPr>
          <w:b/>
          <w:spacing w:val="-6"/>
          <w:sz w:val="28"/>
        </w:rPr>
        <w:t xml:space="preserve">二、 关于评审中心部门 </w:t>
      </w:r>
      <w:r>
        <w:rPr>
          <w:b/>
          <w:sz w:val="28"/>
        </w:rPr>
        <w:t>20</w:t>
      </w:r>
      <w:r>
        <w:rPr>
          <w:rFonts w:hint="eastAsia"/>
          <w:b/>
          <w:sz w:val="28"/>
          <w:lang w:val="en-US" w:eastAsia="zh-CN"/>
        </w:rPr>
        <w:t>20</w:t>
      </w:r>
      <w:r>
        <w:rPr>
          <w:b/>
          <w:spacing w:val="-11"/>
          <w:sz w:val="28"/>
        </w:rPr>
        <w:t>年收入预算情况说明</w:t>
      </w:r>
      <w:r>
        <w:rPr>
          <w:spacing w:val="-10"/>
          <w:sz w:val="28"/>
        </w:rPr>
        <w:t xml:space="preserve">评审中心部门收入预算 </w:t>
      </w:r>
      <w:r>
        <w:rPr>
          <w:rFonts w:hint="eastAsia"/>
          <w:spacing w:val="-10"/>
          <w:sz w:val="28"/>
          <w:lang w:val="en-US" w:eastAsia="zh-CN"/>
        </w:rPr>
        <w:t>310.69</w:t>
      </w:r>
      <w:r>
        <w:rPr>
          <w:spacing w:val="-12"/>
          <w:sz w:val="28"/>
        </w:rPr>
        <w:t>万元，其中：</w:t>
      </w:r>
    </w:p>
    <w:p>
      <w:pPr>
        <w:pStyle w:val="7"/>
        <w:spacing w:line="376" w:lineRule="auto"/>
        <w:ind w:left="120" w:right="613" w:firstLine="554"/>
        <w:rPr>
          <w:rFonts w:hint="eastAsia" w:eastAsia="仿宋"/>
          <w:lang w:eastAsia="zh-CN"/>
        </w:rPr>
      </w:pPr>
      <w:r>
        <w:rPr>
          <w:spacing w:val="-11"/>
        </w:rPr>
        <w:t xml:space="preserve">一般公共预算 </w:t>
      </w:r>
      <w:r>
        <w:rPr>
          <w:rFonts w:hint="eastAsia"/>
          <w:lang w:val="en-US" w:eastAsia="zh-CN"/>
        </w:rPr>
        <w:t>283.99</w:t>
      </w:r>
      <w:r>
        <w:rPr>
          <w:spacing w:val="-25"/>
        </w:rPr>
        <w:t xml:space="preserve"> 万元，占 </w:t>
      </w:r>
      <w:r>
        <w:rPr>
          <w:rFonts w:hint="eastAsia"/>
          <w:lang w:val="en-US" w:eastAsia="zh-CN"/>
        </w:rPr>
        <w:t>91.4</w:t>
      </w:r>
      <w:r>
        <w:rPr>
          <w:spacing w:val="-9"/>
        </w:rPr>
        <w:t xml:space="preserve">%，比上年增加了 </w:t>
      </w:r>
      <w:r>
        <w:rPr>
          <w:rFonts w:hint="eastAsia"/>
          <w:lang w:val="en-US" w:eastAsia="zh-CN"/>
        </w:rPr>
        <w:t>96.56</w:t>
      </w:r>
      <w:r>
        <w:rPr>
          <w:spacing w:val="-10"/>
        </w:rPr>
        <w:t>万元，主要原因是</w:t>
      </w:r>
      <w:r>
        <w:rPr>
          <w:spacing w:val="-7"/>
        </w:rPr>
        <w:t>增加了矿业权出让收益市场基准价制定项目</w:t>
      </w:r>
      <w:r>
        <w:rPr>
          <w:rFonts w:hint="eastAsia"/>
          <w:spacing w:val="-7"/>
          <w:lang w:val="en-US" w:eastAsia="zh-CN"/>
        </w:rPr>
        <w:t>145万元</w:t>
      </w:r>
      <w:r>
        <w:rPr>
          <w:spacing w:val="-7"/>
        </w:rPr>
        <w:t>，</w:t>
      </w:r>
    </w:p>
    <w:p>
      <w:pPr>
        <w:pStyle w:val="7"/>
        <w:spacing w:line="244" w:lineRule="auto"/>
        <w:ind w:left="120" w:right="436" w:firstLine="559"/>
      </w:pPr>
      <w:r>
        <w:rPr>
          <w:spacing w:val="-6"/>
        </w:rPr>
        <w:t>财政专户管理资金</w:t>
      </w:r>
      <w:r>
        <w:rPr>
          <w:rFonts w:hint="eastAsia"/>
          <w:spacing w:val="-6"/>
          <w:lang w:val="en-US" w:eastAsia="zh-CN"/>
        </w:rPr>
        <w:t>283.99</w:t>
      </w:r>
      <w:r>
        <w:rPr>
          <w:spacing w:val="-13"/>
        </w:rPr>
        <w:t xml:space="preserve">万元，占 </w:t>
      </w:r>
      <w:r>
        <w:rPr>
          <w:rFonts w:hint="eastAsia"/>
          <w:spacing w:val="-13"/>
          <w:lang w:val="en-US" w:eastAsia="zh-CN"/>
        </w:rPr>
        <w:t>91.4</w:t>
      </w:r>
      <w:r>
        <w:rPr>
          <w:spacing w:val="-6"/>
        </w:rPr>
        <w:t xml:space="preserve">%，比上年增加了 </w:t>
      </w:r>
      <w:r>
        <w:rPr>
          <w:rFonts w:hint="eastAsia"/>
          <w:lang w:val="en-US" w:eastAsia="zh-CN"/>
        </w:rPr>
        <w:t>96.56</w:t>
      </w:r>
      <w:r>
        <w:rPr>
          <w:spacing w:val="-6"/>
        </w:rPr>
        <w:t xml:space="preserve"> 万元，主要原</w:t>
      </w:r>
      <w:r>
        <w:rPr>
          <w:spacing w:val="-5"/>
        </w:rPr>
        <w:t>因是增加了矿业权出让收益市场基准价制定项目</w:t>
      </w:r>
      <w:r>
        <w:rPr>
          <w:rFonts w:hint="eastAsia"/>
          <w:spacing w:val="-5"/>
          <w:lang w:val="en-US" w:eastAsia="zh-CN"/>
        </w:rPr>
        <w:t>145万元</w:t>
      </w:r>
      <w:r>
        <w:rPr>
          <w:spacing w:val="-5"/>
        </w:rPr>
        <w:t>，</w:t>
      </w:r>
    </w:p>
    <w:p>
      <w:pPr>
        <w:pStyle w:val="7"/>
        <w:spacing w:before="193" w:line="376" w:lineRule="auto"/>
        <w:ind w:left="120" w:right="474" w:firstLine="554"/>
      </w:pPr>
      <w:r>
        <w:rPr>
          <w:spacing w:val="-9"/>
        </w:rPr>
        <w:t xml:space="preserve">事业单位经营收入 </w:t>
      </w:r>
      <w:r>
        <w:rPr>
          <w:rFonts w:hint="eastAsia"/>
          <w:lang w:val="en-US" w:eastAsia="zh-CN"/>
        </w:rPr>
        <w:t>26.7</w:t>
      </w:r>
      <w:r>
        <w:rPr>
          <w:spacing w:val="-25"/>
        </w:rPr>
        <w:t xml:space="preserve">万元，占 </w:t>
      </w:r>
      <w:r>
        <w:rPr>
          <w:rFonts w:hint="eastAsia"/>
          <w:lang w:val="en-US" w:eastAsia="zh-CN"/>
        </w:rPr>
        <w:t>8.6</w:t>
      </w:r>
      <w:r>
        <w:rPr>
          <w:spacing w:val="-9"/>
        </w:rPr>
        <w:t xml:space="preserve">%，比上年减少了 </w:t>
      </w:r>
      <w:r>
        <w:rPr>
          <w:rFonts w:hint="eastAsia"/>
          <w:spacing w:val="-9"/>
          <w:lang w:val="en-US" w:eastAsia="zh-CN"/>
        </w:rPr>
        <w:t>270.77</w:t>
      </w:r>
      <w:r>
        <w:rPr>
          <w:spacing w:val="-12"/>
        </w:rPr>
        <w:t>万元，主要是受</w:t>
      </w:r>
      <w:r>
        <w:rPr>
          <w:spacing w:val="-7"/>
        </w:rPr>
        <w:t>是受大环境影响因素，经营收入减少。</w:t>
      </w:r>
    </w:p>
    <w:p>
      <w:pPr>
        <w:spacing w:before="0" w:line="376" w:lineRule="auto"/>
        <w:ind w:left="674" w:right="3624" w:firstLine="0"/>
        <w:jc w:val="left"/>
        <w:rPr>
          <w:b/>
          <w:sz w:val="28"/>
        </w:rPr>
      </w:pPr>
      <w:r>
        <w:rPr>
          <w:b/>
          <w:spacing w:val="-6"/>
          <w:sz w:val="28"/>
        </w:rPr>
        <w:t xml:space="preserve">三、关于评审中心部门单位 </w:t>
      </w:r>
      <w:r>
        <w:rPr>
          <w:b/>
          <w:sz w:val="28"/>
        </w:rPr>
        <w:t>20</w:t>
      </w:r>
      <w:r>
        <w:rPr>
          <w:rFonts w:hint="eastAsia"/>
          <w:b/>
          <w:sz w:val="28"/>
          <w:lang w:val="en-US" w:eastAsia="zh-CN"/>
        </w:rPr>
        <w:t>20</w:t>
      </w:r>
      <w:r>
        <w:rPr>
          <w:b/>
          <w:spacing w:val="-9"/>
          <w:sz w:val="28"/>
        </w:rPr>
        <w:t>年支出预算情况说明</w:t>
      </w:r>
    </w:p>
    <w:p>
      <w:pPr>
        <w:pStyle w:val="6"/>
        <w:spacing w:before="1"/>
        <w:ind w:left="674"/>
      </w:pPr>
      <w:r>
        <w:t>评审中心部门单位 20</w:t>
      </w:r>
      <w:r>
        <w:rPr>
          <w:rFonts w:hint="eastAsia"/>
          <w:lang w:val="en-US" w:eastAsia="zh-CN"/>
        </w:rPr>
        <w:t>20</w:t>
      </w:r>
      <w:r>
        <w:t xml:space="preserve">年支出预算 </w:t>
      </w:r>
      <w:r>
        <w:rPr>
          <w:rFonts w:hint="eastAsia"/>
          <w:lang w:val="en-US" w:eastAsia="zh-CN"/>
        </w:rPr>
        <w:t>310.69</w:t>
      </w:r>
      <w:r>
        <w:t>万元，其中：</w:t>
      </w:r>
    </w:p>
    <w:p>
      <w:pPr>
        <w:pStyle w:val="7"/>
        <w:spacing w:before="32" w:line="564" w:lineRule="exact"/>
        <w:ind w:left="120" w:right="434" w:firstLine="554"/>
      </w:pPr>
      <w:r>
        <w:rPr>
          <w:spacing w:val="-1"/>
        </w:rPr>
        <w:t>基本支出：</w:t>
      </w:r>
      <w:r>
        <w:rPr>
          <w:rFonts w:hint="eastAsia"/>
          <w:lang w:val="en-US" w:eastAsia="zh-CN"/>
        </w:rPr>
        <w:t>138.99</w:t>
      </w:r>
      <w:r>
        <w:rPr>
          <w:spacing w:val="-24"/>
        </w:rPr>
        <w:t xml:space="preserve">万元，占 </w:t>
      </w:r>
      <w:r>
        <w:rPr>
          <w:rFonts w:hint="eastAsia"/>
          <w:lang w:val="en-US" w:eastAsia="zh-CN"/>
        </w:rPr>
        <w:t>44.74</w:t>
      </w:r>
      <w:r>
        <w:t>%</w:t>
      </w:r>
      <w:r>
        <w:rPr>
          <w:spacing w:val="-3"/>
        </w:rPr>
        <w:t>，基本支出包括：机关事业单位养老保险缴</w:t>
      </w:r>
      <w:r>
        <w:rPr>
          <w:spacing w:val="-4"/>
        </w:rPr>
        <w:t xml:space="preserve">费支出 </w:t>
      </w:r>
      <w:r>
        <w:rPr>
          <w:rFonts w:hint="eastAsia"/>
          <w:lang w:val="en-US" w:eastAsia="zh-CN"/>
        </w:rPr>
        <w:t>14.01</w:t>
      </w:r>
      <w:r>
        <w:rPr>
          <w:spacing w:val="-4"/>
        </w:rPr>
        <w:t xml:space="preserve">万元；机关事业单位职业年金缴费支出 </w:t>
      </w:r>
      <w:r>
        <w:rPr>
          <w:rFonts w:hint="eastAsia"/>
          <w:lang w:val="en-US" w:eastAsia="zh-CN"/>
        </w:rPr>
        <w:t>6.67</w:t>
      </w:r>
      <w:r>
        <w:rPr>
          <w:spacing w:val="-3"/>
        </w:rPr>
        <w:t>万元；国土海洋气象等支</w:t>
      </w:r>
    </w:p>
    <w:p>
      <w:pPr>
        <w:pStyle w:val="7"/>
        <w:spacing w:line="328" w:lineRule="exact"/>
        <w:ind w:left="120"/>
      </w:pPr>
      <w:r>
        <w:t xml:space="preserve">出 </w:t>
      </w:r>
      <w:r>
        <w:rPr>
          <w:rFonts w:hint="eastAsia"/>
          <w:lang w:val="en-US" w:eastAsia="zh-CN"/>
        </w:rPr>
        <w:t>118.31</w:t>
      </w:r>
      <w:r>
        <w:t>万元。</w:t>
      </w:r>
    </w:p>
    <w:p>
      <w:pPr>
        <w:pStyle w:val="7"/>
        <w:spacing w:before="205" w:line="376" w:lineRule="auto"/>
        <w:ind w:left="120" w:right="620" w:firstLine="554"/>
      </w:pPr>
      <w:r>
        <w:rPr>
          <w:spacing w:val="2"/>
        </w:rPr>
        <w:t xml:space="preserve">项目支出 </w:t>
      </w:r>
      <w:r>
        <w:t>:</w:t>
      </w:r>
      <w:r>
        <w:rPr>
          <w:rFonts w:hint="eastAsia"/>
          <w:lang w:val="en-US" w:eastAsia="zh-CN"/>
        </w:rPr>
        <w:t>171.7</w:t>
      </w:r>
      <w:r>
        <w:rPr>
          <w:spacing w:val="-10"/>
        </w:rPr>
        <w:t>万元，主要是评审中心工作业务经费，包含：商品和服务支处、</w:t>
      </w:r>
      <w:r>
        <w:rPr>
          <w:spacing w:val="-7"/>
        </w:rPr>
        <w:t>对个人和家庭的补助支出，财政补拨款不足部分，全由经营收入安排。</w:t>
      </w:r>
    </w:p>
    <w:p>
      <w:pPr>
        <w:pStyle w:val="7"/>
      </w:pPr>
    </w:p>
    <w:p>
      <w:pPr>
        <w:pStyle w:val="6"/>
        <w:spacing w:before="1"/>
      </w:pPr>
      <w:r>
        <w:t>四、关于评审中心部门 20</w:t>
      </w:r>
      <w:r>
        <w:rPr>
          <w:rFonts w:hint="eastAsia"/>
          <w:lang w:val="en-US" w:eastAsia="zh-CN"/>
        </w:rPr>
        <w:t>20</w:t>
      </w:r>
      <w:r>
        <w:t>年财政拨款收支预算情况的总体说明</w:t>
      </w:r>
    </w:p>
    <w:p>
      <w:pPr>
        <w:pStyle w:val="7"/>
        <w:spacing w:before="205"/>
        <w:ind w:left="674"/>
        <w:rPr>
          <w:rFonts w:hint="default" w:eastAsia="仿宋"/>
          <w:lang w:val="en-US" w:eastAsia="zh-CN"/>
        </w:rPr>
        <w:sectPr>
          <w:pgSz w:w="11910" w:h="16840"/>
          <w:pgMar w:top="660" w:right="280" w:bottom="280" w:left="600" w:header="720" w:footer="720" w:gutter="0"/>
        </w:sectPr>
      </w:pPr>
      <w:r>
        <w:t>20</w:t>
      </w:r>
      <w:r>
        <w:rPr>
          <w:rFonts w:hint="eastAsia"/>
          <w:lang w:val="en-US" w:eastAsia="zh-CN"/>
        </w:rPr>
        <w:t>20</w:t>
      </w:r>
      <w:r>
        <w:t xml:space="preserve"> 年财政拨款收支总预算为 </w:t>
      </w:r>
      <w:r>
        <w:rPr>
          <w:rFonts w:hint="eastAsia"/>
          <w:lang w:val="en-US" w:eastAsia="zh-CN"/>
        </w:rPr>
        <w:t>283.99</w:t>
      </w:r>
      <w:r>
        <w:t xml:space="preserve">万元。包括：社会保障和就业支出 </w:t>
      </w:r>
      <w:r>
        <w:rPr>
          <w:rFonts w:hint="eastAsia"/>
          <w:lang w:val="en-US" w:eastAsia="zh-CN"/>
        </w:rPr>
        <w:t>20.68</w:t>
      </w:r>
    </w:p>
    <w:p>
      <w:pPr>
        <w:pStyle w:val="7"/>
        <w:spacing w:before="42"/>
      </w:pPr>
      <w:r>
        <w:t xml:space="preserve">万元；国土资源气象等支出 </w:t>
      </w:r>
      <w:r>
        <w:rPr>
          <w:rFonts w:hint="eastAsia"/>
          <w:lang w:val="en-US" w:eastAsia="zh-CN"/>
        </w:rPr>
        <w:t>263.31</w:t>
      </w:r>
      <w:r>
        <w:t xml:space="preserve"> 万元。</w:t>
      </w:r>
    </w:p>
    <w:p>
      <w:pPr>
        <w:pStyle w:val="7"/>
        <w:spacing w:before="205"/>
        <w:ind w:left="674"/>
      </w:pPr>
      <w:r>
        <w:t>收入全部为一般公共预算拨款，无政府性基金预算拨款。</w:t>
      </w:r>
    </w:p>
    <w:p>
      <w:pPr>
        <w:pStyle w:val="6"/>
        <w:spacing w:before="204"/>
        <w:ind w:left="0" w:leftChars="0" w:firstLine="0" w:firstLineChars="0"/>
      </w:pPr>
      <w:r>
        <w:t>五、 关于评审中心部门 20</w:t>
      </w:r>
      <w:r>
        <w:rPr>
          <w:rFonts w:hint="eastAsia"/>
          <w:lang w:val="en-US" w:eastAsia="zh-CN"/>
        </w:rPr>
        <w:t>20</w:t>
      </w:r>
      <w:r>
        <w:t xml:space="preserve"> 年一般公共预算当年拨款情况说明</w:t>
      </w:r>
    </w:p>
    <w:p>
      <w:pPr>
        <w:spacing w:before="205"/>
        <w:ind w:right="0"/>
        <w:jc w:val="left"/>
        <w:rPr>
          <w:b/>
          <w:sz w:val="28"/>
        </w:rPr>
      </w:pPr>
      <w:r>
        <w:rPr>
          <w:b/>
          <w:sz w:val="28"/>
        </w:rPr>
        <w:t>㈠一般公用预算当年拨款规模变化情况</w:t>
      </w:r>
    </w:p>
    <w:p>
      <w:pPr>
        <w:pStyle w:val="7"/>
        <w:spacing w:before="205"/>
      </w:pPr>
      <w:r>
        <w:t>评审中心部门 20</w:t>
      </w:r>
      <w:r>
        <w:rPr>
          <w:rFonts w:hint="eastAsia"/>
          <w:lang w:val="en-US" w:eastAsia="zh-CN"/>
        </w:rPr>
        <w:t>20</w:t>
      </w:r>
      <w:r>
        <w:t xml:space="preserve"> 年一般公用预算拨款基本支出 </w:t>
      </w:r>
      <w:r>
        <w:rPr>
          <w:rFonts w:hint="eastAsia"/>
          <w:lang w:val="en-US" w:eastAsia="zh-CN"/>
        </w:rPr>
        <w:t>138.99</w:t>
      </w:r>
      <w:r>
        <w:t>万元。</w:t>
      </w:r>
    </w:p>
    <w:p>
      <w:pPr>
        <w:pStyle w:val="6"/>
        <w:spacing w:before="203"/>
        <w:ind w:left="0" w:leftChars="0" w:firstLine="0" w:firstLineChars="0"/>
      </w:pPr>
      <w:r>
        <w:t>㈡一般公共预算当年拨款结构情况</w:t>
      </w:r>
    </w:p>
    <w:p>
      <w:pPr>
        <w:pStyle w:val="13"/>
        <w:numPr>
          <w:ilvl w:val="0"/>
          <w:numId w:val="1"/>
        </w:numPr>
        <w:tabs>
          <w:tab w:val="left" w:pos="1052"/>
        </w:tabs>
        <w:spacing w:before="205" w:after="0" w:line="240" w:lineRule="auto"/>
        <w:ind w:left="1051" w:right="0" w:hanging="361"/>
        <w:jc w:val="left"/>
        <w:rPr>
          <w:sz w:val="28"/>
        </w:rPr>
      </w:pPr>
      <w:r>
        <w:rPr>
          <w:spacing w:val="-7"/>
          <w:sz w:val="28"/>
        </w:rPr>
        <w:t xml:space="preserve">机关事业单位基本养老保险缴费支出 </w:t>
      </w:r>
      <w:r>
        <w:rPr>
          <w:rFonts w:hint="eastAsia"/>
          <w:sz w:val="28"/>
          <w:lang w:val="en-US" w:eastAsia="zh-CN"/>
        </w:rPr>
        <w:t>14.01</w:t>
      </w:r>
      <w:r>
        <w:rPr>
          <w:spacing w:val="-18"/>
          <w:sz w:val="28"/>
        </w:rPr>
        <w:t>万元；</w:t>
      </w:r>
    </w:p>
    <w:p>
      <w:pPr>
        <w:pStyle w:val="13"/>
        <w:numPr>
          <w:ilvl w:val="0"/>
          <w:numId w:val="1"/>
        </w:numPr>
        <w:tabs>
          <w:tab w:val="left" w:pos="1052"/>
        </w:tabs>
        <w:spacing w:before="203" w:after="0" w:line="240" w:lineRule="auto"/>
        <w:ind w:left="1051" w:right="0" w:hanging="361"/>
        <w:jc w:val="left"/>
        <w:rPr>
          <w:sz w:val="28"/>
        </w:rPr>
      </w:pPr>
      <w:r>
        <w:rPr>
          <w:spacing w:val="-8"/>
          <w:sz w:val="28"/>
        </w:rPr>
        <w:t xml:space="preserve">机关事业单位职业年金缴费支出 </w:t>
      </w:r>
      <w:r>
        <w:rPr>
          <w:rFonts w:hint="eastAsia"/>
          <w:sz w:val="28"/>
          <w:lang w:val="en-US" w:eastAsia="zh-CN"/>
        </w:rPr>
        <w:t>6.67</w:t>
      </w:r>
      <w:r>
        <w:rPr>
          <w:spacing w:val="-18"/>
          <w:sz w:val="28"/>
        </w:rPr>
        <w:t>万元；</w:t>
      </w:r>
    </w:p>
    <w:p>
      <w:pPr>
        <w:pStyle w:val="13"/>
        <w:numPr>
          <w:ilvl w:val="0"/>
          <w:numId w:val="1"/>
        </w:numPr>
        <w:tabs>
          <w:tab w:val="left" w:pos="1052"/>
        </w:tabs>
        <w:spacing w:before="205" w:after="0" w:line="240" w:lineRule="auto"/>
        <w:ind w:left="1051" w:right="0" w:hanging="361"/>
        <w:jc w:val="left"/>
        <w:rPr>
          <w:sz w:val="28"/>
        </w:rPr>
      </w:pPr>
      <w:r>
        <w:rPr>
          <w:spacing w:val="-15"/>
          <w:sz w:val="28"/>
        </w:rPr>
        <w:t xml:space="preserve">事业运行 </w:t>
      </w:r>
      <w:r>
        <w:rPr>
          <w:rFonts w:hint="eastAsia"/>
          <w:sz w:val="28"/>
          <w:lang w:val="en-US" w:eastAsia="zh-CN"/>
        </w:rPr>
        <w:t>118.31</w:t>
      </w:r>
      <w:r>
        <w:rPr>
          <w:spacing w:val="-20"/>
          <w:sz w:val="28"/>
        </w:rPr>
        <w:t>万元；</w:t>
      </w:r>
    </w:p>
    <w:p>
      <w:pPr>
        <w:pStyle w:val="13"/>
        <w:numPr>
          <w:ilvl w:val="0"/>
          <w:numId w:val="1"/>
        </w:numPr>
        <w:tabs>
          <w:tab w:val="left" w:pos="1052"/>
        </w:tabs>
        <w:spacing w:before="206" w:after="0" w:line="240" w:lineRule="auto"/>
        <w:ind w:left="1051" w:right="0" w:hanging="361"/>
        <w:jc w:val="left"/>
        <w:rPr>
          <w:sz w:val="28"/>
        </w:rPr>
      </w:pPr>
      <w:r>
        <w:rPr>
          <w:spacing w:val="-10"/>
          <w:sz w:val="28"/>
        </w:rPr>
        <w:t xml:space="preserve">其他国土资源事务支出 </w:t>
      </w:r>
      <w:r>
        <w:rPr>
          <w:rFonts w:hint="eastAsia"/>
          <w:sz w:val="28"/>
          <w:lang w:val="en-US" w:eastAsia="zh-CN"/>
        </w:rPr>
        <w:t>145</w:t>
      </w:r>
      <w:r>
        <w:rPr>
          <w:spacing w:val="-18"/>
          <w:sz w:val="28"/>
        </w:rPr>
        <w:t>万元。</w:t>
      </w:r>
    </w:p>
    <w:p>
      <w:pPr>
        <w:pStyle w:val="6"/>
        <w:spacing w:before="203"/>
        <w:ind w:left="0" w:leftChars="0" w:firstLine="0" w:firstLineChars="0"/>
      </w:pPr>
      <w:r>
        <w:t>㈢一般公共预算当年拨款具体使用情况</w:t>
      </w:r>
    </w:p>
    <w:p>
      <w:pPr>
        <w:pStyle w:val="13"/>
        <w:numPr>
          <w:ilvl w:val="0"/>
          <w:numId w:val="2"/>
        </w:numPr>
        <w:tabs>
          <w:tab w:val="left" w:pos="1052"/>
        </w:tabs>
        <w:spacing w:before="205" w:after="0" w:line="376" w:lineRule="auto"/>
        <w:ind w:left="120" w:right="1148" w:firstLine="571"/>
        <w:jc w:val="left"/>
        <w:rPr>
          <w:sz w:val="28"/>
        </w:rPr>
      </w:pPr>
      <w:r>
        <w:rPr>
          <w:spacing w:val="-1"/>
          <w:sz w:val="28"/>
        </w:rPr>
        <w:t>一般公共公务</w:t>
      </w:r>
      <w:r>
        <w:rPr>
          <w:spacing w:val="-3"/>
          <w:sz w:val="28"/>
        </w:rPr>
        <w:t>（类</w:t>
      </w:r>
      <w:r>
        <w:rPr>
          <w:sz w:val="28"/>
        </w:rPr>
        <w:t>）</w:t>
      </w:r>
      <w:r>
        <w:rPr>
          <w:spacing w:val="-13"/>
          <w:sz w:val="28"/>
        </w:rPr>
        <w:t xml:space="preserve">基本支出为 </w:t>
      </w:r>
      <w:r>
        <w:rPr>
          <w:rFonts w:hint="eastAsia"/>
          <w:sz w:val="28"/>
          <w:lang w:val="en-US" w:eastAsia="zh-CN"/>
        </w:rPr>
        <w:t>138.99</w:t>
      </w:r>
      <w:r>
        <w:rPr>
          <w:spacing w:val="-15"/>
          <w:sz w:val="28"/>
        </w:rPr>
        <w:t xml:space="preserve">万元，比上年执行数增加 </w:t>
      </w:r>
      <w:r>
        <w:rPr>
          <w:rFonts w:hint="eastAsia"/>
          <w:sz w:val="28"/>
          <w:lang w:val="en-US" w:eastAsia="zh-CN"/>
        </w:rPr>
        <w:t>11.85</w:t>
      </w:r>
      <w:r>
        <w:rPr>
          <w:spacing w:val="-35"/>
          <w:sz w:val="28"/>
        </w:rPr>
        <w:t>万</w:t>
      </w:r>
      <w:r>
        <w:rPr>
          <w:spacing w:val="-12"/>
          <w:sz w:val="28"/>
        </w:rPr>
        <w:t>元，增长主要原因是：人员工资的增加</w:t>
      </w:r>
    </w:p>
    <w:p>
      <w:pPr>
        <w:pStyle w:val="13"/>
        <w:numPr>
          <w:ilvl w:val="0"/>
          <w:numId w:val="2"/>
        </w:numPr>
        <w:tabs>
          <w:tab w:val="left" w:pos="963"/>
        </w:tabs>
        <w:spacing w:before="0" w:after="0" w:line="244" w:lineRule="auto"/>
        <w:ind w:left="120" w:right="472" w:firstLine="559"/>
        <w:jc w:val="left"/>
        <w:rPr>
          <w:sz w:val="28"/>
        </w:rPr>
      </w:pPr>
      <w:r>
        <w:rPr>
          <w:spacing w:val="-1"/>
          <w:sz w:val="28"/>
        </w:rPr>
        <w:t>项目支出为：</w:t>
      </w:r>
      <w:r>
        <w:rPr>
          <w:rFonts w:hint="eastAsia"/>
          <w:sz w:val="28"/>
          <w:lang w:val="en-US" w:eastAsia="zh-CN"/>
        </w:rPr>
        <w:t>145</w:t>
      </w:r>
      <w:r>
        <w:rPr>
          <w:spacing w:val="-15"/>
          <w:sz w:val="28"/>
        </w:rPr>
        <w:t xml:space="preserve">万元，，比上年执行数增加 </w:t>
      </w:r>
      <w:r>
        <w:rPr>
          <w:rFonts w:hint="eastAsia"/>
          <w:sz w:val="28"/>
          <w:lang w:val="en-US" w:eastAsia="zh-CN"/>
        </w:rPr>
        <w:t>45</w:t>
      </w:r>
      <w:r>
        <w:rPr>
          <w:spacing w:val="-9"/>
          <w:sz w:val="28"/>
        </w:rPr>
        <w:t>万 元，增长主要原因是：增</w:t>
      </w:r>
      <w:r>
        <w:rPr>
          <w:spacing w:val="-6"/>
          <w:sz w:val="28"/>
        </w:rPr>
        <w:t>加了矿业权出让收益市场基准价制定项目。</w:t>
      </w:r>
    </w:p>
    <w:p>
      <w:pPr>
        <w:pStyle w:val="6"/>
        <w:spacing w:before="194"/>
        <w:ind w:left="0" w:leftChars="0" w:firstLine="0" w:firstLineChars="0"/>
      </w:pPr>
      <w:r>
        <w:t>六、关于评审中心部门 20</w:t>
      </w:r>
      <w:r>
        <w:rPr>
          <w:rFonts w:hint="eastAsia"/>
          <w:lang w:val="en-US" w:eastAsia="zh-CN"/>
        </w:rPr>
        <w:t>20</w:t>
      </w:r>
      <w:r>
        <w:t>年一般公共预算基本支出情况说明</w:t>
      </w:r>
    </w:p>
    <w:p>
      <w:pPr>
        <w:pStyle w:val="7"/>
        <w:spacing w:before="206"/>
        <w:ind w:right="461" w:firstLine="560" w:firstLineChars="200"/>
        <w:jc w:val="left"/>
      </w:pPr>
      <w:r>
        <w:t xml:space="preserve">评审中心部门 </w:t>
      </w:r>
      <w:r>
        <w:rPr>
          <w:rFonts w:hint="eastAsia"/>
          <w:lang w:val="en-US" w:eastAsia="zh-CN"/>
        </w:rPr>
        <w:t>2020</w:t>
      </w:r>
      <w:r>
        <w:t>年一般公共预算基本支出</w:t>
      </w:r>
      <w:r>
        <w:rPr>
          <w:rFonts w:hint="eastAsia"/>
          <w:lang w:val="en-US" w:eastAsia="zh-CN"/>
        </w:rPr>
        <w:t>138.99</w:t>
      </w:r>
      <w:r>
        <w:t xml:space="preserve">万元，其中：人员经费 </w:t>
      </w:r>
      <w:r>
        <w:rPr>
          <w:rFonts w:hint="eastAsia"/>
          <w:lang w:val="en-US" w:eastAsia="zh-CN"/>
        </w:rPr>
        <w:t>136.75</w:t>
      </w:r>
      <w:r>
        <w:rPr>
          <w:spacing w:val="-9"/>
        </w:rPr>
        <w:t xml:space="preserve">万元，主要包括基本工资 </w:t>
      </w:r>
      <w:r>
        <w:rPr>
          <w:rFonts w:hint="eastAsia"/>
          <w:lang w:val="en-US" w:eastAsia="zh-CN"/>
        </w:rPr>
        <w:t>49.79</w:t>
      </w:r>
      <w:r>
        <w:rPr>
          <w:spacing w:val="-18"/>
        </w:rPr>
        <w:t xml:space="preserve">万元、津贴补贴 </w:t>
      </w:r>
      <w:r>
        <w:rPr>
          <w:rFonts w:hint="eastAsia"/>
          <w:lang w:val="en-US" w:eastAsia="zh-CN"/>
        </w:rPr>
        <w:t>9.37</w:t>
      </w:r>
      <w:r>
        <w:rPr>
          <w:spacing w:val="-21"/>
        </w:rPr>
        <w:t xml:space="preserve">万元、奖金 </w:t>
      </w:r>
      <w:r>
        <w:rPr>
          <w:rFonts w:hint="eastAsia"/>
          <w:lang w:val="en-US" w:eastAsia="zh-CN"/>
        </w:rPr>
        <w:t>4.15</w:t>
      </w:r>
      <w:r>
        <w:rPr>
          <w:spacing w:val="-12"/>
        </w:rPr>
        <w:t>万元、</w:t>
      </w:r>
      <w:r>
        <w:rPr>
          <w:rFonts w:hint="eastAsia"/>
          <w:spacing w:val="-12"/>
          <w:lang w:eastAsia="zh-CN"/>
        </w:rPr>
        <w:t>绩效工资</w:t>
      </w:r>
      <w:r>
        <w:rPr>
          <w:rFonts w:hint="eastAsia"/>
          <w:spacing w:val="-12"/>
          <w:lang w:val="en-US" w:eastAsia="zh-CN"/>
        </w:rPr>
        <w:t>24.26万元，其他工资福利支出2.5万元，</w:t>
      </w:r>
      <w:r>
        <w:rPr>
          <w:spacing w:val="-12"/>
        </w:rPr>
        <w:t>机关事</w:t>
      </w:r>
      <w:r>
        <w:rPr>
          <w:spacing w:val="-9"/>
        </w:rPr>
        <w:t xml:space="preserve">业单位基本养老保险缴费 </w:t>
      </w:r>
      <w:r>
        <w:rPr>
          <w:rFonts w:hint="eastAsia"/>
          <w:lang w:val="en-US" w:eastAsia="zh-CN"/>
        </w:rPr>
        <w:t>14.01</w:t>
      </w:r>
      <w:r>
        <w:rPr>
          <w:spacing w:val="-15"/>
        </w:rPr>
        <w:t xml:space="preserve"> 万元、职业年金缴费 </w:t>
      </w:r>
      <w:r>
        <w:rPr>
          <w:rFonts w:hint="eastAsia"/>
          <w:lang w:val="en-US" w:eastAsia="zh-CN"/>
        </w:rPr>
        <w:t>6.67</w:t>
      </w:r>
      <w:r>
        <w:rPr>
          <w:spacing w:val="-10"/>
        </w:rPr>
        <w:t>万元、职工基本医疗保</w:t>
      </w:r>
      <w:r>
        <w:rPr>
          <w:rFonts w:hint="eastAsia"/>
          <w:spacing w:val="-10"/>
          <w:lang w:eastAsia="zh-CN"/>
        </w:rPr>
        <w:t>险</w:t>
      </w:r>
      <w:r>
        <w:rPr>
          <w:spacing w:val="-24"/>
        </w:rPr>
        <w:t xml:space="preserve">缴费 </w:t>
      </w:r>
      <w:r>
        <w:rPr>
          <w:rFonts w:hint="eastAsia"/>
          <w:lang w:val="en-US" w:eastAsia="zh-CN"/>
        </w:rPr>
        <w:t>7.51</w:t>
      </w:r>
      <w:r>
        <w:rPr>
          <w:spacing w:val="-15"/>
        </w:rPr>
        <w:t xml:space="preserve">万元、公务员医疗补助缴费 </w:t>
      </w:r>
      <w:r>
        <w:t>5.</w:t>
      </w:r>
      <w:r>
        <w:rPr>
          <w:rFonts w:hint="eastAsia"/>
          <w:lang w:val="en-US" w:eastAsia="zh-CN"/>
        </w:rPr>
        <w:t>84</w:t>
      </w:r>
      <w:r>
        <w:rPr>
          <w:spacing w:val="-14"/>
        </w:rPr>
        <w:t xml:space="preserve">万元、其他社会保障缴费 </w:t>
      </w:r>
      <w:r>
        <w:rPr>
          <w:rFonts w:hint="eastAsia"/>
          <w:lang w:val="en-US" w:eastAsia="zh-CN"/>
        </w:rPr>
        <w:t>2.14</w:t>
      </w:r>
      <w:r>
        <w:rPr>
          <w:spacing w:val="-15"/>
        </w:rPr>
        <w:t xml:space="preserve"> 万元、住</w:t>
      </w:r>
      <w:r>
        <w:rPr>
          <w:spacing w:val="-14"/>
        </w:rPr>
        <w:t xml:space="preserve">房公积金 </w:t>
      </w:r>
      <w:r>
        <w:rPr>
          <w:rFonts w:hint="eastAsia"/>
          <w:spacing w:val="-14"/>
          <w:lang w:val="en-US" w:eastAsia="zh-CN"/>
        </w:rPr>
        <w:t>10.51</w:t>
      </w:r>
      <w:r>
        <w:rPr>
          <w:spacing w:val="-14"/>
        </w:rPr>
        <w:t xml:space="preserve">万元，商品和服务支出 </w:t>
      </w:r>
      <w:r>
        <w:rPr>
          <w:rFonts w:hint="eastAsia"/>
          <w:lang w:val="en-US" w:eastAsia="zh-CN"/>
        </w:rPr>
        <w:t>2.24</w:t>
      </w:r>
      <w:r>
        <w:rPr>
          <w:spacing w:val="-18"/>
        </w:rPr>
        <w:t xml:space="preserve">万元，工会经费 </w:t>
      </w:r>
      <w:r>
        <w:rPr>
          <w:rFonts w:hint="eastAsia"/>
          <w:lang w:val="en-US" w:eastAsia="zh-CN"/>
        </w:rPr>
        <w:t>1.18</w:t>
      </w:r>
      <w:r>
        <w:rPr>
          <w:spacing w:val="-20"/>
        </w:rPr>
        <w:t xml:space="preserve">万元，福利费 </w:t>
      </w:r>
      <w:r>
        <w:rPr>
          <w:rFonts w:hint="eastAsia"/>
          <w:spacing w:val="-20"/>
          <w:lang w:val="en-US" w:eastAsia="zh-CN"/>
        </w:rPr>
        <w:t>1.06</w:t>
      </w:r>
      <w:r>
        <w:t>万元。</w:t>
      </w:r>
    </w:p>
    <w:p>
      <w:pPr>
        <w:pStyle w:val="7"/>
        <w:spacing w:before="201"/>
        <w:ind w:left="691"/>
        <w:rPr>
          <w:highlight w:val="none"/>
        </w:rPr>
      </w:pPr>
      <w:r>
        <w:rPr>
          <w:highlight w:val="none"/>
        </w:rPr>
        <w:t xml:space="preserve">公用经费 </w:t>
      </w:r>
      <w:r>
        <w:rPr>
          <w:rFonts w:hint="eastAsia"/>
          <w:highlight w:val="none"/>
          <w:lang w:val="en-US" w:eastAsia="zh-CN"/>
        </w:rPr>
        <w:t>1.18</w:t>
      </w:r>
      <w:r>
        <w:rPr>
          <w:highlight w:val="none"/>
        </w:rPr>
        <w:t>万元，主要包括：工会经费。</w:t>
      </w:r>
    </w:p>
    <w:p>
      <w:pPr>
        <w:numPr>
          <w:ilvl w:val="0"/>
          <w:numId w:val="3"/>
        </w:numPr>
        <w:spacing w:before="206" w:line="376" w:lineRule="auto"/>
        <w:ind w:left="691" w:right="4284" w:firstLine="0"/>
        <w:jc w:val="left"/>
        <w:rPr>
          <w:b/>
          <w:color w:val="auto"/>
          <w:spacing w:val="-11"/>
          <w:sz w:val="28"/>
          <w:highlight w:val="none"/>
        </w:rPr>
      </w:pPr>
      <w:r>
        <w:rPr>
          <w:b/>
          <w:color w:val="auto"/>
          <w:spacing w:val="-7"/>
          <w:sz w:val="28"/>
          <w:highlight w:val="none"/>
        </w:rPr>
        <w:t xml:space="preserve">关于评审中心部门 </w:t>
      </w:r>
      <w:r>
        <w:rPr>
          <w:b/>
          <w:color w:val="auto"/>
          <w:sz w:val="28"/>
          <w:highlight w:val="none"/>
        </w:rPr>
        <w:t>20</w:t>
      </w:r>
      <w:r>
        <w:rPr>
          <w:rFonts w:hint="eastAsia"/>
          <w:b/>
          <w:color w:val="auto"/>
          <w:sz w:val="28"/>
          <w:highlight w:val="none"/>
          <w:lang w:val="en-US" w:eastAsia="zh-CN"/>
        </w:rPr>
        <w:t>20</w:t>
      </w:r>
      <w:r>
        <w:rPr>
          <w:b/>
          <w:color w:val="auto"/>
          <w:spacing w:val="-11"/>
          <w:sz w:val="28"/>
          <w:highlight w:val="none"/>
        </w:rPr>
        <w:t>年项目支出情况说明</w:t>
      </w:r>
    </w:p>
    <w:p>
      <w:pPr>
        <w:numPr>
          <w:ilvl w:val="0"/>
          <w:numId w:val="0"/>
        </w:numPr>
        <w:spacing w:before="206" w:line="376" w:lineRule="auto"/>
        <w:ind w:left="691" w:leftChars="0" w:right="4284" w:rightChars="0"/>
        <w:jc w:val="left"/>
        <w:rPr>
          <w:sz w:val="28"/>
          <w:highlight w:val="none"/>
        </w:rPr>
      </w:pPr>
      <w:r>
        <w:rPr>
          <w:b/>
          <w:sz w:val="28"/>
          <w:highlight w:val="none"/>
        </w:rPr>
        <w:t>项目名称：</w:t>
      </w:r>
      <w:r>
        <w:rPr>
          <w:spacing w:val="-3"/>
          <w:sz w:val="28"/>
          <w:highlight w:val="none"/>
        </w:rPr>
        <w:t>新疆矿业权让收益市场基准价</w:t>
      </w:r>
    </w:p>
    <w:p>
      <w:pPr>
        <w:autoSpaceDE w:val="0"/>
        <w:autoSpaceDN w:val="0"/>
        <w:adjustRightInd w:val="0"/>
        <w:ind w:firstLine="562" w:firstLineChars="200"/>
        <w:jc w:val="left"/>
        <w:rPr>
          <w:rFonts w:hint="eastAsia" w:ascii="仿宋" w:hAnsi="仿宋" w:eastAsia="仿宋" w:cs="仿宋"/>
          <w:kern w:val="0"/>
          <w:sz w:val="28"/>
          <w:szCs w:val="28"/>
          <w:lang w:val="zh-CN"/>
        </w:rPr>
      </w:pPr>
      <w:r>
        <w:rPr>
          <w:b/>
          <w:sz w:val="28"/>
          <w:highlight w:val="none"/>
        </w:rPr>
        <w:t>设立的政策依据：</w:t>
      </w:r>
      <w:r>
        <w:rPr>
          <w:rFonts w:hint="eastAsia" w:ascii="仿宋" w:hAnsi="仿宋" w:eastAsia="仿宋" w:cs="仿宋"/>
          <w:sz w:val="28"/>
          <w:szCs w:val="28"/>
        </w:rPr>
        <w:t>《国务院关于印发矿产资源权益金制度改革方案的通知》国发〔2017〕29号《矿业权出让收益征收管理暂行办法》“第八条， 市场基准价由地方矿产资源主管部门参照类似市场条件定期制定，经省级人民政府同意后公布执行；《国务院关于印发矿产资源权益金制度改革方案的通知》（国发〔2017〕29号）《财政部 国土资源部关于印发〈矿业权出让收益征收管理暂行办法〉的通知》（财综〔2017〕35号）以及《自治区党委办公厅 自治区人民政府办公厅关于印发〈新疆维吾尔自治区探矿权采矿权出让制度改革试点工作实施方案〉的通知》（新党厅字〔2018〕57号）等规定，“建立符合我国特点的新型矿产资源权益金制度”。赴疆内各地州进行调研，通过与各地州国土资源局、各矿山生产负责人会谈、书面调查的形式了解各地州矿种分布特征、开采技术条件、各矿山建设情况、生产及销售情况、矿产品价格变化情况资料，对煤、煤成（层）气、铁、金、银、钨、铜、铅、锌、锰、钼、镍、锡、钾盐、硫铁矿、芒硝、湖（岩）盐、石灰岩、大理岩、花岗岩、白云岩、石棉等二十二个矿种的资源储量。</w:t>
      </w:r>
    </w:p>
    <w:p>
      <w:pPr>
        <w:spacing w:before="202"/>
        <w:ind w:right="0" w:firstLine="562" w:firstLineChars="200"/>
        <w:jc w:val="left"/>
        <w:rPr>
          <w:sz w:val="28"/>
          <w:highlight w:val="none"/>
        </w:rPr>
      </w:pPr>
      <w:r>
        <w:rPr>
          <w:b/>
          <w:sz w:val="28"/>
          <w:highlight w:val="none"/>
        </w:rPr>
        <w:t>预算安排规模：</w:t>
      </w:r>
      <w:r>
        <w:rPr>
          <w:sz w:val="28"/>
          <w:highlight w:val="none"/>
        </w:rPr>
        <w:t xml:space="preserve">本项目经费 </w:t>
      </w:r>
      <w:r>
        <w:rPr>
          <w:rFonts w:hint="eastAsia"/>
          <w:sz w:val="28"/>
          <w:highlight w:val="none"/>
          <w:lang w:val="en-US" w:eastAsia="zh-CN"/>
        </w:rPr>
        <w:t>30</w:t>
      </w:r>
      <w:r>
        <w:rPr>
          <w:sz w:val="28"/>
          <w:highlight w:val="none"/>
        </w:rPr>
        <w:t>万元。</w:t>
      </w:r>
    </w:p>
    <w:p>
      <w:pPr>
        <w:spacing w:before="205"/>
        <w:ind w:right="0" w:firstLine="562" w:firstLineChars="200"/>
        <w:jc w:val="left"/>
        <w:rPr>
          <w:sz w:val="28"/>
          <w:highlight w:val="none"/>
        </w:rPr>
      </w:pPr>
      <w:r>
        <w:rPr>
          <w:b/>
          <w:sz w:val="28"/>
          <w:highlight w:val="none"/>
        </w:rPr>
        <w:t>项目承担单位：</w:t>
      </w:r>
      <w:r>
        <w:rPr>
          <w:sz w:val="28"/>
          <w:highlight w:val="none"/>
        </w:rPr>
        <w:t>新疆维吾尔自治区矿产资源储量评审中心</w:t>
      </w:r>
    </w:p>
    <w:p>
      <w:pPr>
        <w:autoSpaceDE w:val="0"/>
        <w:autoSpaceDN w:val="0"/>
        <w:adjustRightInd w:val="0"/>
        <w:spacing w:line="500" w:lineRule="atLeast"/>
        <w:ind w:firstLine="562" w:firstLineChars="200"/>
        <w:rPr>
          <w:rFonts w:hint="eastAsia" w:ascii="仿宋" w:hAnsi="仿宋" w:eastAsia="仿宋" w:cs="仿宋"/>
          <w:spacing w:val="4"/>
          <w:kern w:val="0"/>
          <w:sz w:val="28"/>
          <w:szCs w:val="28"/>
        </w:rPr>
      </w:pPr>
      <w:r>
        <w:rPr>
          <w:b/>
          <w:sz w:val="28"/>
          <w:szCs w:val="28"/>
          <w:highlight w:val="none"/>
        </w:rPr>
        <w:t>资金分配情况：</w:t>
      </w:r>
      <w:r>
        <w:rPr>
          <w:rFonts w:hint="eastAsia" w:ascii="仿宋" w:hAnsi="仿宋" w:eastAsia="仿宋" w:cs="仿宋"/>
          <w:spacing w:val="4"/>
          <w:kern w:val="0"/>
          <w:sz w:val="28"/>
          <w:szCs w:val="28"/>
        </w:rPr>
        <w:t>1、</w:t>
      </w:r>
      <w:r>
        <w:rPr>
          <w:rFonts w:hint="eastAsia" w:ascii="仿宋" w:hAnsi="仿宋" w:eastAsia="仿宋" w:cs="仿宋"/>
          <w:sz w:val="28"/>
          <w:szCs w:val="28"/>
        </w:rPr>
        <w:t>印刷费：</w:t>
      </w:r>
      <w:r>
        <w:rPr>
          <w:rFonts w:hint="eastAsia" w:ascii="仿宋" w:hAnsi="仿宋" w:eastAsia="仿宋" w:cs="仿宋"/>
          <w:spacing w:val="4"/>
          <w:kern w:val="0"/>
          <w:sz w:val="28"/>
          <w:szCs w:val="28"/>
        </w:rPr>
        <w:t>项目所需资料</w:t>
      </w:r>
      <w:r>
        <w:rPr>
          <w:rFonts w:hint="eastAsia" w:ascii="仿宋" w:hAnsi="仿宋" w:eastAsia="仿宋" w:cs="仿宋"/>
          <w:sz w:val="28"/>
          <w:szCs w:val="28"/>
        </w:rPr>
        <w:t>印刷、出版、制图费用及其他印刷等支出，需1万元。</w:t>
      </w:r>
    </w:p>
    <w:p>
      <w:pPr>
        <w:autoSpaceDE w:val="0"/>
        <w:autoSpaceDN w:val="0"/>
        <w:adjustRightInd w:val="0"/>
        <w:spacing w:line="500" w:lineRule="atLeast"/>
        <w:ind w:firstLine="576"/>
        <w:rPr>
          <w:rFonts w:hint="eastAsia" w:ascii="仿宋" w:hAnsi="仿宋" w:eastAsia="仿宋" w:cs="仿宋"/>
          <w:sz w:val="28"/>
          <w:szCs w:val="28"/>
        </w:rPr>
      </w:pPr>
      <w:r>
        <w:rPr>
          <w:rFonts w:hint="eastAsia" w:ascii="仿宋" w:hAnsi="仿宋" w:eastAsia="仿宋" w:cs="仿宋"/>
          <w:spacing w:val="4"/>
          <w:kern w:val="0"/>
          <w:sz w:val="28"/>
          <w:szCs w:val="28"/>
        </w:rPr>
        <w:t>2、</w:t>
      </w:r>
      <w:r>
        <w:rPr>
          <w:rFonts w:hint="eastAsia" w:ascii="仿宋" w:hAnsi="仿宋" w:eastAsia="仿宋" w:cs="仿宋"/>
          <w:sz w:val="28"/>
          <w:szCs w:val="28"/>
        </w:rPr>
        <w:t>咨询费：</w:t>
      </w:r>
      <w:r>
        <w:rPr>
          <w:rFonts w:hint="eastAsia" w:ascii="仿宋" w:hAnsi="仿宋" w:eastAsia="仿宋" w:cs="仿宋"/>
          <w:sz w:val="28"/>
          <w:szCs w:val="28"/>
          <w:lang w:val="zh-TW"/>
        </w:rPr>
        <w:t>指基准价调整方案参会的外聘专家、外协单位人员在每个地州召开项目研讨会、审查会、验收会中支付给专家的劳务性支出，</w:t>
      </w:r>
      <w:r>
        <w:rPr>
          <w:rFonts w:hint="eastAsia" w:ascii="仿宋" w:hAnsi="仿宋" w:eastAsia="仿宋" w:cs="仿宋"/>
          <w:kern w:val="0"/>
          <w:sz w:val="28"/>
          <w:szCs w:val="28"/>
          <w:lang w:val="zh-TW"/>
        </w:rPr>
        <w:t>按照新疆维吾尔自治区国土资源厅关于印发《自治区国土资源厅专项业务项目评审费内部管理暂行办法》在（新国土资发〔</w:t>
      </w:r>
      <w:r>
        <w:rPr>
          <w:rFonts w:hint="eastAsia" w:ascii="仿宋" w:hAnsi="仿宋" w:eastAsia="仿宋" w:cs="仿宋"/>
          <w:kern w:val="0"/>
          <w:sz w:val="28"/>
          <w:szCs w:val="28"/>
        </w:rPr>
        <w:t>2007</w:t>
      </w:r>
      <w:r>
        <w:rPr>
          <w:rFonts w:hint="eastAsia" w:ascii="仿宋" w:hAnsi="仿宋" w:eastAsia="仿宋" w:cs="仿宋"/>
          <w:kern w:val="0"/>
          <w:sz w:val="28"/>
          <w:szCs w:val="28"/>
          <w:lang w:val="zh-TW"/>
        </w:rPr>
        <w:t>〕</w:t>
      </w:r>
      <w:r>
        <w:rPr>
          <w:rFonts w:hint="eastAsia" w:ascii="仿宋" w:hAnsi="仿宋" w:eastAsia="仿宋" w:cs="仿宋"/>
          <w:kern w:val="0"/>
          <w:sz w:val="28"/>
          <w:szCs w:val="28"/>
        </w:rPr>
        <w:t>207</w:t>
      </w:r>
      <w:r>
        <w:rPr>
          <w:rFonts w:hint="eastAsia" w:ascii="仿宋" w:hAnsi="仿宋" w:eastAsia="仿宋" w:cs="仿宋"/>
          <w:kern w:val="0"/>
          <w:sz w:val="28"/>
          <w:szCs w:val="28"/>
          <w:lang w:val="zh-TW"/>
        </w:rPr>
        <w:t>号文件，咨询费（高级职称以上）标准</w:t>
      </w:r>
      <w:r>
        <w:rPr>
          <w:rFonts w:hint="eastAsia" w:ascii="仿宋" w:hAnsi="仿宋" w:eastAsia="仿宋" w:cs="仿宋"/>
          <w:kern w:val="0"/>
          <w:sz w:val="28"/>
          <w:szCs w:val="28"/>
        </w:rPr>
        <w:t>800</w:t>
      </w:r>
      <w:r>
        <w:rPr>
          <w:rFonts w:hint="eastAsia" w:ascii="仿宋" w:hAnsi="仿宋" w:eastAsia="仿宋" w:cs="仿宋"/>
          <w:kern w:val="0"/>
          <w:sz w:val="28"/>
          <w:szCs w:val="28"/>
          <w:lang w:val="zh-TW"/>
        </w:rPr>
        <w:t>元</w:t>
      </w:r>
      <w:r>
        <w:rPr>
          <w:rFonts w:hint="eastAsia" w:ascii="仿宋" w:hAnsi="仿宋" w:eastAsia="仿宋" w:cs="仿宋"/>
          <w:kern w:val="0"/>
          <w:sz w:val="28"/>
          <w:szCs w:val="28"/>
        </w:rPr>
        <w:t>/</w:t>
      </w:r>
      <w:r>
        <w:rPr>
          <w:rFonts w:hint="eastAsia" w:ascii="仿宋" w:hAnsi="仿宋" w:eastAsia="仿宋" w:cs="仿宋"/>
          <w:kern w:val="0"/>
          <w:sz w:val="28"/>
          <w:szCs w:val="28"/>
          <w:lang w:val="zh-TW"/>
        </w:rPr>
        <w:t>人次，</w:t>
      </w:r>
      <w:r>
        <w:rPr>
          <w:rFonts w:hint="eastAsia" w:ascii="仿宋" w:hAnsi="仿宋" w:eastAsia="仿宋" w:cs="仿宋"/>
          <w:sz w:val="28"/>
          <w:szCs w:val="28"/>
        </w:rPr>
        <w:t>每次约聘请专家6-8人/次，项目工作期10次，需6.8万元。</w:t>
      </w:r>
    </w:p>
    <w:p>
      <w:pPr>
        <w:autoSpaceDE w:val="0"/>
        <w:autoSpaceDN w:val="0"/>
        <w:adjustRightInd w:val="0"/>
        <w:ind w:firstLine="576"/>
        <w:rPr>
          <w:rFonts w:hint="eastAsia" w:ascii="仿宋" w:hAnsi="仿宋" w:eastAsia="仿宋" w:cs="仿宋"/>
          <w:sz w:val="28"/>
          <w:szCs w:val="28"/>
        </w:rPr>
      </w:pPr>
      <w:r>
        <w:rPr>
          <w:rFonts w:hint="eastAsia" w:ascii="仿宋" w:hAnsi="仿宋" w:eastAsia="仿宋" w:cs="仿宋"/>
          <w:spacing w:val="4"/>
          <w:kern w:val="0"/>
          <w:sz w:val="28"/>
          <w:szCs w:val="28"/>
        </w:rPr>
        <w:t>3、差旅费：</w:t>
      </w:r>
      <w:r>
        <w:rPr>
          <w:rFonts w:hint="eastAsia" w:ascii="仿宋" w:hAnsi="仿宋" w:eastAsia="仿宋" w:cs="仿宋"/>
          <w:sz w:val="28"/>
          <w:szCs w:val="28"/>
        </w:rPr>
        <w:t>项目启动安排到各地州项目调研、审查业务咨询，每次不同人数参与</w:t>
      </w:r>
      <w:r>
        <w:rPr>
          <w:rFonts w:hint="eastAsia" w:ascii="仿宋" w:hAnsi="仿宋" w:eastAsia="仿宋" w:cs="仿宋"/>
          <w:spacing w:val="4"/>
          <w:kern w:val="0"/>
          <w:sz w:val="28"/>
          <w:szCs w:val="28"/>
        </w:rPr>
        <w:t>疆内项目实施3-5人，10次各地调研天数按照实际工作量，参照有关住宿标准按300元/人、伙食补贴按120元/人、交通费补助80元/人计算，往返飞机票和火车票，需2.2</w:t>
      </w:r>
      <w:r>
        <w:rPr>
          <w:rFonts w:hint="eastAsia" w:ascii="仿宋" w:hAnsi="仿宋" w:eastAsia="仿宋" w:cs="仿宋"/>
          <w:sz w:val="28"/>
          <w:szCs w:val="28"/>
        </w:rPr>
        <w:t>万元。</w:t>
      </w:r>
    </w:p>
    <w:p>
      <w:pPr>
        <w:autoSpaceDE w:val="0"/>
        <w:autoSpaceDN w:val="0"/>
        <w:adjustRightInd w:val="0"/>
        <w:ind w:firstLine="560"/>
        <w:rPr>
          <w:rFonts w:hint="eastAsia" w:ascii="仿宋" w:hAnsi="仿宋" w:eastAsia="仿宋" w:cs="仿宋"/>
          <w:sz w:val="28"/>
          <w:szCs w:val="28"/>
        </w:rPr>
      </w:pPr>
      <w:r>
        <w:rPr>
          <w:rFonts w:hint="eastAsia" w:ascii="仿宋" w:hAnsi="仿宋" w:eastAsia="仿宋" w:cs="仿宋"/>
          <w:sz w:val="28"/>
          <w:szCs w:val="28"/>
        </w:rPr>
        <w:t>4、劳务费：项目工作5-6人，其中在编人员2人（属于财政供养人员，故未计算相应的人员经费），聘用矿业专家3人：3人*5000.0元/元*11个月，需16.5万元。</w:t>
      </w:r>
    </w:p>
    <w:p>
      <w:pPr>
        <w:autoSpaceDE w:val="0"/>
        <w:autoSpaceDN w:val="0"/>
        <w:adjustRightInd w:val="0"/>
        <w:ind w:firstLine="576"/>
        <w:rPr>
          <w:rFonts w:hint="eastAsia" w:ascii="仿宋" w:hAnsi="仿宋" w:eastAsia="仿宋" w:cs="仿宋"/>
          <w:sz w:val="28"/>
          <w:szCs w:val="28"/>
        </w:rPr>
      </w:pPr>
      <w:r>
        <w:rPr>
          <w:rFonts w:hint="eastAsia" w:ascii="仿宋" w:hAnsi="仿宋" w:eastAsia="仿宋" w:cs="仿宋"/>
          <w:spacing w:val="4"/>
          <w:kern w:val="0"/>
          <w:sz w:val="28"/>
          <w:szCs w:val="28"/>
        </w:rPr>
        <w:t>5、其他商品和服务支出：</w:t>
      </w:r>
      <w:r>
        <w:rPr>
          <w:rFonts w:hint="eastAsia" w:ascii="仿宋" w:hAnsi="仿宋" w:eastAsia="仿宋" w:cs="仿宋"/>
          <w:sz w:val="28"/>
          <w:szCs w:val="28"/>
        </w:rPr>
        <w:t>包含开展专项基准价项目工作有关费用，需3.5万元。</w:t>
      </w:r>
    </w:p>
    <w:p>
      <w:pPr>
        <w:spacing w:before="202"/>
        <w:ind w:right="0"/>
        <w:jc w:val="left"/>
        <w:rPr>
          <w:sz w:val="28"/>
          <w:highlight w:val="none"/>
        </w:rPr>
      </w:pPr>
      <w:r>
        <w:rPr>
          <w:b/>
          <w:sz w:val="28"/>
          <w:highlight w:val="none"/>
        </w:rPr>
        <w:t>资金执行时间：</w:t>
      </w:r>
      <w:r>
        <w:rPr>
          <w:sz w:val="28"/>
          <w:highlight w:val="none"/>
        </w:rPr>
        <w:t>20</w:t>
      </w:r>
      <w:r>
        <w:rPr>
          <w:rFonts w:hint="eastAsia"/>
          <w:sz w:val="28"/>
          <w:highlight w:val="none"/>
          <w:lang w:val="en-US" w:eastAsia="zh-CN"/>
        </w:rPr>
        <w:t>20</w:t>
      </w:r>
      <w:r>
        <w:rPr>
          <w:sz w:val="28"/>
          <w:highlight w:val="none"/>
        </w:rPr>
        <w:t>-20</w:t>
      </w:r>
      <w:r>
        <w:rPr>
          <w:rFonts w:hint="eastAsia"/>
          <w:sz w:val="28"/>
          <w:highlight w:val="none"/>
          <w:lang w:val="en-US" w:eastAsia="zh-CN"/>
        </w:rPr>
        <w:t>21</w:t>
      </w:r>
      <w:r>
        <w:rPr>
          <w:sz w:val="28"/>
          <w:highlight w:val="none"/>
        </w:rPr>
        <w:t>年</w:t>
      </w:r>
    </w:p>
    <w:p>
      <w:pPr>
        <w:keepNext w:val="0"/>
        <w:keepLines w:val="0"/>
        <w:pageBreakBefore w:val="0"/>
        <w:widowControl w:val="0"/>
        <w:kinsoku/>
        <w:wordWrap/>
        <w:overflowPunct/>
        <w:topLinePunct w:val="0"/>
        <w:autoSpaceDE w:val="0"/>
        <w:autoSpaceDN w:val="0"/>
        <w:bidi w:val="0"/>
        <w:adjustRightInd/>
        <w:snapToGrid/>
        <w:spacing w:before="0" w:line="377" w:lineRule="auto"/>
        <w:ind w:right="0"/>
        <w:jc w:val="left"/>
        <w:textAlignment w:val="auto"/>
        <w:rPr>
          <w:b/>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377" w:lineRule="auto"/>
        <w:ind w:right="0" w:firstLine="562" w:firstLineChars="200"/>
        <w:jc w:val="left"/>
        <w:textAlignment w:val="auto"/>
        <w:rPr>
          <w:rFonts w:hint="eastAsia"/>
          <w:spacing w:val="-3"/>
          <w:sz w:val="28"/>
          <w:highlight w:val="none"/>
          <w:lang w:eastAsia="zh-CN"/>
        </w:rPr>
      </w:pPr>
      <w:r>
        <w:rPr>
          <w:b/>
          <w:sz w:val="28"/>
          <w:highlight w:val="none"/>
        </w:rPr>
        <w:t>项目名称：</w:t>
      </w:r>
      <w:r>
        <w:rPr>
          <w:spacing w:val="-3"/>
          <w:sz w:val="28"/>
          <w:highlight w:val="none"/>
        </w:rPr>
        <w:t>新疆</w:t>
      </w:r>
      <w:r>
        <w:rPr>
          <w:rFonts w:hint="eastAsia"/>
          <w:spacing w:val="-3"/>
          <w:sz w:val="28"/>
          <w:highlight w:val="none"/>
          <w:lang w:eastAsia="zh-CN"/>
        </w:rPr>
        <w:t>矿产资源年报</w:t>
      </w:r>
    </w:p>
    <w:p>
      <w:pPr>
        <w:keepNext w:val="0"/>
        <w:keepLines w:val="0"/>
        <w:pageBreakBefore w:val="0"/>
        <w:widowControl w:val="0"/>
        <w:kinsoku/>
        <w:wordWrap/>
        <w:overflowPunct/>
        <w:topLinePunct w:val="0"/>
        <w:autoSpaceDE w:val="0"/>
        <w:autoSpaceDN w:val="0"/>
        <w:bidi w:val="0"/>
        <w:adjustRightInd/>
        <w:snapToGrid/>
        <w:spacing w:before="0" w:line="377" w:lineRule="auto"/>
        <w:ind w:right="0" w:firstLine="562" w:firstLineChars="200"/>
        <w:jc w:val="both"/>
        <w:textAlignment w:val="auto"/>
        <w:rPr>
          <w:rFonts w:hint="eastAsia" w:ascii="仿宋" w:hAnsi="仿宋" w:eastAsia="仿宋" w:cs="仿宋"/>
          <w:sz w:val="28"/>
          <w:szCs w:val="28"/>
        </w:rPr>
      </w:pPr>
      <w:r>
        <w:rPr>
          <w:b/>
          <w:sz w:val="28"/>
          <w:highlight w:val="none"/>
        </w:rPr>
        <w:t>设立的政策依据</w:t>
      </w:r>
      <w:r>
        <w:rPr>
          <w:rFonts w:hint="eastAsia"/>
          <w:b/>
          <w:sz w:val="28"/>
          <w:highlight w:val="none"/>
          <w:lang w:val="en-US" w:eastAsia="zh-CN"/>
        </w:rPr>
        <w:t>:</w:t>
      </w:r>
      <w:r>
        <w:rPr>
          <w:rFonts w:hint="eastAsia" w:ascii="仿宋" w:hAnsi="仿宋" w:eastAsia="仿宋" w:cs="仿宋"/>
          <w:sz w:val="28"/>
          <w:szCs w:val="28"/>
        </w:rPr>
        <w:t>《新疆维吾尔自治区矿产资源年报》（以下简称《年报》）是新疆自然资源厅为履行矿产资源管理职能而编制的综合性年度报告，反映2019年度新疆矿产资源的基本现状，为各级政府编制有关规划、制定相关政策、实施宏观调控提供决策依据。</w:t>
      </w:r>
    </w:p>
    <w:p>
      <w:pPr>
        <w:spacing w:before="202"/>
        <w:ind w:right="0" w:firstLine="562" w:firstLineChars="200"/>
        <w:jc w:val="left"/>
        <w:rPr>
          <w:sz w:val="28"/>
          <w:highlight w:val="none"/>
        </w:rPr>
      </w:pPr>
      <w:r>
        <w:rPr>
          <w:b/>
          <w:sz w:val="28"/>
          <w:highlight w:val="none"/>
        </w:rPr>
        <w:t>预算安排规模：</w:t>
      </w:r>
      <w:r>
        <w:rPr>
          <w:sz w:val="28"/>
          <w:highlight w:val="none"/>
        </w:rPr>
        <w:t xml:space="preserve">本项目经费 </w:t>
      </w:r>
      <w:r>
        <w:rPr>
          <w:rFonts w:hint="eastAsia"/>
          <w:sz w:val="28"/>
          <w:highlight w:val="none"/>
          <w:lang w:val="en-US" w:eastAsia="zh-CN"/>
        </w:rPr>
        <w:t>15</w:t>
      </w:r>
      <w:r>
        <w:rPr>
          <w:sz w:val="28"/>
          <w:highlight w:val="none"/>
        </w:rPr>
        <w:t>万元。</w:t>
      </w:r>
    </w:p>
    <w:p>
      <w:pPr>
        <w:spacing w:before="205"/>
        <w:ind w:right="0" w:firstLine="562" w:firstLineChars="200"/>
        <w:jc w:val="left"/>
        <w:rPr>
          <w:sz w:val="28"/>
          <w:highlight w:val="none"/>
        </w:rPr>
      </w:pPr>
      <w:r>
        <w:rPr>
          <w:b/>
          <w:sz w:val="28"/>
          <w:highlight w:val="none"/>
        </w:rPr>
        <w:t>项目承担单位：</w:t>
      </w:r>
      <w:r>
        <w:rPr>
          <w:sz w:val="28"/>
          <w:highlight w:val="none"/>
        </w:rPr>
        <w:t>新疆维吾尔自治区矿产资源储量评审中心</w:t>
      </w:r>
    </w:p>
    <w:p>
      <w:pPr>
        <w:autoSpaceDE w:val="0"/>
        <w:autoSpaceDN w:val="0"/>
        <w:adjustRightInd w:val="0"/>
        <w:spacing w:line="500" w:lineRule="atLeast"/>
        <w:ind w:firstLine="562" w:firstLineChars="200"/>
        <w:rPr>
          <w:rFonts w:hint="eastAsia" w:ascii="仿宋" w:hAnsi="仿宋" w:eastAsia="仿宋" w:cs="仿宋"/>
          <w:sz w:val="28"/>
          <w:szCs w:val="28"/>
        </w:rPr>
      </w:pPr>
      <w:r>
        <w:rPr>
          <w:b/>
          <w:sz w:val="28"/>
          <w:szCs w:val="28"/>
          <w:highlight w:val="none"/>
        </w:rPr>
        <w:t>资金分配情况：</w:t>
      </w:r>
      <w:r>
        <w:rPr>
          <w:rFonts w:hint="eastAsia" w:ascii="仿宋" w:hAnsi="仿宋" w:eastAsia="仿宋" w:cs="仿宋"/>
          <w:sz w:val="28"/>
          <w:szCs w:val="28"/>
        </w:rPr>
        <w:t>1、印刷费：矿产年报各项资料印刷、年度设计打印、复印、装订费用）需0.5万元。</w:t>
      </w:r>
    </w:p>
    <w:p>
      <w:pPr>
        <w:autoSpaceDE w:val="0"/>
        <w:autoSpaceDN w:val="0"/>
        <w:adjustRightInd w:val="0"/>
        <w:spacing w:line="500" w:lineRule="atLeast"/>
        <w:ind w:firstLine="864"/>
        <w:rPr>
          <w:rFonts w:hint="eastAsia" w:ascii="仿宋" w:hAnsi="仿宋" w:eastAsia="仿宋" w:cs="仿宋"/>
          <w:kern w:val="0"/>
          <w:sz w:val="28"/>
          <w:szCs w:val="28"/>
        </w:rPr>
      </w:pPr>
      <w:r>
        <w:rPr>
          <w:rFonts w:hint="eastAsia" w:ascii="仿宋" w:hAnsi="仿宋" w:eastAsia="仿宋" w:cs="仿宋"/>
          <w:spacing w:val="4"/>
          <w:kern w:val="0"/>
          <w:sz w:val="28"/>
          <w:szCs w:val="28"/>
        </w:rPr>
        <w:t>2、</w:t>
      </w:r>
      <w:r>
        <w:rPr>
          <w:rFonts w:hint="eastAsia" w:ascii="仿宋" w:hAnsi="仿宋" w:eastAsia="仿宋" w:cs="仿宋"/>
          <w:sz w:val="28"/>
          <w:szCs w:val="28"/>
        </w:rPr>
        <w:t>劳务费：</w:t>
      </w:r>
      <w:r>
        <w:rPr>
          <w:rFonts w:hint="eastAsia" w:ascii="仿宋" w:hAnsi="仿宋" w:eastAsia="仿宋" w:cs="仿宋"/>
          <w:kern w:val="0"/>
          <w:sz w:val="28"/>
          <w:szCs w:val="28"/>
        </w:rPr>
        <w:t>指直接从事《年报》编制人员的全部费用，一位高级工程师，标准8000元/月，6个月计4.80万元；二位工程师，标准5000元/月，6个月计6.00万元，合计10.80万元。</w:t>
      </w:r>
    </w:p>
    <w:p>
      <w:pPr>
        <w:autoSpaceDE w:val="0"/>
        <w:autoSpaceDN w:val="0"/>
        <w:adjustRightInd w:val="0"/>
        <w:ind w:firstLine="840"/>
        <w:rPr>
          <w:rFonts w:hint="eastAsia" w:ascii="仿宋" w:hAnsi="仿宋" w:eastAsia="仿宋" w:cs="仿宋"/>
          <w:sz w:val="28"/>
          <w:szCs w:val="28"/>
        </w:rPr>
      </w:pPr>
      <w:r>
        <w:rPr>
          <w:rFonts w:hint="eastAsia" w:ascii="仿宋" w:hAnsi="仿宋" w:eastAsia="仿宋" w:cs="仿宋"/>
          <w:sz w:val="28"/>
          <w:szCs w:val="28"/>
        </w:rPr>
        <w:t>3、其他商品和服务支出费用：包括技术资料主要为收集报告相关的区域地质资料等，收集费用按照市场价格，预算需3.7万元。</w:t>
      </w:r>
    </w:p>
    <w:p>
      <w:pPr>
        <w:autoSpaceDE w:val="0"/>
        <w:autoSpaceDN w:val="0"/>
        <w:adjustRightInd w:val="0"/>
        <w:ind w:firstLine="562" w:firstLineChars="200"/>
        <w:rPr>
          <w:sz w:val="28"/>
          <w:highlight w:val="none"/>
        </w:rPr>
      </w:pPr>
      <w:r>
        <w:rPr>
          <w:b/>
          <w:sz w:val="28"/>
          <w:highlight w:val="none"/>
        </w:rPr>
        <w:t>资金执行时间：</w:t>
      </w:r>
      <w:r>
        <w:rPr>
          <w:sz w:val="28"/>
          <w:highlight w:val="none"/>
        </w:rPr>
        <w:t>20</w:t>
      </w:r>
      <w:r>
        <w:rPr>
          <w:rFonts w:hint="eastAsia"/>
          <w:sz w:val="28"/>
          <w:highlight w:val="none"/>
          <w:lang w:val="en-US" w:eastAsia="zh-CN"/>
        </w:rPr>
        <w:t>20</w:t>
      </w:r>
      <w:r>
        <w:rPr>
          <w:sz w:val="28"/>
          <w:highlight w:val="none"/>
        </w:rPr>
        <w:t>年</w:t>
      </w:r>
    </w:p>
    <w:p>
      <w:pPr>
        <w:autoSpaceDE w:val="0"/>
        <w:autoSpaceDN w:val="0"/>
        <w:adjustRightInd w:val="0"/>
        <w:ind w:firstLine="840"/>
        <w:rPr>
          <w:rFonts w:hint="eastAsia"/>
          <w:sz w:val="28"/>
          <w:highlight w:val="none"/>
        </w:rPr>
      </w:pPr>
    </w:p>
    <w:p>
      <w:pPr>
        <w:spacing w:before="206" w:line="376" w:lineRule="auto"/>
        <w:ind w:right="3960" w:rightChars="1800" w:firstLine="562" w:firstLineChars="200"/>
        <w:jc w:val="left"/>
        <w:rPr>
          <w:rFonts w:hint="default"/>
          <w:spacing w:val="-3"/>
          <w:sz w:val="28"/>
          <w:highlight w:val="none"/>
          <w:lang w:val="en-US" w:eastAsia="zh-CN"/>
        </w:rPr>
      </w:pPr>
      <w:r>
        <w:rPr>
          <w:b/>
          <w:sz w:val="28"/>
          <w:highlight w:val="none"/>
        </w:rPr>
        <w:t>项目名称：</w:t>
      </w:r>
      <w:r>
        <w:rPr>
          <w:rFonts w:hint="eastAsia"/>
          <w:spacing w:val="-3"/>
          <w:sz w:val="28"/>
          <w:highlight w:val="none"/>
          <w:lang w:eastAsia="zh-CN"/>
        </w:rPr>
        <w:t>矿产资源储量核定</w:t>
      </w:r>
    </w:p>
    <w:p>
      <w:pPr>
        <w:autoSpaceDE w:val="0"/>
        <w:autoSpaceDN w:val="0"/>
        <w:adjustRightInd w:val="0"/>
        <w:ind w:firstLine="562" w:firstLineChars="200"/>
        <w:rPr>
          <w:rFonts w:hint="eastAsia"/>
          <w:b/>
          <w:sz w:val="28"/>
          <w:highlight w:val="none"/>
          <w:lang w:val="en-US" w:eastAsia="zh-CN"/>
        </w:rPr>
      </w:pPr>
      <w:r>
        <w:rPr>
          <w:b/>
          <w:sz w:val="28"/>
          <w:highlight w:val="none"/>
        </w:rPr>
        <w:t>设立的政策依据</w:t>
      </w:r>
      <w:r>
        <w:rPr>
          <w:rFonts w:hint="eastAsia"/>
          <w:b/>
          <w:sz w:val="28"/>
          <w:highlight w:val="none"/>
          <w:lang w:val="en-US" w:eastAsia="zh-CN"/>
        </w:rPr>
        <w:t>:</w:t>
      </w:r>
    </w:p>
    <w:p>
      <w:pPr>
        <w:autoSpaceDE w:val="0"/>
        <w:autoSpaceDN w:val="0"/>
        <w:adjustRightInd w:val="0"/>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1、</w:t>
      </w:r>
      <w:r>
        <w:rPr>
          <w:rFonts w:hint="eastAsia" w:ascii="仿宋" w:hAnsi="仿宋" w:eastAsia="仿宋" w:cs="仿宋"/>
          <w:sz w:val="28"/>
          <w:szCs w:val="28"/>
        </w:rPr>
        <w:t>《矿产资源法》第十三条“勘探报告未经批准不得做矿山建设的依据”。</w:t>
      </w:r>
    </w:p>
    <w:p>
      <w:pPr>
        <w:autoSpaceDE w:val="0"/>
        <w:autoSpaceDN w:val="0"/>
        <w:adjustRightInd w:val="0"/>
        <w:ind w:firstLine="560"/>
        <w:rPr>
          <w:rFonts w:hint="eastAsia" w:ascii="仿宋" w:hAnsi="仿宋" w:eastAsia="仿宋" w:cs="仿宋"/>
          <w:sz w:val="28"/>
          <w:szCs w:val="28"/>
        </w:rPr>
      </w:pPr>
      <w:r>
        <w:rPr>
          <w:rFonts w:hint="eastAsia" w:ascii="仿宋" w:hAnsi="仿宋" w:eastAsia="仿宋" w:cs="仿宋"/>
          <w:sz w:val="28"/>
          <w:szCs w:val="28"/>
        </w:rPr>
        <w:t>2、财政部国土资源部《关于探矿权采矿权有偿取得制  度改革有关问题的补充通知》（ 财建〔2008〕22号）“十、关于矿业权有偿处置相关费用的列支问题。各级国土资源管理部门在矿业权有偿处置过程中发生的资源储量核实、矿业权价款评估及其他相关费用，由同级财政部门核定，纳入财政预算管理”。</w:t>
      </w:r>
    </w:p>
    <w:p>
      <w:pPr>
        <w:autoSpaceDE w:val="0"/>
        <w:autoSpaceDN w:val="0"/>
        <w:adjustRightInd w:val="0"/>
        <w:ind w:firstLine="560"/>
        <w:rPr>
          <w:rFonts w:hint="eastAsia" w:ascii="仿宋" w:hAnsi="仿宋" w:eastAsia="仿宋" w:cs="仿宋"/>
          <w:b/>
          <w:bCs/>
          <w:sz w:val="28"/>
          <w:szCs w:val="28"/>
        </w:rPr>
      </w:pPr>
      <w:r>
        <w:rPr>
          <w:rFonts w:hint="eastAsia" w:ascii="仿宋" w:hAnsi="仿宋" w:eastAsia="仿宋" w:cs="仿宋"/>
          <w:sz w:val="28"/>
          <w:szCs w:val="28"/>
        </w:rPr>
        <w:t>3、《矿产资源储量评审认定办法》（国土资发〔1999〕205号）第四条　国家对矿产资源储量的评审、认定实行统一管理。国土资源部和省、自治区、直辖市人民政府地质矿产主管部门是矿产资源储量评审认定管理机构。根据现行法律规定，每位储量评估师需提前一周审阅报告，并且提交书面个人评审意见。</w:t>
      </w:r>
    </w:p>
    <w:p>
      <w:pPr>
        <w:autoSpaceDE w:val="0"/>
        <w:autoSpaceDN w:val="0"/>
        <w:adjustRightInd w:val="0"/>
        <w:ind w:firstLine="560"/>
        <w:jc w:val="left"/>
        <w:rPr>
          <w:sz w:val="28"/>
          <w:highlight w:val="none"/>
        </w:rPr>
      </w:pPr>
      <w:r>
        <w:rPr>
          <w:b/>
          <w:sz w:val="28"/>
          <w:highlight w:val="none"/>
        </w:rPr>
        <w:t>预算安排规模：</w:t>
      </w:r>
      <w:r>
        <w:rPr>
          <w:sz w:val="28"/>
          <w:highlight w:val="none"/>
        </w:rPr>
        <w:t xml:space="preserve">本项目经费 </w:t>
      </w:r>
      <w:r>
        <w:rPr>
          <w:rFonts w:hint="eastAsia"/>
          <w:sz w:val="28"/>
          <w:highlight w:val="none"/>
          <w:lang w:val="en-US" w:eastAsia="zh-CN"/>
        </w:rPr>
        <w:t>100</w:t>
      </w:r>
      <w:r>
        <w:rPr>
          <w:sz w:val="28"/>
          <w:highlight w:val="none"/>
        </w:rPr>
        <w:t>万元。</w:t>
      </w:r>
    </w:p>
    <w:p>
      <w:pPr>
        <w:autoSpaceDE w:val="0"/>
        <w:autoSpaceDN w:val="0"/>
        <w:adjustRightInd w:val="0"/>
        <w:ind w:firstLine="560"/>
        <w:jc w:val="left"/>
        <w:rPr>
          <w:sz w:val="28"/>
          <w:highlight w:val="none"/>
        </w:rPr>
      </w:pPr>
      <w:r>
        <w:rPr>
          <w:b/>
          <w:sz w:val="28"/>
          <w:highlight w:val="none"/>
        </w:rPr>
        <w:t>项目承担单位：</w:t>
      </w:r>
      <w:r>
        <w:rPr>
          <w:sz w:val="28"/>
          <w:highlight w:val="none"/>
        </w:rPr>
        <w:t>新疆维吾尔自治区矿产资源储量评审中心</w:t>
      </w:r>
    </w:p>
    <w:p>
      <w:pPr>
        <w:autoSpaceDE w:val="0"/>
        <w:autoSpaceDN w:val="0"/>
        <w:adjustRightInd w:val="0"/>
        <w:spacing w:line="500" w:lineRule="atLeast"/>
        <w:ind w:firstLine="576"/>
        <w:rPr>
          <w:rFonts w:hint="eastAsia" w:ascii="仿宋" w:hAnsi="仿宋" w:eastAsia="仿宋" w:cs="仿宋"/>
          <w:spacing w:val="4"/>
          <w:kern w:val="0"/>
          <w:sz w:val="28"/>
          <w:szCs w:val="28"/>
        </w:rPr>
      </w:pPr>
      <w:r>
        <w:rPr>
          <w:b/>
          <w:sz w:val="28"/>
          <w:szCs w:val="28"/>
          <w:highlight w:val="none"/>
        </w:rPr>
        <w:t>资金分配情况：</w:t>
      </w:r>
      <w:r>
        <w:rPr>
          <w:rFonts w:ascii="宋体" w:eastAsia="宋体" w:cs="宋体"/>
          <w:spacing w:val="4"/>
          <w:kern w:val="0"/>
          <w:sz w:val="28"/>
          <w:szCs w:val="28"/>
        </w:rPr>
        <w:t>1</w:t>
      </w:r>
      <w:r>
        <w:rPr>
          <w:rFonts w:hint="eastAsia" w:ascii="仿宋" w:hAnsi="仿宋" w:eastAsia="仿宋" w:cs="仿宋"/>
          <w:spacing w:val="4"/>
          <w:kern w:val="0"/>
          <w:sz w:val="28"/>
          <w:szCs w:val="28"/>
        </w:rPr>
        <w:t>、印刷费：</w:t>
      </w:r>
      <w:r>
        <w:rPr>
          <w:rFonts w:hint="eastAsia" w:ascii="仿宋" w:hAnsi="仿宋" w:eastAsia="仿宋" w:cs="仿宋"/>
          <w:sz w:val="28"/>
          <w:szCs w:val="28"/>
        </w:rPr>
        <w:t>矿产资源储量核定</w:t>
      </w:r>
      <w:r>
        <w:rPr>
          <w:rFonts w:hint="eastAsia" w:ascii="仿宋" w:hAnsi="仿宋" w:eastAsia="仿宋" w:cs="仿宋"/>
          <w:spacing w:val="4"/>
          <w:kern w:val="0"/>
          <w:sz w:val="28"/>
          <w:szCs w:val="28"/>
        </w:rPr>
        <w:t>项目各项资料</w:t>
      </w:r>
      <w:r>
        <w:rPr>
          <w:rFonts w:hint="eastAsia" w:ascii="仿宋" w:hAnsi="仿宋" w:eastAsia="仿宋" w:cs="仿宋"/>
          <w:sz w:val="28"/>
          <w:szCs w:val="28"/>
        </w:rPr>
        <w:t>印刷、出版、制图费用及其他印刷等支出，需1.3万元。</w:t>
      </w:r>
    </w:p>
    <w:p>
      <w:pPr>
        <w:autoSpaceDE w:val="0"/>
        <w:autoSpaceDN w:val="0"/>
        <w:adjustRightInd w:val="0"/>
        <w:ind w:firstLine="560"/>
        <w:rPr>
          <w:rFonts w:hint="eastAsia" w:ascii="仿宋" w:hAnsi="仿宋" w:eastAsia="仿宋" w:cs="仿宋"/>
          <w:sz w:val="28"/>
          <w:szCs w:val="28"/>
        </w:rPr>
      </w:pPr>
      <w:r>
        <w:rPr>
          <w:rFonts w:hint="eastAsia" w:ascii="仿宋" w:hAnsi="仿宋" w:eastAsia="仿宋" w:cs="仿宋"/>
          <w:sz w:val="28"/>
          <w:szCs w:val="28"/>
        </w:rPr>
        <w:t>2、咨询费：每个矿产资源储量报告审查，需咨询专业的矿产资源储量评估师6-8名，标准按照800元项／天/人</w:t>
      </w:r>
      <w:r>
        <w:rPr>
          <w:rFonts w:hint="eastAsia" w:ascii="仿宋" w:hAnsi="仿宋" w:eastAsia="仿宋" w:cs="仿宋"/>
          <w:color w:val="0000FF"/>
          <w:sz w:val="28"/>
          <w:szCs w:val="28"/>
        </w:rPr>
        <w:t>，</w:t>
      </w:r>
      <w:r>
        <w:rPr>
          <w:rFonts w:hint="eastAsia" w:ascii="仿宋" w:hAnsi="仿宋" w:eastAsia="仿宋" w:cs="仿宋"/>
          <w:sz w:val="28"/>
          <w:szCs w:val="28"/>
        </w:rPr>
        <w:t>预计60个报告，每个报告审查2天，需22万元。</w:t>
      </w:r>
    </w:p>
    <w:p>
      <w:pPr>
        <w:autoSpaceDE w:val="0"/>
        <w:autoSpaceDN w:val="0"/>
        <w:adjustRightInd w:val="0"/>
        <w:spacing w:line="500" w:lineRule="atLeast"/>
        <w:ind w:firstLine="576"/>
        <w:rPr>
          <w:rFonts w:hint="eastAsia" w:ascii="仿宋" w:hAnsi="仿宋" w:eastAsia="仿宋" w:cs="仿宋"/>
          <w:spacing w:val="4"/>
          <w:kern w:val="0"/>
          <w:sz w:val="28"/>
          <w:szCs w:val="28"/>
        </w:rPr>
      </w:pPr>
      <w:r>
        <w:rPr>
          <w:rFonts w:hint="eastAsia" w:ascii="仿宋" w:hAnsi="仿宋" w:eastAsia="仿宋" w:cs="仿宋"/>
          <w:spacing w:val="4"/>
          <w:kern w:val="0"/>
          <w:sz w:val="28"/>
          <w:szCs w:val="28"/>
        </w:rPr>
        <w:t>3、水费：办公用水按8.28元/吨，污水处理费按1元/吨，按2.0吨/人月计算；9.28元/吨*2.0吨//人月*220人/月=0.41万元，需0.4万元。</w:t>
      </w:r>
    </w:p>
    <w:p>
      <w:pPr>
        <w:autoSpaceDE w:val="0"/>
        <w:autoSpaceDN w:val="0"/>
        <w:adjustRightInd w:val="0"/>
        <w:spacing w:line="500" w:lineRule="atLeast"/>
        <w:ind w:firstLine="576"/>
        <w:rPr>
          <w:rFonts w:hint="eastAsia" w:ascii="仿宋" w:hAnsi="仿宋" w:eastAsia="仿宋" w:cs="仿宋"/>
          <w:spacing w:val="4"/>
          <w:kern w:val="0"/>
          <w:sz w:val="28"/>
          <w:szCs w:val="28"/>
        </w:rPr>
      </w:pPr>
      <w:r>
        <w:rPr>
          <w:rFonts w:hint="eastAsia" w:ascii="仿宋" w:hAnsi="仿宋" w:eastAsia="仿宋" w:cs="仿宋"/>
          <w:spacing w:val="4"/>
          <w:kern w:val="0"/>
          <w:sz w:val="28"/>
          <w:szCs w:val="28"/>
        </w:rPr>
        <w:t>4、电费：按0.58元/度，每人每月按15度/人月计算；0.58元/度×20度/人月×220人月=0.25万元，其他用电0.58万元，需0.9万元。</w:t>
      </w:r>
    </w:p>
    <w:p>
      <w:pPr>
        <w:autoSpaceDE w:val="0"/>
        <w:autoSpaceDN w:val="0"/>
        <w:adjustRightInd w:val="0"/>
        <w:ind w:firstLine="576"/>
        <w:rPr>
          <w:rFonts w:hint="eastAsia" w:ascii="仿宋" w:hAnsi="仿宋" w:eastAsia="仿宋" w:cs="仿宋"/>
          <w:spacing w:val="4"/>
          <w:kern w:val="0"/>
          <w:sz w:val="28"/>
          <w:szCs w:val="28"/>
        </w:rPr>
      </w:pPr>
      <w:r>
        <w:rPr>
          <w:rFonts w:hint="eastAsia" w:ascii="仿宋" w:hAnsi="仿宋" w:eastAsia="仿宋" w:cs="仿宋"/>
          <w:spacing w:val="4"/>
          <w:kern w:val="0"/>
          <w:sz w:val="28"/>
          <w:szCs w:val="28"/>
        </w:rPr>
        <w:t>5、邮寄费：项目中支出邮寄费、电话费、传真费、网络通讯费等，按综合定额需1.8万元。</w:t>
      </w:r>
    </w:p>
    <w:p>
      <w:pPr>
        <w:autoSpaceDE w:val="0"/>
        <w:autoSpaceDN w:val="0"/>
        <w:adjustRightInd w:val="0"/>
        <w:spacing w:line="500" w:lineRule="atLeast"/>
        <w:ind w:firstLine="576"/>
        <w:rPr>
          <w:rFonts w:hint="eastAsia" w:ascii="仿宋" w:hAnsi="仿宋" w:eastAsia="仿宋" w:cs="仿宋"/>
          <w:spacing w:val="4"/>
          <w:kern w:val="0"/>
          <w:sz w:val="28"/>
          <w:szCs w:val="28"/>
        </w:rPr>
      </w:pPr>
      <w:r>
        <w:rPr>
          <w:rFonts w:hint="eastAsia" w:ascii="仿宋" w:hAnsi="仿宋" w:eastAsia="仿宋" w:cs="仿宋"/>
          <w:spacing w:val="4"/>
          <w:kern w:val="0"/>
          <w:sz w:val="28"/>
          <w:szCs w:val="28"/>
        </w:rPr>
        <w:t>6、取暖费：按22元/平方米，当地供暖收费标准22元/㎡，办公用房385.69㎡，办公用房22元/㎡*385.69㎡=0.85万元，需0.9万元</w:t>
      </w:r>
    </w:p>
    <w:p>
      <w:pPr>
        <w:autoSpaceDE w:val="0"/>
        <w:autoSpaceDN w:val="0"/>
        <w:adjustRightInd w:val="0"/>
        <w:spacing w:line="500" w:lineRule="atLeast"/>
        <w:ind w:firstLine="560"/>
        <w:rPr>
          <w:rFonts w:ascii="宋体" w:eastAsia="宋体" w:cs="宋体"/>
          <w:spacing w:val="4"/>
          <w:kern w:val="0"/>
          <w:sz w:val="28"/>
          <w:szCs w:val="28"/>
        </w:rPr>
      </w:pPr>
      <w:r>
        <w:rPr>
          <w:rFonts w:hint="eastAsia" w:ascii="仿宋" w:hAnsi="仿宋" w:eastAsia="仿宋" w:cs="仿宋"/>
          <w:sz w:val="28"/>
          <w:szCs w:val="28"/>
        </w:rPr>
        <w:t>7、</w:t>
      </w:r>
      <w:r>
        <w:rPr>
          <w:rFonts w:hint="eastAsia" w:ascii="仿宋" w:hAnsi="仿宋" w:eastAsia="仿宋" w:cs="仿宋"/>
          <w:spacing w:val="4"/>
          <w:kern w:val="0"/>
          <w:sz w:val="28"/>
          <w:szCs w:val="28"/>
        </w:rPr>
        <w:t>差旅费：主要是</w:t>
      </w:r>
      <w:r>
        <w:rPr>
          <w:rFonts w:hint="eastAsia" w:ascii="宋体" w:eastAsia="宋体" w:cs="宋体"/>
          <w:spacing w:val="4"/>
          <w:kern w:val="0"/>
          <w:sz w:val="28"/>
          <w:szCs w:val="28"/>
        </w:rPr>
        <w:t>到疆内矿区收集资料，查看矿山地质工作进展情况是否和上报的地质资料相符。每次实地核查人数</w:t>
      </w:r>
      <w:r>
        <w:rPr>
          <w:rFonts w:ascii="宋体" w:eastAsia="宋体" w:cs="宋体"/>
          <w:spacing w:val="4"/>
          <w:kern w:val="0"/>
          <w:sz w:val="28"/>
          <w:szCs w:val="28"/>
        </w:rPr>
        <w:t>3</w:t>
      </w:r>
      <w:r>
        <w:rPr>
          <w:rFonts w:hint="eastAsia" w:ascii="宋体" w:eastAsia="宋体" w:cs="宋体"/>
          <w:spacing w:val="4"/>
          <w:kern w:val="0"/>
          <w:sz w:val="28"/>
          <w:szCs w:val="28"/>
        </w:rPr>
        <w:t>人（本单位</w:t>
      </w:r>
      <w:r>
        <w:rPr>
          <w:rFonts w:ascii="宋体" w:eastAsia="宋体" w:cs="宋体"/>
          <w:spacing w:val="4"/>
          <w:kern w:val="0"/>
          <w:sz w:val="28"/>
          <w:szCs w:val="28"/>
        </w:rPr>
        <w:t>1</w:t>
      </w:r>
      <w:r>
        <w:rPr>
          <w:rFonts w:hint="eastAsia" w:ascii="宋体" w:eastAsia="宋体" w:cs="宋体"/>
          <w:spacing w:val="4"/>
          <w:kern w:val="0"/>
          <w:sz w:val="28"/>
          <w:szCs w:val="28"/>
        </w:rPr>
        <w:t>人、聘请专家</w:t>
      </w:r>
      <w:r>
        <w:rPr>
          <w:rFonts w:ascii="宋体" w:eastAsia="宋体" w:cs="宋体"/>
          <w:spacing w:val="4"/>
          <w:kern w:val="0"/>
          <w:sz w:val="28"/>
          <w:szCs w:val="28"/>
        </w:rPr>
        <w:t>2</w:t>
      </w:r>
      <w:r>
        <w:rPr>
          <w:rFonts w:hint="eastAsia" w:ascii="宋体" w:eastAsia="宋体" w:cs="宋体"/>
          <w:spacing w:val="4"/>
          <w:kern w:val="0"/>
          <w:sz w:val="28"/>
          <w:szCs w:val="28"/>
        </w:rPr>
        <w:t>人）、三天，全年</w:t>
      </w:r>
      <w:r>
        <w:rPr>
          <w:rFonts w:ascii="宋体" w:eastAsia="宋体" w:cs="宋体"/>
          <w:spacing w:val="4"/>
          <w:kern w:val="0"/>
          <w:sz w:val="28"/>
          <w:szCs w:val="28"/>
        </w:rPr>
        <w:t>20</w:t>
      </w:r>
      <w:r>
        <w:rPr>
          <w:rFonts w:hint="eastAsia" w:ascii="宋体" w:eastAsia="宋体" w:cs="宋体"/>
          <w:spacing w:val="4"/>
          <w:kern w:val="0"/>
          <w:sz w:val="28"/>
          <w:szCs w:val="28"/>
        </w:rPr>
        <w:t>次，合计</w:t>
      </w:r>
      <w:r>
        <w:rPr>
          <w:rFonts w:ascii="宋体" w:eastAsia="宋体" w:cs="宋体"/>
          <w:spacing w:val="4"/>
          <w:kern w:val="0"/>
          <w:sz w:val="28"/>
          <w:szCs w:val="28"/>
        </w:rPr>
        <w:t>60</w:t>
      </w:r>
      <w:r>
        <w:rPr>
          <w:rFonts w:hint="eastAsia" w:ascii="宋体" w:eastAsia="宋体" w:cs="宋体"/>
          <w:spacing w:val="4"/>
          <w:kern w:val="0"/>
          <w:sz w:val="28"/>
          <w:szCs w:val="28"/>
        </w:rPr>
        <w:t>人</w:t>
      </w:r>
      <w:r>
        <w:rPr>
          <w:rFonts w:ascii="宋体" w:eastAsia="宋体" w:cs="宋体"/>
          <w:spacing w:val="4"/>
          <w:kern w:val="0"/>
          <w:sz w:val="28"/>
          <w:szCs w:val="28"/>
        </w:rPr>
        <w:t>/</w:t>
      </w:r>
      <w:r>
        <w:rPr>
          <w:rFonts w:hint="eastAsia" w:ascii="宋体" w:eastAsia="宋体" w:cs="宋体"/>
          <w:spacing w:val="4"/>
          <w:kern w:val="0"/>
          <w:sz w:val="28"/>
          <w:szCs w:val="28"/>
        </w:rPr>
        <w:t>次。城市间包括往返路途飞机、火车费用，疆内项目实施中住宿标准按</w:t>
      </w:r>
      <w:r>
        <w:rPr>
          <w:rFonts w:ascii="宋体" w:eastAsia="宋体" w:cs="宋体"/>
          <w:spacing w:val="4"/>
          <w:kern w:val="0"/>
          <w:sz w:val="28"/>
          <w:szCs w:val="28"/>
        </w:rPr>
        <w:t>300</w:t>
      </w:r>
      <w:r>
        <w:rPr>
          <w:rFonts w:hint="eastAsia" w:ascii="宋体" w:eastAsia="宋体" w:cs="宋体"/>
          <w:spacing w:val="4"/>
          <w:kern w:val="0"/>
          <w:sz w:val="28"/>
          <w:szCs w:val="28"/>
        </w:rPr>
        <w:t>元</w:t>
      </w:r>
      <w:r>
        <w:rPr>
          <w:rFonts w:ascii="宋体" w:eastAsia="宋体" w:cs="宋体"/>
          <w:spacing w:val="4"/>
          <w:kern w:val="0"/>
          <w:sz w:val="28"/>
          <w:szCs w:val="28"/>
        </w:rPr>
        <w:t>/</w:t>
      </w:r>
      <w:r>
        <w:rPr>
          <w:rFonts w:hint="eastAsia" w:ascii="宋体" w:eastAsia="宋体" w:cs="宋体"/>
          <w:spacing w:val="4"/>
          <w:kern w:val="0"/>
          <w:sz w:val="28"/>
          <w:szCs w:val="28"/>
        </w:rPr>
        <w:t>人、伙食补贴按</w:t>
      </w:r>
      <w:r>
        <w:rPr>
          <w:rFonts w:ascii="宋体" w:eastAsia="宋体" w:cs="宋体"/>
          <w:spacing w:val="4"/>
          <w:kern w:val="0"/>
          <w:sz w:val="28"/>
          <w:szCs w:val="28"/>
        </w:rPr>
        <w:t>120</w:t>
      </w:r>
      <w:r>
        <w:rPr>
          <w:rFonts w:hint="eastAsia" w:ascii="宋体" w:eastAsia="宋体" w:cs="宋体"/>
          <w:spacing w:val="4"/>
          <w:kern w:val="0"/>
          <w:sz w:val="28"/>
          <w:szCs w:val="28"/>
        </w:rPr>
        <w:t>元</w:t>
      </w:r>
      <w:r>
        <w:rPr>
          <w:rFonts w:ascii="宋体" w:eastAsia="宋体" w:cs="宋体"/>
          <w:spacing w:val="4"/>
          <w:kern w:val="0"/>
          <w:sz w:val="28"/>
          <w:szCs w:val="28"/>
        </w:rPr>
        <w:t>/</w:t>
      </w:r>
      <w:r>
        <w:rPr>
          <w:rFonts w:hint="eastAsia" w:ascii="宋体" w:eastAsia="宋体" w:cs="宋体"/>
          <w:spacing w:val="4"/>
          <w:kern w:val="0"/>
          <w:sz w:val="28"/>
          <w:szCs w:val="28"/>
        </w:rPr>
        <w:t>人、交通费补助</w:t>
      </w:r>
      <w:r>
        <w:rPr>
          <w:rFonts w:ascii="宋体" w:eastAsia="宋体" w:cs="宋体"/>
          <w:spacing w:val="4"/>
          <w:kern w:val="0"/>
          <w:sz w:val="28"/>
          <w:szCs w:val="28"/>
        </w:rPr>
        <w:t>80</w:t>
      </w:r>
      <w:r>
        <w:rPr>
          <w:rFonts w:hint="eastAsia" w:ascii="宋体" w:eastAsia="宋体" w:cs="宋体"/>
          <w:spacing w:val="4"/>
          <w:kern w:val="0"/>
          <w:sz w:val="28"/>
          <w:szCs w:val="28"/>
        </w:rPr>
        <w:t>元</w:t>
      </w:r>
      <w:r>
        <w:rPr>
          <w:rFonts w:ascii="宋体" w:eastAsia="宋体" w:cs="宋体"/>
          <w:spacing w:val="4"/>
          <w:kern w:val="0"/>
          <w:sz w:val="28"/>
          <w:szCs w:val="28"/>
        </w:rPr>
        <w:t>/</w:t>
      </w:r>
      <w:r>
        <w:rPr>
          <w:rFonts w:hint="eastAsia" w:ascii="宋体" w:eastAsia="宋体" w:cs="宋体"/>
          <w:spacing w:val="4"/>
          <w:kern w:val="0"/>
          <w:sz w:val="28"/>
          <w:szCs w:val="28"/>
        </w:rPr>
        <w:t>人计算，需</w:t>
      </w:r>
      <w:r>
        <w:rPr>
          <w:rFonts w:ascii="宋体" w:eastAsia="宋体" w:cs="宋体"/>
          <w:spacing w:val="4"/>
          <w:kern w:val="0"/>
          <w:sz w:val="28"/>
          <w:szCs w:val="28"/>
        </w:rPr>
        <w:t>17.5</w:t>
      </w:r>
      <w:r>
        <w:rPr>
          <w:rFonts w:hint="eastAsia" w:ascii="宋体" w:eastAsia="宋体" w:cs="宋体"/>
          <w:spacing w:val="4"/>
          <w:kern w:val="0"/>
          <w:sz w:val="28"/>
          <w:szCs w:val="28"/>
        </w:rPr>
        <w:t>万元。</w:t>
      </w:r>
    </w:p>
    <w:p>
      <w:pPr>
        <w:autoSpaceDE w:val="0"/>
        <w:autoSpaceDN w:val="0"/>
        <w:adjustRightInd w:val="0"/>
        <w:ind w:firstLine="560"/>
        <w:rPr>
          <w:rFonts w:ascii="宋体" w:eastAsia="宋体" w:cs="宋体"/>
          <w:sz w:val="28"/>
          <w:szCs w:val="28"/>
        </w:rPr>
      </w:pPr>
      <w:r>
        <w:rPr>
          <w:rFonts w:ascii="宋体" w:eastAsia="宋体" w:cs="宋体"/>
          <w:sz w:val="28"/>
          <w:szCs w:val="28"/>
        </w:rPr>
        <w:t>8</w:t>
      </w:r>
      <w:r>
        <w:rPr>
          <w:rFonts w:hint="eastAsia" w:ascii="宋体" w:eastAsia="宋体" w:cs="宋体"/>
          <w:sz w:val="28"/>
          <w:szCs w:val="28"/>
        </w:rPr>
        <w:t>、租赁费：租用办公室和会议室（</w:t>
      </w:r>
      <w:r>
        <w:rPr>
          <w:rFonts w:ascii="宋体" w:eastAsia="宋体" w:cs="宋体"/>
          <w:sz w:val="28"/>
          <w:szCs w:val="28"/>
        </w:rPr>
        <w:t>1.6</w:t>
      </w:r>
      <w:r>
        <w:rPr>
          <w:rFonts w:hint="eastAsia" w:ascii="宋体" w:eastAsia="宋体" w:cs="宋体"/>
          <w:sz w:val="28"/>
          <w:szCs w:val="28"/>
        </w:rPr>
        <w:t>元</w:t>
      </w:r>
      <w:r>
        <w:rPr>
          <w:rFonts w:ascii="宋体" w:eastAsia="宋体" w:cs="宋体"/>
          <w:sz w:val="28"/>
          <w:szCs w:val="28"/>
        </w:rPr>
        <w:t>/</w:t>
      </w:r>
      <w:r>
        <w:rPr>
          <w:rFonts w:hint="eastAsia" w:ascii="宋体" w:eastAsia="宋体" w:cs="宋体"/>
          <w:sz w:val="28"/>
          <w:szCs w:val="28"/>
        </w:rPr>
        <w:t>㎡</w:t>
      </w:r>
      <w:r>
        <w:rPr>
          <w:rFonts w:ascii="宋体" w:eastAsia="宋体" w:cs="宋体"/>
          <w:sz w:val="28"/>
          <w:szCs w:val="28"/>
        </w:rPr>
        <w:t>*385.69</w:t>
      </w:r>
      <w:r>
        <w:rPr>
          <w:rFonts w:hint="eastAsia" w:ascii="宋体" w:eastAsia="宋体" w:cs="宋体"/>
          <w:sz w:val="28"/>
          <w:szCs w:val="28"/>
        </w:rPr>
        <w:t>㎡），需</w:t>
      </w:r>
      <w:r>
        <w:rPr>
          <w:rFonts w:ascii="宋体" w:eastAsia="宋体" w:cs="宋体"/>
          <w:sz w:val="28"/>
          <w:szCs w:val="28"/>
        </w:rPr>
        <w:t>22.2</w:t>
      </w:r>
      <w:r>
        <w:rPr>
          <w:rFonts w:hint="eastAsia" w:ascii="宋体" w:eastAsia="宋体" w:cs="宋体"/>
          <w:sz w:val="28"/>
          <w:szCs w:val="28"/>
        </w:rPr>
        <w:t>万元。</w:t>
      </w:r>
    </w:p>
    <w:p>
      <w:pPr>
        <w:autoSpaceDE w:val="0"/>
        <w:autoSpaceDN w:val="0"/>
        <w:adjustRightInd w:val="0"/>
        <w:ind w:firstLine="576"/>
        <w:rPr>
          <w:rFonts w:ascii="宋体" w:eastAsia="宋体" w:cs="宋体"/>
          <w:sz w:val="28"/>
          <w:szCs w:val="28"/>
        </w:rPr>
      </w:pPr>
      <w:r>
        <w:rPr>
          <w:rFonts w:ascii="宋体" w:eastAsia="宋体" w:cs="宋体"/>
          <w:spacing w:val="4"/>
          <w:kern w:val="0"/>
          <w:sz w:val="28"/>
          <w:szCs w:val="28"/>
        </w:rPr>
        <w:t>9</w:t>
      </w:r>
      <w:r>
        <w:rPr>
          <w:rFonts w:hint="eastAsia" w:ascii="宋体" w:eastAsia="宋体" w:cs="宋体"/>
          <w:spacing w:val="4"/>
          <w:kern w:val="0"/>
          <w:sz w:val="28"/>
          <w:szCs w:val="28"/>
        </w:rPr>
        <w:t>、劳务费：</w:t>
      </w:r>
      <w:r>
        <w:rPr>
          <w:rFonts w:hint="eastAsia" w:ascii="宋体" w:eastAsia="宋体" w:cs="宋体"/>
          <w:sz w:val="28"/>
          <w:szCs w:val="28"/>
        </w:rPr>
        <w:t>按照单位专项矿产勘查资源储量核定工作的顺利开展，聘用矿产勘查技术人员</w:t>
      </w:r>
      <w:r>
        <w:rPr>
          <w:rFonts w:ascii="宋体" w:eastAsia="宋体" w:cs="宋体"/>
          <w:sz w:val="28"/>
          <w:szCs w:val="28"/>
        </w:rPr>
        <w:t>6</w:t>
      </w:r>
      <w:r>
        <w:rPr>
          <w:rFonts w:hint="eastAsia" w:ascii="宋体" w:eastAsia="宋体" w:cs="宋体"/>
          <w:sz w:val="28"/>
          <w:szCs w:val="28"/>
        </w:rPr>
        <w:t>人，</w:t>
      </w:r>
      <w:r>
        <w:rPr>
          <w:rFonts w:ascii="宋体" w:eastAsia="宋体" w:cs="宋体"/>
          <w:sz w:val="28"/>
          <w:szCs w:val="28"/>
        </w:rPr>
        <w:t>6</w:t>
      </w:r>
      <w:r>
        <w:rPr>
          <w:rFonts w:hint="eastAsia" w:ascii="宋体" w:eastAsia="宋体" w:cs="宋体"/>
          <w:sz w:val="28"/>
          <w:szCs w:val="28"/>
        </w:rPr>
        <w:t>人</w:t>
      </w:r>
      <w:r>
        <w:rPr>
          <w:rFonts w:ascii="宋体" w:eastAsia="宋体" w:cs="宋体"/>
          <w:sz w:val="28"/>
          <w:szCs w:val="28"/>
        </w:rPr>
        <w:t>*5000.0</w:t>
      </w:r>
      <w:r>
        <w:rPr>
          <w:rFonts w:hint="eastAsia" w:ascii="宋体" w:eastAsia="宋体" w:cs="宋体"/>
          <w:sz w:val="28"/>
          <w:szCs w:val="28"/>
        </w:rPr>
        <w:t>元</w:t>
      </w:r>
      <w:r>
        <w:rPr>
          <w:rFonts w:ascii="宋体" w:eastAsia="宋体" w:cs="宋体"/>
          <w:sz w:val="28"/>
          <w:szCs w:val="28"/>
        </w:rPr>
        <w:t>/</w:t>
      </w:r>
      <w:r>
        <w:rPr>
          <w:rFonts w:hint="eastAsia" w:ascii="宋体" w:eastAsia="宋体" w:cs="宋体"/>
          <w:sz w:val="28"/>
          <w:szCs w:val="28"/>
        </w:rPr>
        <w:t>元</w:t>
      </w:r>
      <w:r>
        <w:rPr>
          <w:rFonts w:ascii="宋体" w:eastAsia="宋体" w:cs="宋体"/>
          <w:sz w:val="28"/>
          <w:szCs w:val="28"/>
        </w:rPr>
        <w:t>*11</w:t>
      </w:r>
      <w:r>
        <w:rPr>
          <w:rFonts w:hint="eastAsia" w:ascii="宋体" w:eastAsia="宋体" w:cs="宋体"/>
          <w:sz w:val="28"/>
          <w:szCs w:val="28"/>
        </w:rPr>
        <w:t>个月，需</w:t>
      </w:r>
      <w:r>
        <w:rPr>
          <w:rFonts w:ascii="宋体" w:eastAsia="宋体" w:cs="宋体"/>
          <w:sz w:val="28"/>
          <w:szCs w:val="28"/>
        </w:rPr>
        <w:t>33</w:t>
      </w:r>
      <w:r>
        <w:rPr>
          <w:rFonts w:hint="eastAsia" w:ascii="宋体" w:eastAsia="宋体" w:cs="宋体"/>
          <w:sz w:val="28"/>
          <w:szCs w:val="28"/>
        </w:rPr>
        <w:t>万元。</w:t>
      </w:r>
    </w:p>
    <w:p>
      <w:pPr>
        <w:autoSpaceDE w:val="0"/>
        <w:autoSpaceDN w:val="0"/>
        <w:adjustRightInd w:val="0"/>
        <w:ind w:firstLine="562" w:firstLineChars="200"/>
        <w:rPr>
          <w:sz w:val="28"/>
          <w:highlight w:val="none"/>
        </w:rPr>
      </w:pPr>
      <w:r>
        <w:rPr>
          <w:b/>
          <w:sz w:val="28"/>
          <w:highlight w:val="none"/>
        </w:rPr>
        <w:t>资金执行时间：</w:t>
      </w:r>
      <w:r>
        <w:rPr>
          <w:sz w:val="28"/>
          <w:highlight w:val="none"/>
        </w:rPr>
        <w:t>20</w:t>
      </w:r>
      <w:r>
        <w:rPr>
          <w:rFonts w:hint="eastAsia"/>
          <w:sz w:val="28"/>
          <w:highlight w:val="none"/>
          <w:lang w:val="en-US" w:eastAsia="zh-CN"/>
        </w:rPr>
        <w:t>20</w:t>
      </w:r>
      <w:r>
        <w:rPr>
          <w:sz w:val="28"/>
          <w:highlight w:val="none"/>
        </w:rPr>
        <w:t>年</w:t>
      </w:r>
    </w:p>
    <w:p>
      <w:pPr>
        <w:pStyle w:val="6"/>
        <w:spacing w:before="205"/>
        <w:ind w:left="0" w:leftChars="0" w:firstLine="562" w:firstLineChars="200"/>
      </w:pPr>
      <w:r>
        <w:t>八、 关于评审中心 20</w:t>
      </w:r>
      <w:r>
        <w:rPr>
          <w:rFonts w:hint="eastAsia"/>
          <w:lang w:val="en-US" w:eastAsia="zh-CN"/>
        </w:rPr>
        <w:t>20</w:t>
      </w:r>
      <w:r>
        <w:t>年一般公共预算“三公”经费预算情况说明</w:t>
      </w:r>
    </w:p>
    <w:p>
      <w:pPr>
        <w:pStyle w:val="7"/>
        <w:spacing w:before="206"/>
        <w:ind w:left="691"/>
      </w:pPr>
      <w:r>
        <w:t>评审中心部门 20</w:t>
      </w:r>
      <w:r>
        <w:rPr>
          <w:rFonts w:hint="eastAsia"/>
          <w:lang w:val="en-US" w:eastAsia="zh-CN"/>
        </w:rPr>
        <w:t>20</w:t>
      </w:r>
      <w:r>
        <w:t>年“三公”经费财政拨款预算数为 0 万元，其中：因公出国</w:t>
      </w:r>
    </w:p>
    <w:p>
      <w:pPr>
        <w:pStyle w:val="7"/>
        <w:spacing w:before="4"/>
        <w:ind w:left="120"/>
      </w:pPr>
      <w:r>
        <w:t>（境）</w:t>
      </w:r>
      <w:r>
        <w:rPr>
          <w:spacing w:val="-35"/>
        </w:rPr>
        <w:t xml:space="preserve">费 </w:t>
      </w:r>
      <w:r>
        <w:t>0</w:t>
      </w:r>
      <w:r>
        <w:rPr>
          <w:spacing w:val="-15"/>
        </w:rPr>
        <w:t xml:space="preserve"> 万元，公务用车购置 </w:t>
      </w:r>
      <w:r>
        <w:t>0</w:t>
      </w:r>
      <w:r>
        <w:rPr>
          <w:spacing w:val="-15"/>
        </w:rPr>
        <w:t xml:space="preserve"> 万元，公务用车运行费 </w:t>
      </w:r>
      <w:r>
        <w:t>0</w:t>
      </w:r>
      <w:r>
        <w:rPr>
          <w:spacing w:val="-10"/>
        </w:rPr>
        <w:t xml:space="preserve"> 万元，公务接费 </w:t>
      </w:r>
      <w:r>
        <w:t>0</w:t>
      </w:r>
      <w:r>
        <w:rPr>
          <w:spacing w:val="-18"/>
        </w:rPr>
        <w:t xml:space="preserve"> 万元。</w:t>
      </w:r>
    </w:p>
    <w:p>
      <w:pPr>
        <w:pStyle w:val="7"/>
        <w:spacing w:before="205" w:line="242" w:lineRule="auto"/>
        <w:ind w:left="120" w:right="546"/>
      </w:pPr>
      <w:r>
        <w:t>新疆维吾尔自治区矿产资源储量评审中心“三公”经费预算中，公务用车购置及运行费，全部由经营收入安排。</w:t>
      </w:r>
    </w:p>
    <w:p>
      <w:pPr>
        <w:pStyle w:val="6"/>
        <w:spacing w:before="202"/>
        <w:ind w:left="691"/>
      </w:pPr>
      <w:r>
        <w:t>九、关于评审中心部门 20</w:t>
      </w:r>
      <w:r>
        <w:rPr>
          <w:rFonts w:hint="eastAsia"/>
          <w:lang w:val="en-US" w:eastAsia="zh-CN"/>
        </w:rPr>
        <w:t>20</w:t>
      </w:r>
      <w:r>
        <w:t>年政府性基金预算拨款情况说明</w:t>
      </w:r>
    </w:p>
    <w:p>
      <w:pPr>
        <w:pStyle w:val="7"/>
        <w:spacing w:before="203" w:line="244" w:lineRule="auto"/>
        <w:ind w:left="120" w:right="673" w:firstLine="571"/>
      </w:pPr>
      <w:r>
        <w:rPr>
          <w:spacing w:val="-10"/>
        </w:rPr>
        <w:t xml:space="preserve">评审中心部门 </w:t>
      </w:r>
      <w:r>
        <w:t>20</w:t>
      </w:r>
      <w:r>
        <w:rPr>
          <w:rFonts w:hint="eastAsia"/>
          <w:lang w:val="en-US" w:eastAsia="zh-CN"/>
        </w:rPr>
        <w:t>20</w:t>
      </w:r>
      <w:r>
        <w:rPr>
          <w:spacing w:val="-9"/>
        </w:rPr>
        <w:t>年没有使用政府性基金预算拨款安排的支出，政府性基金预</w:t>
      </w:r>
      <w:r>
        <w:rPr>
          <w:spacing w:val="-6"/>
        </w:rPr>
        <w:t>算支出情况表为空表。</w:t>
      </w:r>
    </w:p>
    <w:p>
      <w:pPr>
        <w:pStyle w:val="6"/>
        <w:spacing w:before="194"/>
        <w:rPr>
          <w:shd w:val="clear" w:color="auto" w:fill="auto"/>
        </w:rPr>
      </w:pPr>
      <w:r>
        <w:rPr>
          <w:shd w:val="clear" w:color="auto" w:fill="auto"/>
        </w:rPr>
        <w:t>十、其他重要事项的情况说明</w:t>
      </w:r>
    </w:p>
    <w:p>
      <w:pPr>
        <w:spacing w:before="205"/>
        <w:ind w:left="691" w:right="0" w:firstLine="0"/>
        <w:jc w:val="left"/>
        <w:rPr>
          <w:b/>
          <w:sz w:val="28"/>
        </w:rPr>
      </w:pPr>
      <w:r>
        <w:rPr>
          <w:b/>
          <w:sz w:val="28"/>
        </w:rPr>
        <w:t>㈠国有资产占有使用情况</w:t>
      </w:r>
    </w:p>
    <w:p>
      <w:pPr>
        <w:pStyle w:val="7"/>
        <w:spacing w:before="204"/>
        <w:ind w:left="691"/>
      </w:pPr>
      <w:r>
        <w:t>截止 201</w:t>
      </w:r>
      <w:r>
        <w:rPr>
          <w:rFonts w:hint="eastAsia"/>
          <w:lang w:val="en-US" w:eastAsia="zh-CN"/>
        </w:rPr>
        <w:t>9</w:t>
      </w:r>
      <w:r>
        <w:t>年底，评审中心部门及下属各预算单位占用使用国有资产总体情况为</w:t>
      </w:r>
    </w:p>
    <w:p>
      <w:pPr>
        <w:spacing w:before="204"/>
        <w:ind w:left="691" w:right="0" w:firstLine="0"/>
        <w:jc w:val="left"/>
        <w:rPr>
          <w:sz w:val="28"/>
        </w:rPr>
      </w:pPr>
      <w:r>
        <w:rPr>
          <w:sz w:val="28"/>
        </w:rPr>
        <w:t>1</w:t>
      </w:r>
      <w:r>
        <w:rPr>
          <w:spacing w:val="-1"/>
          <w:sz w:val="28"/>
        </w:rPr>
        <w:t xml:space="preserve">.车辆 </w:t>
      </w:r>
      <w:r>
        <w:rPr>
          <w:sz w:val="28"/>
        </w:rPr>
        <w:t>1</w:t>
      </w:r>
      <w:r>
        <w:rPr>
          <w:spacing w:val="-22"/>
          <w:sz w:val="28"/>
        </w:rPr>
        <w:t xml:space="preserve"> 辆， 价值 </w:t>
      </w:r>
      <w:r>
        <w:rPr>
          <w:sz w:val="30"/>
        </w:rPr>
        <w:t>43.40</w:t>
      </w:r>
      <w:r>
        <w:rPr>
          <w:spacing w:val="-77"/>
          <w:sz w:val="30"/>
        </w:rPr>
        <w:t xml:space="preserve"> </w:t>
      </w:r>
      <w:r>
        <w:rPr>
          <w:sz w:val="28"/>
        </w:rPr>
        <w:t>万元；</w:t>
      </w:r>
    </w:p>
    <w:p>
      <w:pPr>
        <w:pStyle w:val="13"/>
        <w:numPr>
          <w:ilvl w:val="0"/>
          <w:numId w:val="4"/>
        </w:numPr>
        <w:tabs>
          <w:tab w:val="left" w:pos="975"/>
        </w:tabs>
        <w:spacing w:before="206" w:after="0" w:line="240" w:lineRule="auto"/>
        <w:ind w:left="974" w:right="0" w:hanging="284"/>
        <w:jc w:val="left"/>
        <w:rPr>
          <w:sz w:val="28"/>
        </w:rPr>
      </w:pPr>
      <w:r>
        <w:rPr>
          <w:spacing w:val="-11"/>
          <w:sz w:val="28"/>
        </w:rPr>
        <w:t xml:space="preserve">办公家具价值 </w:t>
      </w:r>
      <w:r>
        <w:rPr>
          <w:sz w:val="30"/>
        </w:rPr>
        <w:t>8.14</w:t>
      </w:r>
      <w:r>
        <w:rPr>
          <w:spacing w:val="-76"/>
          <w:sz w:val="30"/>
        </w:rPr>
        <w:t xml:space="preserve"> </w:t>
      </w:r>
      <w:r>
        <w:rPr>
          <w:sz w:val="28"/>
        </w:rPr>
        <w:t>万元；</w:t>
      </w:r>
    </w:p>
    <w:p>
      <w:pPr>
        <w:pStyle w:val="13"/>
        <w:numPr>
          <w:ilvl w:val="0"/>
          <w:numId w:val="4"/>
        </w:numPr>
        <w:tabs>
          <w:tab w:val="left" w:pos="975"/>
        </w:tabs>
        <w:spacing w:before="204" w:after="0" w:line="240" w:lineRule="auto"/>
        <w:ind w:left="974" w:right="0" w:hanging="284"/>
        <w:jc w:val="left"/>
        <w:rPr>
          <w:sz w:val="28"/>
        </w:rPr>
      </w:pPr>
      <w:r>
        <w:rPr>
          <w:spacing w:val="-11"/>
          <w:sz w:val="28"/>
        </w:rPr>
        <w:t xml:space="preserve">通用设备价值 </w:t>
      </w:r>
      <w:r>
        <w:rPr>
          <w:sz w:val="30"/>
        </w:rPr>
        <w:t>114.70</w:t>
      </w:r>
      <w:r>
        <w:rPr>
          <w:spacing w:val="-77"/>
          <w:sz w:val="30"/>
        </w:rPr>
        <w:t xml:space="preserve"> </w:t>
      </w:r>
      <w:r>
        <w:rPr>
          <w:sz w:val="28"/>
        </w:rPr>
        <w:t>万元；</w:t>
      </w:r>
    </w:p>
    <w:p>
      <w:pPr>
        <w:pStyle w:val="7"/>
        <w:rPr>
          <w:sz w:val="30"/>
        </w:rPr>
      </w:pPr>
    </w:p>
    <w:p>
      <w:pPr>
        <w:pStyle w:val="7"/>
        <w:spacing w:before="12"/>
        <w:rPr>
          <w:sz w:val="29"/>
        </w:rPr>
      </w:pPr>
    </w:p>
    <w:p>
      <w:pPr>
        <w:pStyle w:val="6"/>
        <w:ind w:left="691"/>
        <w:rPr>
          <w:color w:val="000000" w:themeColor="text1"/>
          <w:highlight w:val="none"/>
          <w:shd w:val="clear" w:color="auto" w:fill="auto"/>
        </w:rPr>
      </w:pPr>
      <w:r>
        <w:rPr>
          <w:color w:val="000000" w:themeColor="text1"/>
          <w:highlight w:val="none"/>
          <w:shd w:val="clear" w:color="auto" w:fill="auto"/>
        </w:rPr>
        <w:t>㈡预算绩效情况</w:t>
      </w:r>
    </w:p>
    <w:p>
      <w:pPr>
        <w:pStyle w:val="7"/>
        <w:spacing w:before="206" w:line="242" w:lineRule="auto"/>
        <w:ind w:left="120" w:right="669" w:firstLine="571"/>
        <w:rPr>
          <w:color w:val="000000" w:themeColor="text1"/>
          <w:highlight w:val="none"/>
          <w:shd w:val="clear" w:color="auto" w:fill="auto"/>
        </w:rPr>
      </w:pPr>
      <w:r>
        <w:rPr>
          <w:color w:val="000000" w:themeColor="text1"/>
          <w:highlight w:val="none"/>
          <w:shd w:val="clear" w:color="auto" w:fill="auto"/>
        </w:rPr>
        <w:t>20</w:t>
      </w:r>
      <w:r>
        <w:rPr>
          <w:rFonts w:hint="eastAsia"/>
          <w:color w:val="000000" w:themeColor="text1"/>
          <w:highlight w:val="none"/>
          <w:shd w:val="clear" w:color="auto" w:fill="auto"/>
          <w:lang w:val="en-US" w:eastAsia="zh-CN"/>
        </w:rPr>
        <w:t>20</w:t>
      </w:r>
      <w:r>
        <w:rPr>
          <w:color w:val="000000" w:themeColor="text1"/>
          <w:spacing w:val="-8"/>
          <w:highlight w:val="none"/>
          <w:shd w:val="clear" w:color="auto" w:fill="auto"/>
        </w:rPr>
        <w:t xml:space="preserve"> 年度，本年度实行绩效管理的项目</w:t>
      </w:r>
      <w:r>
        <w:rPr>
          <w:rFonts w:hint="eastAsia"/>
          <w:color w:val="000000" w:themeColor="text1"/>
          <w:spacing w:val="-8"/>
          <w:highlight w:val="none"/>
          <w:shd w:val="clear" w:color="auto" w:fill="auto"/>
          <w:lang w:val="en-US" w:eastAsia="zh-CN"/>
        </w:rPr>
        <w:t>3</w:t>
      </w:r>
      <w:r>
        <w:rPr>
          <w:color w:val="000000" w:themeColor="text1"/>
          <w:spacing w:val="-16"/>
          <w:highlight w:val="none"/>
          <w:shd w:val="clear" w:color="auto" w:fill="auto"/>
        </w:rPr>
        <w:t xml:space="preserve">个，涉及预算金额 </w:t>
      </w:r>
      <w:r>
        <w:rPr>
          <w:rFonts w:hint="eastAsia"/>
          <w:color w:val="000000" w:themeColor="text1"/>
          <w:highlight w:val="none"/>
          <w:shd w:val="clear" w:color="auto" w:fill="auto"/>
          <w:lang w:val="en-US" w:eastAsia="zh-CN"/>
        </w:rPr>
        <w:t>145</w:t>
      </w:r>
      <w:r>
        <w:rPr>
          <w:color w:val="000000" w:themeColor="text1"/>
          <w:spacing w:val="-12"/>
          <w:highlight w:val="none"/>
          <w:shd w:val="clear" w:color="auto" w:fill="auto"/>
        </w:rPr>
        <w:t xml:space="preserve"> 万元。具体情</w:t>
      </w:r>
      <w:r>
        <w:rPr>
          <w:color w:val="000000" w:themeColor="text1"/>
          <w:spacing w:val="-10"/>
          <w:highlight w:val="none"/>
          <w:shd w:val="clear" w:color="auto" w:fill="auto"/>
        </w:rPr>
        <w:t>况见下表</w:t>
      </w:r>
      <w:r>
        <w:rPr>
          <w:color w:val="000000" w:themeColor="text1"/>
          <w:highlight w:val="none"/>
          <w:shd w:val="clear" w:color="auto" w:fill="auto"/>
        </w:rPr>
        <w:t>（</w:t>
      </w:r>
      <w:r>
        <w:rPr>
          <w:color w:val="000000" w:themeColor="text1"/>
          <w:spacing w:val="-3"/>
          <w:highlight w:val="none"/>
          <w:shd w:val="clear" w:color="auto" w:fill="auto"/>
        </w:rPr>
        <w:t>按项目分别填报</w:t>
      </w:r>
      <w:r>
        <w:rPr>
          <w:color w:val="000000" w:themeColor="text1"/>
          <w:highlight w:val="none"/>
          <w:shd w:val="clear" w:color="auto" w:fill="auto"/>
        </w:rPr>
        <w:t>）。</w:t>
      </w:r>
    </w:p>
    <w:p>
      <w:pPr>
        <w:pStyle w:val="7"/>
        <w:spacing w:before="206" w:line="242" w:lineRule="auto"/>
        <w:ind w:left="120" w:right="669" w:firstLine="571"/>
        <w:rPr>
          <w:color w:val="000000" w:themeColor="text1"/>
          <w:highlight w:val="none"/>
          <w:shd w:val="clear" w:color="auto" w:fill="auto"/>
        </w:rPr>
      </w:pPr>
    </w:p>
    <w:p>
      <w:pPr>
        <w:pStyle w:val="3"/>
        <w:spacing w:before="203"/>
        <w:jc w:val="center"/>
        <w:rPr>
          <w:highlight w:val="none"/>
        </w:rPr>
      </w:pPr>
      <w:r>
        <w:rPr>
          <w:highlight w:val="none"/>
        </w:rPr>
        <w:t>财政支出绩效目标申报表</w:t>
      </w:r>
    </w:p>
    <w:p>
      <w:pPr>
        <w:pStyle w:val="7"/>
        <w:rPr>
          <w:b/>
          <w:sz w:val="32"/>
          <w:highlight w:val="none"/>
        </w:rPr>
      </w:pPr>
    </w:p>
    <w:p>
      <w:pPr>
        <w:spacing w:before="207"/>
        <w:ind w:left="0" w:right="140" w:firstLine="0"/>
        <w:jc w:val="center"/>
        <w:rPr>
          <w:b/>
          <w:sz w:val="32"/>
          <w:highlight w:val="none"/>
        </w:rPr>
      </w:pPr>
      <w:r>
        <w:rPr>
          <w:b/>
          <w:sz w:val="32"/>
          <w:highlight w:val="none"/>
        </w:rPr>
        <w:t>（20</w:t>
      </w:r>
      <w:r>
        <w:rPr>
          <w:rFonts w:hint="eastAsia"/>
          <w:b/>
          <w:sz w:val="32"/>
          <w:highlight w:val="none"/>
          <w:lang w:val="en-US" w:eastAsia="zh-CN"/>
        </w:rPr>
        <w:t>20</w:t>
      </w:r>
      <w:r>
        <w:rPr>
          <w:b/>
          <w:sz w:val="32"/>
          <w:highlight w:val="none"/>
        </w:rPr>
        <w:t xml:space="preserve"> 年度）</w:t>
      </w:r>
    </w:p>
    <w:p>
      <w:pPr>
        <w:pStyle w:val="7"/>
        <w:keepNext w:val="0"/>
        <w:keepLines w:val="0"/>
        <w:pageBreakBefore w:val="0"/>
        <w:widowControl w:val="0"/>
        <w:kinsoku/>
        <w:wordWrap/>
        <w:overflowPunct/>
        <w:topLinePunct w:val="0"/>
        <w:autoSpaceDE w:val="0"/>
        <w:autoSpaceDN w:val="0"/>
        <w:bidi w:val="0"/>
        <w:adjustRightInd/>
        <w:snapToGrid/>
        <w:spacing w:before="0"/>
        <w:ind w:right="0"/>
        <w:jc w:val="both"/>
        <w:textAlignment w:val="auto"/>
        <w:rPr>
          <w:highlight w:val="none"/>
        </w:rPr>
      </w:pPr>
      <w:r>
        <w:rPr>
          <w:highlight w:val="none"/>
        </w:rPr>
        <w:t>填报单位：新疆维吾尔自治区矿产资源储量评审中心</w:t>
      </w:r>
    </w:p>
    <w:tbl>
      <w:tblPr>
        <w:tblStyle w:val="10"/>
        <w:tblpPr w:leftFromText="180" w:rightFromText="180" w:vertAnchor="text" w:horzAnchor="page" w:tblpX="1041" w:tblpY="245"/>
        <w:tblOverlap w:val="never"/>
        <w:tblW w:w="10170" w:type="dxa"/>
        <w:tblInd w:w="0" w:type="dxa"/>
        <w:shd w:val="clear" w:color="auto" w:fill="auto"/>
        <w:tblLayout w:type="autofit"/>
        <w:tblCellMar>
          <w:top w:w="0" w:type="dxa"/>
          <w:left w:w="0" w:type="dxa"/>
          <w:bottom w:w="0" w:type="dxa"/>
          <w:right w:w="0" w:type="dxa"/>
        </w:tblCellMar>
      </w:tblPr>
      <w:tblGrid>
        <w:gridCol w:w="493"/>
        <w:gridCol w:w="1434"/>
        <w:gridCol w:w="1695"/>
        <w:gridCol w:w="2049"/>
        <w:gridCol w:w="693"/>
        <w:gridCol w:w="509"/>
        <w:gridCol w:w="585"/>
        <w:gridCol w:w="601"/>
        <w:gridCol w:w="2111"/>
      </w:tblGrid>
      <w:tr>
        <w:tblPrEx>
          <w:shd w:val="clear" w:color="auto" w:fill="auto"/>
          <w:tblCellMar>
            <w:top w:w="0" w:type="dxa"/>
            <w:left w:w="0" w:type="dxa"/>
            <w:bottom w:w="0" w:type="dxa"/>
            <w:right w:w="0" w:type="dxa"/>
          </w:tblCellMar>
        </w:tblPrEx>
        <w:trPr>
          <w:trHeight w:val="600" w:hRule="atLeast"/>
        </w:trPr>
        <w:tc>
          <w:tcPr>
            <w:tcW w:w="10170" w:type="dxa"/>
            <w:gridSpan w:val="9"/>
            <w:tcBorders>
              <w:top w:val="single" w:color="auto" w:sz="4" w:space="0"/>
              <w:left w:val="single" w:color="auto" w:sz="4" w:space="0"/>
              <w:bottom w:val="single" w:color="auto" w:sz="4" w:space="0"/>
              <w:right w:val="single" w:color="auto" w:sz="4" w:space="0"/>
            </w:tcBorders>
            <w:shd w:val="clear" w:color="auto" w:fill="E4ECF7"/>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3"/>
                <w:szCs w:val="43"/>
                <w:u w:val="none"/>
              </w:rPr>
            </w:pPr>
            <w:r>
              <w:rPr>
                <w:rFonts w:hint="eastAsia" w:ascii="宋体" w:hAnsi="宋体" w:eastAsia="宋体" w:cs="宋体"/>
                <w:i w:val="0"/>
                <w:color w:val="000000"/>
                <w:kern w:val="0"/>
                <w:sz w:val="43"/>
                <w:szCs w:val="43"/>
                <w:u w:val="none"/>
                <w:lang w:val="en-US" w:eastAsia="zh-CN" w:bidi="ar"/>
              </w:rPr>
              <w:t>预算项目绩效信息表</w:t>
            </w:r>
          </w:p>
        </w:tc>
      </w:tr>
      <w:tr>
        <w:tblPrEx>
          <w:tblCellMar>
            <w:top w:w="0" w:type="dxa"/>
            <w:left w:w="0" w:type="dxa"/>
            <w:bottom w:w="0" w:type="dxa"/>
            <w:right w:w="0" w:type="dxa"/>
          </w:tblCellMar>
        </w:tblPrEx>
        <w:trPr>
          <w:trHeight w:val="60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4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项目编码</w:t>
            </w: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201-1303-JBN-3ZNN</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项目名称</w:t>
            </w:r>
          </w:p>
        </w:tc>
        <w:tc>
          <w:tcPr>
            <w:tcW w:w="4499"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自治区矿业权出让收益市场基准价体系制定</w:t>
            </w:r>
          </w:p>
        </w:tc>
      </w:tr>
      <w:tr>
        <w:tblPrEx>
          <w:tblCellMar>
            <w:top w:w="0" w:type="dxa"/>
            <w:left w:w="0" w:type="dxa"/>
            <w:bottom w:w="0" w:type="dxa"/>
            <w:right w:w="0" w:type="dxa"/>
          </w:tblCellMar>
        </w:tblPrEx>
        <w:trPr>
          <w:trHeight w:val="135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14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项目实施计划</w:t>
            </w:r>
          </w:p>
        </w:tc>
        <w:tc>
          <w:tcPr>
            <w:tcW w:w="8243"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按照新任务的要求，计划于2019年年底向国土厅提交32矿种基准价方案的讨论稿。</w:t>
            </w:r>
            <w:r>
              <w:rPr>
                <w:rFonts w:hint="eastAsia" w:ascii="宋体" w:hAnsi="宋体" w:eastAsia="宋体" w:cs="宋体"/>
                <w:i w:val="0"/>
                <w:color w:val="000000"/>
                <w:kern w:val="0"/>
                <w:sz w:val="15"/>
                <w:szCs w:val="15"/>
                <w:u w:val="none"/>
                <w:lang w:val="en-US" w:eastAsia="zh-CN" w:bidi="ar"/>
              </w:rPr>
              <w:br w:type="textWrapping"/>
            </w:r>
            <w:r>
              <w:rPr>
                <w:rFonts w:hint="eastAsia" w:ascii="宋体" w:hAnsi="宋体" w:eastAsia="宋体" w:cs="宋体"/>
                <w:i w:val="0"/>
                <w:color w:val="000000"/>
                <w:kern w:val="0"/>
                <w:sz w:val="15"/>
                <w:szCs w:val="15"/>
                <w:u w:val="none"/>
                <w:lang w:val="en-US" w:eastAsia="zh-CN" w:bidi="ar"/>
              </w:rPr>
              <w:t>认真做好后续相关准备工作。矿业权出让收益基准价应结合矿业经济发展形势进行调整。原则上每两年更新一次，当矿产品销售价格上浮或下滑幅度超过（含）20%，及时调整。做好矿产品销售价格实时收集统计。</w:t>
            </w:r>
          </w:p>
        </w:tc>
      </w:tr>
      <w:tr>
        <w:tblPrEx>
          <w:tblCellMar>
            <w:top w:w="0" w:type="dxa"/>
            <w:left w:w="0" w:type="dxa"/>
            <w:bottom w:w="0" w:type="dxa"/>
            <w:right w:w="0" w:type="dxa"/>
          </w:tblCellMar>
        </w:tblPrEx>
        <w:trPr>
          <w:trHeight w:val="34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434"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资金支出计划（%）</w:t>
            </w: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第一季度</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第二季度</w:t>
            </w:r>
          </w:p>
        </w:tc>
        <w:tc>
          <w:tcPr>
            <w:tcW w:w="238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第三季度</w:t>
            </w: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第四季度</w:t>
            </w:r>
          </w:p>
        </w:tc>
      </w:tr>
      <w:tr>
        <w:tblPrEx>
          <w:tblCellMar>
            <w:top w:w="0" w:type="dxa"/>
            <w:left w:w="0" w:type="dxa"/>
            <w:bottom w:w="0" w:type="dxa"/>
            <w:right w:w="0" w:type="dxa"/>
          </w:tblCellMar>
        </w:tblPrEx>
        <w:trPr>
          <w:trHeight w:val="37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20%</w:t>
            </w:r>
          </w:p>
        </w:tc>
        <w:tc>
          <w:tcPr>
            <w:tcW w:w="204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40%</w:t>
            </w:r>
          </w:p>
        </w:tc>
        <w:tc>
          <w:tcPr>
            <w:tcW w:w="2388" w:type="dxa"/>
            <w:gridSpan w:val="4"/>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25%</w:t>
            </w:r>
          </w:p>
        </w:tc>
        <w:tc>
          <w:tcPr>
            <w:tcW w:w="211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15%</w:t>
            </w:r>
          </w:p>
        </w:tc>
      </w:tr>
      <w:tr>
        <w:tblPrEx>
          <w:tblCellMar>
            <w:top w:w="0" w:type="dxa"/>
            <w:left w:w="0" w:type="dxa"/>
            <w:bottom w:w="0" w:type="dxa"/>
            <w:right w:w="0" w:type="dxa"/>
          </w:tblCellMar>
        </w:tblPrEx>
        <w:trPr>
          <w:trHeight w:val="135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w:t>
            </w:r>
          </w:p>
        </w:tc>
        <w:tc>
          <w:tcPr>
            <w:tcW w:w="14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绩效目标</w:t>
            </w:r>
          </w:p>
        </w:tc>
        <w:tc>
          <w:tcPr>
            <w:tcW w:w="8243"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名称为《自治区矿业权出让收益市场基准价体系制定项目》，2018年总预算费用为项目100万元，主要包括2010年以来新疆已出让或挂牌成交的矿业权的评估报告、地质成果、开发利用方案等资料的收集整理；对二十二个矿种的分布特征、开采技术条件、各矿山建设情况、生产及销售情况、矿产品价格变化情况进行调研；依据收集资料数据和调研数据，确定各矿种的平均单位资源储量价值，矿产品平均销售价格，结合各地州交通条件、自然经济环境、地质条件、采选条件等因素对各矿种单位资源储量价值进行修正，确定二十二个矿种的出让收益市场基准价，形成《新疆矿业权出让收益市场基准价》（初稿）。</w:t>
            </w:r>
          </w:p>
        </w:tc>
      </w:tr>
      <w:tr>
        <w:tblPrEx>
          <w:shd w:val="clear" w:color="auto" w:fill="auto"/>
          <w:tblCellMar>
            <w:top w:w="0" w:type="dxa"/>
            <w:left w:w="0" w:type="dxa"/>
            <w:bottom w:w="0" w:type="dxa"/>
            <w:right w:w="0" w:type="dxa"/>
          </w:tblCellMar>
        </w:tblPrEx>
        <w:trPr>
          <w:trHeight w:val="37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434"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r>
              <w:rPr>
                <w:rFonts w:hint="eastAsia" w:ascii="宋体" w:hAnsi="宋体" w:eastAsia="宋体" w:cs="宋体"/>
                <w:b/>
                <w:i w:val="0"/>
                <w:color w:val="000000"/>
                <w:kern w:val="0"/>
                <w:sz w:val="16"/>
                <w:szCs w:val="16"/>
                <w:u w:val="none"/>
                <w:lang w:val="en-US" w:eastAsia="zh-CN" w:bidi="ar"/>
              </w:rPr>
              <w:br w:type="textWrapping"/>
            </w:r>
            <w:r>
              <w:rPr>
                <w:rFonts w:hint="eastAsia" w:ascii="宋体" w:hAnsi="宋体" w:eastAsia="宋体" w:cs="宋体"/>
                <w:b/>
                <w:i w:val="0"/>
                <w:color w:val="000000"/>
                <w:kern w:val="0"/>
                <w:sz w:val="16"/>
                <w:szCs w:val="16"/>
                <w:u w:val="none"/>
                <w:lang w:val="en-US" w:eastAsia="zh-CN" w:bidi="ar"/>
              </w:rPr>
              <w:t>分类</w:t>
            </w:r>
          </w:p>
        </w:tc>
        <w:tc>
          <w:tcPr>
            <w:tcW w:w="169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p>
        </w:tc>
        <w:tc>
          <w:tcPr>
            <w:tcW w:w="204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绩效指标描述</w:t>
            </w:r>
          </w:p>
        </w:tc>
        <w:tc>
          <w:tcPr>
            <w:tcW w:w="238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绩效指标评价标准</w:t>
            </w:r>
          </w:p>
        </w:tc>
        <w:tc>
          <w:tcPr>
            <w:tcW w:w="211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评价标准确定依据</w:t>
            </w:r>
          </w:p>
        </w:tc>
      </w:tr>
      <w:tr>
        <w:tblPrEx>
          <w:tblCellMar>
            <w:top w:w="0" w:type="dxa"/>
            <w:left w:w="0" w:type="dxa"/>
            <w:bottom w:w="0" w:type="dxa"/>
            <w:right w:w="0" w:type="dxa"/>
          </w:tblCellMar>
        </w:tblPrEx>
        <w:trPr>
          <w:trHeight w:val="37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204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良</w:t>
            </w: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中</w:t>
            </w: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差</w:t>
            </w:r>
          </w:p>
        </w:tc>
        <w:tc>
          <w:tcPr>
            <w:tcW w:w="211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0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1434"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产出指标</w:t>
            </w: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征求意见</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组织向相关单位征求意见</w:t>
            </w:r>
          </w:p>
        </w:tc>
      </w:tr>
      <w:tr>
        <w:tblPrEx>
          <w:tblCellMar>
            <w:top w:w="0" w:type="dxa"/>
            <w:left w:w="0" w:type="dxa"/>
            <w:bottom w:w="0" w:type="dxa"/>
            <w:right w:w="0" w:type="dxa"/>
          </w:tblCellMar>
        </w:tblPrEx>
        <w:trPr>
          <w:trHeight w:val="30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资料收集</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收集32种矿种的价格</w:t>
            </w:r>
          </w:p>
        </w:tc>
      </w:tr>
      <w:tr>
        <w:tblPrEx>
          <w:tblCellMar>
            <w:top w:w="0" w:type="dxa"/>
            <w:left w:w="0" w:type="dxa"/>
            <w:bottom w:w="0" w:type="dxa"/>
            <w:right w:w="0" w:type="dxa"/>
          </w:tblCellMar>
        </w:tblPrEx>
        <w:trPr>
          <w:trHeight w:val="300"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工作进度</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2020年1-12月对32个矿种价格监控</w:t>
            </w:r>
          </w:p>
        </w:tc>
      </w:tr>
      <w:tr>
        <w:tblPrEx>
          <w:tblCellMar>
            <w:top w:w="0" w:type="dxa"/>
            <w:left w:w="0" w:type="dxa"/>
            <w:bottom w:w="0" w:type="dxa"/>
            <w:right w:w="0" w:type="dxa"/>
          </w:tblCellMar>
        </w:tblPrEx>
        <w:trPr>
          <w:trHeight w:val="85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1434"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效果指标</w:t>
            </w: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生态指标效益</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指表</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对现阶段某些矿种进行合理开发，避免乱开乱挖，造成资源浪费</w:t>
            </w:r>
          </w:p>
        </w:tc>
      </w:tr>
      <w:tr>
        <w:tblPrEx>
          <w:tblCellMar>
            <w:top w:w="0" w:type="dxa"/>
            <w:left w:w="0" w:type="dxa"/>
            <w:bottom w:w="0" w:type="dxa"/>
            <w:right w:w="0" w:type="dxa"/>
          </w:tblCellMar>
        </w:tblPrEx>
        <w:trPr>
          <w:trHeight w:val="175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指标：保证矿产资源权益金制度改革</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保证（国发[2017]29号）、（国发[2015]27号）、（国发[2015]157号）、（国土资规[2017]5号）相关文件的落实同时建立了自治区矿业权出让收益市场基准价体系。</w:t>
            </w:r>
          </w:p>
        </w:tc>
      </w:tr>
      <w:tr>
        <w:tblPrEx>
          <w:tblCellMar>
            <w:top w:w="0" w:type="dxa"/>
            <w:left w:w="0" w:type="dxa"/>
            <w:bottom w:w="0" w:type="dxa"/>
            <w:right w:w="0" w:type="dxa"/>
          </w:tblCellMar>
        </w:tblPrEx>
        <w:trPr>
          <w:trHeight w:val="1215" w:hRule="atLeast"/>
        </w:trPr>
        <w:tc>
          <w:tcPr>
            <w:tcW w:w="49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1434"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20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指标：基准价矿种</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11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确定了自治区32个矿种的采矿权、探矿权矿业权出让收益市场基准价，完善自然资源部门的资源价值管理</w:t>
            </w:r>
          </w:p>
        </w:tc>
      </w:tr>
    </w:tbl>
    <w:p>
      <w:pPr>
        <w:pStyle w:val="7"/>
        <w:spacing w:before="206" w:line="242" w:lineRule="auto"/>
        <w:ind w:left="120" w:right="669" w:firstLine="571"/>
        <w:rPr>
          <w:color w:val="000000" w:themeColor="text1"/>
          <w:highlight w:val="none"/>
          <w:shd w:val="clear" w:color="auto" w:fill="auto"/>
        </w:rPr>
      </w:pPr>
    </w:p>
    <w:p>
      <w:pPr>
        <w:pStyle w:val="3"/>
        <w:spacing w:before="203"/>
        <w:jc w:val="center"/>
        <w:rPr>
          <w:highlight w:val="none"/>
        </w:rPr>
      </w:pPr>
    </w:p>
    <w:tbl>
      <w:tblPr>
        <w:tblStyle w:val="10"/>
        <w:tblpPr w:leftFromText="180" w:rightFromText="180" w:vertAnchor="text" w:horzAnchor="page" w:tblpX="817" w:tblpY="504"/>
        <w:tblOverlap w:val="never"/>
        <w:tblW w:w="10380" w:type="dxa"/>
        <w:tblInd w:w="0" w:type="dxa"/>
        <w:shd w:val="clear" w:color="auto" w:fill="auto"/>
        <w:tblLayout w:type="autofit"/>
        <w:tblCellMar>
          <w:top w:w="0" w:type="dxa"/>
          <w:left w:w="0" w:type="dxa"/>
          <w:bottom w:w="0" w:type="dxa"/>
          <w:right w:w="0" w:type="dxa"/>
        </w:tblCellMar>
      </w:tblPr>
      <w:tblGrid>
        <w:gridCol w:w="448"/>
        <w:gridCol w:w="1456"/>
        <w:gridCol w:w="1704"/>
        <w:gridCol w:w="1955"/>
        <w:gridCol w:w="688"/>
        <w:gridCol w:w="610"/>
        <w:gridCol w:w="610"/>
        <w:gridCol w:w="485"/>
        <w:gridCol w:w="2424"/>
      </w:tblGrid>
      <w:tr>
        <w:tblPrEx>
          <w:shd w:val="clear" w:color="auto" w:fill="auto"/>
          <w:tblCellMar>
            <w:top w:w="0" w:type="dxa"/>
            <w:left w:w="0" w:type="dxa"/>
            <w:bottom w:w="0" w:type="dxa"/>
            <w:right w:w="0" w:type="dxa"/>
          </w:tblCellMar>
        </w:tblPrEx>
        <w:trPr>
          <w:trHeight w:val="600" w:hRule="atLeast"/>
        </w:trPr>
        <w:tc>
          <w:tcPr>
            <w:tcW w:w="10380" w:type="dxa"/>
            <w:gridSpan w:val="9"/>
            <w:tcBorders>
              <w:top w:val="single" w:color="auto" w:sz="4" w:space="0"/>
              <w:left w:val="single" w:color="auto" w:sz="4" w:space="0"/>
              <w:bottom w:val="single" w:color="auto" w:sz="4" w:space="0"/>
              <w:right w:val="single" w:color="auto" w:sz="4" w:space="0"/>
            </w:tcBorders>
            <w:shd w:val="clear" w:color="auto" w:fill="E4ECF7"/>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3"/>
                <w:szCs w:val="43"/>
                <w:u w:val="none"/>
              </w:rPr>
            </w:pPr>
            <w:r>
              <w:rPr>
                <w:rFonts w:hint="eastAsia" w:ascii="宋体" w:hAnsi="宋体" w:eastAsia="宋体" w:cs="宋体"/>
                <w:i w:val="0"/>
                <w:color w:val="000000"/>
                <w:kern w:val="0"/>
                <w:sz w:val="43"/>
                <w:szCs w:val="43"/>
                <w:u w:val="none"/>
                <w:lang w:val="en-US" w:eastAsia="zh-CN" w:bidi="ar"/>
              </w:rPr>
              <w:t>预算项目绩效信息表</w:t>
            </w:r>
          </w:p>
        </w:tc>
      </w:tr>
      <w:tr>
        <w:tblPrEx>
          <w:tblCellMar>
            <w:top w:w="0" w:type="dxa"/>
            <w:left w:w="0" w:type="dxa"/>
            <w:bottom w:w="0" w:type="dxa"/>
            <w:right w:w="0" w:type="dxa"/>
          </w:tblCellMar>
        </w:tblPrEx>
        <w:trPr>
          <w:trHeight w:val="60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4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项目编码</w:t>
            </w: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201-0801-JBN-622E</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项目名称</w:t>
            </w:r>
          </w:p>
        </w:tc>
        <w:tc>
          <w:tcPr>
            <w:tcW w:w="4817"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新疆矿产资源年报</w:t>
            </w:r>
          </w:p>
        </w:tc>
      </w:tr>
      <w:tr>
        <w:tblPrEx>
          <w:tblCellMar>
            <w:top w:w="0" w:type="dxa"/>
            <w:left w:w="0" w:type="dxa"/>
            <w:bottom w:w="0" w:type="dxa"/>
            <w:right w:w="0" w:type="dxa"/>
          </w:tblCellMar>
        </w:tblPrEx>
        <w:trPr>
          <w:trHeight w:val="135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c>
          <w:tcPr>
            <w:tcW w:w="14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项目实施计划</w:t>
            </w:r>
          </w:p>
        </w:tc>
        <w:tc>
          <w:tcPr>
            <w:tcW w:w="8476"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项目资金预期投入15.00万元，涉及的内容包括矿产资源概况、地质矿产勘查、矿产资源储量、矿产资源开发利用、主要矿产品供销、地质环境与地下水勘查、矿产资源管理等七个部分</w:t>
            </w:r>
          </w:p>
        </w:tc>
      </w:tr>
      <w:tr>
        <w:tblPrEx>
          <w:tblCellMar>
            <w:top w:w="0" w:type="dxa"/>
            <w:left w:w="0" w:type="dxa"/>
            <w:bottom w:w="0" w:type="dxa"/>
            <w:right w:w="0" w:type="dxa"/>
          </w:tblCellMar>
        </w:tblPrEx>
        <w:trPr>
          <w:trHeight w:val="34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w:t>
            </w:r>
          </w:p>
        </w:tc>
        <w:tc>
          <w:tcPr>
            <w:tcW w:w="1456"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资金支出计划（%）</w:t>
            </w: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第一季度</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第二季度</w:t>
            </w:r>
          </w:p>
        </w:tc>
        <w:tc>
          <w:tcPr>
            <w:tcW w:w="239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第三季度</w:t>
            </w: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第四季度</w:t>
            </w:r>
          </w:p>
        </w:tc>
      </w:tr>
      <w:tr>
        <w:tblPrEx>
          <w:tblCellMar>
            <w:top w:w="0" w:type="dxa"/>
            <w:left w:w="0" w:type="dxa"/>
            <w:bottom w:w="0" w:type="dxa"/>
            <w:right w:w="0" w:type="dxa"/>
          </w:tblCellMar>
        </w:tblPrEx>
        <w:trPr>
          <w:trHeight w:val="37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20%</w:t>
            </w:r>
          </w:p>
        </w:tc>
        <w:tc>
          <w:tcPr>
            <w:tcW w:w="195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40%</w:t>
            </w:r>
          </w:p>
        </w:tc>
        <w:tc>
          <w:tcPr>
            <w:tcW w:w="2393" w:type="dxa"/>
            <w:gridSpan w:val="4"/>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25%</w:t>
            </w:r>
          </w:p>
        </w:tc>
        <w:tc>
          <w:tcPr>
            <w:tcW w:w="242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15%</w:t>
            </w:r>
          </w:p>
        </w:tc>
      </w:tr>
      <w:tr>
        <w:tblPrEx>
          <w:tblCellMar>
            <w:top w:w="0" w:type="dxa"/>
            <w:left w:w="0" w:type="dxa"/>
            <w:bottom w:w="0" w:type="dxa"/>
            <w:right w:w="0" w:type="dxa"/>
          </w:tblCellMar>
        </w:tblPrEx>
        <w:trPr>
          <w:trHeight w:val="135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6.00</w:t>
            </w:r>
          </w:p>
        </w:tc>
        <w:tc>
          <w:tcPr>
            <w:tcW w:w="14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绩效目标</w:t>
            </w:r>
          </w:p>
        </w:tc>
        <w:tc>
          <w:tcPr>
            <w:tcW w:w="8476"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提交《2019年度新疆维吾尔自治区矿产资源年报》报告一份，内容主要包括矿产资源概况、地质矿产勘查、矿产资源储量、矿产资源开发利用、主要矿产品产供销、地质环境与地下水勘查、矿产资源管理等七个部分。</w:t>
            </w:r>
          </w:p>
        </w:tc>
      </w:tr>
      <w:tr>
        <w:tblPrEx>
          <w:tblCellMar>
            <w:top w:w="0" w:type="dxa"/>
            <w:left w:w="0" w:type="dxa"/>
            <w:bottom w:w="0" w:type="dxa"/>
            <w:right w:w="0" w:type="dxa"/>
          </w:tblCellMar>
        </w:tblPrEx>
        <w:trPr>
          <w:trHeight w:val="37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456"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r>
              <w:rPr>
                <w:rFonts w:hint="eastAsia" w:ascii="宋体" w:hAnsi="宋体" w:eastAsia="宋体" w:cs="宋体"/>
                <w:b/>
                <w:i w:val="0"/>
                <w:color w:val="000000"/>
                <w:kern w:val="0"/>
                <w:sz w:val="16"/>
                <w:szCs w:val="16"/>
                <w:u w:val="none"/>
                <w:lang w:val="en-US" w:eastAsia="zh-CN" w:bidi="ar"/>
              </w:rPr>
              <w:br w:type="textWrapping"/>
            </w:r>
            <w:r>
              <w:rPr>
                <w:rFonts w:hint="eastAsia" w:ascii="宋体" w:hAnsi="宋体" w:eastAsia="宋体" w:cs="宋体"/>
                <w:b/>
                <w:i w:val="0"/>
                <w:color w:val="000000"/>
                <w:kern w:val="0"/>
                <w:sz w:val="16"/>
                <w:szCs w:val="16"/>
                <w:u w:val="none"/>
                <w:lang w:val="en-US" w:eastAsia="zh-CN" w:bidi="ar"/>
              </w:rPr>
              <w:t>分类</w:t>
            </w:r>
          </w:p>
        </w:tc>
        <w:tc>
          <w:tcPr>
            <w:tcW w:w="170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p>
        </w:tc>
        <w:tc>
          <w:tcPr>
            <w:tcW w:w="195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绩效指标描述</w:t>
            </w:r>
          </w:p>
        </w:tc>
        <w:tc>
          <w:tcPr>
            <w:tcW w:w="239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绩效指标评价标准</w:t>
            </w:r>
          </w:p>
        </w:tc>
        <w:tc>
          <w:tcPr>
            <w:tcW w:w="242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评价标准确定依据</w:t>
            </w:r>
          </w:p>
        </w:tc>
      </w:tr>
      <w:tr>
        <w:tblPrEx>
          <w:tblCellMar>
            <w:top w:w="0" w:type="dxa"/>
            <w:left w:w="0" w:type="dxa"/>
            <w:bottom w:w="0" w:type="dxa"/>
            <w:right w:w="0" w:type="dxa"/>
          </w:tblCellMar>
        </w:tblPrEx>
        <w:trPr>
          <w:trHeight w:val="37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95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良</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中</w:t>
            </w: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差</w:t>
            </w:r>
          </w:p>
        </w:tc>
        <w:tc>
          <w:tcPr>
            <w:tcW w:w="242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85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w:t>
            </w:r>
          </w:p>
        </w:tc>
        <w:tc>
          <w:tcPr>
            <w:tcW w:w="1456"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产出指标</w:t>
            </w: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r>
              <w:rPr>
                <w:rStyle w:val="15"/>
                <w:rFonts w:eastAsia="宋体"/>
                <w:lang w:val="en-US" w:eastAsia="zh-CN" w:bidi="ar"/>
              </w:rPr>
              <w:t xml:space="preserve"> </w:t>
            </w:r>
            <w:r>
              <w:rPr>
                <w:rStyle w:val="16"/>
                <w:lang w:val="en-US" w:eastAsia="zh-CN" w:bidi="ar"/>
              </w:rPr>
              <w:t>2019年11月30日提交《2018年度新疆矿产资源年报》</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2019年11月30日提交《2018年度新疆矿产资源年报》</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2019年11月30日完成</w:t>
            </w:r>
          </w:p>
        </w:tc>
      </w:tr>
      <w:tr>
        <w:tblPrEx>
          <w:tblCellMar>
            <w:top w:w="0" w:type="dxa"/>
            <w:left w:w="0" w:type="dxa"/>
            <w:bottom w:w="0" w:type="dxa"/>
            <w:right w:w="0" w:type="dxa"/>
          </w:tblCellMar>
        </w:tblPrEx>
        <w:trPr>
          <w:trHeight w:val="85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矿产资源储量，开发利用，规划管理</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资源处、矿管处、规划处等相关处室配合收集相关资料</w:t>
            </w:r>
          </w:p>
        </w:tc>
      </w:tr>
      <w:tr>
        <w:tblPrEx>
          <w:tblCellMar>
            <w:top w:w="0" w:type="dxa"/>
            <w:left w:w="0" w:type="dxa"/>
            <w:bottom w:w="0" w:type="dxa"/>
            <w:right w:w="0" w:type="dxa"/>
          </w:tblCellMar>
        </w:tblPrEx>
        <w:trPr>
          <w:trHeight w:val="85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2019年11月25日—11月30日，对《年报》初稿进行讨论修改，形成《年报》定稿。</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2019年11月30日形成定稿</w:t>
            </w:r>
          </w:p>
        </w:tc>
      </w:tr>
      <w:tr>
        <w:tblPrEx>
          <w:tblCellMar>
            <w:top w:w="0" w:type="dxa"/>
            <w:left w:w="0" w:type="dxa"/>
            <w:bottom w:w="0" w:type="dxa"/>
            <w:right w:w="0" w:type="dxa"/>
          </w:tblCellMar>
        </w:tblPrEx>
        <w:trPr>
          <w:trHeight w:val="72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1456"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效果指标</w:t>
            </w: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经济效益指标</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为新疆矿产资源提供依据</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为新疆矿产资源提供依据</w:t>
            </w:r>
          </w:p>
        </w:tc>
      </w:tr>
      <w:tr>
        <w:tblPrEx>
          <w:tblCellMar>
            <w:top w:w="0" w:type="dxa"/>
            <w:left w:w="0" w:type="dxa"/>
            <w:bottom w:w="0" w:type="dxa"/>
            <w:right w:w="0" w:type="dxa"/>
          </w:tblCellMar>
        </w:tblPrEx>
        <w:trPr>
          <w:trHeight w:val="62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当地政府、地勘单位、企业满意度较高</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大于95%</w:t>
            </w:r>
          </w:p>
        </w:tc>
      </w:tr>
      <w:tr>
        <w:tblPrEx>
          <w:tblCellMar>
            <w:top w:w="0" w:type="dxa"/>
            <w:left w:w="0" w:type="dxa"/>
            <w:bottom w:w="0" w:type="dxa"/>
            <w:right w:w="0" w:type="dxa"/>
          </w:tblCellMar>
        </w:tblPrEx>
        <w:trPr>
          <w:trHeight w:val="157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14.00</w:t>
            </w:r>
          </w:p>
        </w:tc>
        <w:tc>
          <w:tcPr>
            <w:tcW w:w="145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7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19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为矿产资源概况、地质矿产勘查、矿产资源储量、矿产资源开发利用、主要矿产品供销、地质环境与地下水勘查、矿产资源管理提供依据</w:t>
            </w:r>
          </w:p>
        </w:tc>
        <w:tc>
          <w:tcPr>
            <w:tcW w:w="68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6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4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242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为矿产资源概况、地质矿产勘查、矿产资源储量、矿产资源开发利用、主要矿产品供销、地质环境与地下水勘查、矿产资源管理提供依据</w:t>
            </w:r>
          </w:p>
        </w:tc>
      </w:tr>
    </w:tbl>
    <w:p>
      <w:pPr>
        <w:bidi w:val="0"/>
        <w:rPr>
          <w:lang w:val="zh-CN" w:eastAsia="zh-CN"/>
        </w:rPr>
      </w:pPr>
    </w:p>
    <w:p>
      <w:pPr>
        <w:pStyle w:val="3"/>
        <w:spacing w:before="203"/>
        <w:jc w:val="center"/>
        <w:rPr>
          <w:highlight w:val="none"/>
        </w:rPr>
      </w:pPr>
      <w:r>
        <w:rPr>
          <w:rFonts w:hint="eastAsia"/>
          <w:lang w:val="zh-CN" w:eastAsia="zh-CN"/>
        </w:rPr>
        <w:tab/>
      </w:r>
    </w:p>
    <w:p>
      <w:pPr>
        <w:rPr>
          <w:highlight w:val="none"/>
        </w:rPr>
      </w:pPr>
      <w:r>
        <w:rPr>
          <w:highlight w:val="none"/>
        </w:rPr>
        <w:br w:type="page"/>
      </w:r>
    </w:p>
    <w:tbl>
      <w:tblPr>
        <w:tblStyle w:val="10"/>
        <w:tblpPr w:leftFromText="180" w:rightFromText="180" w:vertAnchor="text" w:horzAnchor="page" w:tblpX="1695" w:tblpY="580"/>
        <w:tblOverlap w:val="never"/>
        <w:tblW w:w="9500" w:type="dxa"/>
        <w:tblInd w:w="0" w:type="dxa"/>
        <w:shd w:val="clear" w:color="auto" w:fill="auto"/>
        <w:tblLayout w:type="autofit"/>
        <w:tblCellMar>
          <w:top w:w="0" w:type="dxa"/>
          <w:left w:w="0" w:type="dxa"/>
          <w:bottom w:w="0" w:type="dxa"/>
          <w:right w:w="0" w:type="dxa"/>
        </w:tblCellMar>
      </w:tblPr>
      <w:tblGrid>
        <w:gridCol w:w="430"/>
        <w:gridCol w:w="1269"/>
        <w:gridCol w:w="1868"/>
        <w:gridCol w:w="1677"/>
        <w:gridCol w:w="709"/>
        <w:gridCol w:w="586"/>
        <w:gridCol w:w="571"/>
        <w:gridCol w:w="520"/>
        <w:gridCol w:w="1874"/>
      </w:tblGrid>
      <w:tr>
        <w:tblPrEx>
          <w:shd w:val="clear" w:color="auto" w:fill="auto"/>
          <w:tblCellMar>
            <w:top w:w="0" w:type="dxa"/>
            <w:left w:w="0" w:type="dxa"/>
            <w:bottom w:w="0" w:type="dxa"/>
            <w:right w:w="0" w:type="dxa"/>
          </w:tblCellMar>
        </w:tblPrEx>
        <w:trPr>
          <w:trHeight w:val="730" w:hRule="atLeast"/>
        </w:trPr>
        <w:tc>
          <w:tcPr>
            <w:tcW w:w="9500" w:type="dxa"/>
            <w:gridSpan w:val="9"/>
            <w:tcBorders>
              <w:top w:val="single" w:color="000000" w:sz="4" w:space="0"/>
              <w:left w:val="single" w:color="000000" w:sz="4" w:space="0"/>
              <w:bottom w:val="single" w:color="000000" w:sz="4" w:space="0"/>
              <w:right w:val="single" w:color="000000" w:sz="4" w:space="0"/>
            </w:tcBorders>
            <w:shd w:val="clear" w:color="auto" w:fill="E4ECF7"/>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3"/>
                <w:szCs w:val="43"/>
                <w:u w:val="none"/>
              </w:rPr>
            </w:pPr>
            <w:r>
              <w:rPr>
                <w:rFonts w:hint="eastAsia" w:ascii="宋体" w:hAnsi="宋体" w:eastAsia="宋体" w:cs="宋体"/>
                <w:i w:val="0"/>
                <w:color w:val="000000"/>
                <w:kern w:val="0"/>
                <w:sz w:val="43"/>
                <w:szCs w:val="43"/>
                <w:u w:val="none"/>
                <w:lang w:val="en-US" w:eastAsia="zh-CN" w:bidi="ar"/>
              </w:rPr>
              <w:t>预算项目绩效信息表</w:t>
            </w:r>
          </w:p>
        </w:tc>
      </w:tr>
      <w:tr>
        <w:tblPrEx>
          <w:tblCellMar>
            <w:top w:w="0" w:type="dxa"/>
            <w:left w:w="0" w:type="dxa"/>
            <w:bottom w:w="0" w:type="dxa"/>
            <w:right w:w="0" w:type="dxa"/>
          </w:tblCellMar>
        </w:tblPrEx>
        <w:trPr>
          <w:trHeight w:val="291"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w:t>
            </w:r>
          </w:p>
        </w:tc>
        <w:tc>
          <w:tcPr>
            <w:tcW w:w="12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项目编码</w:t>
            </w: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201-1303-JBN-0EHT</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项目名称</w:t>
            </w:r>
          </w:p>
        </w:tc>
        <w:tc>
          <w:tcPr>
            <w:tcW w:w="426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矿产资源储量核定</w:t>
            </w:r>
          </w:p>
        </w:tc>
      </w:tr>
      <w:tr>
        <w:tblPrEx>
          <w:tblCellMar>
            <w:top w:w="0" w:type="dxa"/>
            <w:left w:w="0" w:type="dxa"/>
            <w:bottom w:w="0" w:type="dxa"/>
            <w:right w:w="0" w:type="dxa"/>
          </w:tblCellMar>
        </w:tblPrEx>
        <w:trPr>
          <w:trHeight w:val="1854"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c>
          <w:tcPr>
            <w:tcW w:w="12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项目实施计划</w:t>
            </w:r>
          </w:p>
        </w:tc>
        <w:tc>
          <w:tcPr>
            <w:tcW w:w="780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项目总体目标及分阶段实施计划</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(1)高质量的全面完成按有关规定，受政府部门委托矿产资源储量评审工作。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(2)根据送审报告质量等情况，酌情赴矿产资源所在地进行实地调查；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(3)完成符合规定要求的矿产资源储量报告评审，预计200份；</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(4)开展新增查明矿产资源储量的统计与上报工作；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(5)与有关资源储量评审机构开展矿产资源储量评审业务交流并进行指导。</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(6)组织开展全疆矿产资源储量评估师及业务人员对有关技术标准的培训。</w:t>
            </w:r>
          </w:p>
        </w:tc>
      </w:tr>
      <w:tr>
        <w:tblPrEx>
          <w:tblCellMar>
            <w:top w:w="0" w:type="dxa"/>
            <w:left w:w="0" w:type="dxa"/>
            <w:bottom w:w="0" w:type="dxa"/>
            <w:right w:w="0" w:type="dxa"/>
          </w:tblCellMar>
        </w:tblPrEx>
        <w:trPr>
          <w:trHeight w:val="291"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资金支出计划（%）</w:t>
            </w: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第一季度</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第二季度</w:t>
            </w:r>
          </w:p>
        </w:tc>
        <w:tc>
          <w:tcPr>
            <w:tcW w:w="23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第三季度</w:t>
            </w: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第四季度</w:t>
            </w:r>
          </w:p>
        </w:tc>
      </w:tr>
      <w:tr>
        <w:tblPrEx>
          <w:tblCellMar>
            <w:top w:w="0" w:type="dxa"/>
            <w:left w:w="0" w:type="dxa"/>
            <w:bottom w:w="0" w:type="dxa"/>
            <w:right w:w="0" w:type="dxa"/>
          </w:tblCellMar>
        </w:tblPrEx>
        <w:trPr>
          <w:trHeight w:val="291"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20%</w:t>
            </w:r>
          </w:p>
        </w:tc>
        <w:tc>
          <w:tcPr>
            <w:tcW w:w="16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40%</w:t>
            </w:r>
          </w:p>
        </w:tc>
        <w:tc>
          <w:tcPr>
            <w:tcW w:w="2386"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25%</w:t>
            </w:r>
          </w:p>
        </w:tc>
        <w:tc>
          <w:tcPr>
            <w:tcW w:w="18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15%</w:t>
            </w:r>
          </w:p>
        </w:tc>
      </w:tr>
      <w:tr>
        <w:tblPrEx>
          <w:tblCellMar>
            <w:top w:w="0" w:type="dxa"/>
            <w:left w:w="0" w:type="dxa"/>
            <w:bottom w:w="0" w:type="dxa"/>
            <w:right w:w="0" w:type="dxa"/>
          </w:tblCellMar>
        </w:tblPrEx>
        <w:trPr>
          <w:trHeight w:val="2375"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6.00</w:t>
            </w:r>
          </w:p>
        </w:tc>
        <w:tc>
          <w:tcPr>
            <w:tcW w:w="12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绩效目标</w:t>
            </w:r>
          </w:p>
        </w:tc>
        <w:tc>
          <w:tcPr>
            <w:tcW w:w="780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项目绩效目标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    1．完成年度矿产资源储量报告评审工作，对评审通过的矿产资源储量报告提交评审意见书并按程序完成上报备案工作；</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    2．酌情开展矿产资源储量报告矿产资源所在地实地调研，进一步核实信息，严把矿产资源储量评审质量关。</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    3．完成矿产资源储量管理相关技术、标准及矿产储量评估师培训的组织实施工作，提交培训班工作总结报告。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    4．完成相关业务工作交流会的组织实施工作，提交会议情况通报。</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 xml:space="preserve">    5．提交储量评审中心评审并通过备案的新增资源储量的矿种及新增资源储量信息报表。</w:t>
            </w:r>
          </w:p>
        </w:tc>
      </w:tr>
      <w:tr>
        <w:tblPrEx>
          <w:tblCellMar>
            <w:top w:w="0" w:type="dxa"/>
            <w:left w:w="0" w:type="dxa"/>
            <w:bottom w:w="0" w:type="dxa"/>
            <w:right w:w="0" w:type="dxa"/>
          </w:tblCellMar>
        </w:tblPrEx>
        <w:trPr>
          <w:trHeight w:val="291"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r>
              <w:rPr>
                <w:rFonts w:hint="eastAsia" w:ascii="宋体" w:hAnsi="宋体" w:eastAsia="宋体" w:cs="宋体"/>
                <w:b/>
                <w:i w:val="0"/>
                <w:color w:val="000000"/>
                <w:kern w:val="0"/>
                <w:sz w:val="16"/>
                <w:szCs w:val="16"/>
                <w:u w:val="none"/>
                <w:lang w:val="en-US" w:eastAsia="zh-CN" w:bidi="ar"/>
              </w:rPr>
              <w:br w:type="textWrapping"/>
            </w:r>
            <w:r>
              <w:rPr>
                <w:rFonts w:hint="eastAsia" w:ascii="宋体" w:hAnsi="宋体" w:eastAsia="宋体" w:cs="宋体"/>
                <w:b/>
                <w:i w:val="0"/>
                <w:color w:val="000000"/>
                <w:kern w:val="0"/>
                <w:sz w:val="16"/>
                <w:szCs w:val="16"/>
                <w:u w:val="none"/>
                <w:lang w:val="en-US" w:eastAsia="zh-CN" w:bidi="ar"/>
              </w:rPr>
              <w:t>分类</w:t>
            </w:r>
          </w:p>
        </w:tc>
        <w:tc>
          <w:tcPr>
            <w:tcW w:w="1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w:t>
            </w:r>
          </w:p>
        </w:tc>
        <w:tc>
          <w:tcPr>
            <w:tcW w:w="16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绩效指标描述</w:t>
            </w:r>
          </w:p>
        </w:tc>
        <w:tc>
          <w:tcPr>
            <w:tcW w:w="23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绩效指标评价标准</w:t>
            </w:r>
          </w:p>
        </w:tc>
        <w:tc>
          <w:tcPr>
            <w:tcW w:w="18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评价标准确定依据</w:t>
            </w:r>
          </w:p>
        </w:tc>
      </w:tr>
      <w:tr>
        <w:tblPrEx>
          <w:tblCellMar>
            <w:top w:w="0" w:type="dxa"/>
            <w:left w:w="0" w:type="dxa"/>
            <w:bottom w:w="0" w:type="dxa"/>
            <w:right w:w="0" w:type="dxa"/>
          </w:tblCellMar>
        </w:tblPrEx>
        <w:trPr>
          <w:trHeight w:val="291"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6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良</w:t>
            </w: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中</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差</w:t>
            </w:r>
          </w:p>
        </w:tc>
        <w:tc>
          <w:tcPr>
            <w:tcW w:w="18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552"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产出指标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矿产资源储量报告评审意见书</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100%完成</w:t>
            </w:r>
          </w:p>
        </w:tc>
      </w:tr>
      <w:tr>
        <w:tblPrEx>
          <w:tblCellMar>
            <w:top w:w="0" w:type="dxa"/>
            <w:left w:w="0" w:type="dxa"/>
            <w:bottom w:w="0" w:type="dxa"/>
            <w:right w:w="0" w:type="dxa"/>
          </w:tblCellMar>
        </w:tblPrEx>
        <w:trPr>
          <w:trHeight w:val="552"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矿产资源储量报告评审按时办结率</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100%完成</w:t>
            </w:r>
          </w:p>
        </w:tc>
      </w:tr>
      <w:tr>
        <w:tblPrEx>
          <w:tblCellMar>
            <w:top w:w="0" w:type="dxa"/>
            <w:left w:w="0" w:type="dxa"/>
            <w:bottom w:w="0" w:type="dxa"/>
            <w:right w:w="0" w:type="dxa"/>
          </w:tblCellMar>
        </w:tblPrEx>
        <w:trPr>
          <w:trHeight w:val="812"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储量报告评审实际情况需要</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完成符合规定要求的矿产资源储量报告评审，预计110份</w:t>
            </w:r>
          </w:p>
        </w:tc>
      </w:tr>
      <w:tr>
        <w:tblPrEx>
          <w:tblCellMar>
            <w:top w:w="0" w:type="dxa"/>
            <w:left w:w="0" w:type="dxa"/>
            <w:bottom w:w="0" w:type="dxa"/>
            <w:right w:w="0" w:type="dxa"/>
          </w:tblCellMar>
        </w:tblPrEx>
        <w:trPr>
          <w:trHeight w:val="552"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效果指标</w:t>
            </w: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对地质勘查单位培训提交报告评审内容</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95%</w:t>
            </w:r>
          </w:p>
        </w:tc>
      </w:tr>
      <w:tr>
        <w:tblPrEx>
          <w:tblCellMar>
            <w:top w:w="0" w:type="dxa"/>
            <w:left w:w="0" w:type="dxa"/>
            <w:bottom w:w="0" w:type="dxa"/>
            <w:right w:w="0" w:type="dxa"/>
          </w:tblCellMar>
        </w:tblPrEx>
        <w:trPr>
          <w:trHeight w:val="1333"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受政府部门委托矿产资源储量评审工作</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矿产资源储量是掌控矿产资源家底、参与国家宏观调控和矿产资源规划、管理、保护与合理利用的重要基础。</w:t>
            </w:r>
          </w:p>
        </w:tc>
      </w:tr>
      <w:tr>
        <w:tblPrEx>
          <w:tblCellMar>
            <w:top w:w="0" w:type="dxa"/>
            <w:left w:w="0" w:type="dxa"/>
            <w:bottom w:w="0" w:type="dxa"/>
            <w:right w:w="0" w:type="dxa"/>
          </w:tblCellMar>
        </w:tblPrEx>
        <w:trPr>
          <w:trHeight w:val="2127" w:hRule="atLeast"/>
        </w:trPr>
        <w:tc>
          <w:tcPr>
            <w:tcW w:w="4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14.00</w:t>
            </w: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指标</w:t>
            </w:r>
          </w:p>
        </w:tc>
        <w:tc>
          <w:tcPr>
            <w:tcW w:w="16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矿山建设设计的依据</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优</w:t>
            </w:r>
          </w:p>
        </w:tc>
        <w:tc>
          <w:tcPr>
            <w:tcW w:w="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6"/>
                <w:szCs w:val="16"/>
                <w:u w:val="none"/>
              </w:rPr>
            </w:pPr>
          </w:p>
        </w:tc>
        <w:tc>
          <w:tcPr>
            <w:tcW w:w="18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矿产资源储量评审是实现矿产资源国家所有权益和国家出资查明矿产地实现投资者的需要，而每年矿业价款评估和矿业权出让收入数百亿元的经济效益的取得，必须依据矿产资源储量评审工作。</w:t>
            </w:r>
          </w:p>
        </w:tc>
      </w:tr>
    </w:tbl>
    <w:p>
      <w:pPr>
        <w:tabs>
          <w:tab w:val="left" w:pos="465"/>
        </w:tabs>
        <w:bidi w:val="0"/>
        <w:jc w:val="left"/>
        <w:rPr>
          <w:rFonts w:hint="eastAsia"/>
          <w:lang w:val="zh-CN" w:eastAsia="zh-CN"/>
        </w:rPr>
        <w:sectPr>
          <w:pgSz w:w="11910" w:h="16840"/>
          <w:pgMar w:top="1440" w:right="1800" w:bottom="1440" w:left="1800" w:header="720" w:footer="720" w:gutter="0"/>
        </w:sectPr>
      </w:pPr>
    </w:p>
    <w:p>
      <w:pPr>
        <w:rPr>
          <w:sz w:val="28"/>
          <w:szCs w:val="28"/>
        </w:rPr>
      </w:pPr>
      <w:r>
        <w:rPr>
          <w:sz w:val="28"/>
          <w:szCs w:val="28"/>
        </w:rPr>
        <w:t xml:space="preserve">第四部分 </w:t>
      </w:r>
      <w:r>
        <w:rPr>
          <w:spacing w:val="-4"/>
          <w:sz w:val="28"/>
          <w:szCs w:val="28"/>
        </w:rPr>
        <w:t>名词解释</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一、财政拨款收入：指由一般公共预算的财政拨款数。</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二、事业收入：指事业单位开展专业业务活动及辅助活动所取得的收入。三、经营收入：指我单位向企业提供咨询服务锁收取的咨询服务费。</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四、其他收入：指 “经营收入”的存款利息等收入等。</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五、上级补助收入：指单位从主管部门和上级单位取得的非财政补助收入。</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right="0" w:firstLine="548" w:firstLineChars="200"/>
        <w:jc w:val="both"/>
        <w:textAlignment w:val="auto"/>
        <w:outlineLvl w:val="9"/>
        <w:rPr>
          <w:sz w:val="28"/>
          <w:szCs w:val="28"/>
        </w:rPr>
      </w:pPr>
      <w:r>
        <w:rPr>
          <w:spacing w:val="-3"/>
          <w:sz w:val="28"/>
          <w:szCs w:val="28"/>
        </w:rPr>
        <w:t>六、用事业基金弥补收支差额：指事业单位在预计用当年的“财政拨款收入”、  “财政拨款结转和结余资金”、“事业收入”、“事业单位经营收入”、“其他收入” 等不足以安排当年支出的情况下，使用以前年度积累的事业基金</w:t>
      </w:r>
      <w:r>
        <w:rPr>
          <w:sz w:val="28"/>
          <w:szCs w:val="28"/>
        </w:rPr>
        <w:t>（</w:t>
      </w:r>
      <w:r>
        <w:rPr>
          <w:spacing w:val="-3"/>
          <w:sz w:val="28"/>
          <w:szCs w:val="28"/>
        </w:rPr>
        <w:t>事业单位当年收支  相抵后按国家规定提取、用于弥补以后年度收支差额的基金</w:t>
      </w:r>
      <w:r>
        <w:rPr>
          <w:sz w:val="28"/>
          <w:szCs w:val="28"/>
        </w:rPr>
        <w:t>）</w:t>
      </w:r>
      <w:r>
        <w:rPr>
          <w:spacing w:val="-3"/>
          <w:sz w:val="28"/>
          <w:szCs w:val="28"/>
        </w:rPr>
        <w:t>弥补本年度收支缺口的  资金。</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right="0" w:firstLine="560" w:firstLineChars="200"/>
        <w:jc w:val="both"/>
        <w:textAlignment w:val="auto"/>
        <w:outlineLvl w:val="9"/>
        <w:rPr>
          <w:sz w:val="28"/>
          <w:szCs w:val="28"/>
        </w:rPr>
      </w:pPr>
      <w:r>
        <w:rPr>
          <w:sz w:val="28"/>
          <w:szCs w:val="28"/>
        </w:rPr>
        <w:t>七、上年结转：指以前年度尚未完成、结转到本年仍按原规定用途继续使用的资金。</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right="0" w:firstLine="560" w:firstLineChars="200"/>
        <w:jc w:val="both"/>
        <w:textAlignment w:val="auto"/>
        <w:outlineLvl w:val="9"/>
        <w:rPr>
          <w:sz w:val="28"/>
          <w:szCs w:val="28"/>
        </w:rPr>
      </w:pPr>
      <w:r>
        <w:rPr>
          <w:sz w:val="28"/>
          <w:szCs w:val="28"/>
        </w:rPr>
        <w:t>八、基本支出：指为保障机构正常运转、完成日常工作任务而发生的人员经费和日常公用经费。</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九、经营支出：指单位基本事务支出。</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right="0" w:firstLine="560" w:firstLineChars="200"/>
        <w:jc w:val="both"/>
        <w:textAlignment w:val="auto"/>
        <w:outlineLvl w:val="9"/>
        <w:rPr>
          <w:sz w:val="28"/>
          <w:szCs w:val="28"/>
        </w:rPr>
      </w:pPr>
      <w:r>
        <w:rPr>
          <w:sz w:val="28"/>
          <w:szCs w:val="28"/>
        </w:rPr>
        <w:t>十、“三公”经费：指省级部门用财政拨款安排的因公出国（境）费、公务用车购置及运行费和公务接待费。其中，因公出国（境）费反映单位公务出国（境）的国际差旅费、国外城市间交通费、住宿费、伙食费、培训费、公杂费等支出；公务用车购置及运行费反映单位公务用车车辆购置支出（含车辆购置税）及租用费、燃料费、维修费、过路过桥费、保险费等支出；公务接待费反映单位按规定开支的各类接待等支出。</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十一、社会保障和就业（类）</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指由单位缴纳的基本养老保险费支出、实际缴纳的职业年金支出、基本医疗保险缴费经费。</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十二、国土海洋气象等支出（类）国土资源事务反映本单位的基本支出。</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right="0" w:firstLine="560" w:firstLineChars="200"/>
        <w:jc w:val="both"/>
        <w:textAlignment w:val="auto"/>
        <w:outlineLvl w:val="9"/>
        <w:rPr>
          <w:sz w:val="28"/>
          <w:szCs w:val="28"/>
        </w:rPr>
      </w:pPr>
      <w:r>
        <w:rPr>
          <w:sz w:val="28"/>
          <w:szCs w:val="28"/>
        </w:rPr>
        <w:t>十三、国土海洋气象等支出（类）国土资源事务、油砂、矿业权出让基准价等项目运作经费的支出。</w:t>
      </w:r>
    </w:p>
    <w:p>
      <w:pPr>
        <w:pStyle w:val="7"/>
        <w:keepNext w:val="0"/>
        <w:keepLines w:val="0"/>
        <w:pageBreakBefore w:val="0"/>
        <w:widowControl w:val="0"/>
        <w:kinsoku/>
        <w:wordWrap/>
        <w:overflowPunct/>
        <w:topLinePunct w:val="0"/>
        <w:autoSpaceDE w:val="0"/>
        <w:autoSpaceDN w:val="0"/>
        <w:bidi w:val="0"/>
        <w:adjustRightInd/>
        <w:snapToGrid/>
        <w:spacing w:before="0" w:beforeLines="50" w:after="0" w:afterLines="50" w:line="240" w:lineRule="auto"/>
        <w:ind w:left="0" w:right="0" w:firstLine="560" w:firstLineChars="200"/>
        <w:jc w:val="both"/>
        <w:textAlignment w:val="auto"/>
        <w:outlineLvl w:val="9"/>
        <w:rPr>
          <w:sz w:val="28"/>
          <w:szCs w:val="28"/>
        </w:rPr>
      </w:pPr>
      <w:r>
        <w:rPr>
          <w:sz w:val="28"/>
          <w:szCs w:val="28"/>
        </w:rPr>
        <w:t>十四、医疗卫生与计划生育（类）行政事业单位医疗（款） 行政单位医疗（项）：反映基本医疗保险缴费经费。</w:t>
      </w:r>
    </w:p>
    <w:sectPr>
      <w:pgSz w:w="11910" w:h="16840"/>
      <w:pgMar w:top="680" w:right="1134" w:bottom="680" w:left="1168"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120" w:hanging="360"/>
        <w:jc w:val="left"/>
      </w:pPr>
      <w:rPr>
        <w:rFonts w:hint="default" w:ascii="仿宋" w:hAnsi="仿宋" w:eastAsia="仿宋" w:cs="仿宋"/>
        <w:spacing w:val="0"/>
        <w:w w:val="100"/>
        <w:sz w:val="28"/>
        <w:szCs w:val="28"/>
        <w:lang w:val="zh-CN" w:eastAsia="zh-CN" w:bidi="zh-CN"/>
      </w:rPr>
    </w:lvl>
    <w:lvl w:ilvl="1" w:tentative="0">
      <w:start w:val="0"/>
      <w:numFmt w:val="bullet"/>
      <w:lvlText w:val="•"/>
      <w:lvlJc w:val="left"/>
      <w:pPr>
        <w:ind w:left="1210" w:hanging="360"/>
      </w:pPr>
      <w:rPr>
        <w:rFonts w:hint="default"/>
        <w:lang w:val="zh-CN" w:eastAsia="zh-CN" w:bidi="zh-CN"/>
      </w:rPr>
    </w:lvl>
    <w:lvl w:ilvl="2" w:tentative="0">
      <w:start w:val="0"/>
      <w:numFmt w:val="bullet"/>
      <w:lvlText w:val="•"/>
      <w:lvlJc w:val="left"/>
      <w:pPr>
        <w:ind w:left="2301" w:hanging="360"/>
      </w:pPr>
      <w:rPr>
        <w:rFonts w:hint="default"/>
        <w:lang w:val="zh-CN" w:eastAsia="zh-CN" w:bidi="zh-CN"/>
      </w:rPr>
    </w:lvl>
    <w:lvl w:ilvl="3" w:tentative="0">
      <w:start w:val="0"/>
      <w:numFmt w:val="bullet"/>
      <w:lvlText w:val="•"/>
      <w:lvlJc w:val="left"/>
      <w:pPr>
        <w:ind w:left="339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573" w:hanging="360"/>
      </w:pPr>
      <w:rPr>
        <w:rFonts w:hint="default"/>
        <w:lang w:val="zh-CN" w:eastAsia="zh-CN" w:bidi="zh-CN"/>
      </w:rPr>
    </w:lvl>
    <w:lvl w:ilvl="6" w:tentative="0">
      <w:start w:val="0"/>
      <w:numFmt w:val="bullet"/>
      <w:lvlText w:val="•"/>
      <w:lvlJc w:val="left"/>
      <w:pPr>
        <w:ind w:left="6663" w:hanging="360"/>
      </w:pPr>
      <w:rPr>
        <w:rFonts w:hint="default"/>
        <w:lang w:val="zh-CN" w:eastAsia="zh-CN" w:bidi="zh-CN"/>
      </w:rPr>
    </w:lvl>
    <w:lvl w:ilvl="7" w:tentative="0">
      <w:start w:val="0"/>
      <w:numFmt w:val="bullet"/>
      <w:lvlText w:val="•"/>
      <w:lvlJc w:val="left"/>
      <w:pPr>
        <w:ind w:left="7754" w:hanging="360"/>
      </w:pPr>
      <w:rPr>
        <w:rFonts w:hint="default"/>
        <w:lang w:val="zh-CN" w:eastAsia="zh-CN" w:bidi="zh-CN"/>
      </w:rPr>
    </w:lvl>
    <w:lvl w:ilvl="8" w:tentative="0">
      <w:start w:val="0"/>
      <w:numFmt w:val="bullet"/>
      <w:lvlText w:val="•"/>
      <w:lvlJc w:val="left"/>
      <w:pPr>
        <w:ind w:left="8845" w:hanging="360"/>
      </w:pPr>
      <w:rPr>
        <w:rFonts w:hint="default"/>
        <w:lang w:val="zh-CN" w:eastAsia="zh-CN" w:bidi="zh-CN"/>
      </w:rPr>
    </w:lvl>
  </w:abstractNum>
  <w:abstractNum w:abstractNumId="1">
    <w:nsid w:val="F38C7716"/>
    <w:multiLevelType w:val="singleLevel"/>
    <w:tmpl w:val="F38C7716"/>
    <w:lvl w:ilvl="0" w:tentative="0">
      <w:start w:val="7"/>
      <w:numFmt w:val="chineseCounting"/>
      <w:suff w:val="nothing"/>
      <w:lvlText w:val="%1、"/>
      <w:lvlJc w:val="left"/>
      <w:rPr>
        <w:rFonts w:hint="eastAsia"/>
      </w:rPr>
    </w:lvl>
  </w:abstractNum>
  <w:abstractNum w:abstractNumId="2">
    <w:nsid w:val="0053208E"/>
    <w:multiLevelType w:val="multilevel"/>
    <w:tmpl w:val="0053208E"/>
    <w:lvl w:ilvl="0" w:tentative="0">
      <w:start w:val="1"/>
      <w:numFmt w:val="decimal"/>
      <w:lvlText w:val="%1."/>
      <w:lvlJc w:val="left"/>
      <w:pPr>
        <w:ind w:left="1051" w:hanging="360"/>
        <w:jc w:val="left"/>
      </w:pPr>
      <w:rPr>
        <w:rFonts w:hint="default" w:ascii="仿宋" w:hAnsi="仿宋" w:eastAsia="仿宋" w:cs="仿宋"/>
        <w:spacing w:val="0"/>
        <w:w w:val="100"/>
        <w:sz w:val="28"/>
        <w:szCs w:val="28"/>
        <w:lang w:val="zh-CN" w:eastAsia="zh-CN" w:bidi="zh-CN"/>
      </w:rPr>
    </w:lvl>
    <w:lvl w:ilvl="1" w:tentative="0">
      <w:start w:val="0"/>
      <w:numFmt w:val="bullet"/>
      <w:lvlText w:val="•"/>
      <w:lvlJc w:val="left"/>
      <w:pPr>
        <w:ind w:left="2056" w:hanging="360"/>
      </w:pPr>
      <w:rPr>
        <w:rFonts w:hint="default"/>
        <w:lang w:val="zh-CN" w:eastAsia="zh-CN" w:bidi="zh-CN"/>
      </w:rPr>
    </w:lvl>
    <w:lvl w:ilvl="2" w:tentative="0">
      <w:start w:val="0"/>
      <w:numFmt w:val="bullet"/>
      <w:lvlText w:val="•"/>
      <w:lvlJc w:val="left"/>
      <w:pPr>
        <w:ind w:left="3053" w:hanging="360"/>
      </w:pPr>
      <w:rPr>
        <w:rFonts w:hint="default"/>
        <w:lang w:val="zh-CN" w:eastAsia="zh-CN" w:bidi="zh-CN"/>
      </w:rPr>
    </w:lvl>
    <w:lvl w:ilvl="3" w:tentative="0">
      <w:start w:val="0"/>
      <w:numFmt w:val="bullet"/>
      <w:lvlText w:val="•"/>
      <w:lvlJc w:val="left"/>
      <w:pPr>
        <w:ind w:left="4049" w:hanging="360"/>
      </w:pPr>
      <w:rPr>
        <w:rFonts w:hint="default"/>
        <w:lang w:val="zh-CN" w:eastAsia="zh-CN" w:bidi="zh-CN"/>
      </w:rPr>
    </w:lvl>
    <w:lvl w:ilvl="4" w:tentative="0">
      <w:start w:val="0"/>
      <w:numFmt w:val="bullet"/>
      <w:lvlText w:val="•"/>
      <w:lvlJc w:val="left"/>
      <w:pPr>
        <w:ind w:left="5046" w:hanging="360"/>
      </w:pPr>
      <w:rPr>
        <w:rFonts w:hint="default"/>
        <w:lang w:val="zh-CN" w:eastAsia="zh-CN" w:bidi="zh-CN"/>
      </w:rPr>
    </w:lvl>
    <w:lvl w:ilvl="5" w:tentative="0">
      <w:start w:val="0"/>
      <w:numFmt w:val="bullet"/>
      <w:lvlText w:val="•"/>
      <w:lvlJc w:val="left"/>
      <w:pPr>
        <w:ind w:left="6043" w:hanging="360"/>
      </w:pPr>
      <w:rPr>
        <w:rFonts w:hint="default"/>
        <w:lang w:val="zh-CN" w:eastAsia="zh-CN" w:bidi="zh-CN"/>
      </w:rPr>
    </w:lvl>
    <w:lvl w:ilvl="6" w:tentative="0">
      <w:start w:val="0"/>
      <w:numFmt w:val="bullet"/>
      <w:lvlText w:val="•"/>
      <w:lvlJc w:val="left"/>
      <w:pPr>
        <w:ind w:left="7039" w:hanging="360"/>
      </w:pPr>
      <w:rPr>
        <w:rFonts w:hint="default"/>
        <w:lang w:val="zh-CN" w:eastAsia="zh-CN" w:bidi="zh-CN"/>
      </w:rPr>
    </w:lvl>
    <w:lvl w:ilvl="7" w:tentative="0">
      <w:start w:val="0"/>
      <w:numFmt w:val="bullet"/>
      <w:lvlText w:val="•"/>
      <w:lvlJc w:val="left"/>
      <w:pPr>
        <w:ind w:left="8036" w:hanging="360"/>
      </w:pPr>
      <w:rPr>
        <w:rFonts w:hint="default"/>
        <w:lang w:val="zh-CN" w:eastAsia="zh-CN" w:bidi="zh-CN"/>
      </w:rPr>
    </w:lvl>
    <w:lvl w:ilvl="8" w:tentative="0">
      <w:start w:val="0"/>
      <w:numFmt w:val="bullet"/>
      <w:lvlText w:val="•"/>
      <w:lvlJc w:val="left"/>
      <w:pPr>
        <w:ind w:left="9033" w:hanging="360"/>
      </w:pPr>
      <w:rPr>
        <w:rFonts w:hint="default"/>
        <w:lang w:val="zh-CN" w:eastAsia="zh-CN" w:bidi="zh-CN"/>
      </w:rPr>
    </w:lvl>
  </w:abstractNum>
  <w:abstractNum w:abstractNumId="3">
    <w:nsid w:val="59ADCABA"/>
    <w:multiLevelType w:val="multilevel"/>
    <w:tmpl w:val="59ADCABA"/>
    <w:lvl w:ilvl="0" w:tentative="0">
      <w:start w:val="2"/>
      <w:numFmt w:val="decimal"/>
      <w:lvlText w:val="%1."/>
      <w:lvlJc w:val="left"/>
      <w:pPr>
        <w:ind w:left="974" w:hanging="283"/>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1984" w:hanging="283"/>
      </w:pPr>
      <w:rPr>
        <w:rFonts w:hint="default"/>
        <w:lang w:val="zh-CN" w:eastAsia="zh-CN" w:bidi="zh-CN"/>
      </w:rPr>
    </w:lvl>
    <w:lvl w:ilvl="2" w:tentative="0">
      <w:start w:val="0"/>
      <w:numFmt w:val="bullet"/>
      <w:lvlText w:val="•"/>
      <w:lvlJc w:val="left"/>
      <w:pPr>
        <w:ind w:left="2989" w:hanging="283"/>
      </w:pPr>
      <w:rPr>
        <w:rFonts w:hint="default"/>
        <w:lang w:val="zh-CN" w:eastAsia="zh-CN" w:bidi="zh-CN"/>
      </w:rPr>
    </w:lvl>
    <w:lvl w:ilvl="3" w:tentative="0">
      <w:start w:val="0"/>
      <w:numFmt w:val="bullet"/>
      <w:lvlText w:val="•"/>
      <w:lvlJc w:val="left"/>
      <w:pPr>
        <w:ind w:left="3993" w:hanging="283"/>
      </w:pPr>
      <w:rPr>
        <w:rFonts w:hint="default"/>
        <w:lang w:val="zh-CN" w:eastAsia="zh-CN" w:bidi="zh-CN"/>
      </w:rPr>
    </w:lvl>
    <w:lvl w:ilvl="4" w:tentative="0">
      <w:start w:val="0"/>
      <w:numFmt w:val="bullet"/>
      <w:lvlText w:val="•"/>
      <w:lvlJc w:val="left"/>
      <w:pPr>
        <w:ind w:left="4998" w:hanging="283"/>
      </w:pPr>
      <w:rPr>
        <w:rFonts w:hint="default"/>
        <w:lang w:val="zh-CN" w:eastAsia="zh-CN" w:bidi="zh-CN"/>
      </w:rPr>
    </w:lvl>
    <w:lvl w:ilvl="5" w:tentative="0">
      <w:start w:val="0"/>
      <w:numFmt w:val="bullet"/>
      <w:lvlText w:val="•"/>
      <w:lvlJc w:val="left"/>
      <w:pPr>
        <w:ind w:left="6003" w:hanging="283"/>
      </w:pPr>
      <w:rPr>
        <w:rFonts w:hint="default"/>
        <w:lang w:val="zh-CN" w:eastAsia="zh-CN" w:bidi="zh-CN"/>
      </w:rPr>
    </w:lvl>
    <w:lvl w:ilvl="6" w:tentative="0">
      <w:start w:val="0"/>
      <w:numFmt w:val="bullet"/>
      <w:lvlText w:val="•"/>
      <w:lvlJc w:val="left"/>
      <w:pPr>
        <w:ind w:left="7007" w:hanging="283"/>
      </w:pPr>
      <w:rPr>
        <w:rFonts w:hint="default"/>
        <w:lang w:val="zh-CN" w:eastAsia="zh-CN" w:bidi="zh-CN"/>
      </w:rPr>
    </w:lvl>
    <w:lvl w:ilvl="7" w:tentative="0">
      <w:start w:val="0"/>
      <w:numFmt w:val="bullet"/>
      <w:lvlText w:val="•"/>
      <w:lvlJc w:val="left"/>
      <w:pPr>
        <w:ind w:left="8012" w:hanging="283"/>
      </w:pPr>
      <w:rPr>
        <w:rFonts w:hint="default"/>
        <w:lang w:val="zh-CN" w:eastAsia="zh-CN" w:bidi="zh-CN"/>
      </w:rPr>
    </w:lvl>
    <w:lvl w:ilvl="8" w:tentative="0">
      <w:start w:val="0"/>
      <w:numFmt w:val="bullet"/>
      <w:lvlText w:val="•"/>
      <w:lvlJc w:val="left"/>
      <w:pPr>
        <w:ind w:left="9017" w:hanging="283"/>
      </w:pPr>
      <w:rPr>
        <w:rFonts w:hint="default"/>
        <w:lang w:val="zh-CN" w:eastAsia="zh-CN" w:bidi="zh-C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2FA40C5"/>
    <w:rsid w:val="053C0463"/>
    <w:rsid w:val="076C7792"/>
    <w:rsid w:val="07774971"/>
    <w:rsid w:val="09E02BB6"/>
    <w:rsid w:val="0A6E40A6"/>
    <w:rsid w:val="0B5A2D54"/>
    <w:rsid w:val="0B8953A3"/>
    <w:rsid w:val="0B9674A1"/>
    <w:rsid w:val="0C0B371D"/>
    <w:rsid w:val="0D3A405E"/>
    <w:rsid w:val="0DE23A20"/>
    <w:rsid w:val="0F13416E"/>
    <w:rsid w:val="0F8E526C"/>
    <w:rsid w:val="0FF82955"/>
    <w:rsid w:val="102E6B21"/>
    <w:rsid w:val="12834A56"/>
    <w:rsid w:val="14C44846"/>
    <w:rsid w:val="14D90592"/>
    <w:rsid w:val="159F50AA"/>
    <w:rsid w:val="16136A08"/>
    <w:rsid w:val="17E54DC5"/>
    <w:rsid w:val="1B1006D6"/>
    <w:rsid w:val="1CC269AC"/>
    <w:rsid w:val="1F3C7546"/>
    <w:rsid w:val="22AA7F22"/>
    <w:rsid w:val="242D4EB8"/>
    <w:rsid w:val="25BF6267"/>
    <w:rsid w:val="266E4420"/>
    <w:rsid w:val="2A7F26B5"/>
    <w:rsid w:val="2B625641"/>
    <w:rsid w:val="2C404FFC"/>
    <w:rsid w:val="2CDC217F"/>
    <w:rsid w:val="2E47559B"/>
    <w:rsid w:val="2F3419A4"/>
    <w:rsid w:val="2F682FEA"/>
    <w:rsid w:val="2F7A4072"/>
    <w:rsid w:val="2F862FD9"/>
    <w:rsid w:val="322F407F"/>
    <w:rsid w:val="32CC3802"/>
    <w:rsid w:val="354E7AFA"/>
    <w:rsid w:val="35D1480E"/>
    <w:rsid w:val="36051BF0"/>
    <w:rsid w:val="37D80BA7"/>
    <w:rsid w:val="37E12EA1"/>
    <w:rsid w:val="384B0E75"/>
    <w:rsid w:val="3AA72063"/>
    <w:rsid w:val="3ACD7034"/>
    <w:rsid w:val="3BAC5959"/>
    <w:rsid w:val="3D954140"/>
    <w:rsid w:val="3E796E10"/>
    <w:rsid w:val="3F827B83"/>
    <w:rsid w:val="3F952DFF"/>
    <w:rsid w:val="40F114EC"/>
    <w:rsid w:val="41087E1E"/>
    <w:rsid w:val="418A72A7"/>
    <w:rsid w:val="429E1EAE"/>
    <w:rsid w:val="42CC0315"/>
    <w:rsid w:val="435D0321"/>
    <w:rsid w:val="443373FE"/>
    <w:rsid w:val="44CD33A9"/>
    <w:rsid w:val="45B027DD"/>
    <w:rsid w:val="479A4A78"/>
    <w:rsid w:val="48573A23"/>
    <w:rsid w:val="49281197"/>
    <w:rsid w:val="4A922E45"/>
    <w:rsid w:val="4AE24A86"/>
    <w:rsid w:val="4C0E54F2"/>
    <w:rsid w:val="4CAA1785"/>
    <w:rsid w:val="4E2E151B"/>
    <w:rsid w:val="4E671F9D"/>
    <w:rsid w:val="4EFB0EB8"/>
    <w:rsid w:val="4FF83666"/>
    <w:rsid w:val="503E787E"/>
    <w:rsid w:val="51F670F5"/>
    <w:rsid w:val="52313039"/>
    <w:rsid w:val="527E1306"/>
    <w:rsid w:val="5356185A"/>
    <w:rsid w:val="53741D3F"/>
    <w:rsid w:val="54337095"/>
    <w:rsid w:val="550D2F05"/>
    <w:rsid w:val="550D6F95"/>
    <w:rsid w:val="580C464C"/>
    <w:rsid w:val="5A690749"/>
    <w:rsid w:val="5AB43671"/>
    <w:rsid w:val="5AE616A4"/>
    <w:rsid w:val="5BEB3164"/>
    <w:rsid w:val="5D3039B4"/>
    <w:rsid w:val="5D7B1F59"/>
    <w:rsid w:val="5E235A22"/>
    <w:rsid w:val="5E253F7B"/>
    <w:rsid w:val="5E554F60"/>
    <w:rsid w:val="5F05317C"/>
    <w:rsid w:val="5F40650E"/>
    <w:rsid w:val="61A53D98"/>
    <w:rsid w:val="623A046C"/>
    <w:rsid w:val="62D17DDA"/>
    <w:rsid w:val="637C173B"/>
    <w:rsid w:val="63946571"/>
    <w:rsid w:val="64E60467"/>
    <w:rsid w:val="657678DF"/>
    <w:rsid w:val="665A406F"/>
    <w:rsid w:val="66C420B7"/>
    <w:rsid w:val="68D75417"/>
    <w:rsid w:val="6E64768C"/>
    <w:rsid w:val="6EEC5106"/>
    <w:rsid w:val="6F1E1EC9"/>
    <w:rsid w:val="712F64AE"/>
    <w:rsid w:val="71362357"/>
    <w:rsid w:val="71E55547"/>
    <w:rsid w:val="72C01B72"/>
    <w:rsid w:val="731B3FED"/>
    <w:rsid w:val="7446543E"/>
    <w:rsid w:val="74A61AFD"/>
    <w:rsid w:val="75FB1A14"/>
    <w:rsid w:val="77104FDA"/>
    <w:rsid w:val="776A3AA8"/>
    <w:rsid w:val="78A16EE0"/>
    <w:rsid w:val="78D93737"/>
    <w:rsid w:val="79071B37"/>
    <w:rsid w:val="7B342D8C"/>
    <w:rsid w:val="7C72434F"/>
    <w:rsid w:val="7F1E4E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25"/>
      <w:outlineLvl w:val="1"/>
    </w:pPr>
    <w:rPr>
      <w:rFonts w:ascii="仿宋" w:hAnsi="仿宋" w:eastAsia="仿宋" w:cs="仿宋"/>
      <w:b/>
      <w:bCs/>
      <w:sz w:val="44"/>
      <w:szCs w:val="44"/>
      <w:lang w:val="zh-CN" w:eastAsia="zh-CN" w:bidi="zh-CN"/>
    </w:rPr>
  </w:style>
  <w:style w:type="paragraph" w:styleId="3">
    <w:name w:val="heading 2"/>
    <w:basedOn w:val="1"/>
    <w:next w:val="1"/>
    <w:qFormat/>
    <w:uiPriority w:val="1"/>
    <w:pPr>
      <w:outlineLvl w:val="2"/>
    </w:pPr>
    <w:rPr>
      <w:rFonts w:ascii="仿宋" w:hAnsi="仿宋" w:eastAsia="仿宋" w:cs="仿宋"/>
      <w:b/>
      <w:bCs/>
      <w:sz w:val="32"/>
      <w:szCs w:val="32"/>
      <w:lang w:val="zh-CN" w:eastAsia="zh-CN" w:bidi="zh-CN"/>
    </w:rPr>
  </w:style>
  <w:style w:type="paragraph" w:styleId="4">
    <w:name w:val="heading 3"/>
    <w:basedOn w:val="1"/>
    <w:next w:val="1"/>
    <w:qFormat/>
    <w:uiPriority w:val="1"/>
    <w:pPr>
      <w:ind w:left="120" w:right="545" w:firstLine="600"/>
      <w:outlineLvl w:val="3"/>
    </w:pPr>
    <w:rPr>
      <w:rFonts w:ascii="仿宋" w:hAnsi="仿宋" w:eastAsia="仿宋" w:cs="仿宋"/>
      <w:sz w:val="32"/>
      <w:szCs w:val="32"/>
      <w:lang w:val="zh-CN" w:eastAsia="zh-CN" w:bidi="zh-CN"/>
    </w:rPr>
  </w:style>
  <w:style w:type="paragraph" w:styleId="5">
    <w:name w:val="heading 4"/>
    <w:basedOn w:val="1"/>
    <w:next w:val="1"/>
    <w:qFormat/>
    <w:uiPriority w:val="1"/>
    <w:pPr>
      <w:spacing w:before="32"/>
      <w:outlineLvl w:val="4"/>
    </w:pPr>
    <w:rPr>
      <w:rFonts w:ascii="宋体" w:hAnsi="宋体" w:eastAsia="宋体" w:cs="宋体"/>
      <w:b/>
      <w:bCs/>
      <w:sz w:val="30"/>
      <w:szCs w:val="30"/>
      <w:lang w:val="zh-CN" w:eastAsia="zh-CN" w:bidi="zh-CN"/>
    </w:rPr>
  </w:style>
  <w:style w:type="paragraph" w:styleId="6">
    <w:name w:val="heading 5"/>
    <w:basedOn w:val="1"/>
    <w:next w:val="1"/>
    <w:qFormat/>
    <w:uiPriority w:val="1"/>
    <w:pPr>
      <w:ind w:left="682"/>
      <w:outlineLvl w:val="5"/>
    </w:pPr>
    <w:rPr>
      <w:rFonts w:ascii="仿宋" w:hAnsi="仿宋" w:eastAsia="仿宋" w:cs="仿宋"/>
      <w:b/>
      <w:bCs/>
      <w:sz w:val="28"/>
      <w:szCs w:val="28"/>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7">
    <w:name w:val="Body Text"/>
    <w:basedOn w:val="1"/>
    <w:qFormat/>
    <w:uiPriority w:val="1"/>
    <w:rPr>
      <w:rFonts w:ascii="仿宋" w:hAnsi="仿宋" w:eastAsia="仿宋" w:cs="仿宋"/>
      <w:sz w:val="28"/>
      <w:szCs w:val="28"/>
      <w:lang w:val="zh-CN" w:eastAsia="zh-CN" w:bidi="zh-C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spacing w:before="205"/>
      <w:ind w:left="1051" w:hanging="361"/>
    </w:pPr>
    <w:rPr>
      <w:rFonts w:ascii="仿宋" w:hAnsi="仿宋" w:eastAsia="仿宋" w:cs="仿宋"/>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character" w:customStyle="1" w:styleId="15">
    <w:name w:val="font31"/>
    <w:basedOn w:val="11"/>
    <w:qFormat/>
    <w:uiPriority w:val="0"/>
    <w:rPr>
      <w:rFonts w:ascii="Arial" w:hAnsi="Arial" w:cs="Arial"/>
      <w:color w:val="000000"/>
      <w:sz w:val="16"/>
      <w:szCs w:val="16"/>
      <w:u w:val="none"/>
    </w:rPr>
  </w:style>
  <w:style w:type="character" w:customStyle="1" w:styleId="16">
    <w:name w:val="font51"/>
    <w:basedOn w:val="11"/>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286"/>
    <customShpInfo spid="_x0000_s1287"/>
    <customShpInfo spid="_x0000_s1288"/>
    <customShpInfo spid="_x0000_s1285"/>
    <customShpInfo spid="_x0000_s1290"/>
    <customShpInfo spid="_x0000_s1291"/>
    <customShpInfo spid="_x0000_s1292"/>
    <customShpInfo spid="_x0000_s1289"/>
    <customShpInfo spid="_x0000_s1294"/>
    <customShpInfo spid="_x0000_s1295"/>
    <customShpInfo spid="_x0000_s1296"/>
    <customShpInfo spid="_x0000_s1293"/>
    <customShpInfo spid="_x0000_s1298"/>
    <customShpInfo spid="_x0000_s1299"/>
    <customShpInfo spid="_x0000_s1300"/>
    <customShpInfo spid="_x0000_s1297"/>
    <customShpInfo spid="_x0000_s1302"/>
    <customShpInfo spid="_x0000_s1303"/>
    <customShpInfo spid="_x0000_s1304"/>
    <customShpInfo spid="_x0000_s1301"/>
    <customShpInfo spid="_x0000_s1306"/>
    <customShpInfo spid="_x0000_s1307"/>
    <customShpInfo spid="_x0000_s1308"/>
    <customShpInfo spid="_x0000_s1305"/>
    <customShpInfo spid="_x0000_s1310"/>
    <customShpInfo spid="_x0000_s1311"/>
    <customShpInfo spid="_x0000_s1312"/>
    <customShpInfo spid="_x0000_s1309"/>
    <customShpInfo spid="_x0000_s1314"/>
    <customShpInfo spid="_x0000_s1315"/>
    <customShpInfo spid="_x0000_s1316"/>
    <customShpInfo spid="_x0000_s1313"/>
    <customShpInfo spid="_x0000_s1318"/>
    <customShpInfo spid="_x0000_s1319"/>
    <customShpInfo spid="_x0000_s1320"/>
    <customShpInfo spid="_x0000_s1317"/>
    <customShpInfo spid="_x0000_s1322"/>
    <customShpInfo spid="_x0000_s1323"/>
    <customShpInfo spid="_x0000_s1324"/>
    <customShpInfo spid="_x0000_s1321"/>
    <customShpInfo spid="_x0000_s1326"/>
    <customShpInfo spid="_x0000_s1327"/>
    <customShpInfo spid="_x0000_s1328"/>
    <customShpInfo spid="_x0000_s1325"/>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2020-01-16T06:32:00Z</dcterms:created>
  <dc:creator>Administrator</dc:creator>
  <cp:lastModifiedBy>流年</cp:lastModifiedBy>
  <dcterms:modified xsi:type="dcterms:W3CDTF">2020-01-20T05:23:09Z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Word 2010</vt:lpwstr>
  </property>
  <property fmtid="{D5CDD505-2E9C-101B-9397-08002B2CF9AE}" pid="4" name="LastSaved">
    <vt:filetime>2020-01-16T00:00:00Z</vt:filetime>
  </property>
  <property fmtid="{D5CDD505-2E9C-101B-9397-08002B2CF9AE}" pid="5" name="KSOProductBuildVer">
    <vt:lpwstr>2052-11.1.0.9339</vt:lpwstr>
  </property>
</Properties>
</file>