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新疆人大杂志社2020年部门预算公开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500" w:lineRule="exact"/>
        <w:ind w:firstLine="883" w:firstLineChars="200"/>
        <w:outlineLvl w:val="1"/>
        <w:rPr>
          <w:rFonts w:ascii="宋体" w:hAnsi="宋体"/>
          <w:b/>
          <w:kern w:val="0"/>
          <w:sz w:val="44"/>
          <w:szCs w:val="44"/>
        </w:rPr>
      </w:pP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新疆人大杂志社概况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2020年部门预算公开表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2020年部门预算情况说明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一、关于新疆人大杂志社2020年收支预算情况的总体说明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二、关于新疆人大杂志社2020年收入预算情况说明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三、关于新疆人大杂志社2020年支出预算情况说明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新疆人大杂志社2020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五、关于新疆人大杂志社2020年一般公共预算当年拨款情况说明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六、关于新疆人大杂志社2020年一般公共预算基本支出情况说明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七、关于新疆人大杂志社2020年项目支出情况说明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八、关于新疆人大杂志社2020年一般公共预算“三公”经费预算情况说明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九、关于新疆人大杂志社2020年政府性基金预算拨款情况说明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新疆人大杂志社概况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0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新疆人大》杂志是自治区人大常委会主管主办的新闻性月刊，面向全国公开发行。负责编辑、出版、发行《新疆人大》维吾尔、汉、哈萨克三种文版的刊物，主要任务是宣传人民代表大会制度、宣传民主法制建设、宣传人大代表事迹、宣传人大工作，为推进全区人大工作发挥舆论引导作用。主要职责：负责《新疆人大》杂志的组稿、采写稿件等工作，保质保量地按时编辑、出版《新疆人大》维吾尔、汉、哈萨克三种文版；负责《新疆人大》维吾尔、汉、哈萨克三种文版的征订、发行工作；负责编委会会议、杂志宣传工作座谈会的会务工作；负责《新疆人大》杂志通讯队伍建设工作；并为机关工作提供图片资料；完成常委会领导交办的其他事项。</w:t>
      </w:r>
    </w:p>
    <w:p>
      <w:pPr>
        <w:widowControl/>
        <w:numPr>
          <w:ilvl w:val="0"/>
          <w:numId w:val="1"/>
        </w:numPr>
        <w:spacing w:line="560" w:lineRule="exact"/>
        <w:jc w:val="left"/>
        <w:rPr>
          <w:rFonts w:ascii="黑体" w:hAnsi="黑体" w:eastAsia="黑体" w:cs="宋体"/>
          <w:bCs/>
          <w:kern w:val="0"/>
          <w:sz w:val="32"/>
          <w:szCs w:val="32"/>
        </w:rPr>
      </w:pPr>
      <w:r>
        <w:rPr>
          <w:rFonts w:hint="eastAsia" w:ascii="黑体" w:hAnsi="黑体" w:eastAsia="黑体" w:cs="宋体"/>
          <w:bCs/>
          <w:kern w:val="0"/>
          <w:sz w:val="32"/>
          <w:szCs w:val="32"/>
        </w:rPr>
        <w:t>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新疆人大杂志社无下属预算单位，下设3个处室，分别是：</w:t>
      </w:r>
      <w:r>
        <w:rPr>
          <w:rFonts w:hint="eastAsia" w:ascii="仿宋_GB2312" w:hAnsi="宋体" w:eastAsia="仿宋_GB2312" w:cs="宋体"/>
          <w:kern w:val="0"/>
          <w:sz w:val="32"/>
          <w:szCs w:val="32"/>
        </w:rPr>
        <w:t>中文编辑部、维哈编辑部、办公室。</w:t>
      </w:r>
    </w:p>
    <w:p>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杂志社全额编制</w:t>
      </w:r>
      <w:r>
        <w:rPr>
          <w:rFonts w:ascii="仿宋_GB2312" w:hAnsi="宋体" w:eastAsia="仿宋_GB2312" w:cs="宋体"/>
          <w:kern w:val="0"/>
          <w:sz w:val="32"/>
          <w:szCs w:val="32"/>
        </w:rPr>
        <w:t>25</w:t>
      </w:r>
      <w:r>
        <w:rPr>
          <w:rFonts w:hint="eastAsia" w:ascii="仿宋_GB2312" w:hAnsi="宋体" w:eastAsia="仿宋_GB2312" w:cs="宋体"/>
          <w:kern w:val="0"/>
          <w:sz w:val="32"/>
          <w:szCs w:val="32"/>
        </w:rPr>
        <w:t>人，未统发工资人数</w:t>
      </w:r>
      <w:r>
        <w:rPr>
          <w:rFonts w:ascii="仿宋_GB2312" w:hAnsi="宋体" w:eastAsia="仿宋_GB2312" w:cs="宋体"/>
          <w:kern w:val="0"/>
          <w:sz w:val="32"/>
          <w:szCs w:val="32"/>
        </w:rPr>
        <w:t>1</w:t>
      </w:r>
      <w:r>
        <w:rPr>
          <w:rFonts w:hint="eastAsia" w:ascii="仿宋_GB2312" w:hAnsi="宋体" w:eastAsia="仿宋_GB2312" w:cs="宋体"/>
          <w:kern w:val="0"/>
          <w:sz w:val="32"/>
          <w:szCs w:val="32"/>
        </w:rPr>
        <w:t>5人</w:t>
      </w:r>
      <w:r>
        <w:rPr>
          <w:rFonts w:ascii="仿宋_GB2312" w:hAnsi="宋体" w:eastAsia="仿宋_GB2312" w:cs="宋体"/>
          <w:kern w:val="0"/>
          <w:sz w:val="32"/>
          <w:szCs w:val="32"/>
        </w:rPr>
        <w:t>,</w:t>
      </w:r>
      <w:r>
        <w:rPr>
          <w:rFonts w:hint="eastAsia" w:ascii="仿宋_GB2312" w:hAnsi="宋体" w:eastAsia="仿宋_GB2312" w:cs="宋体"/>
          <w:kern w:val="0"/>
          <w:sz w:val="32"/>
          <w:szCs w:val="32"/>
        </w:rPr>
        <w:t>与年相比减少3人。长期聘用人员</w:t>
      </w:r>
      <w:r>
        <w:rPr>
          <w:rFonts w:ascii="仿宋_GB2312" w:hAnsi="宋体" w:eastAsia="仿宋_GB2312" w:cs="宋体"/>
          <w:kern w:val="0"/>
          <w:sz w:val="32"/>
          <w:szCs w:val="32"/>
        </w:rPr>
        <w:t>4</w:t>
      </w:r>
      <w:r>
        <w:rPr>
          <w:rFonts w:hint="eastAsia" w:ascii="仿宋_GB2312" w:hAnsi="宋体" w:eastAsia="仿宋_GB2312" w:cs="宋体"/>
          <w:kern w:val="0"/>
          <w:sz w:val="32"/>
          <w:szCs w:val="32"/>
        </w:rPr>
        <w:t>人，特聘专家</w:t>
      </w:r>
      <w:r>
        <w:rPr>
          <w:rFonts w:ascii="仿宋_GB2312" w:hAnsi="宋体" w:eastAsia="仿宋_GB2312" w:cs="宋体"/>
          <w:kern w:val="0"/>
          <w:sz w:val="32"/>
          <w:szCs w:val="32"/>
        </w:rPr>
        <w:t>2</w:t>
      </w:r>
      <w:r>
        <w:rPr>
          <w:rFonts w:hint="eastAsia" w:ascii="仿宋_GB2312" w:hAnsi="宋体" w:eastAsia="仿宋_GB2312" w:cs="宋体"/>
          <w:kern w:val="0"/>
          <w:sz w:val="32"/>
          <w:szCs w:val="32"/>
        </w:rPr>
        <w:t>人。</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编制部门：新疆人大杂志社                                     单位：万元</w:t>
      </w:r>
    </w:p>
    <w:tbl>
      <w:tblPr>
        <w:tblStyle w:val="7"/>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790.16</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785.16</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726.29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29.65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19.18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790.16</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790.16</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790.16</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填报部门：新疆人大杂志社                                                 </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单位：万元</w:t>
      </w:r>
    </w:p>
    <w:tbl>
      <w:tblPr>
        <w:tblStyle w:val="7"/>
        <w:tblW w:w="9654" w:type="dxa"/>
        <w:tblInd w:w="-45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50"/>
        <w:gridCol w:w="439"/>
        <w:gridCol w:w="439"/>
        <w:gridCol w:w="1812"/>
        <w:gridCol w:w="828"/>
        <w:gridCol w:w="828"/>
        <w:gridCol w:w="680"/>
        <w:gridCol w:w="680"/>
        <w:gridCol w:w="680"/>
        <w:gridCol w:w="680"/>
        <w:gridCol w:w="680"/>
        <w:gridCol w:w="680"/>
        <w:gridCol w:w="6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42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1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82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0"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1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207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06　</w:t>
            </w:r>
          </w:p>
        </w:tc>
        <w:tc>
          <w:tcPr>
            <w:tcW w:w="43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81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hAnsi="宋体" w:eastAsia="仿宋_GB2312" w:cs="宋体"/>
                <w:bCs/>
                <w:kern w:val="0"/>
                <w:sz w:val="20"/>
                <w:szCs w:val="20"/>
              </w:rPr>
              <w:t>出版发行</w:t>
            </w:r>
          </w:p>
        </w:tc>
        <w:tc>
          <w:tcPr>
            <w:tcW w:w="828"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726.29　</w:t>
            </w:r>
          </w:p>
        </w:tc>
        <w:tc>
          <w:tcPr>
            <w:tcW w:w="828"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721.29　</w:t>
            </w:r>
          </w:p>
        </w:tc>
        <w:tc>
          <w:tcPr>
            <w:tcW w:w="680"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5</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81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bCs/>
                <w:kern w:val="0"/>
                <w:sz w:val="20"/>
                <w:szCs w:val="20"/>
              </w:rPr>
              <w:t>机关事业单位基本养老保险缴费支出</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20.06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20.06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06　</w:t>
            </w:r>
          </w:p>
        </w:tc>
        <w:tc>
          <w:tcPr>
            <w:tcW w:w="181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bCs/>
                <w:kern w:val="0"/>
                <w:sz w:val="20"/>
                <w:szCs w:val="20"/>
              </w:rPr>
              <w:t>机关事业单位职业年金缴费支出</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9.59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9.59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81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职工基本医疗保险缴费</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10.79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10.79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81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bCs/>
                <w:kern w:val="0"/>
                <w:sz w:val="20"/>
                <w:szCs w:val="20"/>
              </w:rPr>
              <w:t>公务员医疗补助</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8.39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8.39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1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住房公积金</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15.04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15.04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1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1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1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1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1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790.16</w:t>
            </w:r>
          </w:p>
        </w:tc>
        <w:tc>
          <w:tcPr>
            <w:tcW w:w="82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785.16</w:t>
            </w: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5</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编制部门：新疆人大杂志社                                                    单位：万元</w:t>
      </w:r>
    </w:p>
    <w:tbl>
      <w:tblPr>
        <w:tblStyle w:val="7"/>
        <w:tblW w:w="9420" w:type="dxa"/>
        <w:tblInd w:w="-2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50"/>
        <w:gridCol w:w="439"/>
        <w:gridCol w:w="439"/>
        <w:gridCol w:w="2511"/>
        <w:gridCol w:w="1816"/>
        <w:gridCol w:w="1817"/>
        <w:gridCol w:w="18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939"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81"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2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11"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1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1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848"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51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4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207</w:t>
            </w:r>
          </w:p>
        </w:tc>
        <w:tc>
          <w:tcPr>
            <w:tcW w:w="439"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06</w:t>
            </w:r>
          </w:p>
        </w:tc>
        <w:tc>
          <w:tcPr>
            <w:tcW w:w="439"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05</w:t>
            </w:r>
          </w:p>
        </w:tc>
        <w:tc>
          <w:tcPr>
            <w:tcW w:w="2511"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出版发行　</w:t>
            </w:r>
          </w:p>
        </w:tc>
        <w:tc>
          <w:tcPr>
            <w:tcW w:w="1816"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　726.29</w:t>
            </w:r>
          </w:p>
        </w:tc>
        <w:tc>
          <w:tcPr>
            <w:tcW w:w="1817"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141.29　</w:t>
            </w:r>
          </w:p>
        </w:tc>
        <w:tc>
          <w:tcPr>
            <w:tcW w:w="1848" w:type="dxa"/>
            <w:tcBorders>
              <w:top w:val="nil"/>
              <w:left w:val="nil"/>
              <w:bottom w:val="single" w:color="auto" w:sz="4" w:space="0"/>
              <w:right w:val="single" w:color="auto" w:sz="4" w:space="0"/>
            </w:tcBorders>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　585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51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bCs/>
                <w:kern w:val="0"/>
                <w:sz w:val="20"/>
                <w:szCs w:val="20"/>
              </w:rPr>
              <w:t>机关事业单位基本养老保险缴费支出</w:t>
            </w:r>
          </w:p>
        </w:tc>
        <w:tc>
          <w:tcPr>
            <w:tcW w:w="181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20.06</w:t>
            </w:r>
          </w:p>
        </w:tc>
        <w:tc>
          <w:tcPr>
            <w:tcW w:w="1817"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20.06</w:t>
            </w: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06　</w:t>
            </w:r>
          </w:p>
        </w:tc>
        <w:tc>
          <w:tcPr>
            <w:tcW w:w="251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bCs/>
                <w:kern w:val="0"/>
                <w:sz w:val="20"/>
                <w:szCs w:val="20"/>
              </w:rPr>
              <w:t>机关事业单位职业年金缴费支出</w:t>
            </w:r>
          </w:p>
        </w:tc>
        <w:tc>
          <w:tcPr>
            <w:tcW w:w="181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9.59</w:t>
            </w:r>
          </w:p>
        </w:tc>
        <w:tc>
          <w:tcPr>
            <w:tcW w:w="1817"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9.59</w:t>
            </w: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51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职工基本医疗保险缴费</w:t>
            </w:r>
          </w:p>
        </w:tc>
        <w:tc>
          <w:tcPr>
            <w:tcW w:w="181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10.79</w:t>
            </w:r>
          </w:p>
        </w:tc>
        <w:tc>
          <w:tcPr>
            <w:tcW w:w="1817"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10.79</w:t>
            </w: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51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bCs/>
                <w:kern w:val="0"/>
                <w:sz w:val="20"/>
                <w:szCs w:val="20"/>
              </w:rPr>
              <w:t>公务员医疗补助</w:t>
            </w:r>
          </w:p>
        </w:tc>
        <w:tc>
          <w:tcPr>
            <w:tcW w:w="181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8.39</w:t>
            </w:r>
          </w:p>
        </w:tc>
        <w:tc>
          <w:tcPr>
            <w:tcW w:w="1817"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8.39</w:t>
            </w: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221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3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1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181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15.04</w:t>
            </w:r>
          </w:p>
        </w:tc>
        <w:tc>
          <w:tcPr>
            <w:tcW w:w="1817"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15.04</w:t>
            </w: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1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1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1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1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51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1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51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1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51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1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51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1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51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1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1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1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1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1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1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1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511"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1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51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790.16</w:t>
            </w:r>
          </w:p>
        </w:tc>
        <w:tc>
          <w:tcPr>
            <w:tcW w:w="181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205.16</w:t>
            </w:r>
          </w:p>
        </w:tc>
        <w:tc>
          <w:tcPr>
            <w:tcW w:w="184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585</w:t>
            </w:r>
          </w:p>
        </w:tc>
      </w:tr>
    </w:tbl>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编制部门：新疆人大杂志社                                          单位：万元</w:t>
      </w:r>
    </w:p>
    <w:tbl>
      <w:tblPr>
        <w:tblStyle w:val="7"/>
        <w:tblW w:w="9449" w:type="dxa"/>
        <w:tblInd w:w="-2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580"/>
        <w:gridCol w:w="1418"/>
        <w:gridCol w:w="1275"/>
        <w:gridCol w:w="13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790.16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790.16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726.29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726.29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29.65</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29.65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19.18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19.18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15.04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15.04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790.16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790.16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790.16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236"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8"/>
        <w:gridCol w:w="492"/>
        <w:gridCol w:w="439"/>
        <w:gridCol w:w="2510"/>
        <w:gridCol w:w="660"/>
        <w:gridCol w:w="1024"/>
        <w:gridCol w:w="216"/>
        <w:gridCol w:w="1626"/>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236"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09"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编制部门：新疆人大杂志社</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009"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99"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3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207</w:t>
            </w:r>
          </w:p>
        </w:tc>
        <w:tc>
          <w:tcPr>
            <w:tcW w:w="492" w:type="dxa"/>
            <w:tcBorders>
              <w:top w:val="nil"/>
              <w:left w:val="nil"/>
              <w:bottom w:val="single" w:color="auto" w:sz="4" w:space="0"/>
              <w:right w:val="single" w:color="auto" w:sz="4" w:space="0"/>
            </w:tcBorders>
            <w:vAlign w:val="center"/>
          </w:tcPr>
          <w:p>
            <w:pPr>
              <w:widowControl/>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06</w:t>
            </w:r>
          </w:p>
        </w:tc>
        <w:tc>
          <w:tcPr>
            <w:tcW w:w="439" w:type="dxa"/>
            <w:tcBorders>
              <w:top w:val="nil"/>
              <w:left w:val="nil"/>
              <w:bottom w:val="single" w:color="auto" w:sz="4" w:space="0"/>
              <w:right w:val="single" w:color="auto" w:sz="4" w:space="0"/>
            </w:tcBorders>
            <w:vAlign w:val="center"/>
          </w:tcPr>
          <w:p>
            <w:pPr>
              <w:widowControl/>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05</w:t>
            </w:r>
          </w:p>
        </w:tc>
        <w:tc>
          <w:tcPr>
            <w:tcW w:w="2510" w:type="dxa"/>
            <w:tcBorders>
              <w:top w:val="nil"/>
              <w:left w:val="nil"/>
              <w:bottom w:val="single" w:color="auto" w:sz="4" w:space="0"/>
              <w:right w:val="single" w:color="auto" w:sz="4" w:space="0"/>
            </w:tcBorders>
            <w:vAlign w:val="center"/>
          </w:tcPr>
          <w:p>
            <w:pPr>
              <w:widowControl/>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出版发行</w:t>
            </w:r>
          </w:p>
        </w:tc>
        <w:tc>
          <w:tcPr>
            <w:tcW w:w="1684"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726.29</w:t>
            </w:r>
          </w:p>
        </w:tc>
        <w:tc>
          <w:tcPr>
            <w:tcW w:w="1842"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141.29</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宋体"/>
                <w:b/>
                <w:color w:val="000000"/>
                <w:kern w:val="0"/>
                <w:sz w:val="20"/>
                <w:szCs w:val="20"/>
              </w:rPr>
            </w:pPr>
            <w:r>
              <w:rPr>
                <w:rFonts w:hint="eastAsia" w:ascii="仿宋" w:hAnsi="仿宋" w:eastAsia="仿宋" w:cs="宋体"/>
                <w:color w:val="000000"/>
                <w:kern w:val="0"/>
                <w:sz w:val="20"/>
                <w:szCs w:val="20"/>
              </w:rPr>
              <w:t>　585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05　</w:t>
            </w:r>
          </w:p>
        </w:tc>
        <w:tc>
          <w:tcPr>
            <w:tcW w:w="2510"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hAnsi="宋体" w:eastAsia="仿宋_GB2312" w:cs="宋体"/>
                <w:bCs/>
                <w:kern w:val="0"/>
                <w:sz w:val="20"/>
                <w:szCs w:val="20"/>
              </w:rPr>
              <w:t>机关事业单位基本养老保险缴费支出</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20.06</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20.06</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05　</w:t>
            </w:r>
          </w:p>
        </w:tc>
        <w:tc>
          <w:tcPr>
            <w:tcW w:w="439"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06　</w:t>
            </w:r>
          </w:p>
        </w:tc>
        <w:tc>
          <w:tcPr>
            <w:tcW w:w="2510"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hAnsi="宋体" w:eastAsia="仿宋_GB2312" w:cs="宋体"/>
                <w:bCs/>
                <w:kern w:val="0"/>
                <w:sz w:val="20"/>
                <w:szCs w:val="20"/>
              </w:rPr>
              <w:t>机关事业单位职业年金缴费支出</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9.59</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9.59</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02　</w:t>
            </w:r>
          </w:p>
        </w:tc>
        <w:tc>
          <w:tcPr>
            <w:tcW w:w="2510"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职工基本医疗保险缴费</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10.79</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10.79</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210　</w:t>
            </w:r>
          </w:p>
        </w:tc>
        <w:tc>
          <w:tcPr>
            <w:tcW w:w="492"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　</w:t>
            </w:r>
          </w:p>
        </w:tc>
        <w:tc>
          <w:tcPr>
            <w:tcW w:w="439"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03　</w:t>
            </w:r>
          </w:p>
        </w:tc>
        <w:tc>
          <w:tcPr>
            <w:tcW w:w="2510"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hAnsi="宋体" w:eastAsia="仿宋_GB2312" w:cs="宋体"/>
                <w:bCs/>
                <w:kern w:val="0"/>
                <w:sz w:val="20"/>
                <w:szCs w:val="20"/>
              </w:rPr>
              <w:t>公务员医疗补助</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8.39</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8.39</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221　</w:t>
            </w:r>
          </w:p>
        </w:tc>
        <w:tc>
          <w:tcPr>
            <w:tcW w:w="492"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02　</w:t>
            </w:r>
          </w:p>
        </w:tc>
        <w:tc>
          <w:tcPr>
            <w:tcW w:w="439"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住房公积金</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15.04</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15.04</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790.16</w:t>
            </w: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205.16</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585</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328" w:type="dxa"/>
        <w:tblInd w:w="-1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7"/>
        <w:gridCol w:w="577"/>
        <w:gridCol w:w="2891"/>
        <w:gridCol w:w="995"/>
        <w:gridCol w:w="706"/>
        <w:gridCol w:w="976"/>
        <w:gridCol w:w="725"/>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编制部门：新疆人大杂志社</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8"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未统发基本工资</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65.67</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65.67</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kern w:val="0"/>
                <w:sz w:val="20"/>
                <w:szCs w:val="20"/>
              </w:rPr>
            </w:pPr>
            <w:r>
              <w:rPr>
                <w:rFonts w:hint="eastAsia"/>
                <w:color w:val="000000"/>
                <w:sz w:val="18"/>
                <w:szCs w:val="18"/>
              </w:rPr>
              <w:t>未统发国家、地方规定津补贴</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13.04</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13.04</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03</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未统发年终一次性奖金</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5.47</w:t>
            </w:r>
          </w:p>
        </w:tc>
        <w:tc>
          <w:tcPr>
            <w:tcW w:w="1701" w:type="dxa"/>
            <w:gridSpan w:val="2"/>
            <w:tcBorders>
              <w:top w:val="nil"/>
              <w:left w:val="nil"/>
              <w:bottom w:val="single" w:color="auto" w:sz="4" w:space="0"/>
              <w:right w:val="single" w:color="auto" w:sz="4" w:space="0"/>
            </w:tcBorders>
            <w:vAlign w:val="center"/>
          </w:tcPr>
          <w:p>
            <w:pPr>
              <w:widowControl/>
              <w:ind w:right="147" w:rightChars="70"/>
              <w:jc w:val="center"/>
              <w:rPr>
                <w:rFonts w:ascii="宋体" w:hAnsi="宋体" w:cs="宋体"/>
                <w:color w:val="000000"/>
                <w:kern w:val="0"/>
                <w:sz w:val="20"/>
                <w:szCs w:val="20"/>
              </w:rPr>
            </w:pPr>
            <w:r>
              <w:rPr>
                <w:rFonts w:hint="eastAsia" w:ascii="宋体" w:hAnsi="宋体" w:cs="宋体"/>
                <w:color w:val="000000"/>
                <w:kern w:val="0"/>
                <w:sz w:val="20"/>
                <w:szCs w:val="20"/>
              </w:rPr>
              <w:t>5.47</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未统发绩效工资</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41.18</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41.18</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10.79</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10.79</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公务员医疗补助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8.39</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8.39</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仿宋_GB2312" w:hAnsi="宋体" w:eastAsia="仿宋_GB2312" w:cs="宋体"/>
                <w:kern w:val="0"/>
                <w:sz w:val="20"/>
                <w:szCs w:val="20"/>
              </w:rPr>
              <w:t>08</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养老保险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20.06</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20.06</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FF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15.04</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15.04</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仿宋_GB2312" w:hAnsi="宋体" w:eastAsia="仿宋_GB2312"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09</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职业年金</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9.59</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9.59</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3.6 </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cs="宋体"/>
                <w:color w:val="000000"/>
                <w:kern w:val="0"/>
                <w:sz w:val="20"/>
                <w:szCs w:val="20"/>
              </w:rPr>
              <w:t>办公费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cs="宋体"/>
                <w:color w:val="000000"/>
                <w:kern w:val="0"/>
                <w:sz w:val="20"/>
                <w:szCs w:val="20"/>
              </w:rPr>
              <w:t>2.21</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邮电费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取暖费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差旅费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1.57</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福利费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205.16</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195.86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9.3</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805" w:type="dxa"/>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
        <w:gridCol w:w="559"/>
        <w:gridCol w:w="450"/>
        <w:gridCol w:w="450"/>
        <w:gridCol w:w="851"/>
        <w:gridCol w:w="1456"/>
        <w:gridCol w:w="750"/>
        <w:gridCol w:w="107"/>
        <w:gridCol w:w="460"/>
        <w:gridCol w:w="564"/>
        <w:gridCol w:w="3"/>
        <w:gridCol w:w="652"/>
        <w:gridCol w:w="652"/>
        <w:gridCol w:w="375"/>
        <w:gridCol w:w="203"/>
        <w:gridCol w:w="450"/>
        <w:gridCol w:w="578"/>
        <w:gridCol w:w="420"/>
        <w:gridCol w:w="420"/>
        <w:gridCol w:w="386"/>
        <w:gridCol w:w="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8" w:type="dxa"/>
          <w:wAfter w:w="11" w:type="dxa"/>
          <w:trHeight w:val="375" w:hRule="atLeast"/>
        </w:trPr>
        <w:tc>
          <w:tcPr>
            <w:tcW w:w="9786" w:type="dxa"/>
            <w:gridSpan w:val="1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8" w:type="dxa"/>
          <w:wAfter w:w="11" w:type="dxa"/>
          <w:trHeight w:val="405" w:hRule="atLeast"/>
        </w:trPr>
        <w:tc>
          <w:tcPr>
            <w:tcW w:w="4623"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编制部门：新疆人大杂志社</w:t>
            </w:r>
          </w:p>
        </w:tc>
        <w:tc>
          <w:tcPr>
            <w:tcW w:w="1024"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57"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467"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6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56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450"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450"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67"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67"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5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207</w:t>
            </w:r>
          </w:p>
        </w:tc>
        <w:tc>
          <w:tcPr>
            <w:tcW w:w="450" w:type="dxa"/>
            <w:vAlign w:val="top"/>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06</w:t>
            </w:r>
          </w:p>
        </w:tc>
        <w:tc>
          <w:tcPr>
            <w:tcW w:w="450" w:type="dxa"/>
            <w:vAlign w:val="top"/>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05</w:t>
            </w:r>
          </w:p>
        </w:tc>
        <w:tc>
          <w:tcPr>
            <w:tcW w:w="851" w:type="dxa"/>
            <w:vAlign w:val="top"/>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出版发行</w:t>
            </w:r>
          </w:p>
        </w:tc>
        <w:tc>
          <w:tcPr>
            <w:tcW w:w="1456" w:type="dxa"/>
            <w:vAlign w:val="top"/>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《新疆人大》办刊经费</w:t>
            </w:r>
          </w:p>
        </w:tc>
        <w:tc>
          <w:tcPr>
            <w:tcW w:w="750" w:type="dxa"/>
            <w:vAlign w:val="top"/>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580</w:t>
            </w:r>
          </w:p>
        </w:tc>
        <w:tc>
          <w:tcPr>
            <w:tcW w:w="567" w:type="dxa"/>
            <w:gridSpan w:val="2"/>
            <w:vAlign w:val="top"/>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100</w:t>
            </w:r>
          </w:p>
        </w:tc>
        <w:tc>
          <w:tcPr>
            <w:tcW w:w="567" w:type="dxa"/>
            <w:gridSpan w:val="2"/>
            <w:vAlign w:val="top"/>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453</w:t>
            </w:r>
          </w:p>
        </w:tc>
        <w:tc>
          <w:tcPr>
            <w:tcW w:w="652" w:type="dxa"/>
            <w:vAlign w:val="top"/>
          </w:tcPr>
          <w:p>
            <w:pPr>
              <w:widowControl/>
              <w:jc w:val="center"/>
              <w:outlineLvl w:val="1"/>
              <w:rPr>
                <w:rFonts w:ascii="仿宋_GB2312" w:hAnsi="宋体" w:eastAsia="仿宋_GB2312"/>
                <w:kern w:val="0"/>
                <w:szCs w:val="21"/>
              </w:rPr>
            </w:pPr>
          </w:p>
        </w:tc>
        <w:tc>
          <w:tcPr>
            <w:tcW w:w="652" w:type="dxa"/>
            <w:vAlign w:val="top"/>
          </w:tcPr>
          <w:p>
            <w:pPr>
              <w:widowControl/>
              <w:jc w:val="center"/>
              <w:outlineLvl w:val="1"/>
              <w:rPr>
                <w:rFonts w:ascii="仿宋_GB2312" w:hAnsi="宋体" w:eastAsia="仿宋_GB2312"/>
                <w:kern w:val="0"/>
                <w:szCs w:val="21"/>
              </w:rPr>
            </w:pPr>
          </w:p>
        </w:tc>
        <w:tc>
          <w:tcPr>
            <w:tcW w:w="578" w:type="dxa"/>
            <w:gridSpan w:val="2"/>
            <w:vAlign w:val="top"/>
          </w:tcPr>
          <w:p>
            <w:pPr>
              <w:widowControl/>
              <w:jc w:val="center"/>
              <w:outlineLvl w:val="1"/>
              <w:rPr>
                <w:rFonts w:ascii="仿宋_GB2312" w:hAnsi="宋体" w:eastAsia="仿宋_GB2312"/>
                <w:kern w:val="0"/>
                <w:szCs w:val="21"/>
              </w:rPr>
            </w:pPr>
          </w:p>
        </w:tc>
        <w:tc>
          <w:tcPr>
            <w:tcW w:w="450" w:type="dxa"/>
            <w:vAlign w:val="top"/>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27</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p>
        </w:tc>
        <w:tc>
          <w:tcPr>
            <w:tcW w:w="450" w:type="dxa"/>
            <w:vAlign w:val="top"/>
          </w:tcPr>
          <w:p>
            <w:pPr>
              <w:widowControl/>
              <w:jc w:val="left"/>
              <w:outlineLvl w:val="1"/>
              <w:rPr>
                <w:rFonts w:ascii="仿宋_GB2312" w:hAnsi="宋体" w:eastAsia="仿宋_GB2312"/>
                <w:kern w:val="0"/>
                <w:sz w:val="32"/>
                <w:szCs w:val="32"/>
              </w:rPr>
            </w:pPr>
          </w:p>
        </w:tc>
        <w:tc>
          <w:tcPr>
            <w:tcW w:w="450" w:type="dxa"/>
            <w:vAlign w:val="top"/>
          </w:tcPr>
          <w:p>
            <w:pPr>
              <w:widowControl/>
              <w:jc w:val="left"/>
              <w:outlineLvl w:val="1"/>
              <w:rPr>
                <w:rFonts w:ascii="仿宋_GB2312" w:hAnsi="宋体" w:eastAsia="仿宋_GB2312"/>
                <w:kern w:val="0"/>
                <w:sz w:val="32"/>
                <w:szCs w:val="32"/>
              </w:rPr>
            </w:pPr>
          </w:p>
        </w:tc>
        <w:tc>
          <w:tcPr>
            <w:tcW w:w="851" w:type="dxa"/>
            <w:vAlign w:val="top"/>
          </w:tcPr>
          <w:p>
            <w:pPr>
              <w:widowControl/>
              <w:jc w:val="left"/>
              <w:outlineLvl w:val="1"/>
              <w:rPr>
                <w:rFonts w:ascii="仿宋_GB2312" w:hAnsi="宋体" w:eastAsia="仿宋_GB2312"/>
                <w:kern w:val="0"/>
                <w:sz w:val="32"/>
                <w:szCs w:val="32"/>
              </w:rPr>
            </w:pPr>
          </w:p>
        </w:tc>
        <w:tc>
          <w:tcPr>
            <w:tcW w:w="1456" w:type="dxa"/>
            <w:vAlign w:val="top"/>
          </w:tcPr>
          <w:p>
            <w:pPr>
              <w:widowControl/>
              <w:jc w:val="left"/>
              <w:outlineLvl w:val="1"/>
              <w:rPr>
                <w:rFonts w:ascii="仿宋_GB2312" w:hAnsi="宋体" w:eastAsia="仿宋_GB2312"/>
                <w:kern w:val="0"/>
                <w:sz w:val="32"/>
                <w:szCs w:val="32"/>
              </w:rPr>
            </w:pPr>
          </w:p>
        </w:tc>
        <w:tc>
          <w:tcPr>
            <w:tcW w:w="750" w:type="dxa"/>
            <w:vAlign w:val="top"/>
          </w:tcPr>
          <w:p>
            <w:pPr>
              <w:widowControl/>
              <w:jc w:val="left"/>
              <w:outlineLvl w:val="1"/>
              <w:rPr>
                <w:rFonts w:ascii="仿宋_GB2312" w:hAnsi="宋体" w:eastAsia="仿宋_GB2312"/>
                <w:kern w:val="0"/>
                <w:sz w:val="32"/>
                <w:szCs w:val="32"/>
              </w:rPr>
            </w:pPr>
          </w:p>
        </w:tc>
        <w:tc>
          <w:tcPr>
            <w:tcW w:w="567" w:type="dxa"/>
            <w:gridSpan w:val="2"/>
            <w:vAlign w:val="top"/>
          </w:tcPr>
          <w:p>
            <w:pPr>
              <w:widowControl/>
              <w:jc w:val="left"/>
              <w:outlineLvl w:val="1"/>
              <w:rPr>
                <w:rFonts w:ascii="仿宋_GB2312" w:hAnsi="宋体" w:eastAsia="仿宋_GB2312"/>
                <w:kern w:val="0"/>
                <w:sz w:val="32"/>
                <w:szCs w:val="32"/>
              </w:rPr>
            </w:pPr>
          </w:p>
        </w:tc>
        <w:tc>
          <w:tcPr>
            <w:tcW w:w="567" w:type="dxa"/>
            <w:gridSpan w:val="2"/>
            <w:vAlign w:val="top"/>
          </w:tcPr>
          <w:p>
            <w:pPr>
              <w:widowControl/>
              <w:jc w:val="left"/>
              <w:outlineLvl w:val="1"/>
              <w:rPr>
                <w:rFonts w:ascii="仿宋_GB2312" w:hAnsi="宋体" w:eastAsia="仿宋_GB2312"/>
                <w:kern w:val="0"/>
                <w:sz w:val="32"/>
                <w:szCs w:val="32"/>
              </w:rPr>
            </w:pPr>
          </w:p>
        </w:tc>
        <w:tc>
          <w:tcPr>
            <w:tcW w:w="652" w:type="dxa"/>
            <w:vAlign w:val="top"/>
          </w:tcPr>
          <w:p>
            <w:pPr>
              <w:widowControl/>
              <w:jc w:val="left"/>
              <w:outlineLvl w:val="1"/>
              <w:rPr>
                <w:rFonts w:ascii="仿宋_GB2312" w:hAnsi="宋体" w:eastAsia="仿宋_GB2312"/>
                <w:kern w:val="0"/>
                <w:sz w:val="32"/>
                <w:szCs w:val="32"/>
              </w:rPr>
            </w:pPr>
          </w:p>
        </w:tc>
        <w:tc>
          <w:tcPr>
            <w:tcW w:w="652" w:type="dxa"/>
            <w:vAlign w:val="top"/>
          </w:tcPr>
          <w:p>
            <w:pPr>
              <w:widowControl/>
              <w:jc w:val="left"/>
              <w:outlineLvl w:val="1"/>
              <w:rPr>
                <w:rFonts w:ascii="仿宋_GB2312" w:hAnsi="宋体" w:eastAsia="仿宋_GB2312"/>
                <w:kern w:val="0"/>
                <w:sz w:val="32"/>
                <w:szCs w:val="32"/>
              </w:rPr>
            </w:pPr>
          </w:p>
        </w:tc>
        <w:tc>
          <w:tcPr>
            <w:tcW w:w="578" w:type="dxa"/>
            <w:gridSpan w:val="2"/>
            <w:vAlign w:val="top"/>
          </w:tcPr>
          <w:p>
            <w:pPr>
              <w:widowControl/>
              <w:jc w:val="left"/>
              <w:outlineLvl w:val="1"/>
              <w:rPr>
                <w:rFonts w:ascii="仿宋_GB2312" w:hAnsi="宋体" w:eastAsia="仿宋_GB2312"/>
                <w:kern w:val="0"/>
                <w:sz w:val="32"/>
                <w:szCs w:val="32"/>
              </w:rPr>
            </w:pPr>
          </w:p>
        </w:tc>
        <w:tc>
          <w:tcPr>
            <w:tcW w:w="450" w:type="dxa"/>
            <w:vAlign w:val="top"/>
          </w:tcPr>
          <w:p>
            <w:pPr>
              <w:widowControl/>
              <w:jc w:val="left"/>
              <w:outlineLvl w:val="1"/>
              <w:rPr>
                <w:rFonts w:ascii="仿宋_GB2312" w:hAnsi="宋体" w:eastAsia="仿宋_GB2312"/>
                <w:kern w:val="0"/>
                <w:sz w:val="32"/>
                <w:szCs w:val="32"/>
              </w:rPr>
            </w:pPr>
          </w:p>
        </w:tc>
        <w:tc>
          <w:tcPr>
            <w:tcW w:w="578" w:type="dxa"/>
            <w:vAlign w:val="top"/>
          </w:tcPr>
          <w:p>
            <w:pPr>
              <w:widowControl/>
              <w:jc w:val="left"/>
              <w:outlineLvl w:val="1"/>
              <w:rPr>
                <w:rFonts w:ascii="仿宋_GB2312" w:hAnsi="宋体" w:eastAsia="仿宋_GB2312"/>
                <w:kern w:val="0"/>
                <w:sz w:val="32"/>
                <w:szCs w:val="32"/>
              </w:rPr>
            </w:pPr>
          </w:p>
        </w:tc>
        <w:tc>
          <w:tcPr>
            <w:tcW w:w="420" w:type="dxa"/>
            <w:vAlign w:val="top"/>
          </w:tcPr>
          <w:p>
            <w:pPr>
              <w:widowControl/>
              <w:jc w:val="left"/>
              <w:outlineLvl w:val="1"/>
              <w:rPr>
                <w:rFonts w:ascii="仿宋_GB2312" w:hAnsi="宋体" w:eastAsia="仿宋_GB2312"/>
                <w:kern w:val="0"/>
                <w:sz w:val="32"/>
                <w:szCs w:val="32"/>
              </w:rPr>
            </w:pPr>
          </w:p>
        </w:tc>
        <w:tc>
          <w:tcPr>
            <w:tcW w:w="420" w:type="dxa"/>
            <w:vAlign w:val="top"/>
          </w:tcPr>
          <w:p>
            <w:pPr>
              <w:widowControl/>
              <w:jc w:val="left"/>
              <w:outlineLvl w:val="1"/>
              <w:rPr>
                <w:rFonts w:ascii="仿宋_GB2312" w:hAnsi="宋体" w:eastAsia="仿宋_GB2312"/>
                <w:kern w:val="0"/>
                <w:sz w:val="32"/>
                <w:szCs w:val="32"/>
              </w:rPr>
            </w:pPr>
          </w:p>
        </w:tc>
        <w:tc>
          <w:tcPr>
            <w:tcW w:w="397" w:type="dxa"/>
            <w:gridSpan w:val="2"/>
            <w:vAlign w:val="top"/>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6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580</w:t>
            </w:r>
          </w:p>
        </w:tc>
        <w:tc>
          <w:tcPr>
            <w:tcW w:w="567" w:type="dxa"/>
            <w:gridSpan w:val="2"/>
            <w:vAlign w:val="top"/>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100</w:t>
            </w:r>
          </w:p>
        </w:tc>
        <w:tc>
          <w:tcPr>
            <w:tcW w:w="567" w:type="dxa"/>
            <w:gridSpan w:val="2"/>
            <w:vAlign w:val="top"/>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453</w:t>
            </w:r>
          </w:p>
        </w:tc>
        <w:tc>
          <w:tcPr>
            <w:tcW w:w="652" w:type="dxa"/>
            <w:vAlign w:val="top"/>
          </w:tcPr>
          <w:p>
            <w:pPr>
              <w:widowControl/>
              <w:jc w:val="center"/>
              <w:outlineLvl w:val="1"/>
              <w:rPr>
                <w:rFonts w:ascii="仿宋_GB2312" w:hAnsi="宋体" w:eastAsia="仿宋_GB2312"/>
                <w:kern w:val="0"/>
                <w:szCs w:val="21"/>
              </w:rPr>
            </w:pPr>
          </w:p>
        </w:tc>
        <w:tc>
          <w:tcPr>
            <w:tcW w:w="652" w:type="dxa"/>
            <w:vAlign w:val="top"/>
          </w:tcPr>
          <w:p>
            <w:pPr>
              <w:widowControl/>
              <w:jc w:val="center"/>
              <w:outlineLvl w:val="1"/>
              <w:rPr>
                <w:rFonts w:ascii="仿宋_GB2312" w:hAnsi="宋体" w:eastAsia="仿宋_GB2312"/>
                <w:kern w:val="0"/>
                <w:szCs w:val="21"/>
              </w:rPr>
            </w:pPr>
          </w:p>
        </w:tc>
        <w:tc>
          <w:tcPr>
            <w:tcW w:w="578" w:type="dxa"/>
            <w:gridSpan w:val="2"/>
            <w:vAlign w:val="top"/>
          </w:tcPr>
          <w:p>
            <w:pPr>
              <w:widowControl/>
              <w:jc w:val="center"/>
              <w:outlineLvl w:val="1"/>
              <w:rPr>
                <w:rFonts w:ascii="仿宋_GB2312" w:hAnsi="宋体" w:eastAsia="仿宋_GB2312"/>
                <w:kern w:val="0"/>
                <w:szCs w:val="21"/>
              </w:rPr>
            </w:pPr>
          </w:p>
        </w:tc>
        <w:tc>
          <w:tcPr>
            <w:tcW w:w="450" w:type="dxa"/>
            <w:vAlign w:val="top"/>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27</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编制单位：新疆人大杂志社                                                    单位：万元</w:t>
      </w:r>
    </w:p>
    <w:tbl>
      <w:tblPr>
        <w:tblStyle w:val="7"/>
        <w:tblW w:w="9240" w:type="dxa"/>
        <w:tblInd w:w="-17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备注：本单位不涉及“三公”经费支出情况。</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编制单位：新疆人大杂志社                                                     单位：万元</w:t>
      </w:r>
    </w:p>
    <w:tbl>
      <w:tblPr>
        <w:tblStyle w:val="7"/>
        <w:tblW w:w="9214"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备注：本单位不涉及政府性基金预算支出情况。</w:t>
      </w:r>
    </w:p>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 2020年部门预算情况说明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关于新疆人大杂志社2020年收支预算情况的总体说明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按照全口径预算的原则，新疆人大杂志社2020年所有收入和支出均纳入部门预算管理。收支总预算790.16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收入预算包括：一般公共预算、事业收入。</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支出预算包括：文化旅游体育与传媒支出、社会保障和就业支出、卫生健康支出、住房保障支出等。</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二、关于新疆人大杂志社2020年收入预算情况说明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新疆人大杂志社收入预算790.16万元，其中：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一般公共预算785.16万元，占99 %，比上年减少48.17 万元，主要原因是办公经费和劳务费的减少；</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政府性基金预算未安排。或</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万元，</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占</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，比上年增加（减少）</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 xml:space="preserve">；  </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事业收入5万元，占1 %，比上年减少5万元，主要原因是2019年杂志赠阅发行。</w:t>
      </w:r>
    </w:p>
    <w:p>
      <w:pPr>
        <w:spacing w:line="560" w:lineRule="exact"/>
        <w:rPr>
          <w:rFonts w:ascii="黑体" w:hAnsi="宋体" w:eastAsia="黑体" w:cs="宋体"/>
          <w:kern w:val="0"/>
          <w:sz w:val="32"/>
          <w:szCs w:val="32"/>
        </w:rPr>
      </w:pPr>
      <w:r>
        <w:rPr>
          <w:rFonts w:hint="eastAsia" w:ascii="黑体" w:hAnsi="宋体" w:eastAsia="黑体" w:cs="宋体"/>
          <w:kern w:val="0"/>
          <w:sz w:val="32"/>
          <w:szCs w:val="32"/>
        </w:rPr>
        <w:t>三、关于新疆人大杂志社2020年支出预算情况说明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新疆人大杂志社2020年支出预算790.16万元，其中：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基本支出205.16万元，占26 %，比上年减少39.17万元，主要原因是日常公用经费的缩减。</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项目支出580万元，占74 %，比上年减少19 万元，主要原因是办公费和劳务费的减少。</w:t>
      </w: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四、关于新疆人大杂志社2020年财政拨款收支预算情况的总体说明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2020年财政拨款收支总预算790.16万元。</w:t>
      </w:r>
    </w:p>
    <w:p>
      <w:pPr>
        <w:spacing w:line="560" w:lineRule="exact"/>
        <w:ind w:firstLine="616" w:firstLineChars="200"/>
        <w:rPr>
          <w:rFonts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五、关于新疆人大杂志社2020年一般公共预算当年拨款情况说明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新疆人大杂志社2020年一般公共预算拨款基本支出    205.16万元，比上年执行数减少39.17万元，下降16 %。主要原因是：日常公用经费的缩减。     </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hAnsi="宋体" w:eastAsia="仿宋_GB2312" w:cs="宋体"/>
          <w:kern w:val="0"/>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hAnsi="宋体" w:eastAsia="仿宋_GB2312" w:cs="宋体"/>
          <w:kern w:val="0"/>
          <w:sz w:val="32"/>
          <w:szCs w:val="32"/>
        </w:rPr>
        <w:t>文化旅游体育与传媒</w:t>
      </w:r>
      <w:r>
        <w:rPr>
          <w:rFonts w:hint="eastAsia" w:ascii="仿宋_GB2312" w:eastAsia="仿宋_GB2312"/>
          <w:sz w:val="32"/>
          <w:szCs w:val="32"/>
        </w:rPr>
        <w:t>（类）726.29</w:t>
      </w:r>
      <w:r>
        <w:rPr>
          <w:rFonts w:hint="eastAsia" w:ascii="楷体_GB2312" w:eastAsia="楷体_GB2312"/>
          <w:b/>
          <w:sz w:val="32"/>
          <w:szCs w:val="32"/>
        </w:rPr>
        <w:t xml:space="preserve"> </w:t>
      </w:r>
      <w:r>
        <w:rPr>
          <w:rFonts w:hint="eastAsia" w:ascii="仿宋_GB2312" w:hAnsi="宋体" w:eastAsia="仿宋_GB2312" w:cs="宋体"/>
          <w:kern w:val="0"/>
          <w:sz w:val="32"/>
          <w:szCs w:val="32"/>
        </w:rPr>
        <w:t>万元，占95 %。</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社会保障和就业（类）20.06万元，占11</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卫生健康支出（类）</w:t>
      </w:r>
      <w:r>
        <w:rPr>
          <w:rFonts w:hint="eastAsia" w:ascii="仿宋_GB2312" w:hAnsi="宋体" w:eastAsia="仿宋_GB2312" w:cs="宋体"/>
          <w:kern w:val="0"/>
          <w:sz w:val="32"/>
          <w:szCs w:val="32"/>
          <w:lang w:val="en-US" w:eastAsia="zh-CN"/>
        </w:rPr>
        <w:t>19.18</w:t>
      </w:r>
      <w:r>
        <w:rPr>
          <w:rFonts w:hint="eastAsia" w:ascii="仿宋_GB2312" w:hAnsi="宋体" w:eastAsia="仿宋_GB2312" w:cs="宋体"/>
          <w:kern w:val="0"/>
          <w:sz w:val="32"/>
          <w:szCs w:val="32"/>
        </w:rPr>
        <w:t>万元，占0.</w:t>
      </w:r>
      <w:r>
        <w:rPr>
          <w:rFonts w:hint="eastAsia" w:ascii="仿宋_GB2312" w:hAnsi="宋体" w:eastAsia="仿宋_GB2312" w:cs="宋体"/>
          <w:kern w:val="0"/>
          <w:sz w:val="32"/>
          <w:szCs w:val="32"/>
          <w:lang w:val="en-US" w:eastAsia="zh-CN"/>
        </w:rPr>
        <w:t>11</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住房保障支出（类）15.04万元，占0.08</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1.文化旅游体育与传媒</w:t>
      </w:r>
      <w:r>
        <w:rPr>
          <w:rFonts w:hint="eastAsia" w:ascii="仿宋_GB2312" w:eastAsia="仿宋_GB2312"/>
          <w:sz w:val="32"/>
          <w:szCs w:val="32"/>
        </w:rPr>
        <w:t>（207类）新闻出版电影（06款）出版发行（05项）</w:t>
      </w:r>
      <w:r>
        <w:rPr>
          <w:rFonts w:ascii="仿宋_GB2312" w:hAnsi="宋体" w:eastAsia="仿宋_GB2312" w:cs="宋体"/>
          <w:kern w:val="0"/>
          <w:sz w:val="32"/>
          <w:szCs w:val="32"/>
        </w:rPr>
        <w:t>:</w:t>
      </w:r>
      <w:r>
        <w:rPr>
          <w:rFonts w:hint="eastAsia" w:ascii="仿宋_GB2312" w:hAnsi="宋体" w:eastAsia="仿宋_GB2312" w:cs="宋体"/>
          <w:kern w:val="0"/>
          <w:sz w:val="32"/>
          <w:szCs w:val="32"/>
        </w:rPr>
        <w:t>2020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790.16</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 xml:space="preserve">比上年执行数减少 53.17万元，下降7 %，主要原因是：日常公用经费的缩减，办公费和劳务费的减少。     </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w:t>
      </w:r>
      <w:r>
        <w:rPr>
          <w:rFonts w:ascii="仿宋_GB2312" w:hAnsi="宋体" w:eastAsia="仿宋_GB2312" w:cs="宋体"/>
          <w:kern w:val="0"/>
          <w:sz w:val="32"/>
          <w:szCs w:val="32"/>
        </w:rPr>
        <w:t>.</w:t>
      </w:r>
      <w:r>
        <w:rPr>
          <w:rFonts w:hint="eastAsia" w:ascii="仿宋_GB2312" w:hAnsi="宋体" w:eastAsia="仿宋_GB2312" w:cs="宋体"/>
          <w:kern w:val="0"/>
          <w:sz w:val="32"/>
          <w:szCs w:val="32"/>
        </w:rPr>
        <w:t xml:space="preserve"> 社会保障和就业（208类）行政事业单位养老支出（05款）机关事业单位基本养老保险缴费支出（05项）20.06万元，比上年执行数减少8.67万元，下降31</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，主要原因是：在职职工人数减少，导致职工养老保险费用减少。</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ascii="仿宋_GB2312" w:hAnsi="宋体" w:eastAsia="仿宋_GB2312" w:cs="宋体"/>
          <w:kern w:val="0"/>
          <w:sz w:val="32"/>
          <w:szCs w:val="32"/>
        </w:rPr>
        <w:t>.</w:t>
      </w:r>
      <w:r>
        <w:rPr>
          <w:rFonts w:hint="eastAsia" w:ascii="仿宋_GB2312" w:hAnsi="宋体" w:eastAsia="仿宋_GB2312" w:cs="宋体"/>
          <w:kern w:val="0"/>
          <w:sz w:val="32"/>
          <w:szCs w:val="32"/>
        </w:rPr>
        <w:t xml:space="preserve"> 卫生健康支出（210类）行政事业单位医疗（11款）公务员医疗补助（03项）8.39万元，比上年执行数减少1.25万元，下降13</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，主要原因是：在职职工人数减少，导致职工职工公务员医疗补助缴费基数下降。</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卫生健康支出（210类）行政事业单位医疗（11款）事业单位医疗（02项）10.79万元，比上年执行数减少1.61万元，下降13</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，主要原因是：在职职工人数减少，医疗保险缴费基数下降，导致职工医疗保险费用减少。</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5</w:t>
      </w:r>
      <w:r>
        <w:rPr>
          <w:rFonts w:ascii="仿宋_GB2312" w:hAnsi="宋体" w:eastAsia="仿宋_GB2312" w:cs="宋体"/>
          <w:kern w:val="0"/>
          <w:sz w:val="32"/>
          <w:szCs w:val="32"/>
        </w:rPr>
        <w:t>.</w:t>
      </w:r>
      <w:r>
        <w:rPr>
          <w:rFonts w:hint="eastAsia" w:ascii="仿宋_GB2312" w:hAnsi="宋体" w:eastAsia="仿宋_GB2312" w:cs="宋体"/>
          <w:kern w:val="0"/>
          <w:sz w:val="32"/>
          <w:szCs w:val="32"/>
        </w:rPr>
        <w:t xml:space="preserve"> 住房保障支出（221类）住房改革支出（02款）住房公积金（01项）15.04万元，比上年执行数减少2.2万元，下降13</w:t>
      </w:r>
      <w:r>
        <w:rPr>
          <w:rFonts w:ascii="仿宋_GB2312" w:hAnsi="宋体" w:eastAsia="仿宋_GB2312" w:cs="宋体"/>
          <w:kern w:val="0"/>
          <w:sz w:val="32"/>
          <w:szCs w:val="32"/>
        </w:rPr>
        <w:t>%</w:t>
      </w:r>
      <w:r>
        <w:rPr>
          <w:rFonts w:hint="eastAsia" w:ascii="仿宋_GB2312" w:hAnsi="宋体" w:eastAsia="仿宋_GB2312" w:cs="宋体"/>
          <w:kern w:val="0"/>
          <w:sz w:val="32"/>
          <w:szCs w:val="32"/>
        </w:rPr>
        <w:t>，主要原因是：在职职工人数减少，住房公积金缴费基数下降，导致职工住房公积金费用减少。</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六、关于新疆人大杂志社2020年一般公共预算基本支出情况说明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新疆人大杂志社2020年一般公共预算基本支出      205.16万元，其中：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人员经费195.86 万元，主要包括：基本工资、津贴补贴、奖金、绩效工资、机关事业单位基本养老保险缴费、职业年金缴费、公务员医疗补助、职工基本医疗保险缴费、其他社会保障缴费、住房公积金、其他工资福利支出等。</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公用经费9.3万元，主要包括：办公费、邮电费、取暖费、差旅费、工会经费、福利费等。</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七、关于新疆人大杂志社2020年项目支出情况说明</w:t>
      </w:r>
    </w:p>
    <w:p>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情况一：（项目支出、专项业务费按下列内容说明）</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w:t>
      </w:r>
      <w:r>
        <w:rPr>
          <w:rFonts w:ascii="仿宋_GB2312" w:hAnsi="黑体" w:eastAsia="仿宋_GB2312"/>
          <w:sz w:val="32"/>
          <w:szCs w:val="32"/>
        </w:rPr>
        <w:t>名称</w:t>
      </w:r>
      <w:r>
        <w:rPr>
          <w:rFonts w:hint="eastAsia" w:ascii="仿宋_GB2312" w:hAnsi="黑体" w:eastAsia="仿宋_GB2312"/>
          <w:sz w:val="32"/>
          <w:szCs w:val="32"/>
        </w:rPr>
        <w:t>：</w:t>
      </w:r>
      <w:r>
        <w:rPr>
          <w:rFonts w:hint="eastAsia" w:ascii="仿宋_GB2312" w:hAnsi="宋体" w:eastAsia="仿宋_GB2312" w:cs="宋体"/>
          <w:kern w:val="0"/>
          <w:sz w:val="32"/>
          <w:szCs w:val="32"/>
        </w:rPr>
        <w:t>《新疆人大》办刊经费</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rPr>
        <w:t>《新疆人大》杂志办刊经费根据（新党字[1995]16号）报贾那布尔书记和（新人办函[2000]159号）报张文岳副主席并财政厅批示申报项目，本项目属于专项业务费类。</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rPr>
        <w:t>580万元</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新疆人大杂志社</w:t>
      </w:r>
    </w:p>
    <w:p>
      <w:pPr>
        <w:spacing w:line="560" w:lineRule="exact"/>
        <w:ind w:firstLine="640" w:firstLineChars="200"/>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宋体" w:eastAsia="仿宋_GB2312" w:cs="宋体"/>
          <w:kern w:val="0"/>
          <w:sz w:val="32"/>
          <w:szCs w:val="32"/>
        </w:rPr>
        <w:t>奖金40万元，其他工资福利支出60万元，办公费（财政拨款）1万元，办公费（事业收入）5万元，印刷费300万元，邮电费88万元，取暖费1万元，差旅费2万元，培训费2万元，劳务费54万元，办公设备购置24万元，信息网络及软件购置3万元。</w:t>
      </w:r>
    </w:p>
    <w:p>
      <w:pPr>
        <w:spacing w:line="560" w:lineRule="exact"/>
        <w:ind w:firstLine="640" w:firstLineChars="200"/>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2020年</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八、关于新疆人大杂志社2020年一般公共预算“三公”经费预算情况说明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新疆人大杂志社2020年“三公”经费财政拨款预算数为 0万元，其中：因公出国（境）费 0万元，公务用车购置  0  万元，公务用车运行费0万元，公务接待费0万元。</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2020年“三公”经费财政拨款预算比上年增加（减少）   0万元，其中：因公出国（境）费增加（减少）0万元，主要原因是   ；公务用车购置费为0，未安排预算。[或公务用车购置费增加（减少）0 万元，主要原因是    ]；公务用车运行费增加（减少）0万元，主要原因是   ；公务接待费增加（减少）0万元，主要原因是     。</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本单位不涉及“三公经费”情况。</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九、关于新疆人大杂志社2020年政府性基金预算拨款情况说明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新疆人大杂志社2020年没有使用政府性基金预算拨款安排的支出，政府性基金预算支出情况表为空表。</w:t>
      </w: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*年，*本级及下属  家行政单位和  家事业单位的机关运行经费财政拨款预算     万元，比上年预算增加（减少）    万元，增长（下降）   %。主要原因是                  。</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2020年，*部门及下属单位政府采购预算   万元，其中：政府采购货物预算     万元，政府采购工程预算     万元，政府采购服务预算       万元。</w:t>
      </w:r>
    </w:p>
    <w:p>
      <w:pPr>
        <w:spacing w:line="560" w:lineRule="exact"/>
        <w:ind w:firstLine="640" w:firstLineChars="200"/>
        <w:rPr>
          <w:rFonts w:ascii="仿宋_GB2312" w:hAnsi="宋体" w:eastAsia="仿宋_GB2312" w:cs="宋体"/>
          <w:kern w:val="0"/>
          <w:sz w:val="32"/>
          <w:szCs w:val="32"/>
        </w:rPr>
      </w:pPr>
      <w:r>
        <w:rPr>
          <w:rFonts w:hint="eastAsia" w:ascii="仿宋_GB2312" w:hAnsi="仿宋_GB2312" w:eastAsia="仿宋_GB2312"/>
          <w:sz w:val="32"/>
        </w:rPr>
        <w:t>*年度本部门面向中小企业预留政府采购项目预算金额   万元，其中：面向小微企业预留政府采购项目预算金额    万元。</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截至*年底，*部门及下属各预算单位占用使用国有资产总体情况为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1.房屋    平方米，价值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2.车辆    辆，价值   万元；其中：一般公务用车  辆，价值   万元；执法执勤用车   辆，价值   万元；其他车辆  辆，价值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  台（套），单位价值100万元以上大型设备  台（套）。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*年部门预算未安排购置车辆经费（或安排购置车辆经费  万元），安排购置50万元以上大型设备  台（套），单位价值100万元以上大型设备  台（套）。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2020年度，本年度实行绩效管理的项目1个，涉及预算金额585万元。具体情况见下表（按项目分别填报）：</w:t>
      </w: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pgNumType w:fmt="numberInDash" w:start="24"/>
          <w:cols w:space="720" w:num="1"/>
          <w:docGrid w:type="lines" w:linePitch="312" w:charSpace="0"/>
        </w:sectPr>
      </w:pPr>
    </w:p>
    <w:tbl>
      <w:tblPr>
        <w:tblStyle w:val="7"/>
        <w:tblW w:w="1397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新疆人大杂志社</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《新疆人大》办刊经费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585</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580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vAlign w:val="top"/>
          </w:tcPr>
          <w:p>
            <w:pPr>
              <w:widowControl/>
              <w:jc w:val="left"/>
              <w:rPr>
                <w:rFonts w:ascii="宋体" w:hAnsi="宋体" w:cs="宋体"/>
                <w:kern w:val="0"/>
                <w:sz w:val="18"/>
                <w:szCs w:val="18"/>
              </w:rPr>
            </w:pPr>
            <w:r>
              <w:rPr>
                <w:rFonts w:hint="eastAsia" w:ascii="宋体" w:hAnsi="宋体" w:cs="宋体"/>
                <w:kern w:val="0"/>
                <w:sz w:val="18"/>
                <w:szCs w:val="18"/>
              </w:rPr>
              <w:t>　2020年《新疆人大》杂志继续实现全疆5级人大代表赠阅全覆盖，全疆大概6.6万人大代表，成为全疆各级人大和人大代表互通信息的桥梁、交流经验的园地、理论研究的阵地。杂志主要是宣传人民代表大会制度，宣传法律法规政策理论和自治区各级人大工作交流及服务各族人大代表，紧紧围绕自治区党委重要决策部署和常委会党组中心工作，成为全疆人大系统推进工作、交流学习的重要政治刊物。</w:t>
            </w:r>
          </w:p>
          <w:p>
            <w:pPr>
              <w:widowControl/>
              <w:jc w:val="left"/>
              <w:rPr>
                <w:rFonts w:ascii="宋体" w:hAnsi="宋体" w:cs="宋体"/>
                <w:kern w:val="0"/>
                <w:sz w:val="18"/>
                <w:szCs w:val="18"/>
              </w:rPr>
            </w:pPr>
            <w:r>
              <w:rPr>
                <w:rFonts w:hint="eastAsia" w:ascii="宋体" w:hAnsi="宋体" w:cs="宋体"/>
                <w:kern w:val="0"/>
                <w:sz w:val="18"/>
                <w:szCs w:val="18"/>
              </w:rPr>
              <w:t>全疆五级人大代表6.6万人左右，为实现各级人大交流全疆五级人大代表人手一册，每月发行约6.6万册左右，依据前3年决算办刊经费各项指标的平均数，以及2019年全疆五级代表6.6万人全覆盖进行赠阅的要求。2020年申请项目资金《新疆人大》办刊经费585万元，其中财政资金580万元，事业单位经营收入（杂志款）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宋体"/>
                <w:kern w:val="0"/>
                <w:sz w:val="18"/>
                <w:szCs w:val="18"/>
              </w:rPr>
            </w:pPr>
            <w:r>
              <w:rPr>
                <w:rFonts w:hint="eastAsia" w:ascii="宋体" w:hAnsi="宋体" w:cs="宋体"/>
                <w:kern w:val="0"/>
                <w:sz w:val="18"/>
                <w:szCs w:val="18"/>
              </w:rPr>
              <w:t>印刷费及邮电费　</w:t>
            </w:r>
          </w:p>
        </w:tc>
        <w:tc>
          <w:tcPr>
            <w:tcW w:w="3773" w:type="dxa"/>
            <w:gridSpan w:val="4"/>
            <w:tcBorders>
              <w:top w:val="single" w:color="000000"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369万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auto" w:sz="4" w:space="0"/>
            </w:tcBorders>
            <w:vAlign w:val="center"/>
          </w:tcPr>
          <w:p>
            <w:pPr>
              <w:widowControl/>
              <w:rPr>
                <w:rFonts w:ascii="宋体" w:hAnsi="宋体" w:cs="宋体"/>
                <w:kern w:val="0"/>
                <w:sz w:val="18"/>
                <w:szCs w:val="18"/>
              </w:rPr>
            </w:pPr>
            <w:r>
              <w:rPr>
                <w:rFonts w:hint="eastAsia" w:ascii="宋体" w:hAnsi="宋体" w:cs="宋体"/>
                <w:kern w:val="0"/>
                <w:sz w:val="18"/>
                <w:szCs w:val="18"/>
              </w:rPr>
              <w:t>办公费　</w:t>
            </w:r>
          </w:p>
        </w:tc>
        <w:tc>
          <w:tcPr>
            <w:tcW w:w="377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42万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 w:hRule="atLeast"/>
        </w:trPr>
        <w:tc>
          <w:tcPr>
            <w:tcW w:w="2195" w:type="dxa"/>
            <w:vMerge w:val="continue"/>
            <w:tcBorders>
              <w:left w:val="single" w:color="000000" w:sz="4" w:space="0"/>
              <w:bottom w:val="single" w:color="000000" w:sz="4" w:space="0"/>
              <w:right w:val="single" w:color="000000" w:sz="4" w:space="0"/>
            </w:tcBorders>
            <w:vAlign w:val="center"/>
          </w:tcPr>
          <w:p>
            <w:pPr>
              <w:widowControl/>
            </w:pPr>
          </w:p>
        </w:tc>
        <w:tc>
          <w:tcPr>
            <w:tcW w:w="1857" w:type="dxa"/>
            <w:vMerge w:val="continue"/>
            <w:tcBorders>
              <w:left w:val="single" w:color="000000" w:sz="4" w:space="0"/>
              <w:bottom w:val="single" w:color="000000" w:sz="4" w:space="0"/>
              <w:right w:val="single" w:color="000000" w:sz="4" w:space="0"/>
            </w:tcBorders>
            <w:vAlign w:val="center"/>
          </w:tcPr>
          <w:p>
            <w:pPr>
              <w:widowControl/>
            </w:pPr>
          </w:p>
        </w:tc>
        <w:tc>
          <w:tcPr>
            <w:tcW w:w="6148" w:type="dxa"/>
            <w:gridSpan w:val="7"/>
            <w:tcBorders>
              <w:top w:val="single" w:color="000000" w:sz="4" w:space="0"/>
              <w:left w:val="nil"/>
              <w:bottom w:val="single" w:color="000000" w:sz="4" w:space="0"/>
              <w:right w:val="single" w:color="auto" w:sz="4" w:space="0"/>
            </w:tcBorders>
            <w:vAlign w:val="center"/>
          </w:tcPr>
          <w:p>
            <w:pPr>
              <w:widowControl/>
              <w:rPr>
                <w:rFonts w:ascii="宋体" w:hAnsi="宋体" w:cs="宋体"/>
                <w:kern w:val="0"/>
                <w:sz w:val="18"/>
                <w:szCs w:val="18"/>
              </w:rPr>
            </w:pPr>
            <w:r>
              <w:rPr>
                <w:rFonts w:hint="eastAsia" w:ascii="宋体" w:hAnsi="宋体" w:cs="宋体"/>
                <w:kern w:val="0"/>
                <w:sz w:val="18"/>
                <w:szCs w:val="18"/>
              </w:rPr>
              <w:t>劳务费及人员经费</w:t>
            </w:r>
          </w:p>
        </w:tc>
        <w:tc>
          <w:tcPr>
            <w:tcW w:w="377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164万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投递及时率</w:t>
            </w:r>
          </w:p>
        </w:tc>
        <w:tc>
          <w:tcPr>
            <w:tcW w:w="3773" w:type="dxa"/>
            <w:gridSpan w:val="4"/>
            <w:tcBorders>
              <w:top w:val="single" w:color="auto"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公益赠阅数量</w:t>
            </w:r>
          </w:p>
        </w:tc>
        <w:tc>
          <w:tcPr>
            <w:tcW w:w="3773" w:type="dxa"/>
            <w:gridSpan w:val="4"/>
            <w:tcBorders>
              <w:top w:val="single" w:color="000000"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≥6.6万份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年发稿量</w:t>
            </w:r>
          </w:p>
        </w:tc>
        <w:tc>
          <w:tcPr>
            <w:tcW w:w="377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≥1300篇　</w:t>
            </w:r>
          </w:p>
        </w:tc>
      </w:tr>
      <w:tr>
        <w:tblPrEx>
          <w:tblCellMar>
            <w:top w:w="0" w:type="dxa"/>
            <w:left w:w="108" w:type="dxa"/>
            <w:bottom w:w="0" w:type="dxa"/>
            <w:right w:w="108" w:type="dxa"/>
          </w:tblCellMar>
        </w:tblPrEx>
        <w:trPr>
          <w:trHeight w:val="161" w:hRule="atLeast"/>
        </w:trPr>
        <w:tc>
          <w:tcPr>
            <w:tcW w:w="2195" w:type="dxa"/>
            <w:vMerge w:val="continue"/>
            <w:tcBorders>
              <w:left w:val="single" w:color="000000" w:sz="4" w:space="0"/>
              <w:bottom w:val="single" w:color="000000" w:sz="4" w:space="0"/>
              <w:right w:val="single" w:color="000000" w:sz="4" w:space="0"/>
            </w:tcBorders>
            <w:vAlign w:val="center"/>
          </w:tcPr>
          <w:p>
            <w:pPr>
              <w:widowControl/>
              <w:jc w:val="left"/>
            </w:pPr>
          </w:p>
        </w:tc>
        <w:tc>
          <w:tcPr>
            <w:tcW w:w="1857" w:type="dxa"/>
            <w:vMerge w:val="continue"/>
            <w:tcBorders>
              <w:left w:val="single" w:color="000000" w:sz="4" w:space="0"/>
              <w:bottom w:val="single" w:color="000000" w:sz="4" w:space="0"/>
              <w:right w:val="single" w:color="000000" w:sz="4" w:space="0"/>
            </w:tcBorders>
            <w:vAlign w:val="center"/>
          </w:tcPr>
          <w:p>
            <w:pPr>
              <w:widowControl/>
              <w:jc w:val="left"/>
            </w:pPr>
          </w:p>
        </w:tc>
        <w:tc>
          <w:tcPr>
            <w:tcW w:w="6148" w:type="dxa"/>
            <w:gridSpan w:val="7"/>
            <w:tcBorders>
              <w:top w:val="single" w:color="000000" w:sz="4" w:space="0"/>
              <w:left w:val="nil"/>
              <w:bottom w:val="single" w:color="000000"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年印点数量</w:t>
            </w:r>
          </w:p>
        </w:tc>
        <w:tc>
          <w:tcPr>
            <w:tcW w:w="377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pPr>
          </w:p>
        </w:tc>
        <w:tc>
          <w:tcPr>
            <w:tcW w:w="6148" w:type="dxa"/>
            <w:gridSpan w:val="7"/>
            <w:tcBorders>
              <w:top w:val="single" w:color="000000" w:sz="4" w:space="0"/>
              <w:left w:val="nil"/>
              <w:bottom w:val="single" w:color="000000"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设备采购数量</w:t>
            </w:r>
          </w:p>
        </w:tc>
        <w:tc>
          <w:tcPr>
            <w:tcW w:w="377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32个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 w:hRule="atLeast"/>
        </w:trPr>
        <w:tc>
          <w:tcPr>
            <w:tcW w:w="2195"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开办宣传专栏数量</w:t>
            </w:r>
          </w:p>
        </w:tc>
        <w:tc>
          <w:tcPr>
            <w:tcW w:w="377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区域覆盖率</w:t>
            </w:r>
          </w:p>
        </w:tc>
        <w:tc>
          <w:tcPr>
            <w:tcW w:w="3773"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报道首发率　</w:t>
            </w:r>
          </w:p>
        </w:tc>
        <w:tc>
          <w:tcPr>
            <w:tcW w:w="377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pPr>
          </w:p>
        </w:tc>
        <w:tc>
          <w:tcPr>
            <w:tcW w:w="6148" w:type="dxa"/>
            <w:gridSpan w:val="7"/>
            <w:tcBorders>
              <w:top w:val="single" w:color="000000" w:sz="4" w:space="0"/>
              <w:left w:val="nil"/>
              <w:bottom w:val="single" w:color="000000"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稿件原创率</w:t>
            </w:r>
          </w:p>
        </w:tc>
        <w:tc>
          <w:tcPr>
            <w:tcW w:w="377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重大舆情监测覆盖率</w:t>
            </w:r>
          </w:p>
        </w:tc>
        <w:tc>
          <w:tcPr>
            <w:tcW w:w="377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 w:hRule="atLeast"/>
        </w:trPr>
        <w:tc>
          <w:tcPr>
            <w:tcW w:w="2195"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6148"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5"/>
                <w:szCs w:val="15"/>
              </w:rPr>
            </w:pPr>
            <w:r>
              <w:rPr>
                <w:rFonts w:hint="eastAsia" w:ascii="宋体" w:hAnsi="宋体" w:cs="宋体"/>
                <w:kern w:val="0"/>
                <w:sz w:val="18"/>
                <w:szCs w:val="18"/>
              </w:rPr>
              <w:t>杂志设备政府采购率</w:t>
            </w:r>
          </w:p>
        </w:tc>
        <w:tc>
          <w:tcPr>
            <w:tcW w:w="3773" w:type="dxa"/>
            <w:gridSpan w:val="4"/>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auto"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经营收入</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5万元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杂志续订率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办公设备使用人员满意度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读者满意度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≥98%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720"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无</w:t>
      </w:r>
    </w:p>
    <w:p>
      <w:pPr>
        <w:widowControl/>
        <w:spacing w:line="52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w:t>
      </w:r>
    </w:p>
    <w:p>
      <w:pPr>
        <w:spacing w:line="520" w:lineRule="exact"/>
        <w:ind w:firstLine="642"/>
        <w:rPr>
          <w:rFonts w:ascii="仿宋_GB2312" w:eastAsia="仿宋_GB2312"/>
          <w:sz w:val="32"/>
          <w:szCs w:val="32"/>
        </w:rPr>
      </w:pPr>
      <w:r>
        <w:rPr>
          <w:rFonts w:hint="eastAsia" w:ascii="黑体" w:hAnsi="黑体" w:eastAsia="黑体"/>
          <w:sz w:val="32"/>
          <w:szCs w:val="32"/>
        </w:rPr>
        <w:t>三、其他资金：</w:t>
      </w:r>
      <w:r>
        <w:rPr>
          <w:rFonts w:hint="eastAsia" w:ascii="仿宋_GB2312" w:eastAsia="仿宋_GB2312"/>
          <w:sz w:val="32"/>
          <w:szCs w:val="32"/>
        </w:rPr>
        <w:t>包括事业收入等。</w:t>
      </w:r>
    </w:p>
    <w:p>
      <w:pPr>
        <w:spacing w:line="520" w:lineRule="exact"/>
        <w:ind w:firstLine="642"/>
        <w:rPr>
          <w:rFonts w:ascii="仿宋_GB2312" w:eastAsia="仿宋_GB2312"/>
          <w:sz w:val="32"/>
          <w:szCs w:val="32"/>
        </w:rPr>
      </w:pPr>
      <w:r>
        <w:rPr>
          <w:rFonts w:hint="eastAsia" w:ascii="黑体" w:hAnsi="黑体" w:eastAsia="黑体"/>
          <w:sz w:val="32"/>
          <w:szCs w:val="32"/>
        </w:rPr>
        <w:t>四、基本支出：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五、项目支出：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六、机关运行经费：</w:t>
      </w:r>
      <w:r>
        <w:rPr>
          <w:rFonts w:hint="eastAsia" w:ascii="仿宋_GB2312" w:eastAsia="仿宋_GB2312"/>
          <w:sz w:val="32"/>
          <w:szCs w:val="32"/>
        </w:rPr>
        <w:t>指各部门的公用经费，包括办公及印刷费、邮电费、差旅费、福利费、一般设备购置费及其他费用。</w:t>
      </w:r>
    </w:p>
    <w:p>
      <w:pPr>
        <w:widowControl/>
        <w:spacing w:line="520" w:lineRule="exact"/>
        <w:jc w:val="left"/>
        <w:rPr>
          <w:rFonts w:hint="eastAsia" w:ascii="仿宋_GB2312" w:hAnsi="宋体" w:eastAsia="仿宋_GB2312" w:cs="宋体"/>
          <w:kern w:val="0"/>
          <w:sz w:val="32"/>
          <w:szCs w:val="32"/>
        </w:rPr>
      </w:pPr>
      <w:bookmarkStart w:id="0" w:name="_GoBack"/>
      <w:bookmarkEnd w:id="0"/>
    </w:p>
    <w:p>
      <w:pPr>
        <w:widowControl/>
        <w:spacing w:line="520" w:lineRule="exact"/>
        <w:jc w:val="left"/>
        <w:rPr>
          <w:rFonts w:ascii="仿宋_GB2312" w:hAnsi="宋体" w:eastAsia="仿宋_GB2312" w:cs="宋体"/>
          <w:kern w:val="0"/>
          <w:sz w:val="32"/>
          <w:szCs w:val="32"/>
        </w:rPr>
      </w:pPr>
    </w:p>
    <w:p>
      <w:pPr>
        <w:widowControl/>
        <w:spacing w:line="520" w:lineRule="exact"/>
        <w:ind w:left="5760" w:hanging="5760" w:hangingChars="18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新疆人大杂志社                             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1</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16</w:t>
      </w:r>
      <w:r>
        <w:rPr>
          <w:rFonts w:ascii="仿宋_GB2312" w:hAnsi="宋体" w:eastAsia="仿宋_GB2312" w:cs="宋体"/>
          <w:kern w:val="0"/>
          <w:sz w:val="32"/>
          <w:szCs w:val="32"/>
        </w:rPr>
        <w:t>日</w:t>
      </w:r>
    </w:p>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auto"/>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rPr>
      <w:t>- 32 -</w:t>
    </w:r>
    <w:r>
      <w:rPr>
        <w:rFonts w:ascii="宋体" w:hAnsi="宋体" w:eastAsia="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2813D5"/>
    <w:multiLevelType w:val="singleLevel"/>
    <w:tmpl w:val="2D2813D5"/>
    <w:lvl w:ilvl="0" w:tentative="0">
      <w:start w:val="2"/>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805B53"/>
    <w:rsid w:val="0000110B"/>
    <w:rsid w:val="0012337C"/>
    <w:rsid w:val="00157FD1"/>
    <w:rsid w:val="001763AC"/>
    <w:rsid w:val="00570C5A"/>
    <w:rsid w:val="00580C61"/>
    <w:rsid w:val="005E72D8"/>
    <w:rsid w:val="00617CD7"/>
    <w:rsid w:val="0062011E"/>
    <w:rsid w:val="006A546B"/>
    <w:rsid w:val="00736703"/>
    <w:rsid w:val="007810D8"/>
    <w:rsid w:val="007F0897"/>
    <w:rsid w:val="00805B53"/>
    <w:rsid w:val="00C563A3"/>
    <w:rsid w:val="00CD05EC"/>
    <w:rsid w:val="00D47D37"/>
    <w:rsid w:val="00FF1487"/>
    <w:rsid w:val="0AB4074E"/>
    <w:rsid w:val="0F1F56A8"/>
    <w:rsid w:val="0F29117F"/>
    <w:rsid w:val="1101484C"/>
    <w:rsid w:val="12033466"/>
    <w:rsid w:val="12C25D51"/>
    <w:rsid w:val="26E57BB1"/>
    <w:rsid w:val="2D111098"/>
    <w:rsid w:val="2E482E0C"/>
    <w:rsid w:val="2E4D34C8"/>
    <w:rsid w:val="2EE62809"/>
    <w:rsid w:val="2F207CAE"/>
    <w:rsid w:val="30A732CD"/>
    <w:rsid w:val="319C2273"/>
    <w:rsid w:val="32E70D09"/>
    <w:rsid w:val="33215C4D"/>
    <w:rsid w:val="34FA6AED"/>
    <w:rsid w:val="36B87CE5"/>
    <w:rsid w:val="388A73F2"/>
    <w:rsid w:val="3ADF6DD9"/>
    <w:rsid w:val="3C467DAC"/>
    <w:rsid w:val="3E605E05"/>
    <w:rsid w:val="42B1230E"/>
    <w:rsid w:val="461D60AE"/>
    <w:rsid w:val="4B871DA6"/>
    <w:rsid w:val="4F5A3506"/>
    <w:rsid w:val="50193273"/>
    <w:rsid w:val="52845AAD"/>
    <w:rsid w:val="53194290"/>
    <w:rsid w:val="58E95145"/>
    <w:rsid w:val="5A286886"/>
    <w:rsid w:val="5A2C48F9"/>
    <w:rsid w:val="5A92199A"/>
    <w:rsid w:val="5B712A7D"/>
    <w:rsid w:val="5C574AC2"/>
    <w:rsid w:val="5E3B1027"/>
    <w:rsid w:val="60217ACF"/>
    <w:rsid w:val="67A306FE"/>
    <w:rsid w:val="68A23E99"/>
    <w:rsid w:val="6CB01D5E"/>
    <w:rsid w:val="6D6C0B02"/>
    <w:rsid w:val="6EB918D2"/>
    <w:rsid w:val="70F04A42"/>
    <w:rsid w:val="744C51E3"/>
    <w:rsid w:val="7CFE5B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alloon Text"/>
    <w:basedOn w:val="1"/>
    <w:link w:val="18"/>
    <w:semiHidden/>
    <w:qFormat/>
    <w:uiPriority w:val="0"/>
    <w:rPr>
      <w:sz w:val="18"/>
      <w:szCs w:val="18"/>
      <w:lang w:val="zh-CN"/>
    </w:rPr>
  </w:style>
  <w:style w:type="paragraph" w:styleId="3">
    <w:name w:val="footer"/>
    <w:basedOn w:val="1"/>
    <w:link w:val="17"/>
    <w:qFormat/>
    <w:uiPriority w:val="99"/>
    <w:pPr>
      <w:tabs>
        <w:tab w:val="center" w:pos="4153"/>
        <w:tab w:val="right" w:pos="8306"/>
      </w:tabs>
      <w:snapToGrid w:val="0"/>
      <w:jc w:val="left"/>
    </w:pPr>
    <w:rPr>
      <w:rFonts w:eastAsia="黑体"/>
      <w:snapToGrid w:val="0"/>
      <w:kern w:val="0"/>
      <w:sz w:val="18"/>
      <w:szCs w:val="18"/>
      <w:lang w:val="zh-CN"/>
    </w:rPr>
  </w:style>
  <w:style w:type="paragraph" w:styleId="4">
    <w:name w:val="header"/>
    <w:basedOn w:val="1"/>
    <w:link w:val="19"/>
    <w:qFormat/>
    <w:uiPriority w:val="0"/>
    <w:pPr>
      <w:pBdr>
        <w:bottom w:val="single" w:color="auto" w:sz="6" w:space="1"/>
      </w:pBdr>
      <w:tabs>
        <w:tab w:val="center" w:pos="4153"/>
        <w:tab w:val="right" w:pos="8306"/>
      </w:tabs>
      <w:snapToGrid w:val="0"/>
      <w:jc w:val="center"/>
    </w:pPr>
    <w:rPr>
      <w:sz w:val="18"/>
      <w:szCs w:val="18"/>
      <w:lang w:val="zh-CN"/>
    </w:rPr>
  </w:style>
  <w:style w:type="paragraph" w:styleId="5">
    <w:name w:val="Body Text Indent 3"/>
    <w:basedOn w:val="1"/>
    <w:link w:val="20"/>
    <w:qFormat/>
    <w:uiPriority w:val="0"/>
    <w:pPr>
      <w:pBdr>
        <w:top w:val="single" w:color="auto" w:sz="12" w:space="1"/>
        <w:bottom w:val="single" w:color="auto" w:sz="12" w:space="1"/>
      </w:pBdr>
      <w:spacing w:line="600" w:lineRule="exact"/>
      <w:ind w:left="1280" w:hanging="1280" w:hangingChars="400"/>
    </w:pPr>
    <w:rPr>
      <w:rFonts w:eastAsia="仿宋_GB2312"/>
      <w:sz w:val="32"/>
      <w:lang w:val="zh-CN"/>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rFonts w:cs="Times New Roman"/>
      <w:b/>
      <w:bCs/>
    </w:rPr>
  </w:style>
  <w:style w:type="character" w:styleId="11">
    <w:name w:val="page number"/>
    <w:basedOn w:val="9"/>
    <w:qFormat/>
    <w:uiPriority w:val="0"/>
  </w:style>
  <w:style w:type="paragraph" w:customStyle="1" w:styleId="12">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3">
    <w:name w:val="List Paragraph"/>
    <w:basedOn w:val="1"/>
    <w:qFormat/>
    <w:uiPriority w:val="34"/>
    <w:pPr>
      <w:ind w:firstLine="420" w:firstLineChars="200"/>
    </w:pPr>
    <w:rPr>
      <w:rFonts w:ascii="Calibri" w:hAnsi="Calibri"/>
      <w:szCs w:val="22"/>
    </w:rPr>
  </w:style>
  <w:style w:type="paragraph" w:customStyle="1" w:styleId="14">
    <w:name w:val="普通(网站)1"/>
    <w:basedOn w:val="1"/>
    <w:qFormat/>
    <w:uiPriority w:val="0"/>
    <w:rPr>
      <w:rFonts w:ascii="Calibri" w:hAnsi="Calibri" w:cs="黑体"/>
      <w:sz w:val="24"/>
    </w:rPr>
  </w:style>
  <w:style w:type="paragraph" w:customStyle="1" w:styleId="15">
    <w:name w:val="普通(网站)2"/>
    <w:basedOn w:val="1"/>
    <w:qFormat/>
    <w:uiPriority w:val="0"/>
    <w:rPr>
      <w:rFonts w:ascii="Calibri" w:hAnsi="Calibri" w:cs="黑体"/>
      <w:sz w:val="24"/>
    </w:rPr>
  </w:style>
  <w:style w:type="paragraph" w:customStyle="1" w:styleId="16">
    <w:name w:val="普通(网站)3"/>
    <w:basedOn w:val="1"/>
    <w:qFormat/>
    <w:uiPriority w:val="0"/>
    <w:rPr>
      <w:rFonts w:ascii="Calibri" w:hAnsi="Calibri" w:cs="黑体"/>
      <w:sz w:val="24"/>
    </w:rPr>
  </w:style>
  <w:style w:type="character" w:customStyle="1" w:styleId="17">
    <w:name w:val="页脚 Char"/>
    <w:basedOn w:val="9"/>
    <w:link w:val="3"/>
    <w:qFormat/>
    <w:uiPriority w:val="99"/>
    <w:rPr>
      <w:rFonts w:ascii="Times New Roman" w:hAnsi="Times New Roman" w:eastAsia="黑体" w:cs="Times New Roman"/>
      <w:snapToGrid w:val="0"/>
      <w:kern w:val="0"/>
      <w:sz w:val="18"/>
      <w:szCs w:val="18"/>
      <w:lang w:val="zh-CN" w:eastAsia="zh-CN"/>
    </w:rPr>
  </w:style>
  <w:style w:type="character" w:customStyle="1" w:styleId="18">
    <w:name w:val="批注框文本 Char"/>
    <w:basedOn w:val="9"/>
    <w:link w:val="2"/>
    <w:semiHidden/>
    <w:qFormat/>
    <w:uiPriority w:val="0"/>
    <w:rPr>
      <w:rFonts w:ascii="Times New Roman" w:hAnsi="Times New Roman" w:eastAsia="宋体" w:cs="Times New Roman"/>
      <w:sz w:val="18"/>
      <w:szCs w:val="18"/>
      <w:lang w:val="zh-CN" w:eastAsia="zh-CN"/>
    </w:rPr>
  </w:style>
  <w:style w:type="character" w:customStyle="1" w:styleId="19">
    <w:name w:val="页眉 Char"/>
    <w:basedOn w:val="9"/>
    <w:link w:val="4"/>
    <w:qFormat/>
    <w:uiPriority w:val="0"/>
    <w:rPr>
      <w:rFonts w:ascii="Times New Roman" w:hAnsi="Times New Roman" w:eastAsia="宋体" w:cs="Times New Roman"/>
      <w:sz w:val="18"/>
      <w:szCs w:val="18"/>
      <w:lang w:val="zh-CN" w:eastAsia="zh-CN"/>
    </w:rPr>
  </w:style>
  <w:style w:type="character" w:customStyle="1" w:styleId="20">
    <w:name w:val="正文文本缩进 3 Char"/>
    <w:basedOn w:val="9"/>
    <w:link w:val="5"/>
    <w:uiPriority w:val="0"/>
    <w:rPr>
      <w:rFonts w:ascii="Times New Roman" w:hAnsi="Times New Roman" w:eastAsia="仿宋_GB2312" w:cs="Times New Roman"/>
      <w:sz w:val="32"/>
      <w:szCs w:val="24"/>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29</Pages>
  <Words>1752</Words>
  <Characters>9993</Characters>
  <Lines>83</Lines>
  <Paragraphs>23</Paragraphs>
  <TotalTime>10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2020-01-09T10:36:00Z</dcterms:created>
  <dc:creator>Windows 用户</dc:creator>
  <cp:lastModifiedBy>Sweet Lady-killer</cp:lastModifiedBy>
  <cp:lastPrinted>2020-01-16T06:49:00Z</cp:lastPrinted>
  <dcterms:modified xsi:type="dcterms:W3CDTF">2021-05-28T08:51:28Z</dcterms:modified>
  <dc:title>附件：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KSOSaveFontToCloudKey">
    <vt:lpwstr>340218121_btnclosed</vt:lpwstr>
  </property>
  <property fmtid="{D5CDD505-2E9C-101B-9397-08002B2CF9AE}" pid="4" name="ICV">
    <vt:lpwstr>095B2F0D039448A3BB4EAEA4F9913308</vt:lpwstr>
  </property>
</Properties>
</file>