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方正小标宋_GBK" w:hAnsi="宋体" w:eastAsia="方正小标宋_GBK"/>
          <w:sz w:val="44"/>
          <w:szCs w:val="44"/>
        </w:rPr>
      </w:pPr>
      <w:bookmarkStart w:id="54" w:name="_GoBack"/>
      <w:bookmarkEnd w:id="54"/>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新疆迎宾馆2020年度部门决算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w:t>
      </w:r>
    </w:p>
    <w:p>
      <w:pPr>
        <w:jc w:val="center"/>
        <w:rPr>
          <w:rFonts w:ascii="仿宋_GB2312" w:hAnsi="仿宋_GB2312" w:eastAsia="仿宋_GB2312" w:cs="仿宋_GB2312"/>
          <w:b/>
          <w:kern w:val="0"/>
          <w:sz w:val="36"/>
          <w:szCs w:val="36"/>
        </w:rPr>
        <w:sectPr>
          <w:pgSz w:w="11906" w:h="16838"/>
          <w:pgMar w:top="2098" w:right="1531" w:bottom="1984" w:left="1531" w:header="851" w:footer="992" w:gutter="0"/>
          <w:pgNumType w:fmt="numberInDash"/>
          <w:cols w:space="720" w:num="1"/>
          <w:docGrid w:type="lines" w:linePitch="318" w:charSpace="0"/>
        </w:sectPr>
      </w:pP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HYPERLINK  \l "_Toc32314" </w:instrText>
      </w:r>
      <w:r>
        <w:fldChar w:fldCharType="separate"/>
      </w:r>
      <w:r>
        <w:rPr>
          <w:rFonts w:hint="eastAsia" w:ascii="仿宋_GB2312" w:hAnsi="仿宋_GB2312" w:eastAsia="仿宋_GB2312" w:cs="仿宋_GB2312"/>
          <w:b/>
          <w:bCs/>
          <w:sz w:val="32"/>
          <w:szCs w:val="32"/>
        </w:rPr>
        <w:t>第一部分 部门单位概况</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"_Toc30567" </w:instrText>
      </w:r>
      <w:r>
        <w:fldChar w:fldCharType="separate"/>
      </w:r>
      <w:r>
        <w:rPr>
          <w:rFonts w:hint="eastAsia" w:ascii="仿宋_GB2312" w:hAnsi="仿宋_GB2312" w:eastAsia="仿宋_GB2312" w:cs="仿宋_GB2312"/>
          <w:bCs/>
          <w:kern w:val="0"/>
          <w:sz w:val="32"/>
          <w:szCs w:val="32"/>
        </w:rPr>
        <w:t>一、主要职能</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"_Toc2151" </w:instrText>
      </w:r>
      <w:r>
        <w:fldChar w:fldCharType="separate"/>
      </w:r>
      <w:r>
        <w:rPr>
          <w:rFonts w:hint="eastAsia" w:ascii="仿宋_GB2312" w:hAnsi="仿宋_GB2312" w:eastAsia="仿宋_GB2312" w:cs="仿宋_GB2312"/>
          <w:bCs/>
          <w:kern w:val="0"/>
          <w:sz w:val="32"/>
          <w:szCs w:val="32"/>
        </w:rPr>
        <w:t>二、机构设置及人员情况</w:t>
      </w:r>
      <w: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HYPERLINK  \l "_Toc29374" </w:instrText>
      </w:r>
      <w:r>
        <w:fldChar w:fldCharType="separate"/>
      </w:r>
      <w:r>
        <w:rPr>
          <w:rFonts w:hint="eastAsia" w:ascii="仿宋_GB2312" w:hAnsi="仿宋_GB2312" w:eastAsia="仿宋_GB2312" w:cs="仿宋_GB2312"/>
          <w:b/>
          <w:bCs/>
          <w:sz w:val="32"/>
          <w:szCs w:val="32"/>
        </w:rPr>
        <w:t>第二部分 部门决算情况说明</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"_Toc25314" </w:instrText>
      </w:r>
      <w:r>
        <w:fldChar w:fldCharType="separate"/>
      </w:r>
      <w:r>
        <w:rPr>
          <w:rFonts w:hint="eastAsia" w:ascii="仿宋_GB2312" w:hAnsi="仿宋_GB2312" w:eastAsia="仿宋_GB2312" w:cs="仿宋_GB2312"/>
          <w:bCs/>
          <w:kern w:val="0"/>
          <w:sz w:val="32"/>
          <w:szCs w:val="32"/>
        </w:rPr>
        <w:t>一、收入支出决算总体情况说明</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"_Toc12142" </w:instrText>
      </w:r>
      <w:r>
        <w:fldChar w:fldCharType="separate"/>
      </w:r>
      <w:r>
        <w:rPr>
          <w:rFonts w:hint="eastAsia" w:ascii="仿宋_GB2312" w:hAnsi="仿宋_GB2312" w:eastAsia="仿宋_GB2312" w:cs="仿宋_GB2312"/>
          <w:bCs/>
          <w:kern w:val="0"/>
          <w:sz w:val="32"/>
          <w:szCs w:val="32"/>
        </w:rPr>
        <w:t>二、收入决算情况说明</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"_Toc13201" </w:instrText>
      </w:r>
      <w:r>
        <w:fldChar w:fldCharType="separate"/>
      </w:r>
      <w:r>
        <w:rPr>
          <w:rFonts w:hint="eastAsia" w:ascii="仿宋_GB2312" w:hAnsi="仿宋_GB2312" w:eastAsia="仿宋_GB2312" w:cs="仿宋_GB2312"/>
          <w:bCs/>
          <w:kern w:val="0"/>
          <w:sz w:val="32"/>
          <w:szCs w:val="32"/>
        </w:rPr>
        <w:t>三、支出决算情况说明</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fldChar w:fldCharType="end"/>
      </w:r>
    </w:p>
    <w:p>
      <w:pPr>
        <w:pStyle w:val="8"/>
        <w:tabs>
          <w:tab w:val="right" w:pos="8306"/>
        </w:tabs>
        <w:ind w:left="0" w:leftChars="0"/>
      </w:pPr>
      <w:r>
        <w:fldChar w:fldCharType="begin"/>
      </w:r>
      <w:r>
        <w:instrText xml:space="preserve">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fldChar w:fldCharType="end"/>
      </w:r>
    </w:p>
    <w:p>
      <w:pPr>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九、国有资本经营预算财政拨款收入支出决算情况说明</w:t>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"_Toc1235" </w:instrText>
      </w:r>
      <w:r>
        <w:fldChar w:fldCharType="separate"/>
      </w:r>
      <w:r>
        <w:rPr>
          <w:rFonts w:hint="eastAsia" w:ascii="仿宋_GB2312" w:hAnsi="仿宋_GB2312" w:eastAsia="仿宋_GB2312" w:cs="仿宋_GB2312"/>
          <w:bCs/>
          <w:kern w:val="0"/>
          <w:sz w:val="32"/>
          <w:szCs w:val="32"/>
        </w:rPr>
        <w:t>十、其他重要事项的情况说明</w:t>
      </w:r>
      <w: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HYPERLINK  \l "_Toc14519" </w:instrText>
      </w:r>
      <w:r>
        <w:fldChar w:fldCharType="separate"/>
      </w:r>
      <w:r>
        <w:rPr>
          <w:rFonts w:hint="eastAsia" w:ascii="仿宋_GB2312" w:hAnsi="仿宋_GB2312" w:eastAsia="仿宋_GB2312" w:cs="仿宋_GB2312"/>
          <w:sz w:val="32"/>
          <w:szCs w:val="32"/>
        </w:rPr>
        <w:t>（一）机关运行经费支出情况</w:t>
      </w:r>
      <w: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HYPERLINK  \l "_Toc227" </w:instrText>
      </w:r>
      <w:r>
        <w:fldChar w:fldCharType="separate"/>
      </w:r>
      <w:r>
        <w:rPr>
          <w:rFonts w:hint="eastAsia" w:ascii="仿宋_GB2312" w:hAnsi="仿宋_GB2312" w:eastAsia="仿宋_GB2312" w:cs="仿宋_GB2312"/>
          <w:sz w:val="32"/>
          <w:szCs w:val="32"/>
        </w:rPr>
        <w:t>（二）政府采购情况</w:t>
      </w:r>
      <w: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HYPERLINK  \l "_Toc8391" </w:instrText>
      </w:r>
      <w:r>
        <w:fldChar w:fldCharType="separate"/>
      </w:r>
      <w:r>
        <w:rPr>
          <w:rFonts w:hint="eastAsia" w:ascii="仿宋_GB2312" w:hAnsi="仿宋_GB2312" w:eastAsia="仿宋_GB2312" w:cs="仿宋_GB2312"/>
          <w:sz w:val="32"/>
          <w:szCs w:val="32"/>
        </w:rPr>
        <w:t>（三）国有资产占用情况说明</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"_Toc11283" </w:instrText>
      </w:r>
      <w:r>
        <w:fldChar w:fldCharType="separate"/>
      </w:r>
      <w:r>
        <w:rPr>
          <w:rFonts w:hint="eastAsia" w:ascii="仿宋_GB2312" w:hAnsi="仿宋_GB2312" w:eastAsia="仿宋_GB2312" w:cs="仿宋_GB2312"/>
          <w:bCs/>
          <w:kern w:val="0"/>
          <w:sz w:val="32"/>
          <w:szCs w:val="32"/>
        </w:rPr>
        <w:t>十一、预算绩效的情况说明</w:t>
      </w:r>
      <w: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HYPERLINK  \l "_Toc3250" </w:instrText>
      </w:r>
      <w:r>
        <w:fldChar w:fldCharType="separate"/>
      </w:r>
      <w:r>
        <w:rPr>
          <w:rFonts w:hint="eastAsia" w:ascii="仿宋_GB2312" w:hAnsi="仿宋_GB2312" w:eastAsia="仿宋_GB2312" w:cs="仿宋_GB2312"/>
          <w:b/>
          <w:bCs/>
          <w:sz w:val="32"/>
          <w:szCs w:val="32"/>
        </w:rPr>
        <w:t>第三部分 专业名词解释</w:t>
      </w:r>
      <w: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HYPERLINK  \l "_Toc22784" </w:instrText>
      </w:r>
      <w:r>
        <w:fldChar w:fldCharType="separate"/>
      </w:r>
      <w:r>
        <w:rPr>
          <w:rFonts w:hint="eastAsia" w:ascii="仿宋_GB2312" w:hAnsi="仿宋_GB2312" w:eastAsia="仿宋_GB2312" w:cs="仿宋_GB2312"/>
          <w:b/>
          <w:bCs/>
          <w:sz w:val="32"/>
          <w:szCs w:val="32"/>
        </w:rPr>
        <w:t>第四部分 部门决算报表（见附表）</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"_Toc2183" </w:instrText>
      </w:r>
      <w:r>
        <w:fldChar w:fldCharType="separate"/>
      </w:r>
      <w:r>
        <w:rPr>
          <w:rFonts w:hint="eastAsia" w:ascii="仿宋_GB2312" w:hAnsi="仿宋_GB2312" w:eastAsia="仿宋_GB2312" w:cs="仿宋_GB2312"/>
          <w:bCs/>
          <w:kern w:val="0"/>
          <w:sz w:val="32"/>
          <w:szCs w:val="32"/>
        </w:rPr>
        <w:t>一、《收入支出决算总表》</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"_Toc24532" </w:instrText>
      </w:r>
      <w:r>
        <w:fldChar w:fldCharType="separate"/>
      </w:r>
      <w:r>
        <w:rPr>
          <w:rFonts w:hint="eastAsia" w:ascii="仿宋_GB2312" w:hAnsi="仿宋_GB2312" w:eastAsia="仿宋_GB2312" w:cs="仿宋_GB2312"/>
          <w:bCs/>
          <w:kern w:val="0"/>
          <w:sz w:val="32"/>
          <w:szCs w:val="32"/>
        </w:rPr>
        <w:t>二、《收入决算表》</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"_Toc32434" </w:instrText>
      </w:r>
      <w:r>
        <w:fldChar w:fldCharType="separate"/>
      </w:r>
      <w:r>
        <w:rPr>
          <w:rFonts w:hint="eastAsia" w:ascii="仿宋_GB2312" w:hAnsi="仿宋_GB2312" w:eastAsia="仿宋_GB2312" w:cs="仿宋_GB2312"/>
          <w:bCs/>
          <w:kern w:val="0"/>
          <w:sz w:val="32"/>
          <w:szCs w:val="32"/>
        </w:rPr>
        <w:t>三、《支出决算表》</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"_Toc28786" </w:instrText>
      </w:r>
      <w:r>
        <w:fldChar w:fldCharType="separate"/>
      </w:r>
      <w:r>
        <w:rPr>
          <w:rFonts w:hint="eastAsia" w:ascii="仿宋_GB2312" w:hAnsi="仿宋_GB2312" w:eastAsia="仿宋_GB2312" w:cs="仿宋_GB2312"/>
          <w:bCs/>
          <w:kern w:val="0"/>
          <w:sz w:val="32"/>
          <w:szCs w:val="32"/>
        </w:rPr>
        <w:t>四、《财政拨款收入支出决算总表》</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fldChar w:fldCharType="end"/>
      </w:r>
    </w:p>
    <w:p>
      <w:pPr>
        <w:pStyle w:val="8"/>
        <w:tabs>
          <w:tab w:val="right" w:pos="8306"/>
        </w:tabs>
        <w:ind w:left="0" w:leftChars="0"/>
      </w:pPr>
      <w:r>
        <w:fldChar w:fldCharType="begin"/>
      </w:r>
      <w:r>
        <w:instrText xml:space="preserve">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fldChar w:fldCharType="end"/>
      </w:r>
    </w:p>
    <w:p>
      <w:pPr>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outlineLvl w:val="1"/>
        <w:rPr>
          <w:rFonts w:ascii="仿宋_GB2312" w:hAnsi="仿宋" w:eastAsia="仿宋_GB2312"/>
          <w:sz w:val="32"/>
          <w:szCs w:val="32"/>
        </w:rPr>
      </w:pPr>
      <w:r>
        <w:rPr>
          <w:rFonts w:hint="eastAsia" w:ascii="仿宋_GB2312" w:hAnsi="仿宋" w:eastAsia="仿宋_GB2312"/>
          <w:sz w:val="32"/>
          <w:szCs w:val="32"/>
        </w:rPr>
        <w:t>新疆迎宾馆是新疆维吾尔自治区政务接待宾馆,是自治区党委政府的工作活动场所，负责一类会议的接待。</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二、机构置及</w:t>
      </w:r>
      <w:bookmarkEnd w:id="4"/>
      <w:r>
        <w:rPr>
          <w:rFonts w:hint="eastAsia" w:ascii="黑体" w:hAnsi="黑体" w:eastAsia="黑体" w:cs="宋体"/>
          <w:bCs/>
          <w:kern w:val="0"/>
          <w:sz w:val="32"/>
          <w:szCs w:val="32"/>
        </w:rPr>
        <w:t>人员情况</w:t>
      </w:r>
      <w:bookmarkEnd w:id="5"/>
    </w:p>
    <w:p>
      <w:pPr>
        <w:ind w:firstLine="640" w:firstLineChars="200"/>
        <w:rPr>
          <w:rFonts w:ascii="仿宋_GB2312" w:eastAsia="仿宋_GB2312"/>
          <w:sz w:val="32"/>
          <w:szCs w:val="32"/>
        </w:rPr>
      </w:pPr>
      <w:r>
        <w:rPr>
          <w:rFonts w:hint="eastAsia" w:ascii="仿宋_GB2312" w:eastAsia="仿宋_GB2312"/>
          <w:sz w:val="32"/>
          <w:szCs w:val="32"/>
        </w:rPr>
        <w:t>新疆迎宾馆2020年度，实有人数259人，其中：在职人员111人，退休人员148人。</w:t>
      </w:r>
    </w:p>
    <w:p>
      <w:pPr>
        <w:ind w:firstLine="640" w:firstLineChars="200"/>
        <w:rPr>
          <w:rFonts w:ascii="仿宋_GB2312" w:hAnsi="宋体" w:eastAsia="仿宋_GB2312" w:cs="宋体"/>
          <w:kern w:val="0"/>
          <w:sz w:val="32"/>
          <w:szCs w:val="32"/>
        </w:rPr>
      </w:pPr>
      <w:r>
        <w:rPr>
          <w:rFonts w:hint="eastAsia" w:ascii="仿宋_GB2312" w:eastAsia="仿宋_GB2312"/>
          <w:sz w:val="32"/>
          <w:szCs w:val="32"/>
        </w:rPr>
        <w:t>从部门决算单位构成看，新疆迎宾馆决算包括：新疆迎宾馆。单位无下属预算单位，下设十个部门，分别是：办公室、人事部、财务审计部、工程部、园林部、工会、安全保卫部、餐饮部、客务部、营销部。</w:t>
      </w:r>
    </w:p>
    <w:p>
      <w:pPr>
        <w:ind w:firstLine="640" w:firstLineChars="200"/>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2020年度收入总额8373.52万元，与上年相比，增加999.32万元，增长14%，主要原因是：2020年疫情影响经营收入比上年减少1032.08万元，财政专项补助增加了2020.08万元。本年支出10594.41万元，与上年相比增加4146.75万元，增长65%，主要原因是：2020年增加园林绿化提升、疫情防控及经营缺口补助三个专项支出。</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hint="eastAsia" w:ascii="仿宋_GB2312" w:eastAsia="仿宋_GB2312"/>
          <w:sz w:val="32"/>
          <w:szCs w:val="32"/>
        </w:rPr>
        <w:t>2020年度本年收入8373.52万元，其中：财政拨款收入6454.52万元，占77%；上级补助收入0万元，占0%；事业收入0万元，占0%；经营收入1907.38万元，占23%；附属单位上缴收入0万元，占0%；其他收入11.62万元，占经营收入1%。</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2020年度本年支出10594.41万元，其中：基本支出2012.12万元，占19%；项目支出6674.91万元，占63%；上缴上级支出0万元，占0%；经营支出1907.38万元，占18%；对附属单位补助支出0万元，占0%。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2020年度财政拨款收入6454.52万元，与上年相比，增加2019.78万元，增长46 %。主要原因是：因疫情影响，财政专项补助项目增加。财政拨款支出8687.03万元，与上年相比，增加5178.83万元，增幅148%，主要原因是：增加了园林提升、疫情防控及经营缺口补助三个项目支出。</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2012.12万元，决算数6454.52万元，预决算差异率69%，主要原因是：年中追加项目资金。财政拨款支出年初预算数2012.12万元，决算数8687.03万元，预决算差异率77%，主要原因是：年中追加项目资金。</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hint="eastAsia" w:ascii="仿宋_GB2312" w:eastAsia="仿宋_GB2312"/>
          <w:sz w:val="32"/>
          <w:szCs w:val="32"/>
        </w:rPr>
        <w:t>2020年度一般公共预算财政拨款支出8687.03万元。按功能分类科目项级科目公开，其中：</w:t>
      </w:r>
    </w:p>
    <w:p>
      <w:pPr>
        <w:ind w:firstLine="640" w:firstLineChars="200"/>
        <w:rPr>
          <w:rFonts w:ascii="仿宋_GB2312" w:eastAsia="仿宋_GB2312"/>
          <w:sz w:val="32"/>
          <w:szCs w:val="32"/>
        </w:rPr>
      </w:pPr>
      <w:r>
        <w:rPr>
          <w:rFonts w:hint="eastAsia" w:ascii="仿宋_GB2312" w:eastAsia="仿宋_GB2312"/>
          <w:sz w:val="32"/>
          <w:szCs w:val="32"/>
        </w:rPr>
        <w:t>2010303机关服务1661.36万元;</w:t>
      </w:r>
    </w:p>
    <w:p>
      <w:pPr>
        <w:ind w:firstLine="640" w:firstLineChars="200"/>
        <w:rPr>
          <w:rFonts w:ascii="仿宋_GB2312" w:eastAsia="仿宋_GB2312"/>
          <w:sz w:val="32"/>
          <w:szCs w:val="32"/>
        </w:rPr>
      </w:pPr>
      <w:r>
        <w:rPr>
          <w:rFonts w:hint="eastAsia" w:ascii="仿宋_GB2312" w:eastAsia="仿宋_GB2312"/>
          <w:sz w:val="32"/>
          <w:szCs w:val="32"/>
        </w:rPr>
        <w:t>2010399其他政府办公厅（室）及相关机构事务支出6674.91万元；</w:t>
      </w:r>
    </w:p>
    <w:p>
      <w:pPr>
        <w:ind w:firstLine="640" w:firstLineChars="200"/>
        <w:rPr>
          <w:rFonts w:ascii="仿宋_GB2312" w:eastAsia="仿宋_GB2312"/>
          <w:sz w:val="32"/>
          <w:szCs w:val="32"/>
        </w:rPr>
      </w:pPr>
      <w:r>
        <w:rPr>
          <w:rFonts w:hint="eastAsia" w:ascii="仿宋_GB2312" w:eastAsia="仿宋_GB2312"/>
          <w:sz w:val="32"/>
          <w:szCs w:val="32"/>
        </w:rPr>
        <w:t>2080502事业单位离退休157.31万元；</w:t>
      </w:r>
    </w:p>
    <w:p>
      <w:pPr>
        <w:ind w:firstLine="640" w:firstLineChars="200"/>
        <w:rPr>
          <w:rFonts w:ascii="仿宋_GB2312" w:eastAsia="仿宋_GB2312"/>
          <w:sz w:val="32"/>
          <w:szCs w:val="32"/>
        </w:rPr>
      </w:pPr>
      <w:r>
        <w:rPr>
          <w:rFonts w:hint="eastAsia" w:ascii="仿宋_GB2312" w:eastAsia="仿宋_GB2312"/>
          <w:sz w:val="32"/>
          <w:szCs w:val="32"/>
        </w:rPr>
        <w:t>2080505机关事业单位基本养老保险缴费支出130.81万元；</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2080506机关事业单位职业年金缴费支出62.64万元。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2020年度一般公共预算财政拨款基本支出2012.12万元，其中：</w:t>
      </w:r>
    </w:p>
    <w:p>
      <w:pPr>
        <w:ind w:firstLine="640" w:firstLineChars="200"/>
        <w:rPr>
          <w:rFonts w:ascii="仿宋_GB2312" w:eastAsia="仿宋_GB2312"/>
          <w:sz w:val="32"/>
          <w:szCs w:val="32"/>
        </w:rPr>
      </w:pPr>
      <w:r>
        <w:rPr>
          <w:rFonts w:hint="eastAsia" w:ascii="仿宋_GB2312" w:eastAsia="仿宋_GB2312"/>
          <w:sz w:val="32"/>
          <w:szCs w:val="32"/>
        </w:rPr>
        <w:t>人员经费2012.12万元，包括：基本工资、津贴补贴、奖金、绩效工资、机关事业单位基本养老保险缴费、职业年金缴费、职工基本医疗保险缴费、住房公积金、其他工资福利支出、医疗费补助、其他对个人和家庭的补助。</w:t>
      </w:r>
    </w:p>
    <w:p>
      <w:pPr>
        <w:ind w:firstLine="640" w:firstLineChars="200"/>
        <w:rPr>
          <w:rFonts w:ascii="仿宋_GB2312" w:eastAsia="仿宋_GB2312"/>
          <w:sz w:val="32"/>
          <w:szCs w:val="32"/>
        </w:rPr>
      </w:pPr>
      <w:r>
        <w:rPr>
          <w:rFonts w:hint="eastAsia" w:ascii="仿宋_GB2312" w:eastAsia="仿宋_GB2312"/>
          <w:sz w:val="32"/>
          <w:szCs w:val="32"/>
        </w:rPr>
        <w:t>公用经费0万元。</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hint="eastAsia" w:ascii="仿宋_GB2312" w:eastAsia="仿宋_GB2312"/>
          <w:sz w:val="32"/>
          <w:szCs w:val="32"/>
        </w:rPr>
        <w:t>2020年度一般公共预算“三公”经费支出决算0万元，比上年增加0万元，增长0%。</w:t>
      </w:r>
      <w:r>
        <w:rPr>
          <w:rFonts w:hint="eastAsia" w:ascii="仿宋_GB2312" w:eastAsia="仿宋_GB2312"/>
          <w:color w:val="000000"/>
          <w:sz w:val="32"/>
          <w:szCs w:val="32"/>
        </w:rPr>
        <w:t>主要原因是：未安排“三公”经费。</w:t>
      </w:r>
      <w:r>
        <w:rPr>
          <w:rFonts w:hint="eastAsia" w:ascii="仿宋_GB2312" w:eastAsia="仿宋_GB2312"/>
          <w:sz w:val="32"/>
          <w:szCs w:val="32"/>
        </w:rPr>
        <w:t>其中，因公出国（境）费支出0万元，占0%，比上年增加0万元，增长0%，主要原因是未安排“三公”经费；公务用车购置及运行维护费支出0万元，占0%，比上年增加0万元，增长0%，主要原因是未安排“三公”经费；公务接待费支出0万元，占0%，比上年增加0万元，增长0%，主要原因是未安排“三公”经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因公出国（境）费支出0万元</w:t>
      </w:r>
      <w:r>
        <w:rPr>
          <w:rFonts w:hint="eastAsia" w:ascii="仿宋_GB2312" w:eastAsia="仿宋_GB2312"/>
          <w:color w:val="000000"/>
          <w:sz w:val="32"/>
          <w:szCs w:val="32"/>
        </w:rPr>
        <w:t>。开支内容包括：无。</w:t>
      </w:r>
      <w:r>
        <w:rPr>
          <w:rFonts w:hint="eastAsia" w:ascii="仿宋_GB2312" w:eastAsia="仿宋_GB2312"/>
          <w:sz w:val="32"/>
          <w:szCs w:val="32"/>
        </w:rPr>
        <w:t>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0万元，其中，公务用车购置费0万元，公务用车运行维护费0万元。公务用车运行维护费开支内容包括汽车维修0万元，过路费停车费0万元、车辆审验费0万元。公务用车购置数0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公务接待费0万元，开支内容包括：无。单位全年安排的国内公务接待0批次，0人次。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与年初预算数相比情况：一般公共预算“三公”经费支出年初预算数0万元，决算数0万元，预决算差异率0%；主要原因是：</w:t>
      </w:r>
      <w:r>
        <w:rPr>
          <w:rFonts w:hint="eastAsia" w:ascii="仿宋_GB2312" w:eastAsia="仿宋_GB2312"/>
          <w:color w:val="000000"/>
          <w:sz w:val="32"/>
          <w:szCs w:val="32"/>
        </w:rPr>
        <w:t>预算未安排“三公”经费。</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预算数0万元，决算数0万元，预决算差异率0%，主要原因是：预算未安排“三公”经费；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费预算数0万元，决算数0万元，预决算差异率0%，主要原因是：预算未安排“三公”经费；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预算数0万元，决算数0万元，预决算差异率0%，主要原因是：预算未安排“三公”经费；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预算数0万元，决算数0万元，预决算差异率0%，主要原因是：预算未安排“三公”经费。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hint="eastAsia" w:ascii="仿宋_GB2312" w:eastAsia="仿宋_GB2312"/>
          <w:sz w:val="32"/>
          <w:szCs w:val="32"/>
        </w:rPr>
        <w:t>新疆迎宾馆（事业单位）日常公用经费3495.43万元，比上年增加2224.73万元，增长183.87%,主要原因是增加了专用材料费、劳务费、取暖费。</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2020年度政府采购支出总额0万元，其中：政府采购货物支出0万元、政府采购工程支出0万元、政府采购服务支出0万元。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授予中小企业合同金额0万元，占政府采购支出总额的0%，其中：授予小微企业合同金额0万元，占政府采购支出总额的0%。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2020年12月31日，单位共有房屋59728.89（平方米），价值24756.83万元。车辆9辆，价值338.42万元，其中：副部（省）级及以上领导用车0辆、主要领导干部用车0辆、机要通信用车0辆、应急保障用车0辆、执法执勤用车0辆、特种专业技术用车0辆、离退休干部用车0辆、其他用车9辆，其他用车主要是：单位班车、日常采购用车及扫雪车；单位价值50万元以上通用设备8台、单位价值100万元以上专用设备1台。</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十一、预算绩效的情况说明</w:t>
      </w:r>
      <w:bookmarkEnd w:id="32"/>
      <w:bookmarkEnd w:id="33"/>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根据预算绩效管理要求，我单位2020年度开展预算绩效评价项目3个，共涉及资金4442.4万元。预算绩效管理取得的成效：一是服务接待水平持续提高；二是软硬件设施提升。发现的问题及原因：一是</w:t>
      </w:r>
      <w:r>
        <w:rPr>
          <w:rFonts w:hint="eastAsia" w:eastAsia="仿宋_GB2312"/>
          <w:sz w:val="32"/>
          <w:szCs w:val="32"/>
        </w:rPr>
        <w:t>绩效评价方面还有待加强；二是对项目的绩效评价报告质量还有待提高</w:t>
      </w:r>
      <w:r>
        <w:rPr>
          <w:rFonts w:hint="eastAsia" w:ascii="仿宋_GB2312" w:eastAsia="仿宋_GB2312"/>
          <w:sz w:val="32"/>
          <w:szCs w:val="32"/>
        </w:rPr>
        <w:t>。下一步改进措施：对</w:t>
      </w:r>
      <w:r>
        <w:rPr>
          <w:rFonts w:hint="eastAsia" w:eastAsia="仿宋_GB2312"/>
          <w:sz w:val="32"/>
          <w:szCs w:val="32"/>
        </w:rPr>
        <w:t>财政绩效评价系统加强学习。</w:t>
      </w:r>
      <w:r>
        <w:rPr>
          <w:rFonts w:hint="eastAsia" w:ascii="仿宋_GB2312" w:eastAsia="仿宋_GB2312"/>
          <w:sz w:val="32"/>
          <w:szCs w:val="32"/>
        </w:rPr>
        <w:t>具体项目自评情况附项目支出绩效自评表。</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spacing w:line="300" w:lineRule="exact"/>
        <w:rPr>
          <w:rFonts w:ascii="黑体" w:hAnsi="黑体" w:eastAsia="黑体"/>
          <w:sz w:val="32"/>
          <w:szCs w:val="32"/>
        </w:rPr>
      </w:pPr>
    </w:p>
    <w:tbl>
      <w:tblPr>
        <w:tblW w:w="924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
        <w:gridCol w:w="861"/>
        <w:gridCol w:w="766"/>
        <w:gridCol w:w="797"/>
        <w:gridCol w:w="730"/>
        <w:gridCol w:w="498"/>
        <w:gridCol w:w="865"/>
        <w:gridCol w:w="759"/>
        <w:gridCol w:w="802"/>
        <w:gridCol w:w="439"/>
        <w:gridCol w:w="439"/>
        <w:gridCol w:w="556"/>
        <w:gridCol w:w="556"/>
        <w:gridCol w:w="800"/>
        <w:gridCol w:w="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9246" w:type="dxa"/>
            <w:gridSpan w:val="15"/>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315" w:hRule="atLeast"/>
          <w:jc w:val="center"/>
        </w:trPr>
        <w:tc>
          <w:tcPr>
            <w:tcW w:w="8868" w:type="dxa"/>
            <w:gridSpan w:val="13"/>
            <w:tcMar>
              <w:top w:w="0" w:type="dxa"/>
              <w:left w:w="15" w:type="dxa"/>
              <w:bottom w:w="0" w:type="dxa"/>
              <w:right w:w="15" w:type="dxa"/>
            </w:tcMar>
            <w:vAlign w:val="center"/>
          </w:tcPr>
          <w:p>
            <w:pPr>
              <w:autoSpaceDN w:val="0"/>
              <w:jc w:val="center"/>
              <w:textAlignment w:val="center"/>
              <w:rPr>
                <w:rFonts w:ascii="宋体" w:hAnsi="宋体"/>
                <w:color w:val="000000"/>
                <w:sz w:val="24"/>
              </w:rPr>
            </w:pPr>
            <w:r>
              <w:rPr>
                <w:rFonts w:hint="eastAsia" w:ascii="宋体" w:hAnsi="宋体"/>
                <w:color w:val="000000"/>
                <w:sz w:val="24"/>
              </w:rPr>
              <w:t>(2020年度)1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300" w:hRule="atLeast"/>
          <w:jc w:val="center"/>
        </w:trPr>
        <w:tc>
          <w:tcPr>
            <w:tcW w:w="861" w:type="dxa"/>
            <w:tcMar>
              <w:top w:w="0" w:type="dxa"/>
              <w:left w:w="15" w:type="dxa"/>
              <w:bottom w:w="0" w:type="dxa"/>
              <w:right w:w="15" w:type="dxa"/>
            </w:tcMar>
            <w:vAlign w:val="center"/>
          </w:tcPr>
          <w:p>
            <w:pPr>
              <w:autoSpaceDN w:val="0"/>
              <w:jc w:val="left"/>
              <w:textAlignment w:val="center"/>
              <w:rPr>
                <w:rFonts w:ascii="Calibri" w:hAnsi="宋体"/>
                <w:color w:val="000000"/>
                <w:sz w:val="22"/>
              </w:rPr>
            </w:pPr>
          </w:p>
        </w:tc>
        <w:tc>
          <w:tcPr>
            <w:tcW w:w="766" w:type="dxa"/>
            <w:tcMar>
              <w:top w:w="0" w:type="dxa"/>
              <w:left w:w="15" w:type="dxa"/>
              <w:bottom w:w="0" w:type="dxa"/>
              <w:right w:w="15" w:type="dxa"/>
            </w:tcMar>
            <w:vAlign w:val="center"/>
          </w:tcPr>
          <w:p>
            <w:pPr>
              <w:autoSpaceDN w:val="0"/>
              <w:jc w:val="left"/>
              <w:textAlignment w:val="center"/>
              <w:rPr>
                <w:rFonts w:ascii="Calibri" w:hAnsi="宋体"/>
                <w:color w:val="000000"/>
                <w:sz w:val="22"/>
              </w:rPr>
            </w:pPr>
          </w:p>
        </w:tc>
        <w:tc>
          <w:tcPr>
            <w:tcW w:w="797" w:type="dxa"/>
            <w:tcMar>
              <w:top w:w="0" w:type="dxa"/>
              <w:left w:w="15" w:type="dxa"/>
              <w:bottom w:w="0" w:type="dxa"/>
              <w:right w:w="15" w:type="dxa"/>
            </w:tcMar>
            <w:vAlign w:val="center"/>
          </w:tcPr>
          <w:p>
            <w:pPr>
              <w:autoSpaceDN w:val="0"/>
              <w:jc w:val="left"/>
              <w:textAlignment w:val="center"/>
              <w:rPr>
                <w:rFonts w:ascii="Calibri" w:hAnsi="宋体"/>
                <w:color w:val="000000"/>
                <w:sz w:val="22"/>
              </w:rPr>
            </w:pPr>
          </w:p>
        </w:tc>
        <w:tc>
          <w:tcPr>
            <w:tcW w:w="730" w:type="dxa"/>
            <w:tcMar>
              <w:top w:w="0" w:type="dxa"/>
              <w:left w:w="15" w:type="dxa"/>
              <w:bottom w:w="0" w:type="dxa"/>
              <w:right w:w="15" w:type="dxa"/>
            </w:tcMar>
            <w:vAlign w:val="center"/>
          </w:tcPr>
          <w:p>
            <w:pPr>
              <w:autoSpaceDN w:val="0"/>
              <w:jc w:val="left"/>
              <w:textAlignment w:val="center"/>
              <w:rPr>
                <w:rFonts w:ascii="Calibri" w:hAnsi="宋体"/>
                <w:color w:val="000000"/>
                <w:sz w:val="22"/>
              </w:rPr>
            </w:pPr>
          </w:p>
        </w:tc>
        <w:tc>
          <w:tcPr>
            <w:tcW w:w="498" w:type="dxa"/>
            <w:tcMar>
              <w:top w:w="0" w:type="dxa"/>
              <w:left w:w="15" w:type="dxa"/>
              <w:bottom w:w="0" w:type="dxa"/>
              <w:right w:w="15" w:type="dxa"/>
            </w:tcMar>
            <w:vAlign w:val="center"/>
          </w:tcPr>
          <w:p>
            <w:pPr>
              <w:autoSpaceDN w:val="0"/>
              <w:jc w:val="left"/>
              <w:textAlignment w:val="center"/>
              <w:rPr>
                <w:rFonts w:ascii="Calibri" w:hAnsi="宋体"/>
                <w:color w:val="000000"/>
                <w:sz w:val="22"/>
              </w:rPr>
            </w:pPr>
          </w:p>
        </w:tc>
        <w:tc>
          <w:tcPr>
            <w:tcW w:w="865" w:type="dxa"/>
            <w:tcMar>
              <w:top w:w="0" w:type="dxa"/>
              <w:left w:w="15" w:type="dxa"/>
              <w:bottom w:w="0" w:type="dxa"/>
              <w:right w:w="15" w:type="dxa"/>
            </w:tcMar>
            <w:vAlign w:val="center"/>
          </w:tcPr>
          <w:p>
            <w:pPr>
              <w:autoSpaceDN w:val="0"/>
              <w:jc w:val="left"/>
              <w:textAlignment w:val="center"/>
              <w:rPr>
                <w:rFonts w:ascii="等线" w:hAnsi="宋体"/>
                <w:color w:val="000000"/>
                <w:sz w:val="22"/>
              </w:rPr>
            </w:pPr>
          </w:p>
        </w:tc>
        <w:tc>
          <w:tcPr>
            <w:tcW w:w="759" w:type="dxa"/>
            <w:tcMar>
              <w:top w:w="0" w:type="dxa"/>
              <w:left w:w="15" w:type="dxa"/>
              <w:bottom w:w="0" w:type="dxa"/>
              <w:right w:w="15" w:type="dxa"/>
            </w:tcMar>
            <w:vAlign w:val="center"/>
          </w:tcPr>
          <w:p>
            <w:pPr>
              <w:autoSpaceDN w:val="0"/>
              <w:jc w:val="left"/>
              <w:textAlignment w:val="center"/>
              <w:rPr>
                <w:rFonts w:ascii="等线" w:hAnsi="宋体"/>
                <w:color w:val="000000"/>
                <w:sz w:val="22"/>
              </w:rPr>
            </w:pPr>
          </w:p>
        </w:tc>
        <w:tc>
          <w:tcPr>
            <w:tcW w:w="802" w:type="dxa"/>
            <w:tcMar>
              <w:top w:w="0" w:type="dxa"/>
              <w:left w:w="15" w:type="dxa"/>
              <w:bottom w:w="0" w:type="dxa"/>
              <w:right w:w="15" w:type="dxa"/>
            </w:tcMar>
            <w:vAlign w:val="center"/>
          </w:tcPr>
          <w:p>
            <w:pPr>
              <w:autoSpaceDN w:val="0"/>
              <w:jc w:val="left"/>
              <w:textAlignment w:val="center"/>
              <w:rPr>
                <w:rFonts w:ascii="等线" w:hAnsi="宋体"/>
                <w:color w:val="000000"/>
                <w:sz w:val="22"/>
              </w:rPr>
            </w:pPr>
          </w:p>
        </w:tc>
        <w:tc>
          <w:tcPr>
            <w:tcW w:w="439" w:type="dxa"/>
            <w:tcMar>
              <w:top w:w="0" w:type="dxa"/>
              <w:left w:w="15" w:type="dxa"/>
              <w:bottom w:w="0" w:type="dxa"/>
              <w:right w:w="15" w:type="dxa"/>
            </w:tcMar>
            <w:vAlign w:val="center"/>
          </w:tcPr>
          <w:p>
            <w:pPr>
              <w:autoSpaceDN w:val="0"/>
              <w:jc w:val="left"/>
              <w:textAlignment w:val="center"/>
              <w:rPr>
                <w:rFonts w:ascii="等线" w:hAnsi="宋体"/>
                <w:color w:val="000000"/>
                <w:sz w:val="22"/>
              </w:rPr>
            </w:pPr>
          </w:p>
        </w:tc>
        <w:tc>
          <w:tcPr>
            <w:tcW w:w="439" w:type="dxa"/>
            <w:tcMar>
              <w:top w:w="0" w:type="dxa"/>
              <w:left w:w="15" w:type="dxa"/>
              <w:bottom w:w="0" w:type="dxa"/>
              <w:right w:w="15" w:type="dxa"/>
            </w:tcMar>
            <w:vAlign w:val="center"/>
          </w:tcPr>
          <w:p>
            <w:pPr>
              <w:autoSpaceDN w:val="0"/>
              <w:jc w:val="left"/>
              <w:textAlignment w:val="center"/>
              <w:rPr>
                <w:rFonts w:ascii="等线" w:hAnsi="宋体"/>
                <w:color w:val="000000"/>
                <w:sz w:val="22"/>
              </w:rPr>
            </w:pPr>
          </w:p>
        </w:tc>
        <w:tc>
          <w:tcPr>
            <w:tcW w:w="556" w:type="dxa"/>
            <w:tcMar>
              <w:top w:w="0" w:type="dxa"/>
              <w:left w:w="15" w:type="dxa"/>
              <w:bottom w:w="0" w:type="dxa"/>
              <w:right w:w="15" w:type="dxa"/>
            </w:tcMar>
            <w:vAlign w:val="center"/>
          </w:tcPr>
          <w:p>
            <w:pPr>
              <w:autoSpaceDN w:val="0"/>
              <w:jc w:val="left"/>
              <w:textAlignment w:val="center"/>
              <w:rPr>
                <w:rFonts w:ascii="等线" w:hAnsi="宋体"/>
                <w:color w:val="000000"/>
                <w:sz w:val="22"/>
              </w:rPr>
            </w:pPr>
          </w:p>
        </w:tc>
        <w:tc>
          <w:tcPr>
            <w:tcW w:w="556" w:type="dxa"/>
            <w:tcMar>
              <w:top w:w="0" w:type="dxa"/>
              <w:left w:w="15" w:type="dxa"/>
              <w:bottom w:w="0" w:type="dxa"/>
              <w:right w:w="15" w:type="dxa"/>
            </w:tcMar>
            <w:vAlign w:val="center"/>
          </w:tcPr>
          <w:p>
            <w:pPr>
              <w:autoSpaceDN w:val="0"/>
              <w:jc w:val="left"/>
              <w:textAlignment w:val="center"/>
              <w:rPr>
                <w:rFonts w:ascii="等线" w:hAnsi="宋体"/>
                <w:color w:val="000000"/>
                <w:sz w:val="22"/>
              </w:rPr>
            </w:pPr>
          </w:p>
        </w:tc>
        <w:tc>
          <w:tcPr>
            <w:tcW w:w="800" w:type="dxa"/>
            <w:tcMar>
              <w:top w:w="0" w:type="dxa"/>
              <w:left w:w="15" w:type="dxa"/>
              <w:bottom w:w="0" w:type="dxa"/>
              <w:right w:w="15" w:type="dxa"/>
            </w:tcMar>
            <w:vAlign w:val="center"/>
          </w:tcPr>
          <w:p>
            <w:pPr>
              <w:autoSpaceDN w:val="0"/>
              <w:jc w:val="left"/>
              <w:textAlignment w:val="center"/>
              <w:rPr>
                <w:rFonts w:ascii="等线" w:hAnsi="宋体"/>
                <w:color w:val="00000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435" w:hRule="atLeast"/>
          <w:jc w:val="center"/>
        </w:trPr>
        <w:tc>
          <w:tcPr>
            <w:tcW w:w="861"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宋体" w:hAnsi="宋体"/>
                <w:color w:val="000000"/>
                <w:sz w:val="24"/>
              </w:rPr>
            </w:pPr>
            <w:r>
              <w:rPr>
                <w:rFonts w:hint="eastAsia" w:ascii="宋体" w:hAnsi="宋体"/>
                <w:color w:val="000000"/>
                <w:sz w:val="24"/>
              </w:rPr>
              <w:t>项目名称</w:t>
            </w:r>
          </w:p>
        </w:tc>
        <w:tc>
          <w:tcPr>
            <w:tcW w:w="8007" w:type="dxa"/>
            <w:gridSpan w:val="1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新疆迎宾馆运行缺口专项补助资金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615" w:hRule="atLeast"/>
          <w:jc w:val="center"/>
        </w:trPr>
        <w:tc>
          <w:tcPr>
            <w:tcW w:w="861"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宋体" w:hAnsi="宋体"/>
                <w:color w:val="000000"/>
                <w:sz w:val="24"/>
              </w:rPr>
            </w:pPr>
            <w:r>
              <w:rPr>
                <w:rFonts w:hint="eastAsia" w:ascii="宋体" w:hAnsi="宋体"/>
                <w:color w:val="000000"/>
                <w:sz w:val="24"/>
              </w:rPr>
              <w:t>预算单位</w:t>
            </w:r>
          </w:p>
        </w:tc>
        <w:tc>
          <w:tcPr>
            <w:tcW w:w="3656" w:type="dxa"/>
            <w:gridSpan w:val="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新疆迎宾馆</w:t>
            </w:r>
          </w:p>
        </w:tc>
        <w:tc>
          <w:tcPr>
            <w:tcW w:w="1561"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实施单位</w:t>
            </w:r>
          </w:p>
        </w:tc>
        <w:tc>
          <w:tcPr>
            <w:tcW w:w="2790" w:type="dxa"/>
            <w:gridSpan w:val="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新疆迎宾馆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900" w:hRule="atLeast"/>
          <w:jc w:val="center"/>
        </w:trPr>
        <w:tc>
          <w:tcPr>
            <w:tcW w:w="861" w:type="dxa"/>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宋体" w:hAnsi="宋体"/>
                <w:color w:val="000000"/>
                <w:sz w:val="24"/>
              </w:rPr>
            </w:pPr>
            <w:r>
              <w:rPr>
                <w:rFonts w:hint="eastAsia" w:ascii="宋体" w:hAnsi="宋体"/>
                <w:color w:val="000000"/>
                <w:sz w:val="24"/>
              </w:rPr>
              <w:t>预算执行情况（万元）</w:t>
            </w:r>
          </w:p>
        </w:tc>
        <w:tc>
          <w:tcPr>
            <w:tcW w:w="1563"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##cfx##</w:t>
            </w:r>
          </w:p>
        </w:tc>
        <w:tc>
          <w:tcPr>
            <w:tcW w:w="73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年初预算数</w:t>
            </w:r>
          </w:p>
        </w:tc>
        <w:tc>
          <w:tcPr>
            <w:tcW w:w="1363"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全年预算数</w:t>
            </w:r>
          </w:p>
        </w:tc>
        <w:tc>
          <w:tcPr>
            <w:tcW w:w="1561"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全年执行数</w:t>
            </w:r>
          </w:p>
        </w:tc>
        <w:tc>
          <w:tcPr>
            <w:tcW w:w="878"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分值</w:t>
            </w:r>
          </w:p>
        </w:tc>
        <w:tc>
          <w:tcPr>
            <w:tcW w:w="1112"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执行率</w:t>
            </w:r>
          </w:p>
        </w:tc>
        <w:tc>
          <w:tcPr>
            <w:tcW w:w="80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318" w:hRule="atLeast"/>
          <w:jc w:val="center"/>
        </w:trPr>
        <w:tc>
          <w:tcPr>
            <w:tcW w:w="86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sz w:val="24"/>
              </w:rPr>
            </w:pPr>
          </w:p>
        </w:tc>
        <w:tc>
          <w:tcPr>
            <w:tcW w:w="1563" w:type="dxa"/>
            <w:gridSpan w:val="2"/>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年度资金总额</w:t>
            </w:r>
          </w:p>
        </w:tc>
        <w:tc>
          <w:tcPr>
            <w:tcW w:w="730" w:type="dxa"/>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0.00</w:t>
            </w:r>
          </w:p>
        </w:tc>
        <w:tc>
          <w:tcPr>
            <w:tcW w:w="1363" w:type="dxa"/>
            <w:gridSpan w:val="2"/>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2300.00</w:t>
            </w:r>
          </w:p>
        </w:tc>
        <w:tc>
          <w:tcPr>
            <w:tcW w:w="1561" w:type="dxa"/>
            <w:gridSpan w:val="2"/>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2300.00</w:t>
            </w:r>
          </w:p>
        </w:tc>
        <w:tc>
          <w:tcPr>
            <w:tcW w:w="878" w:type="dxa"/>
            <w:gridSpan w:val="2"/>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w:t>
            </w:r>
          </w:p>
        </w:tc>
        <w:tc>
          <w:tcPr>
            <w:tcW w:w="1112" w:type="dxa"/>
            <w:gridSpan w:val="2"/>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100.00</w:t>
            </w:r>
          </w:p>
        </w:tc>
        <w:tc>
          <w:tcPr>
            <w:tcW w:w="800" w:type="dxa"/>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318" w:hRule="atLeast"/>
          <w:jc w:val="center"/>
        </w:trPr>
        <w:tc>
          <w:tcPr>
            <w:tcW w:w="86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sz w:val="24"/>
              </w:rPr>
            </w:pPr>
          </w:p>
        </w:tc>
        <w:tc>
          <w:tcPr>
            <w:tcW w:w="1563"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73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1363"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1561"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87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1112"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80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420" w:hRule="atLeast"/>
          <w:jc w:val="center"/>
        </w:trPr>
        <w:tc>
          <w:tcPr>
            <w:tcW w:w="86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sz w:val="24"/>
              </w:rPr>
            </w:pPr>
          </w:p>
        </w:tc>
        <w:tc>
          <w:tcPr>
            <w:tcW w:w="1563"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其中：当年财政拨款</w:t>
            </w:r>
          </w:p>
        </w:tc>
        <w:tc>
          <w:tcPr>
            <w:tcW w:w="73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0</w:t>
            </w:r>
          </w:p>
        </w:tc>
        <w:tc>
          <w:tcPr>
            <w:tcW w:w="1363"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2300</w:t>
            </w:r>
          </w:p>
        </w:tc>
        <w:tc>
          <w:tcPr>
            <w:tcW w:w="1561"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2300</w:t>
            </w:r>
          </w:p>
        </w:tc>
        <w:tc>
          <w:tcPr>
            <w:tcW w:w="878"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w:t>
            </w:r>
          </w:p>
        </w:tc>
        <w:tc>
          <w:tcPr>
            <w:tcW w:w="1112"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w:t>
            </w:r>
          </w:p>
        </w:tc>
        <w:tc>
          <w:tcPr>
            <w:tcW w:w="80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435" w:hRule="atLeast"/>
          <w:jc w:val="center"/>
        </w:trPr>
        <w:tc>
          <w:tcPr>
            <w:tcW w:w="86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sz w:val="24"/>
              </w:rPr>
            </w:pPr>
          </w:p>
        </w:tc>
        <w:tc>
          <w:tcPr>
            <w:tcW w:w="1563"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 xml:space="preserve">      上年结转资金</w:t>
            </w:r>
          </w:p>
        </w:tc>
        <w:tc>
          <w:tcPr>
            <w:tcW w:w="73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0</w:t>
            </w:r>
          </w:p>
        </w:tc>
        <w:tc>
          <w:tcPr>
            <w:tcW w:w="1363"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0</w:t>
            </w:r>
          </w:p>
        </w:tc>
        <w:tc>
          <w:tcPr>
            <w:tcW w:w="1561"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0</w:t>
            </w:r>
          </w:p>
        </w:tc>
        <w:tc>
          <w:tcPr>
            <w:tcW w:w="878"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w:t>
            </w:r>
          </w:p>
        </w:tc>
        <w:tc>
          <w:tcPr>
            <w:tcW w:w="1112"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w:t>
            </w:r>
          </w:p>
        </w:tc>
        <w:tc>
          <w:tcPr>
            <w:tcW w:w="80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435" w:hRule="atLeast"/>
          <w:jc w:val="center"/>
        </w:trPr>
        <w:tc>
          <w:tcPr>
            <w:tcW w:w="86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sz w:val="24"/>
              </w:rPr>
            </w:pPr>
          </w:p>
        </w:tc>
        <w:tc>
          <w:tcPr>
            <w:tcW w:w="1563"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 xml:space="preserve">  其他资金</w:t>
            </w:r>
          </w:p>
        </w:tc>
        <w:tc>
          <w:tcPr>
            <w:tcW w:w="73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0</w:t>
            </w:r>
          </w:p>
        </w:tc>
        <w:tc>
          <w:tcPr>
            <w:tcW w:w="1363"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0</w:t>
            </w:r>
          </w:p>
        </w:tc>
        <w:tc>
          <w:tcPr>
            <w:tcW w:w="1561"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0</w:t>
            </w:r>
          </w:p>
        </w:tc>
        <w:tc>
          <w:tcPr>
            <w:tcW w:w="878"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w:t>
            </w:r>
          </w:p>
        </w:tc>
        <w:tc>
          <w:tcPr>
            <w:tcW w:w="1112"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w:t>
            </w:r>
          </w:p>
        </w:tc>
        <w:tc>
          <w:tcPr>
            <w:tcW w:w="80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435" w:hRule="atLeast"/>
          <w:jc w:val="center"/>
        </w:trPr>
        <w:tc>
          <w:tcPr>
            <w:tcW w:w="861" w:type="dxa"/>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宋体" w:hAnsi="宋体"/>
                <w:color w:val="000000"/>
                <w:sz w:val="24"/>
              </w:rPr>
            </w:pPr>
            <w:r>
              <w:rPr>
                <w:rFonts w:hint="eastAsia" w:ascii="宋体" w:hAnsi="宋体"/>
                <w:color w:val="000000"/>
                <w:sz w:val="24"/>
              </w:rPr>
              <w:t>年度目标完成情况</w:t>
            </w:r>
          </w:p>
        </w:tc>
        <w:tc>
          <w:tcPr>
            <w:tcW w:w="4415"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预期目标</w:t>
            </w:r>
          </w:p>
        </w:tc>
        <w:tc>
          <w:tcPr>
            <w:tcW w:w="3592"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435" w:hRule="atLeast"/>
          <w:jc w:val="center"/>
        </w:trPr>
        <w:tc>
          <w:tcPr>
            <w:tcW w:w="86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sz w:val="24"/>
              </w:rPr>
            </w:pPr>
          </w:p>
        </w:tc>
        <w:tc>
          <w:tcPr>
            <w:tcW w:w="4415" w:type="dxa"/>
            <w:gridSpan w:val="6"/>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等线" w:hAnsi="宋体"/>
                <w:color w:val="000000"/>
                <w:sz w:val="20"/>
              </w:rPr>
            </w:pPr>
            <w:r>
              <w:rPr>
                <w:rFonts w:hint="eastAsia" w:ascii="等线" w:hAnsi="宋体"/>
                <w:color w:val="000000"/>
                <w:sz w:val="20"/>
              </w:rPr>
              <w:t xml:space="preserve">为进一步推动宾馆各项建设持续稳定发展，高标准履行好政务保障接待职能。    </w:t>
            </w:r>
          </w:p>
        </w:tc>
        <w:tc>
          <w:tcPr>
            <w:tcW w:w="3592" w:type="dxa"/>
            <w:gridSpan w:val="6"/>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等线" w:hAnsi="宋体"/>
                <w:color w:val="000000"/>
                <w:sz w:val="20"/>
              </w:rPr>
            </w:pPr>
            <w:r>
              <w:rPr>
                <w:rFonts w:hint="eastAsia" w:ascii="等线" w:hAnsi="宋体"/>
                <w:color w:val="000000"/>
                <w:sz w:val="20"/>
              </w:rPr>
              <w:t>推进宾馆各项建设持续稳定发展，高标准完成各项政务接待任务,政务服务保障工作有效提升。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435" w:hRule="atLeast"/>
          <w:jc w:val="center"/>
        </w:trPr>
        <w:tc>
          <w:tcPr>
            <w:tcW w:w="86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sz w:val="24"/>
              </w:rPr>
            </w:pPr>
          </w:p>
        </w:tc>
        <w:tc>
          <w:tcPr>
            <w:tcW w:w="4415" w:type="dxa"/>
            <w:gridSpan w:val="6"/>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3592" w:type="dxa"/>
            <w:gridSpan w:val="6"/>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318" w:hRule="atLeast"/>
          <w:jc w:val="center"/>
        </w:trPr>
        <w:tc>
          <w:tcPr>
            <w:tcW w:w="86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sz w:val="24"/>
              </w:rPr>
            </w:pPr>
          </w:p>
        </w:tc>
        <w:tc>
          <w:tcPr>
            <w:tcW w:w="4415" w:type="dxa"/>
            <w:gridSpan w:val="6"/>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3592" w:type="dxa"/>
            <w:gridSpan w:val="6"/>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780" w:hRule="atLeast"/>
          <w:jc w:val="center"/>
        </w:trPr>
        <w:tc>
          <w:tcPr>
            <w:tcW w:w="861"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宋体" w:hAnsi="宋体"/>
                <w:color w:val="000000"/>
                <w:sz w:val="24"/>
              </w:rPr>
            </w:pPr>
          </w:p>
        </w:tc>
        <w:tc>
          <w:tcPr>
            <w:tcW w:w="766"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一级指标</w:t>
            </w:r>
          </w:p>
        </w:tc>
        <w:tc>
          <w:tcPr>
            <w:tcW w:w="797"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二级指标</w:t>
            </w:r>
          </w:p>
        </w:tc>
        <w:tc>
          <w:tcPr>
            <w:tcW w:w="2093"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三级指标</w:t>
            </w:r>
          </w:p>
        </w:tc>
        <w:tc>
          <w:tcPr>
            <w:tcW w:w="75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年度指标值</w:t>
            </w:r>
          </w:p>
        </w:tc>
        <w:tc>
          <w:tcPr>
            <w:tcW w:w="802"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实际完成值</w:t>
            </w:r>
          </w:p>
        </w:tc>
        <w:tc>
          <w:tcPr>
            <w:tcW w:w="878"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分值</w:t>
            </w:r>
          </w:p>
        </w:tc>
        <w:tc>
          <w:tcPr>
            <w:tcW w:w="1112"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得分</w:t>
            </w:r>
          </w:p>
        </w:tc>
        <w:tc>
          <w:tcPr>
            <w:tcW w:w="80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945" w:hRule="atLeast"/>
          <w:jc w:val="center"/>
        </w:trPr>
        <w:tc>
          <w:tcPr>
            <w:tcW w:w="861" w:type="dxa"/>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年度绩效指标完成情况</w:t>
            </w:r>
          </w:p>
        </w:tc>
        <w:tc>
          <w:tcPr>
            <w:tcW w:w="766" w:type="dxa"/>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产出指标</w:t>
            </w:r>
          </w:p>
        </w:tc>
        <w:tc>
          <w:tcPr>
            <w:tcW w:w="797"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数量指标</w:t>
            </w:r>
          </w:p>
        </w:tc>
        <w:tc>
          <w:tcPr>
            <w:tcW w:w="2093"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等线" w:hAnsi="宋体"/>
                <w:color w:val="000000"/>
                <w:sz w:val="20"/>
              </w:rPr>
            </w:pPr>
            <w:r>
              <w:rPr>
                <w:rFonts w:hint="eastAsia" w:ascii="等线" w:hAnsi="宋体"/>
                <w:color w:val="000000"/>
                <w:sz w:val="20"/>
              </w:rPr>
              <w:t>支付保障宾馆和车队接待费用次数</w:t>
            </w:r>
          </w:p>
        </w:tc>
        <w:tc>
          <w:tcPr>
            <w:tcW w:w="75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=350次</w:t>
            </w:r>
          </w:p>
        </w:tc>
        <w:tc>
          <w:tcPr>
            <w:tcW w:w="802"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350</w:t>
            </w:r>
          </w:p>
        </w:tc>
        <w:tc>
          <w:tcPr>
            <w:tcW w:w="878"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8.35</w:t>
            </w:r>
          </w:p>
        </w:tc>
        <w:tc>
          <w:tcPr>
            <w:tcW w:w="1112"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8.35</w:t>
            </w:r>
          </w:p>
        </w:tc>
        <w:tc>
          <w:tcPr>
            <w:tcW w:w="80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945" w:hRule="atLeast"/>
          <w:jc w:val="center"/>
        </w:trPr>
        <w:tc>
          <w:tcPr>
            <w:tcW w:w="86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76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797"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质量指标</w:t>
            </w:r>
          </w:p>
        </w:tc>
        <w:tc>
          <w:tcPr>
            <w:tcW w:w="2093"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等线" w:hAnsi="宋体"/>
                <w:color w:val="000000"/>
                <w:sz w:val="20"/>
              </w:rPr>
            </w:pPr>
            <w:r>
              <w:rPr>
                <w:rFonts w:hint="eastAsia" w:ascii="等线" w:hAnsi="宋体"/>
                <w:color w:val="000000"/>
                <w:sz w:val="20"/>
              </w:rPr>
              <w:t>政务接待差错率</w:t>
            </w:r>
          </w:p>
        </w:tc>
        <w:tc>
          <w:tcPr>
            <w:tcW w:w="75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&lt;=1%</w:t>
            </w:r>
          </w:p>
        </w:tc>
        <w:tc>
          <w:tcPr>
            <w:tcW w:w="802"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0</w:t>
            </w:r>
          </w:p>
        </w:tc>
        <w:tc>
          <w:tcPr>
            <w:tcW w:w="878"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8.33</w:t>
            </w:r>
          </w:p>
        </w:tc>
        <w:tc>
          <w:tcPr>
            <w:tcW w:w="1112"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8.33</w:t>
            </w:r>
          </w:p>
        </w:tc>
        <w:tc>
          <w:tcPr>
            <w:tcW w:w="80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945" w:hRule="atLeast"/>
          <w:jc w:val="center"/>
        </w:trPr>
        <w:tc>
          <w:tcPr>
            <w:tcW w:w="86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76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797"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质量指标</w:t>
            </w:r>
          </w:p>
        </w:tc>
        <w:tc>
          <w:tcPr>
            <w:tcW w:w="2093"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等线" w:hAnsi="宋体"/>
                <w:color w:val="000000"/>
                <w:sz w:val="20"/>
              </w:rPr>
            </w:pPr>
            <w:r>
              <w:rPr>
                <w:rFonts w:hint="eastAsia" w:ascii="等线" w:hAnsi="宋体"/>
                <w:color w:val="000000"/>
                <w:sz w:val="20"/>
              </w:rPr>
              <w:t>接待保障任务完成率</w:t>
            </w:r>
          </w:p>
        </w:tc>
        <w:tc>
          <w:tcPr>
            <w:tcW w:w="75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&gt;=98%</w:t>
            </w:r>
          </w:p>
        </w:tc>
        <w:tc>
          <w:tcPr>
            <w:tcW w:w="802"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100</w:t>
            </w:r>
          </w:p>
        </w:tc>
        <w:tc>
          <w:tcPr>
            <w:tcW w:w="878"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8.33</w:t>
            </w:r>
          </w:p>
        </w:tc>
        <w:tc>
          <w:tcPr>
            <w:tcW w:w="1112"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8.33</w:t>
            </w:r>
          </w:p>
        </w:tc>
        <w:tc>
          <w:tcPr>
            <w:tcW w:w="80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945" w:hRule="atLeast"/>
          <w:jc w:val="center"/>
        </w:trPr>
        <w:tc>
          <w:tcPr>
            <w:tcW w:w="86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76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797"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时效指标</w:t>
            </w:r>
          </w:p>
        </w:tc>
        <w:tc>
          <w:tcPr>
            <w:tcW w:w="2093"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等线" w:hAnsi="宋体"/>
                <w:color w:val="000000"/>
                <w:sz w:val="20"/>
              </w:rPr>
            </w:pPr>
            <w:r>
              <w:rPr>
                <w:rFonts w:hint="eastAsia" w:ascii="等线" w:hAnsi="宋体"/>
                <w:color w:val="000000"/>
                <w:sz w:val="20"/>
              </w:rPr>
              <w:t>政务接待及时率</w:t>
            </w:r>
          </w:p>
        </w:tc>
        <w:tc>
          <w:tcPr>
            <w:tcW w:w="75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=100%</w:t>
            </w:r>
          </w:p>
        </w:tc>
        <w:tc>
          <w:tcPr>
            <w:tcW w:w="802"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100</w:t>
            </w:r>
          </w:p>
        </w:tc>
        <w:tc>
          <w:tcPr>
            <w:tcW w:w="878"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8.33</w:t>
            </w:r>
          </w:p>
        </w:tc>
        <w:tc>
          <w:tcPr>
            <w:tcW w:w="1112"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8.33</w:t>
            </w:r>
          </w:p>
        </w:tc>
        <w:tc>
          <w:tcPr>
            <w:tcW w:w="80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945" w:hRule="atLeast"/>
          <w:jc w:val="center"/>
        </w:trPr>
        <w:tc>
          <w:tcPr>
            <w:tcW w:w="86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76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797"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成本指标</w:t>
            </w:r>
          </w:p>
        </w:tc>
        <w:tc>
          <w:tcPr>
            <w:tcW w:w="2093"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等线" w:hAnsi="宋体"/>
                <w:color w:val="000000"/>
                <w:sz w:val="20"/>
              </w:rPr>
            </w:pPr>
            <w:r>
              <w:rPr>
                <w:rFonts w:hint="eastAsia" w:ascii="等线" w:hAnsi="宋体"/>
                <w:color w:val="000000"/>
                <w:sz w:val="20"/>
              </w:rPr>
              <w:t>人力运行成本</w:t>
            </w:r>
          </w:p>
        </w:tc>
        <w:tc>
          <w:tcPr>
            <w:tcW w:w="75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=1173万元</w:t>
            </w:r>
          </w:p>
        </w:tc>
        <w:tc>
          <w:tcPr>
            <w:tcW w:w="802"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1173万元</w:t>
            </w:r>
          </w:p>
        </w:tc>
        <w:tc>
          <w:tcPr>
            <w:tcW w:w="878"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8.33</w:t>
            </w:r>
          </w:p>
        </w:tc>
        <w:tc>
          <w:tcPr>
            <w:tcW w:w="1112"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8.33</w:t>
            </w:r>
          </w:p>
        </w:tc>
        <w:tc>
          <w:tcPr>
            <w:tcW w:w="80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945" w:hRule="atLeast"/>
          <w:jc w:val="center"/>
        </w:trPr>
        <w:tc>
          <w:tcPr>
            <w:tcW w:w="86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76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797"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成本指标</w:t>
            </w:r>
          </w:p>
        </w:tc>
        <w:tc>
          <w:tcPr>
            <w:tcW w:w="2093"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等线" w:hAnsi="宋体"/>
                <w:color w:val="000000"/>
                <w:sz w:val="20"/>
              </w:rPr>
            </w:pPr>
            <w:r>
              <w:rPr>
                <w:rFonts w:hint="eastAsia" w:ascii="等线" w:hAnsi="宋体"/>
                <w:color w:val="000000"/>
                <w:sz w:val="20"/>
              </w:rPr>
              <w:t>日常运行成本</w:t>
            </w:r>
          </w:p>
        </w:tc>
        <w:tc>
          <w:tcPr>
            <w:tcW w:w="75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=670万元</w:t>
            </w:r>
          </w:p>
        </w:tc>
        <w:tc>
          <w:tcPr>
            <w:tcW w:w="802"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670万元</w:t>
            </w:r>
          </w:p>
        </w:tc>
        <w:tc>
          <w:tcPr>
            <w:tcW w:w="878"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8.33</w:t>
            </w:r>
          </w:p>
        </w:tc>
        <w:tc>
          <w:tcPr>
            <w:tcW w:w="1112"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8.33</w:t>
            </w:r>
          </w:p>
        </w:tc>
        <w:tc>
          <w:tcPr>
            <w:tcW w:w="80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945" w:hRule="atLeast"/>
          <w:jc w:val="center"/>
        </w:trPr>
        <w:tc>
          <w:tcPr>
            <w:tcW w:w="86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766"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效益指标</w:t>
            </w:r>
          </w:p>
        </w:tc>
        <w:tc>
          <w:tcPr>
            <w:tcW w:w="797"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社会效益指标</w:t>
            </w:r>
          </w:p>
        </w:tc>
        <w:tc>
          <w:tcPr>
            <w:tcW w:w="2093"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等线" w:hAnsi="宋体"/>
                <w:color w:val="000000"/>
                <w:sz w:val="20"/>
              </w:rPr>
            </w:pPr>
            <w:r>
              <w:rPr>
                <w:rFonts w:hint="eastAsia" w:ascii="等线" w:hAnsi="宋体"/>
                <w:color w:val="000000"/>
                <w:sz w:val="20"/>
              </w:rPr>
              <w:t>提高接待保障质量</w:t>
            </w:r>
          </w:p>
        </w:tc>
        <w:tc>
          <w:tcPr>
            <w:tcW w:w="75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有效提高</w:t>
            </w:r>
          </w:p>
        </w:tc>
        <w:tc>
          <w:tcPr>
            <w:tcW w:w="802"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全部完成</w:t>
            </w:r>
          </w:p>
        </w:tc>
        <w:tc>
          <w:tcPr>
            <w:tcW w:w="878"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30</w:t>
            </w:r>
          </w:p>
        </w:tc>
        <w:tc>
          <w:tcPr>
            <w:tcW w:w="1112"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30</w:t>
            </w:r>
          </w:p>
        </w:tc>
        <w:tc>
          <w:tcPr>
            <w:tcW w:w="80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945" w:hRule="atLeast"/>
          <w:jc w:val="center"/>
        </w:trPr>
        <w:tc>
          <w:tcPr>
            <w:tcW w:w="86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766"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满意度指标</w:t>
            </w:r>
          </w:p>
        </w:tc>
        <w:tc>
          <w:tcPr>
            <w:tcW w:w="797"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满意度指标</w:t>
            </w:r>
          </w:p>
        </w:tc>
        <w:tc>
          <w:tcPr>
            <w:tcW w:w="2093"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等线" w:hAnsi="宋体"/>
                <w:color w:val="000000"/>
                <w:sz w:val="20"/>
              </w:rPr>
            </w:pPr>
            <w:r>
              <w:rPr>
                <w:rFonts w:hint="eastAsia" w:ascii="等线" w:hAnsi="宋体"/>
                <w:color w:val="000000"/>
                <w:sz w:val="20"/>
              </w:rPr>
              <w:t>接待对象满意度（%）</w:t>
            </w:r>
          </w:p>
        </w:tc>
        <w:tc>
          <w:tcPr>
            <w:tcW w:w="75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&gt;=99%</w:t>
            </w:r>
          </w:p>
        </w:tc>
        <w:tc>
          <w:tcPr>
            <w:tcW w:w="802"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100</w:t>
            </w:r>
          </w:p>
        </w:tc>
        <w:tc>
          <w:tcPr>
            <w:tcW w:w="878"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w:t>
            </w:r>
          </w:p>
        </w:tc>
        <w:tc>
          <w:tcPr>
            <w:tcW w:w="1112"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w:t>
            </w:r>
          </w:p>
        </w:tc>
        <w:tc>
          <w:tcPr>
            <w:tcW w:w="80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5" w:type="dxa"/>
          <w:trHeight w:val="285" w:hRule="atLeast"/>
          <w:jc w:val="center"/>
        </w:trPr>
        <w:tc>
          <w:tcPr>
            <w:tcW w:w="6078" w:type="dxa"/>
            <w:gridSpan w:val="8"/>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总分</w:t>
            </w:r>
          </w:p>
        </w:tc>
        <w:tc>
          <w:tcPr>
            <w:tcW w:w="878"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100</w:t>
            </w:r>
          </w:p>
        </w:tc>
        <w:tc>
          <w:tcPr>
            <w:tcW w:w="1112"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100</w:t>
            </w:r>
          </w:p>
        </w:tc>
        <w:tc>
          <w:tcPr>
            <w:tcW w:w="80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[x]</w:t>
            </w:r>
          </w:p>
        </w:tc>
      </w:tr>
    </w:tbl>
    <w:p>
      <w:pPr>
        <w:pStyle w:val="2"/>
      </w:pPr>
    </w:p>
    <w:p>
      <w:pPr>
        <w:rPr>
          <w:rFonts w:ascii="仿宋_GB2312" w:eastAsia="仿宋_GB2312"/>
          <w:sz w:val="32"/>
          <w:szCs w:val="32"/>
        </w:rPr>
      </w:pPr>
    </w:p>
    <w:p>
      <w:pPr>
        <w:spacing w:line="300" w:lineRule="exact"/>
        <w:rPr>
          <w:rFonts w:ascii="黑体" w:hAnsi="黑体" w:eastAsia="黑体"/>
          <w:sz w:val="32"/>
          <w:szCs w:val="32"/>
        </w:rPr>
      </w:pPr>
    </w:p>
    <w:tbl>
      <w:tblPr>
        <w:tblW w:w="924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
        <w:gridCol w:w="894"/>
        <w:gridCol w:w="801"/>
        <w:gridCol w:w="833"/>
        <w:gridCol w:w="757"/>
        <w:gridCol w:w="433"/>
        <w:gridCol w:w="752"/>
        <w:gridCol w:w="759"/>
        <w:gridCol w:w="712"/>
        <w:gridCol w:w="460"/>
        <w:gridCol w:w="460"/>
        <w:gridCol w:w="577"/>
        <w:gridCol w:w="577"/>
        <w:gridCol w:w="851"/>
        <w:gridCol w:w="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9246" w:type="dxa"/>
            <w:gridSpan w:val="15"/>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315" w:hRule="atLeast"/>
          <w:jc w:val="center"/>
        </w:trPr>
        <w:tc>
          <w:tcPr>
            <w:tcW w:w="8866" w:type="dxa"/>
            <w:gridSpan w:val="13"/>
            <w:tcMar>
              <w:top w:w="0" w:type="dxa"/>
              <w:left w:w="15" w:type="dxa"/>
              <w:bottom w:w="0" w:type="dxa"/>
              <w:right w:w="15" w:type="dxa"/>
            </w:tcMar>
            <w:vAlign w:val="center"/>
          </w:tcPr>
          <w:p>
            <w:pPr>
              <w:autoSpaceDN w:val="0"/>
              <w:jc w:val="center"/>
              <w:textAlignment w:val="center"/>
              <w:rPr>
                <w:rFonts w:ascii="宋体" w:hAnsi="宋体"/>
                <w:color w:val="000000"/>
                <w:sz w:val="24"/>
              </w:rPr>
            </w:pPr>
            <w:bookmarkStart w:id="34" w:name="_Toc24143"/>
            <w:bookmarkStart w:id="35" w:name="_Toc3250"/>
            <w:r>
              <w:rPr>
                <w:rFonts w:hint="eastAsia" w:ascii="宋体" w:hAnsi="宋体"/>
                <w:color w:val="000000"/>
                <w:sz w:val="24"/>
              </w:rPr>
              <w:t>(2020年度)2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300" w:hRule="atLeast"/>
          <w:jc w:val="center"/>
        </w:trPr>
        <w:tc>
          <w:tcPr>
            <w:tcW w:w="894" w:type="dxa"/>
            <w:tcMar>
              <w:top w:w="0" w:type="dxa"/>
              <w:left w:w="15" w:type="dxa"/>
              <w:bottom w:w="0" w:type="dxa"/>
              <w:right w:w="15" w:type="dxa"/>
            </w:tcMar>
            <w:vAlign w:val="center"/>
          </w:tcPr>
          <w:p>
            <w:pPr>
              <w:autoSpaceDN w:val="0"/>
              <w:jc w:val="left"/>
              <w:textAlignment w:val="center"/>
              <w:rPr>
                <w:rFonts w:ascii="Calibri" w:hAnsi="宋体"/>
                <w:color w:val="000000"/>
                <w:sz w:val="22"/>
              </w:rPr>
            </w:pPr>
          </w:p>
        </w:tc>
        <w:tc>
          <w:tcPr>
            <w:tcW w:w="801" w:type="dxa"/>
            <w:tcMar>
              <w:top w:w="0" w:type="dxa"/>
              <w:left w:w="15" w:type="dxa"/>
              <w:bottom w:w="0" w:type="dxa"/>
              <w:right w:w="15" w:type="dxa"/>
            </w:tcMar>
            <w:vAlign w:val="center"/>
          </w:tcPr>
          <w:p>
            <w:pPr>
              <w:autoSpaceDN w:val="0"/>
              <w:jc w:val="left"/>
              <w:textAlignment w:val="center"/>
              <w:rPr>
                <w:rFonts w:ascii="Calibri" w:hAnsi="宋体"/>
                <w:color w:val="000000"/>
                <w:sz w:val="22"/>
              </w:rPr>
            </w:pPr>
          </w:p>
        </w:tc>
        <w:tc>
          <w:tcPr>
            <w:tcW w:w="833" w:type="dxa"/>
            <w:tcMar>
              <w:top w:w="0" w:type="dxa"/>
              <w:left w:w="15" w:type="dxa"/>
              <w:bottom w:w="0" w:type="dxa"/>
              <w:right w:w="15" w:type="dxa"/>
            </w:tcMar>
            <w:vAlign w:val="center"/>
          </w:tcPr>
          <w:p>
            <w:pPr>
              <w:autoSpaceDN w:val="0"/>
              <w:jc w:val="left"/>
              <w:textAlignment w:val="center"/>
              <w:rPr>
                <w:rFonts w:ascii="Calibri" w:hAnsi="宋体"/>
                <w:color w:val="000000"/>
                <w:sz w:val="22"/>
              </w:rPr>
            </w:pPr>
          </w:p>
        </w:tc>
        <w:tc>
          <w:tcPr>
            <w:tcW w:w="757" w:type="dxa"/>
            <w:tcMar>
              <w:top w:w="0" w:type="dxa"/>
              <w:left w:w="15" w:type="dxa"/>
              <w:bottom w:w="0" w:type="dxa"/>
              <w:right w:w="15" w:type="dxa"/>
            </w:tcMar>
            <w:vAlign w:val="center"/>
          </w:tcPr>
          <w:p>
            <w:pPr>
              <w:autoSpaceDN w:val="0"/>
              <w:jc w:val="left"/>
              <w:textAlignment w:val="center"/>
              <w:rPr>
                <w:rFonts w:ascii="Calibri" w:hAnsi="宋体"/>
                <w:color w:val="000000"/>
                <w:sz w:val="22"/>
              </w:rPr>
            </w:pPr>
          </w:p>
        </w:tc>
        <w:tc>
          <w:tcPr>
            <w:tcW w:w="433" w:type="dxa"/>
            <w:tcMar>
              <w:top w:w="0" w:type="dxa"/>
              <w:left w:w="15" w:type="dxa"/>
              <w:bottom w:w="0" w:type="dxa"/>
              <w:right w:w="15" w:type="dxa"/>
            </w:tcMar>
            <w:vAlign w:val="center"/>
          </w:tcPr>
          <w:p>
            <w:pPr>
              <w:autoSpaceDN w:val="0"/>
              <w:jc w:val="left"/>
              <w:textAlignment w:val="center"/>
              <w:rPr>
                <w:rFonts w:ascii="Calibri" w:hAnsi="宋体"/>
                <w:color w:val="000000"/>
                <w:sz w:val="22"/>
              </w:rPr>
            </w:pPr>
          </w:p>
        </w:tc>
        <w:tc>
          <w:tcPr>
            <w:tcW w:w="752" w:type="dxa"/>
            <w:tcMar>
              <w:top w:w="0" w:type="dxa"/>
              <w:left w:w="15" w:type="dxa"/>
              <w:bottom w:w="0" w:type="dxa"/>
              <w:right w:w="15" w:type="dxa"/>
            </w:tcMar>
            <w:vAlign w:val="center"/>
          </w:tcPr>
          <w:p>
            <w:pPr>
              <w:autoSpaceDN w:val="0"/>
              <w:jc w:val="left"/>
              <w:textAlignment w:val="center"/>
              <w:rPr>
                <w:rFonts w:ascii="等线" w:hAnsi="宋体"/>
                <w:color w:val="000000"/>
                <w:sz w:val="22"/>
              </w:rPr>
            </w:pPr>
          </w:p>
        </w:tc>
        <w:tc>
          <w:tcPr>
            <w:tcW w:w="759" w:type="dxa"/>
            <w:tcMar>
              <w:top w:w="0" w:type="dxa"/>
              <w:left w:w="15" w:type="dxa"/>
              <w:bottom w:w="0" w:type="dxa"/>
              <w:right w:w="15" w:type="dxa"/>
            </w:tcMar>
            <w:vAlign w:val="center"/>
          </w:tcPr>
          <w:p>
            <w:pPr>
              <w:autoSpaceDN w:val="0"/>
              <w:jc w:val="left"/>
              <w:textAlignment w:val="center"/>
              <w:rPr>
                <w:rFonts w:ascii="等线" w:hAnsi="宋体"/>
                <w:color w:val="000000"/>
                <w:sz w:val="22"/>
              </w:rPr>
            </w:pPr>
          </w:p>
        </w:tc>
        <w:tc>
          <w:tcPr>
            <w:tcW w:w="712" w:type="dxa"/>
            <w:tcMar>
              <w:top w:w="0" w:type="dxa"/>
              <w:left w:w="15" w:type="dxa"/>
              <w:bottom w:w="0" w:type="dxa"/>
              <w:right w:w="15" w:type="dxa"/>
            </w:tcMar>
            <w:vAlign w:val="center"/>
          </w:tcPr>
          <w:p>
            <w:pPr>
              <w:autoSpaceDN w:val="0"/>
              <w:jc w:val="left"/>
              <w:textAlignment w:val="center"/>
              <w:rPr>
                <w:rFonts w:ascii="等线" w:hAnsi="宋体"/>
                <w:color w:val="000000"/>
                <w:sz w:val="22"/>
              </w:rPr>
            </w:pPr>
          </w:p>
        </w:tc>
        <w:tc>
          <w:tcPr>
            <w:tcW w:w="460" w:type="dxa"/>
            <w:tcMar>
              <w:top w:w="0" w:type="dxa"/>
              <w:left w:w="15" w:type="dxa"/>
              <w:bottom w:w="0" w:type="dxa"/>
              <w:right w:w="15" w:type="dxa"/>
            </w:tcMar>
            <w:vAlign w:val="center"/>
          </w:tcPr>
          <w:p>
            <w:pPr>
              <w:autoSpaceDN w:val="0"/>
              <w:jc w:val="left"/>
              <w:textAlignment w:val="center"/>
              <w:rPr>
                <w:rFonts w:ascii="等线" w:hAnsi="宋体"/>
                <w:color w:val="000000"/>
                <w:sz w:val="22"/>
              </w:rPr>
            </w:pPr>
          </w:p>
        </w:tc>
        <w:tc>
          <w:tcPr>
            <w:tcW w:w="460" w:type="dxa"/>
            <w:tcMar>
              <w:top w:w="0" w:type="dxa"/>
              <w:left w:w="15" w:type="dxa"/>
              <w:bottom w:w="0" w:type="dxa"/>
              <w:right w:w="15" w:type="dxa"/>
            </w:tcMar>
            <w:vAlign w:val="center"/>
          </w:tcPr>
          <w:p>
            <w:pPr>
              <w:autoSpaceDN w:val="0"/>
              <w:jc w:val="left"/>
              <w:textAlignment w:val="center"/>
              <w:rPr>
                <w:rFonts w:ascii="等线" w:hAnsi="宋体"/>
                <w:color w:val="000000"/>
                <w:sz w:val="22"/>
              </w:rPr>
            </w:pPr>
          </w:p>
        </w:tc>
        <w:tc>
          <w:tcPr>
            <w:tcW w:w="577" w:type="dxa"/>
            <w:tcMar>
              <w:top w:w="0" w:type="dxa"/>
              <w:left w:w="15" w:type="dxa"/>
              <w:bottom w:w="0" w:type="dxa"/>
              <w:right w:w="15" w:type="dxa"/>
            </w:tcMar>
            <w:vAlign w:val="center"/>
          </w:tcPr>
          <w:p>
            <w:pPr>
              <w:autoSpaceDN w:val="0"/>
              <w:jc w:val="left"/>
              <w:textAlignment w:val="center"/>
              <w:rPr>
                <w:rFonts w:ascii="等线" w:hAnsi="宋体"/>
                <w:color w:val="000000"/>
                <w:sz w:val="22"/>
              </w:rPr>
            </w:pPr>
          </w:p>
        </w:tc>
        <w:tc>
          <w:tcPr>
            <w:tcW w:w="577" w:type="dxa"/>
            <w:tcMar>
              <w:top w:w="0" w:type="dxa"/>
              <w:left w:w="15" w:type="dxa"/>
              <w:bottom w:w="0" w:type="dxa"/>
              <w:right w:w="15" w:type="dxa"/>
            </w:tcMar>
            <w:vAlign w:val="center"/>
          </w:tcPr>
          <w:p>
            <w:pPr>
              <w:autoSpaceDN w:val="0"/>
              <w:jc w:val="left"/>
              <w:textAlignment w:val="center"/>
              <w:rPr>
                <w:rFonts w:ascii="等线" w:hAnsi="宋体"/>
                <w:color w:val="000000"/>
                <w:sz w:val="22"/>
              </w:rPr>
            </w:pPr>
          </w:p>
        </w:tc>
        <w:tc>
          <w:tcPr>
            <w:tcW w:w="851" w:type="dxa"/>
            <w:tcMar>
              <w:top w:w="0" w:type="dxa"/>
              <w:left w:w="15" w:type="dxa"/>
              <w:bottom w:w="0" w:type="dxa"/>
              <w:right w:w="15" w:type="dxa"/>
            </w:tcMar>
            <w:vAlign w:val="center"/>
          </w:tcPr>
          <w:p>
            <w:pPr>
              <w:autoSpaceDN w:val="0"/>
              <w:jc w:val="left"/>
              <w:textAlignment w:val="center"/>
              <w:rPr>
                <w:rFonts w:ascii="等线" w:hAnsi="宋体"/>
                <w:color w:val="00000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435" w:hRule="atLeast"/>
          <w:jc w:val="center"/>
        </w:trPr>
        <w:tc>
          <w:tcPr>
            <w:tcW w:w="894"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宋体" w:hAnsi="宋体"/>
                <w:color w:val="000000"/>
                <w:sz w:val="24"/>
              </w:rPr>
            </w:pPr>
            <w:r>
              <w:rPr>
                <w:rFonts w:hint="eastAsia" w:ascii="宋体" w:hAnsi="宋体"/>
                <w:color w:val="000000"/>
                <w:sz w:val="24"/>
              </w:rPr>
              <w:t>项目名称</w:t>
            </w:r>
          </w:p>
        </w:tc>
        <w:tc>
          <w:tcPr>
            <w:tcW w:w="7972" w:type="dxa"/>
            <w:gridSpan w:val="1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新疆迎宾馆疫情防控专项补助经费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615" w:hRule="atLeast"/>
          <w:jc w:val="center"/>
        </w:trPr>
        <w:tc>
          <w:tcPr>
            <w:tcW w:w="894"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宋体" w:hAnsi="宋体"/>
                <w:color w:val="000000"/>
                <w:sz w:val="24"/>
              </w:rPr>
            </w:pPr>
            <w:r>
              <w:rPr>
                <w:rFonts w:hint="eastAsia" w:ascii="宋体" w:hAnsi="宋体"/>
                <w:color w:val="000000"/>
                <w:sz w:val="24"/>
              </w:rPr>
              <w:t>预算单位</w:t>
            </w:r>
          </w:p>
        </w:tc>
        <w:tc>
          <w:tcPr>
            <w:tcW w:w="3576" w:type="dxa"/>
            <w:gridSpan w:val="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新疆迎宾馆</w:t>
            </w:r>
          </w:p>
        </w:tc>
        <w:tc>
          <w:tcPr>
            <w:tcW w:w="1471"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实施单位</w:t>
            </w:r>
          </w:p>
        </w:tc>
        <w:tc>
          <w:tcPr>
            <w:tcW w:w="2925" w:type="dxa"/>
            <w:gridSpan w:val="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新疆迎宾馆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900" w:hRule="atLeast"/>
          <w:jc w:val="center"/>
        </w:trPr>
        <w:tc>
          <w:tcPr>
            <w:tcW w:w="894" w:type="dxa"/>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宋体" w:hAnsi="宋体"/>
                <w:color w:val="000000"/>
                <w:sz w:val="24"/>
              </w:rPr>
            </w:pPr>
            <w:r>
              <w:rPr>
                <w:rFonts w:hint="eastAsia" w:ascii="宋体" w:hAnsi="宋体"/>
                <w:color w:val="000000"/>
                <w:sz w:val="24"/>
              </w:rPr>
              <w:t>预算执行情况（万元）</w:t>
            </w:r>
          </w:p>
        </w:tc>
        <w:tc>
          <w:tcPr>
            <w:tcW w:w="163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##cfx##</w:t>
            </w:r>
          </w:p>
        </w:tc>
        <w:tc>
          <w:tcPr>
            <w:tcW w:w="757"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年初预算数</w:t>
            </w:r>
          </w:p>
        </w:tc>
        <w:tc>
          <w:tcPr>
            <w:tcW w:w="1185"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全年预算数</w:t>
            </w:r>
          </w:p>
        </w:tc>
        <w:tc>
          <w:tcPr>
            <w:tcW w:w="1471"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全年执行数</w:t>
            </w:r>
          </w:p>
        </w:tc>
        <w:tc>
          <w:tcPr>
            <w:tcW w:w="92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分值</w:t>
            </w:r>
          </w:p>
        </w:tc>
        <w:tc>
          <w:tcPr>
            <w:tcW w:w="11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执行率</w:t>
            </w:r>
          </w:p>
        </w:tc>
        <w:tc>
          <w:tcPr>
            <w:tcW w:w="851"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318" w:hRule="atLeast"/>
          <w:jc w:val="center"/>
        </w:trPr>
        <w:tc>
          <w:tcPr>
            <w:tcW w:w="89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sz w:val="24"/>
              </w:rPr>
            </w:pPr>
          </w:p>
        </w:tc>
        <w:tc>
          <w:tcPr>
            <w:tcW w:w="1634" w:type="dxa"/>
            <w:gridSpan w:val="2"/>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年度资金总额</w:t>
            </w:r>
          </w:p>
        </w:tc>
        <w:tc>
          <w:tcPr>
            <w:tcW w:w="757" w:type="dxa"/>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0.00</w:t>
            </w:r>
          </w:p>
        </w:tc>
        <w:tc>
          <w:tcPr>
            <w:tcW w:w="1185" w:type="dxa"/>
            <w:gridSpan w:val="2"/>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42.40</w:t>
            </w:r>
          </w:p>
        </w:tc>
        <w:tc>
          <w:tcPr>
            <w:tcW w:w="1471" w:type="dxa"/>
            <w:gridSpan w:val="2"/>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42.40</w:t>
            </w:r>
          </w:p>
        </w:tc>
        <w:tc>
          <w:tcPr>
            <w:tcW w:w="920" w:type="dxa"/>
            <w:gridSpan w:val="2"/>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w:t>
            </w:r>
          </w:p>
        </w:tc>
        <w:tc>
          <w:tcPr>
            <w:tcW w:w="1154" w:type="dxa"/>
            <w:gridSpan w:val="2"/>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100.00</w:t>
            </w:r>
          </w:p>
        </w:tc>
        <w:tc>
          <w:tcPr>
            <w:tcW w:w="851" w:type="dxa"/>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318" w:hRule="atLeast"/>
          <w:jc w:val="center"/>
        </w:trPr>
        <w:tc>
          <w:tcPr>
            <w:tcW w:w="89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sz w:val="24"/>
              </w:rPr>
            </w:pPr>
          </w:p>
        </w:tc>
        <w:tc>
          <w:tcPr>
            <w:tcW w:w="1634"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75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118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1471"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920"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1154"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420" w:hRule="atLeast"/>
          <w:jc w:val="center"/>
        </w:trPr>
        <w:tc>
          <w:tcPr>
            <w:tcW w:w="89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sz w:val="24"/>
              </w:rPr>
            </w:pPr>
          </w:p>
        </w:tc>
        <w:tc>
          <w:tcPr>
            <w:tcW w:w="163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其中：当年财政拨款</w:t>
            </w:r>
          </w:p>
        </w:tc>
        <w:tc>
          <w:tcPr>
            <w:tcW w:w="757"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0</w:t>
            </w:r>
          </w:p>
        </w:tc>
        <w:tc>
          <w:tcPr>
            <w:tcW w:w="1185"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42.4</w:t>
            </w:r>
          </w:p>
        </w:tc>
        <w:tc>
          <w:tcPr>
            <w:tcW w:w="1471"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42.4</w:t>
            </w:r>
          </w:p>
        </w:tc>
        <w:tc>
          <w:tcPr>
            <w:tcW w:w="92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w:t>
            </w:r>
          </w:p>
        </w:tc>
        <w:tc>
          <w:tcPr>
            <w:tcW w:w="11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w:t>
            </w:r>
          </w:p>
        </w:tc>
        <w:tc>
          <w:tcPr>
            <w:tcW w:w="851"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435" w:hRule="atLeast"/>
          <w:jc w:val="center"/>
        </w:trPr>
        <w:tc>
          <w:tcPr>
            <w:tcW w:w="89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sz w:val="24"/>
              </w:rPr>
            </w:pPr>
          </w:p>
        </w:tc>
        <w:tc>
          <w:tcPr>
            <w:tcW w:w="163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 xml:space="preserve">      上年结转资金</w:t>
            </w:r>
          </w:p>
        </w:tc>
        <w:tc>
          <w:tcPr>
            <w:tcW w:w="757"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0</w:t>
            </w:r>
          </w:p>
        </w:tc>
        <w:tc>
          <w:tcPr>
            <w:tcW w:w="1185"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0</w:t>
            </w:r>
          </w:p>
        </w:tc>
        <w:tc>
          <w:tcPr>
            <w:tcW w:w="1471"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0</w:t>
            </w:r>
          </w:p>
        </w:tc>
        <w:tc>
          <w:tcPr>
            <w:tcW w:w="92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w:t>
            </w:r>
          </w:p>
        </w:tc>
        <w:tc>
          <w:tcPr>
            <w:tcW w:w="11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w:t>
            </w:r>
          </w:p>
        </w:tc>
        <w:tc>
          <w:tcPr>
            <w:tcW w:w="851"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435" w:hRule="atLeast"/>
          <w:jc w:val="center"/>
        </w:trPr>
        <w:tc>
          <w:tcPr>
            <w:tcW w:w="89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sz w:val="24"/>
              </w:rPr>
            </w:pPr>
          </w:p>
        </w:tc>
        <w:tc>
          <w:tcPr>
            <w:tcW w:w="163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 xml:space="preserve">  其他资金</w:t>
            </w:r>
          </w:p>
        </w:tc>
        <w:tc>
          <w:tcPr>
            <w:tcW w:w="757"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0</w:t>
            </w:r>
          </w:p>
        </w:tc>
        <w:tc>
          <w:tcPr>
            <w:tcW w:w="1185"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0</w:t>
            </w:r>
          </w:p>
        </w:tc>
        <w:tc>
          <w:tcPr>
            <w:tcW w:w="1471"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0</w:t>
            </w:r>
          </w:p>
        </w:tc>
        <w:tc>
          <w:tcPr>
            <w:tcW w:w="92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w:t>
            </w:r>
          </w:p>
        </w:tc>
        <w:tc>
          <w:tcPr>
            <w:tcW w:w="11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w:t>
            </w:r>
          </w:p>
        </w:tc>
        <w:tc>
          <w:tcPr>
            <w:tcW w:w="851"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435" w:hRule="atLeast"/>
          <w:jc w:val="center"/>
        </w:trPr>
        <w:tc>
          <w:tcPr>
            <w:tcW w:w="894" w:type="dxa"/>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宋体" w:hAnsi="宋体"/>
                <w:color w:val="000000"/>
                <w:sz w:val="24"/>
              </w:rPr>
            </w:pPr>
            <w:r>
              <w:rPr>
                <w:rFonts w:hint="eastAsia" w:ascii="宋体" w:hAnsi="宋体"/>
                <w:color w:val="000000"/>
                <w:sz w:val="24"/>
              </w:rPr>
              <w:t>年度目标完成情况</w:t>
            </w:r>
          </w:p>
        </w:tc>
        <w:tc>
          <w:tcPr>
            <w:tcW w:w="4335"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预期目标</w:t>
            </w:r>
          </w:p>
        </w:tc>
        <w:tc>
          <w:tcPr>
            <w:tcW w:w="3637"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675" w:hRule="atLeast"/>
          <w:jc w:val="center"/>
        </w:trPr>
        <w:tc>
          <w:tcPr>
            <w:tcW w:w="89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sz w:val="24"/>
              </w:rPr>
            </w:pPr>
          </w:p>
        </w:tc>
        <w:tc>
          <w:tcPr>
            <w:tcW w:w="4335" w:type="dxa"/>
            <w:gridSpan w:val="6"/>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等线" w:hAnsi="宋体"/>
                <w:color w:val="000000"/>
                <w:sz w:val="20"/>
              </w:rPr>
            </w:pPr>
            <w:r>
              <w:rPr>
                <w:rFonts w:hint="eastAsia" w:ascii="等线" w:hAnsi="宋体"/>
                <w:color w:val="000000"/>
                <w:sz w:val="20"/>
              </w:rPr>
              <w:t xml:space="preserve">通过投入42.4万元疫情补助项目经费，可充分保证自治区疫情指挥领导及相关人员对新型冠状病毒感染肺炎的防控、救治工作，切实保障了人民群众的身体健康和生命安全。    </w:t>
            </w:r>
          </w:p>
        </w:tc>
        <w:tc>
          <w:tcPr>
            <w:tcW w:w="3637" w:type="dxa"/>
            <w:gridSpan w:val="6"/>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等线" w:hAnsi="宋体"/>
                <w:color w:val="000000"/>
                <w:sz w:val="20"/>
              </w:rPr>
            </w:pPr>
            <w:r>
              <w:rPr>
                <w:rFonts w:hint="eastAsia" w:ascii="等线" w:hAnsi="宋体"/>
                <w:color w:val="000000"/>
                <w:sz w:val="20"/>
              </w:rPr>
              <w:t xml:space="preserve"> 按照“坚定信心、同舟共济、科学防治、精准施策”的工作总要求，把疫情防控工作作为当前最重要的工作来抓，保持清醒头脑，积极主动作为，坚决克服麻痹思想、侥幸心理、严格落实“四早”要求，压紧压实“四方”责任，细而又细、实而又实地抓好疫情防控工作。通过投入42.4万元疫情补助项目经费，充分保证自治区疫情指挥领导及相关人员对新型冠状病毒感染肺炎的防控、救治工作，切实保障了人民群众的身体健康和生命安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675" w:hRule="atLeast"/>
          <w:jc w:val="center"/>
        </w:trPr>
        <w:tc>
          <w:tcPr>
            <w:tcW w:w="89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000000"/>
                <w:sz w:val="24"/>
              </w:rPr>
            </w:pPr>
          </w:p>
        </w:tc>
        <w:tc>
          <w:tcPr>
            <w:tcW w:w="4335" w:type="dxa"/>
            <w:gridSpan w:val="6"/>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3637" w:type="dxa"/>
            <w:gridSpan w:val="6"/>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780" w:hRule="atLeast"/>
          <w:jc w:val="center"/>
        </w:trPr>
        <w:tc>
          <w:tcPr>
            <w:tcW w:w="894"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宋体" w:hAnsi="宋体"/>
                <w:color w:val="000000"/>
                <w:sz w:val="24"/>
              </w:rPr>
            </w:pPr>
          </w:p>
        </w:tc>
        <w:tc>
          <w:tcPr>
            <w:tcW w:w="801"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一级指标</w:t>
            </w:r>
          </w:p>
        </w:tc>
        <w:tc>
          <w:tcPr>
            <w:tcW w:w="833"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二级指标</w:t>
            </w:r>
          </w:p>
        </w:tc>
        <w:tc>
          <w:tcPr>
            <w:tcW w:w="1942"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三级指标</w:t>
            </w:r>
          </w:p>
        </w:tc>
        <w:tc>
          <w:tcPr>
            <w:tcW w:w="75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年度指标值</w:t>
            </w:r>
          </w:p>
        </w:tc>
        <w:tc>
          <w:tcPr>
            <w:tcW w:w="712"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实际完成值</w:t>
            </w:r>
          </w:p>
        </w:tc>
        <w:tc>
          <w:tcPr>
            <w:tcW w:w="92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分值</w:t>
            </w:r>
          </w:p>
        </w:tc>
        <w:tc>
          <w:tcPr>
            <w:tcW w:w="11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得分</w:t>
            </w:r>
          </w:p>
        </w:tc>
        <w:tc>
          <w:tcPr>
            <w:tcW w:w="851"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945" w:hRule="atLeast"/>
          <w:jc w:val="center"/>
        </w:trPr>
        <w:tc>
          <w:tcPr>
            <w:tcW w:w="894" w:type="dxa"/>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年度绩效指标完成情况</w:t>
            </w:r>
          </w:p>
        </w:tc>
        <w:tc>
          <w:tcPr>
            <w:tcW w:w="801" w:type="dxa"/>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产出指标</w:t>
            </w:r>
          </w:p>
        </w:tc>
        <w:tc>
          <w:tcPr>
            <w:tcW w:w="833"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数量指标</w:t>
            </w:r>
          </w:p>
        </w:tc>
        <w:tc>
          <w:tcPr>
            <w:tcW w:w="1942"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等线" w:hAnsi="宋体"/>
                <w:color w:val="000000"/>
                <w:sz w:val="20"/>
              </w:rPr>
            </w:pPr>
            <w:r>
              <w:rPr>
                <w:rFonts w:hint="eastAsia" w:ascii="等线" w:hAnsi="宋体"/>
                <w:color w:val="000000"/>
                <w:sz w:val="20"/>
              </w:rPr>
              <w:t>疫情防控指挥保障人数</w:t>
            </w:r>
          </w:p>
        </w:tc>
        <w:tc>
          <w:tcPr>
            <w:tcW w:w="75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=35</w:t>
            </w:r>
          </w:p>
        </w:tc>
        <w:tc>
          <w:tcPr>
            <w:tcW w:w="712"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35</w:t>
            </w:r>
          </w:p>
        </w:tc>
        <w:tc>
          <w:tcPr>
            <w:tcW w:w="92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12.5</w:t>
            </w:r>
          </w:p>
        </w:tc>
        <w:tc>
          <w:tcPr>
            <w:tcW w:w="11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12.5</w:t>
            </w:r>
          </w:p>
        </w:tc>
        <w:tc>
          <w:tcPr>
            <w:tcW w:w="851"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945" w:hRule="atLeast"/>
          <w:jc w:val="center"/>
        </w:trPr>
        <w:tc>
          <w:tcPr>
            <w:tcW w:w="89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8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833"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质量指标</w:t>
            </w:r>
          </w:p>
        </w:tc>
        <w:tc>
          <w:tcPr>
            <w:tcW w:w="1942"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等线" w:hAnsi="宋体"/>
                <w:color w:val="000000"/>
                <w:sz w:val="20"/>
              </w:rPr>
            </w:pPr>
            <w:r>
              <w:rPr>
                <w:rFonts w:hint="eastAsia" w:ascii="等线" w:hAnsi="宋体"/>
                <w:color w:val="000000"/>
                <w:sz w:val="20"/>
              </w:rPr>
              <w:t>人员满意度</w:t>
            </w:r>
          </w:p>
        </w:tc>
        <w:tc>
          <w:tcPr>
            <w:tcW w:w="75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&gt;=95%</w:t>
            </w:r>
          </w:p>
        </w:tc>
        <w:tc>
          <w:tcPr>
            <w:tcW w:w="712"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100</w:t>
            </w:r>
          </w:p>
        </w:tc>
        <w:tc>
          <w:tcPr>
            <w:tcW w:w="92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12.5</w:t>
            </w:r>
          </w:p>
        </w:tc>
        <w:tc>
          <w:tcPr>
            <w:tcW w:w="11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12.5</w:t>
            </w:r>
          </w:p>
        </w:tc>
        <w:tc>
          <w:tcPr>
            <w:tcW w:w="851"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945" w:hRule="atLeast"/>
          <w:jc w:val="center"/>
        </w:trPr>
        <w:tc>
          <w:tcPr>
            <w:tcW w:w="89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8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833"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时效指标</w:t>
            </w:r>
          </w:p>
        </w:tc>
        <w:tc>
          <w:tcPr>
            <w:tcW w:w="1942"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等线" w:hAnsi="宋体"/>
                <w:color w:val="000000"/>
                <w:sz w:val="20"/>
              </w:rPr>
            </w:pPr>
            <w:r>
              <w:rPr>
                <w:rFonts w:hint="eastAsia" w:ascii="等线" w:hAnsi="宋体"/>
                <w:color w:val="000000"/>
                <w:sz w:val="20"/>
              </w:rPr>
              <w:t>资金到位合格率</w:t>
            </w:r>
          </w:p>
        </w:tc>
        <w:tc>
          <w:tcPr>
            <w:tcW w:w="75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=100%</w:t>
            </w:r>
          </w:p>
        </w:tc>
        <w:tc>
          <w:tcPr>
            <w:tcW w:w="712"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100</w:t>
            </w:r>
          </w:p>
        </w:tc>
        <w:tc>
          <w:tcPr>
            <w:tcW w:w="92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12.5</w:t>
            </w:r>
          </w:p>
        </w:tc>
        <w:tc>
          <w:tcPr>
            <w:tcW w:w="11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12.5</w:t>
            </w:r>
          </w:p>
        </w:tc>
        <w:tc>
          <w:tcPr>
            <w:tcW w:w="851"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945" w:hRule="atLeast"/>
          <w:jc w:val="center"/>
        </w:trPr>
        <w:tc>
          <w:tcPr>
            <w:tcW w:w="89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8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833"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成本指标</w:t>
            </w:r>
          </w:p>
        </w:tc>
        <w:tc>
          <w:tcPr>
            <w:tcW w:w="1942"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等线" w:hAnsi="宋体"/>
                <w:color w:val="000000"/>
                <w:sz w:val="20"/>
              </w:rPr>
            </w:pPr>
            <w:r>
              <w:rPr>
                <w:rFonts w:hint="eastAsia" w:ascii="等线" w:hAnsi="宋体"/>
                <w:color w:val="000000"/>
                <w:sz w:val="20"/>
              </w:rPr>
              <w:t>资金执行率</w:t>
            </w:r>
          </w:p>
        </w:tc>
        <w:tc>
          <w:tcPr>
            <w:tcW w:w="75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=100%</w:t>
            </w:r>
          </w:p>
        </w:tc>
        <w:tc>
          <w:tcPr>
            <w:tcW w:w="712"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100</w:t>
            </w:r>
          </w:p>
        </w:tc>
        <w:tc>
          <w:tcPr>
            <w:tcW w:w="92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12.5</w:t>
            </w:r>
          </w:p>
        </w:tc>
        <w:tc>
          <w:tcPr>
            <w:tcW w:w="11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12.5</w:t>
            </w:r>
          </w:p>
        </w:tc>
        <w:tc>
          <w:tcPr>
            <w:tcW w:w="851"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945" w:hRule="atLeast"/>
          <w:jc w:val="center"/>
        </w:trPr>
        <w:tc>
          <w:tcPr>
            <w:tcW w:w="89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801" w:type="dxa"/>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效益指标</w:t>
            </w:r>
          </w:p>
        </w:tc>
        <w:tc>
          <w:tcPr>
            <w:tcW w:w="833"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经济效益指标</w:t>
            </w:r>
          </w:p>
        </w:tc>
        <w:tc>
          <w:tcPr>
            <w:tcW w:w="1942"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等线" w:hAnsi="宋体"/>
                <w:color w:val="000000"/>
                <w:sz w:val="20"/>
              </w:rPr>
            </w:pPr>
            <w:r>
              <w:rPr>
                <w:rFonts w:hint="eastAsia" w:ascii="等线" w:hAnsi="宋体"/>
                <w:color w:val="000000"/>
                <w:sz w:val="20"/>
              </w:rPr>
              <w:t>经营支出</w:t>
            </w:r>
          </w:p>
        </w:tc>
        <w:tc>
          <w:tcPr>
            <w:tcW w:w="75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=100%</w:t>
            </w:r>
          </w:p>
        </w:tc>
        <w:tc>
          <w:tcPr>
            <w:tcW w:w="712"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100</w:t>
            </w:r>
          </w:p>
        </w:tc>
        <w:tc>
          <w:tcPr>
            <w:tcW w:w="92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15</w:t>
            </w:r>
          </w:p>
        </w:tc>
        <w:tc>
          <w:tcPr>
            <w:tcW w:w="11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15</w:t>
            </w:r>
          </w:p>
        </w:tc>
        <w:tc>
          <w:tcPr>
            <w:tcW w:w="851"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945" w:hRule="atLeast"/>
          <w:jc w:val="center"/>
        </w:trPr>
        <w:tc>
          <w:tcPr>
            <w:tcW w:w="89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8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833"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社会效益指标</w:t>
            </w:r>
          </w:p>
        </w:tc>
        <w:tc>
          <w:tcPr>
            <w:tcW w:w="1942"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等线" w:hAnsi="宋体"/>
                <w:color w:val="000000"/>
                <w:sz w:val="20"/>
              </w:rPr>
            </w:pPr>
            <w:r>
              <w:rPr>
                <w:rFonts w:hint="eastAsia" w:ascii="等线" w:hAnsi="宋体"/>
                <w:color w:val="000000"/>
                <w:sz w:val="20"/>
              </w:rPr>
              <w:t>社会公众满意度（%）</w:t>
            </w:r>
          </w:p>
        </w:tc>
        <w:tc>
          <w:tcPr>
            <w:tcW w:w="75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&gt;80%</w:t>
            </w:r>
          </w:p>
        </w:tc>
        <w:tc>
          <w:tcPr>
            <w:tcW w:w="712"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99</w:t>
            </w:r>
          </w:p>
        </w:tc>
        <w:tc>
          <w:tcPr>
            <w:tcW w:w="92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15</w:t>
            </w:r>
          </w:p>
        </w:tc>
        <w:tc>
          <w:tcPr>
            <w:tcW w:w="11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15</w:t>
            </w:r>
          </w:p>
        </w:tc>
        <w:tc>
          <w:tcPr>
            <w:tcW w:w="851"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945" w:hRule="atLeast"/>
          <w:jc w:val="center"/>
        </w:trPr>
        <w:tc>
          <w:tcPr>
            <w:tcW w:w="89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等线" w:hAnsi="宋体"/>
                <w:color w:val="000000"/>
                <w:sz w:val="20"/>
              </w:rPr>
            </w:pPr>
          </w:p>
        </w:tc>
        <w:tc>
          <w:tcPr>
            <w:tcW w:w="801"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满意度指标</w:t>
            </w:r>
          </w:p>
        </w:tc>
        <w:tc>
          <w:tcPr>
            <w:tcW w:w="833"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满意度指标</w:t>
            </w:r>
          </w:p>
        </w:tc>
        <w:tc>
          <w:tcPr>
            <w:tcW w:w="1942"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left"/>
              <w:textAlignment w:val="center"/>
              <w:rPr>
                <w:rFonts w:ascii="等线" w:hAnsi="宋体"/>
                <w:color w:val="000000"/>
                <w:sz w:val="20"/>
              </w:rPr>
            </w:pPr>
            <w:r>
              <w:rPr>
                <w:rFonts w:hint="eastAsia" w:ascii="等线" w:hAnsi="宋体"/>
                <w:color w:val="000000"/>
                <w:sz w:val="20"/>
              </w:rPr>
              <w:t>宾客满意度</w:t>
            </w:r>
          </w:p>
        </w:tc>
        <w:tc>
          <w:tcPr>
            <w:tcW w:w="75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=100%</w:t>
            </w:r>
          </w:p>
        </w:tc>
        <w:tc>
          <w:tcPr>
            <w:tcW w:w="712"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100</w:t>
            </w:r>
          </w:p>
        </w:tc>
        <w:tc>
          <w:tcPr>
            <w:tcW w:w="92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w:t>
            </w:r>
          </w:p>
        </w:tc>
        <w:tc>
          <w:tcPr>
            <w:tcW w:w="11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w:t>
            </w:r>
          </w:p>
        </w:tc>
        <w:tc>
          <w:tcPr>
            <w:tcW w:w="851"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93" w:type="dxa"/>
          <w:wAfter w:w="287" w:type="dxa"/>
          <w:trHeight w:val="285" w:hRule="atLeast"/>
          <w:jc w:val="center"/>
        </w:trPr>
        <w:tc>
          <w:tcPr>
            <w:tcW w:w="5941" w:type="dxa"/>
            <w:gridSpan w:val="8"/>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总分</w:t>
            </w:r>
          </w:p>
        </w:tc>
        <w:tc>
          <w:tcPr>
            <w:tcW w:w="92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100</w:t>
            </w:r>
          </w:p>
        </w:tc>
        <w:tc>
          <w:tcPr>
            <w:tcW w:w="11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100</w:t>
            </w:r>
          </w:p>
        </w:tc>
        <w:tc>
          <w:tcPr>
            <w:tcW w:w="851"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jc w:val="center"/>
              <w:textAlignment w:val="center"/>
              <w:rPr>
                <w:rFonts w:ascii="等线" w:hAnsi="宋体"/>
                <w:color w:val="000000"/>
                <w:sz w:val="20"/>
              </w:rPr>
            </w:pPr>
            <w:r>
              <w:rPr>
                <w:rFonts w:hint="eastAsia" w:ascii="等线" w:hAnsi="宋体"/>
                <w:color w:val="000000"/>
                <w:sz w:val="20"/>
              </w:rPr>
              <w:t>[x]</w:t>
            </w:r>
          </w:p>
        </w:tc>
      </w:tr>
    </w:tbl>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sectPr>
      <w:footerReference r:id="rId4" w:type="default"/>
      <w:pgSz w:w="11906" w:h="16838"/>
      <w:pgMar w:top="2098" w:right="1531" w:bottom="1984" w:left="1531" w:header="851" w:footer="992" w:gutter="0"/>
      <w:pgNumType w:fmt="numberInDash"/>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1"/>
    <w:family w:val="auto"/>
    <w:pitch w:val="default"/>
    <w:sig w:usb0="00000000" w:usb1="00000000" w:usb2="00000000" w:usb3="00000000" w:csb0="00040001"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r>
      <w:rPr>
        <w:rFonts w:ascii="Times New Roman" w:hAnsi="Times New Roman" w:eastAsia="宋体" w:cs="Times New Roman"/>
        <w:kern w:val="2"/>
        <w:sz w:val="18"/>
        <w:szCs w:val="24"/>
        <w:lang w:val="en-US" w:eastAsia="zh-CN" w:bidi="ar-SA"/>
      </w:rPr>
      <w:pict>
        <v:shape id="文本框 1" o:spid="_x0000_s1025" type="#_x0000_t202" style="position:absolute;left:0;margin-top:0pt;height:144pt;width:144pt;mso-position-horizontal:outside;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5"/>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- 13 -</w:t>
                </w:r>
                <w:r>
                  <w:rPr>
                    <w:rFonts w:hint="eastAsia" w:ascii="宋体" w:hAnsi="宋体" w:cs="宋体"/>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3"/>
    <w:semiHidden/>
    <w:unhideWhenUsed/>
    <w:qFormat/>
    <w:uiPriority w:val="0"/>
    <w:pPr>
      <w:keepNext/>
      <w:keepLines/>
      <w:spacing w:before="240" w:after="120"/>
      <w:jc w:val="left"/>
      <w:outlineLvl w:val="2"/>
    </w:pPr>
    <w:rPr>
      <w:rFonts w:ascii="Calibri" w:hAnsi="Calibri" w:eastAsia="黑体"/>
    </w:rPr>
  </w:style>
  <w:style w:type="character" w:default="1" w:styleId="9">
    <w:name w:val="Default Paragraph Font"/>
    <w:semiHidden/>
    <w:unhideWhenUsed/>
    <w:uiPriority w:val="1"/>
  </w:style>
  <w:style w:type="paragraph" w:styleId="3">
    <w:name w:val="annotation text"/>
    <w:basedOn w:val="1"/>
    <w:uiPriority w:val="0"/>
    <w:pPr>
      <w:jc w:val="left"/>
    </w:pPr>
  </w:style>
  <w:style w:type="paragraph" w:styleId="4">
    <w:name w:val="toc 3"/>
    <w:basedOn w:val="1"/>
    <w:next w:val="1"/>
    <w:uiPriority w:val="0"/>
    <w:pPr>
      <w:ind w:left="840" w:leftChars="400"/>
    </w:p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uiPriority w:val="0"/>
  </w:style>
  <w:style w:type="paragraph" w:styleId="8">
    <w:name w:val="toc 2"/>
    <w:basedOn w:val="1"/>
    <w:next w:val="1"/>
    <w:uiPriority w:val="0"/>
    <w:pPr>
      <w:ind w:left="420" w:leftChars="200"/>
    </w:pPr>
  </w:style>
  <w:style w:type="paragraph" w:customStyle="1" w:styleId="10">
    <w:name w:val="WPSOffice手动目录 1"/>
    <w:uiPriority w:val="0"/>
  </w:style>
  <w:style w:type="paragraph" w:customStyle="1" w:styleId="11">
    <w:name w:val="WPSOffice手动目录 3"/>
    <w:uiPriority w:val="0"/>
    <w:pPr>
      <w:ind w:left="400" w:leftChars="400"/>
    </w:pPr>
  </w:style>
  <w:style w:type="paragraph" w:customStyle="1" w:styleId="12">
    <w:name w:val="WPSOffice手动目录 2"/>
    <w:uiPriority w:val="0"/>
    <w:pPr>
      <w:ind w:left="200" w:leftChars="200"/>
    </w:pPr>
  </w:style>
  <w:style w:type="character" w:customStyle="1" w:styleId="13">
    <w:name w:val="标题 3 Char"/>
    <w:basedOn w:val="9"/>
    <w:link w:val="2"/>
    <w:semiHidden/>
    <w:uiPriority w:val="0"/>
    <w:rPr>
      <w:rFonts w:ascii="Calibri" w:hAnsi="Calibri" w:eastAsia="黑体"/>
      <w:kern w:val="2"/>
      <w:sz w:val="21"/>
      <w:szCs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1046</Words>
  <Characters>5968</Characters>
  <Lines>49</Lines>
  <Paragraphs>13</Paragraphs>
  <TotalTime>0</TotalTime>
  <ScaleCrop>false</ScaleCrop>
  <LinksUpToDate>false</LinksUpToDate>
  <CharactersWithSpaces>0</CharactersWithSpaces>
  <Application>WPS Office 专业版_9.1.0.4569_{F1E327BC-269C-435d-A152-05C5408002CA}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2021-08-10T02:42:00Z</dcterms:created>
  <dc:creator>GXR</dc:creator>
  <cp:lastModifiedBy>郭沁沁</cp:lastModifiedBy>
  <cp:lastPrinted>2021-08-19T12:04:00Z</cp:lastPrinted>
  <dcterms:modified xsi:type="dcterms:W3CDTF">2021-08-23T10:27:42Z</dcterms:modified>
  <dc:title>新疆迎宾馆2020年度部门决算</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ies>
</file>