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新疆妇女干部学校2021年度部门决算公开说明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ind w:firstLine="640" w:firstLineChars="200"/>
        <w:rPr>
          <w:rFonts w:ascii="仿宋_GB2312" w:eastAsia="仿宋_GB2312"/>
          <w:sz w:val="32"/>
          <w:szCs w:val="32"/>
        </w:rPr>
      </w:pPr>
      <w:r>
        <w:rPr>
          <w:rFonts w:ascii="仿宋_GB2312" w:eastAsia="仿宋_GB2312"/>
          <w:sz w:val="32"/>
          <w:szCs w:val="32"/>
        </w:rPr>
        <w:t>新疆妇女干部学校是自治区妇联下属公益一类全额拨款事业单位，承担全区妇联系统干部及其他妇委会各族女干部的培训任务；面向全区妇女，开展各类职业技能培训等工作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新疆妇女干部学校</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40</w:t>
      </w:r>
      <w:r>
        <w:rPr>
          <w:rFonts w:hint="eastAsia" w:ascii="仿宋_GB2312" w:eastAsia="仿宋_GB2312"/>
          <w:sz w:val="32"/>
          <w:szCs w:val="32"/>
        </w:rPr>
        <w:t>人，其中：在职人员</w:t>
      </w:r>
      <w:r>
        <w:rPr>
          <w:rFonts w:ascii="仿宋_GB2312" w:eastAsia="仿宋_GB2312"/>
          <w:sz w:val="32"/>
          <w:szCs w:val="32"/>
        </w:rPr>
        <w:t>18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从部门决算单位构成看，新疆妇女干部学校部门决算包括：新疆妇女干部学校决算。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个处室，分别是：干训部、办公室、总务科、职教部</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588.56</w:t>
      </w:r>
      <w:r>
        <w:rPr>
          <w:rFonts w:hint="eastAsia" w:ascii="仿宋_GB2312" w:eastAsia="仿宋_GB2312"/>
          <w:sz w:val="32"/>
          <w:szCs w:val="32"/>
        </w:rPr>
        <w:t>万元，与上年相比，增加90.73万元，</w:t>
      </w:r>
      <w:r>
        <w:rPr>
          <w:rFonts w:ascii="仿宋_GB2312" w:eastAsia="仿宋_GB2312"/>
          <w:sz w:val="32"/>
          <w:szCs w:val="32"/>
        </w:rPr>
        <w:t>增长18.23</w:t>
      </w:r>
      <w:r>
        <w:rPr>
          <w:rFonts w:hint="eastAsia" w:ascii="仿宋_GB2312" w:eastAsia="仿宋_GB2312"/>
          <w:sz w:val="32"/>
          <w:szCs w:val="32"/>
        </w:rPr>
        <w:t>%，主要原因是：一是人员经费收入增加，本年度人员正常晋升人员经费上涨调整；二是项目经费收入增加，上年受疫情影响开展培训减少，本年疫情情况有所好转，培训任务增加收入增加。本年支出</w:t>
      </w:r>
      <w:r>
        <w:rPr>
          <w:rFonts w:ascii="仿宋_GB2312" w:eastAsia="仿宋_GB2312"/>
          <w:sz w:val="32"/>
          <w:szCs w:val="32"/>
        </w:rPr>
        <w:t>562.44</w:t>
      </w:r>
      <w:r>
        <w:rPr>
          <w:rFonts w:hint="eastAsia" w:ascii="仿宋_GB2312" w:eastAsia="仿宋_GB2312"/>
          <w:sz w:val="32"/>
          <w:szCs w:val="32"/>
        </w:rPr>
        <w:t>万元，与上年相比，</w:t>
      </w:r>
      <w:r>
        <w:rPr>
          <w:rFonts w:ascii="仿宋_GB2312" w:eastAsia="仿宋_GB2312"/>
          <w:sz w:val="32"/>
          <w:szCs w:val="32"/>
        </w:rPr>
        <w:t>增加11.57</w:t>
      </w:r>
      <w:r>
        <w:rPr>
          <w:rFonts w:hint="eastAsia" w:ascii="仿宋_GB2312" w:eastAsia="仿宋_GB2312"/>
          <w:sz w:val="32"/>
          <w:szCs w:val="32"/>
        </w:rPr>
        <w:t>万元，</w:t>
      </w:r>
      <w:r>
        <w:rPr>
          <w:rFonts w:ascii="仿宋_GB2312" w:eastAsia="仿宋_GB2312"/>
          <w:sz w:val="32"/>
          <w:szCs w:val="32"/>
        </w:rPr>
        <w:t>增长2.10</w:t>
      </w:r>
      <w:r>
        <w:rPr>
          <w:rFonts w:hint="eastAsia" w:ascii="仿宋_GB2312" w:eastAsia="仿宋_GB2312"/>
          <w:sz w:val="32"/>
          <w:szCs w:val="32"/>
        </w:rPr>
        <w:t>%，主要原因是：一是基本支出增加，本年度人员正常晋升人员经费上涨调整；二是项目支出增加，上年受疫情影响开展培训减少，本年疫情情况有所好转，培训任务增加支出增加。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588.56</w:t>
      </w:r>
      <w:r>
        <w:rPr>
          <w:rFonts w:hint="eastAsia" w:ascii="仿宋_GB2312" w:eastAsia="仿宋_GB2312"/>
          <w:sz w:val="32"/>
          <w:szCs w:val="32"/>
        </w:rPr>
        <w:t>万元，其中：财政拨款收入</w:t>
      </w:r>
      <w:r>
        <w:rPr>
          <w:rFonts w:ascii="仿宋_GB2312" w:eastAsia="仿宋_GB2312"/>
          <w:sz w:val="32"/>
          <w:szCs w:val="32"/>
        </w:rPr>
        <w:t>559.33</w:t>
      </w:r>
      <w:r>
        <w:rPr>
          <w:rFonts w:hint="eastAsia" w:ascii="仿宋_GB2312" w:eastAsia="仿宋_GB2312"/>
          <w:sz w:val="32"/>
          <w:szCs w:val="32"/>
        </w:rPr>
        <w:t>万元，占95.03%；上级补助收入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29.24</w:t>
      </w:r>
      <w:r>
        <w:rPr>
          <w:rFonts w:hint="eastAsia" w:ascii="仿宋_GB2312" w:eastAsia="仿宋_GB2312"/>
          <w:sz w:val="32"/>
          <w:szCs w:val="32"/>
        </w:rPr>
        <w:t>万元，占4.97%。</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年度本年支出562.44万元，其中：基本支出</w:t>
      </w:r>
      <w:r>
        <w:rPr>
          <w:rFonts w:ascii="仿宋_GB2312" w:eastAsia="仿宋_GB2312"/>
          <w:sz w:val="32"/>
          <w:szCs w:val="32"/>
        </w:rPr>
        <w:t>391.66</w:t>
      </w:r>
      <w:r>
        <w:rPr>
          <w:rFonts w:hint="eastAsia" w:ascii="仿宋_GB2312" w:eastAsia="仿宋_GB2312"/>
          <w:sz w:val="32"/>
          <w:szCs w:val="32"/>
        </w:rPr>
        <w:t>万元，占69.64%；项目支出</w:t>
      </w:r>
      <w:r>
        <w:rPr>
          <w:rFonts w:ascii="仿宋_GB2312" w:eastAsia="仿宋_GB2312"/>
          <w:sz w:val="32"/>
          <w:szCs w:val="32"/>
        </w:rPr>
        <w:t>170.78</w:t>
      </w:r>
      <w:r>
        <w:rPr>
          <w:rFonts w:hint="eastAsia" w:ascii="仿宋_GB2312" w:eastAsia="仿宋_GB2312"/>
          <w:sz w:val="32"/>
          <w:szCs w:val="32"/>
        </w:rPr>
        <w:t>万元，占30.36%；上缴上级支出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559.33万元，与上年相比，增加61.55万元，增长12.36%，主要原因是：一是人员经费增加，本年度人员正常晋升人员经费上涨调整；二是项目经费收入增加，2020年度受疫情影响我校培训任务较少，本年疫情情况有所好转，培训任务较2020年度有所增加收入增加。财政拨款支出559.33万元，与上年相比，增加8.58万元，增长1.56%，主要原因是：一是基本支出增加，本年度人员正常晋升人员经费上涨调整；二是项目支出增加，2020年度受疫情影响我校培训任务较少，2021年疫情情况有所好转，培训任务增加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508.84</w:t>
      </w:r>
      <w:r>
        <w:rPr>
          <w:rFonts w:hint="eastAsia" w:ascii="仿宋_GB2312" w:eastAsia="仿宋_GB2312"/>
          <w:sz w:val="32"/>
          <w:szCs w:val="32"/>
        </w:rPr>
        <w:t>万元，决算数</w:t>
      </w:r>
      <w:r>
        <w:rPr>
          <w:rFonts w:ascii="仿宋_GB2312" w:eastAsia="仿宋_GB2312"/>
          <w:sz w:val="32"/>
          <w:szCs w:val="32"/>
        </w:rPr>
        <w:t>559.33</w:t>
      </w:r>
      <w:r>
        <w:rPr>
          <w:rFonts w:hint="eastAsia" w:ascii="仿宋_GB2312" w:eastAsia="仿宋_GB2312"/>
          <w:sz w:val="32"/>
          <w:szCs w:val="32"/>
        </w:rPr>
        <w:t>万元，预决算差异率</w:t>
      </w:r>
      <w:r>
        <w:rPr>
          <w:rFonts w:ascii="仿宋_GB2312" w:eastAsia="仿宋_GB2312"/>
          <w:sz w:val="32"/>
          <w:szCs w:val="32"/>
        </w:rPr>
        <w:t>9.92</w:t>
      </w:r>
      <w:r>
        <w:rPr>
          <w:rFonts w:hint="eastAsia" w:ascii="仿宋_GB2312" w:eastAsia="仿宋_GB2312"/>
          <w:sz w:val="32"/>
          <w:szCs w:val="32"/>
        </w:rPr>
        <w:t>%，主要原因是：财政追加人员正常晋升的工资调整及抚恤金。财政拨款支出年初预算数</w:t>
      </w:r>
      <w:r>
        <w:rPr>
          <w:rFonts w:ascii="仿宋_GB2312" w:eastAsia="仿宋_GB2312"/>
          <w:sz w:val="32"/>
          <w:szCs w:val="32"/>
        </w:rPr>
        <w:t>508.84</w:t>
      </w:r>
      <w:r>
        <w:rPr>
          <w:rFonts w:hint="eastAsia" w:ascii="仿宋_GB2312" w:eastAsia="仿宋_GB2312"/>
          <w:sz w:val="32"/>
          <w:szCs w:val="32"/>
        </w:rPr>
        <w:t>万元，决算数</w:t>
      </w:r>
      <w:r>
        <w:rPr>
          <w:rFonts w:ascii="仿宋_GB2312" w:eastAsia="仿宋_GB2312"/>
          <w:sz w:val="32"/>
          <w:szCs w:val="32"/>
        </w:rPr>
        <w:t>559.33</w:t>
      </w:r>
      <w:r>
        <w:rPr>
          <w:rFonts w:hint="eastAsia" w:ascii="仿宋_GB2312" w:eastAsia="仿宋_GB2312"/>
          <w:sz w:val="32"/>
          <w:szCs w:val="32"/>
        </w:rPr>
        <w:t>万元，预决算差异率9.92%，主要原因是：人员正常晋升的工资调整及抚恤金支出。</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年度一般公共预算财政拨款支出559.33万元。按功能分类科目项级科目公开，其中：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2012950事业运行282.56万元；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2012999其他群众团体事务支出170.78万元；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2080502事业单位离退休29.49万元；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2080505机关事业单位基本养老保险缴费支出26.96万元；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2080506机关事业单位职业年金缴费支出3.45万元；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2101102事业单位医疗14.55万元；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2101103公务员医疗补助11.32万元；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2210201住房公积金20.22万元。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388.55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350.10</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退休费、抚恤金、医疗费补助、其他对个人和家庭的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公用经费38.45万元，包括：办公费、水费、邮电费、取暖费、差旅费、工会经费、福利费、其他商品和服务支出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w:t>
      </w:r>
      <w:r>
        <w:rPr>
          <w:rFonts w:hint="default" w:ascii="仿宋_GB2312" w:eastAsia="仿宋_GB2312"/>
          <w:sz w:val="32"/>
          <w:szCs w:val="32"/>
        </w:rPr>
        <w:t>：</w:t>
      </w:r>
      <w:r>
        <w:rPr>
          <w:rFonts w:hint="eastAsia" w:ascii="仿宋_GB2312" w:eastAsia="仿宋_GB2312"/>
          <w:sz w:val="32"/>
          <w:szCs w:val="32"/>
        </w:rPr>
        <w:t>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w:t>
      </w:r>
      <w:r>
        <w:rPr>
          <w:rFonts w:hint="default" w:ascii="仿宋_GB2312" w:eastAsia="仿宋_GB2312"/>
          <w:sz w:val="32"/>
          <w:szCs w:val="32"/>
        </w:rPr>
        <w:t>：</w:t>
      </w:r>
      <w:r>
        <w:rPr>
          <w:rFonts w:hint="eastAsia" w:ascii="仿宋_GB2312" w:eastAsia="仿宋_GB2312"/>
          <w:sz w:val="32"/>
          <w:szCs w:val="32"/>
        </w:rPr>
        <w:t>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2021年度新疆妇女干部学校（事业单位）公用经费38.45万元，比</w:t>
      </w:r>
      <w:r>
        <w:rPr>
          <w:rFonts w:hint="eastAsia" w:ascii="仿宋_GB2312" w:eastAsia="仿宋_GB2312"/>
          <w:sz w:val="32"/>
          <w:szCs w:val="32"/>
          <w:lang w:val="en-US" w:eastAsia="zh-CN"/>
        </w:rPr>
        <w:t>上年</w:t>
      </w:r>
      <w:r>
        <w:rPr>
          <w:rFonts w:hint="eastAsia" w:ascii="仿宋_GB2312" w:eastAsia="仿宋_GB2312"/>
          <w:sz w:val="32"/>
          <w:szCs w:val="32"/>
        </w:rPr>
        <w:t>增加1.25</w:t>
      </w:r>
      <w:r>
        <w:rPr>
          <w:rFonts w:hint="eastAsia" w:ascii="仿宋_GB2312" w:eastAsia="仿宋_GB2312"/>
          <w:sz w:val="32"/>
          <w:szCs w:val="32"/>
          <w:lang w:val="en-US" w:eastAsia="zh-CN"/>
        </w:rPr>
        <w:t>万</w:t>
      </w:r>
      <w:r>
        <w:rPr>
          <w:rFonts w:hint="eastAsia" w:ascii="仿宋_GB2312" w:eastAsia="仿宋_GB2312"/>
          <w:sz w:val="32"/>
          <w:szCs w:val="32"/>
        </w:rPr>
        <w:t>元，增长3.36%，主要原因是：因疫情原因我校2020年业务量相对较少，2021年度疫情情况有所好转，正常开展各项培训业务，公用经费支出略高于2020年度。</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67.90</w:t>
      </w:r>
      <w:r>
        <w:rPr>
          <w:rFonts w:hint="eastAsia" w:ascii="仿宋_GB2312" w:eastAsia="仿宋_GB2312"/>
          <w:sz w:val="32"/>
          <w:szCs w:val="32"/>
        </w:rPr>
        <w:t>万元，其中：政府采购货物支出</w:t>
      </w:r>
      <w:r>
        <w:rPr>
          <w:rFonts w:ascii="仿宋_GB2312" w:eastAsia="仿宋_GB2312"/>
          <w:sz w:val="32"/>
          <w:szCs w:val="32"/>
        </w:rPr>
        <w:t>25.91</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41.99</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10,232.00</w:t>
      </w:r>
      <w:r>
        <w:rPr>
          <w:rFonts w:hint="eastAsia" w:ascii="仿宋_GB2312" w:eastAsia="仿宋_GB2312"/>
          <w:sz w:val="32"/>
          <w:szCs w:val="32"/>
        </w:rPr>
        <w:t>（平方米），价值</w:t>
      </w:r>
      <w:r>
        <w:rPr>
          <w:rFonts w:ascii="仿宋_GB2312" w:eastAsia="仿宋_GB2312"/>
          <w:sz w:val="32"/>
          <w:szCs w:val="32"/>
        </w:rPr>
        <w:t>2,493.33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ascii="仿宋_GB2312" w:eastAsia="仿宋_GB2312"/>
          <w:sz w:val="32"/>
          <w:szCs w:val="32"/>
        </w:rPr>
      </w:pPr>
      <w:r>
        <w:rPr>
          <w:rFonts w:ascii="仿宋_GB2312" w:eastAsia="仿宋_GB2312"/>
          <w:sz w:val="32"/>
          <w:szCs w:val="32"/>
        </w:rPr>
        <w:t>根据预算绩效管理要求，我单位2021年度开展预算绩效评价项目1个，共涉及资金170.78万元。预算绩效管理取得的成效：一是我校资金运行维护决策正确，资金管理规范，项目管理到位，政策执行有力，有效发挥了财政资金的使用效率；二是我校各项工作实施及资金使用情况均在绩效目标设定时限完成。预算安排的基本支出保障了正常的工作运转，预算安排的项目支出非常必要，在执行上严格遵守各项财经纪律，在项目资金的使用上，严守法律底线、纪律底线、道德底线；三是我校严格按项目进度执行预算, 增强预算的约束力和严肃性。落实预算执行分析,及时了解预算执行差异,合理调整、纠正预算执行偏差，切实提高部门预算收支管理水平，尽可能地做到决算与预算相衔接。发现的问题及原因：一是预算执行进度未能按照时间进度分解，主要是受外界因素影响，培训未能按原计划开展；二是预算管理在编制和实施中还存在编制不细的问题，因此项目预算执行的准确性还有待加强,同时分析手段和技术水平上还有待完善。下一步改进措施：一是按时间进度分解资金使用计划。专项资金的使用，要事前做计划，事中进行控制，事后总结提高。合理安排资金使用,充分体现资金投向的目标和效益；二是加强与财政部门的紧密配合,开展好整体支出及项目资金绩效管理工作,运用好绩效评价的结果,不断提升预算管理水平。具体项目自评情况附项目支出绩效自评表。</w:t>
      </w: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ind w:firstLine="640" w:firstLineChars="200"/>
        <w:rPr>
          <w:rFonts w:ascii="仿宋_GB2312" w:eastAsia="仿宋_GB2312"/>
          <w:sz w:val="32"/>
          <w:szCs w:val="32"/>
        </w:rPr>
      </w:pPr>
    </w:p>
    <w:p>
      <w:pPr>
        <w:pStyle w:val="9"/>
        <w:widowControl/>
        <w:shd w:val="clear" w:color="auto" w:fill="FFFFFF"/>
        <w:rPr>
          <w:rFonts w:hint="default" w:ascii="仿宋_GB2312" w:eastAsia="仿宋_GB2312"/>
          <w:sz w:val="32"/>
          <w:szCs w:val="32"/>
        </w:rPr>
      </w:pPr>
      <w:bookmarkStart w:id="54" w:name="_GoBack"/>
      <w:bookmarkEnd w:id="54"/>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r>
        <w:rPr>
          <w:rFonts w:hint="eastAsia" w:ascii="宋体" w:hAnsi="宋体" w:eastAsia="宋体" w:cs="宋体"/>
          <w:b/>
          <w:bCs/>
          <w:i w:val="0"/>
          <w:iCs w:val="0"/>
          <w:color w:val="000000"/>
          <w:kern w:val="0"/>
          <w:sz w:val="32"/>
          <w:szCs w:val="32"/>
          <w:u w:val="none"/>
          <w:lang w:val="en-US" w:eastAsia="zh-CN" w:bidi="ar"/>
        </w:rPr>
        <w:br w:type="page"/>
      </w: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sectPr>
          <w:footerReference r:id="rId3" w:type="default"/>
          <w:pgSz w:w="11906" w:h="16838"/>
          <w:pgMar w:top="1440" w:right="1800" w:bottom="1440" w:left="1800" w:header="851" w:footer="992" w:gutter="0"/>
          <w:cols w:space="720" w:num="1"/>
          <w:docGrid w:type="line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6"/>
        <w:gridCol w:w="970"/>
        <w:gridCol w:w="1006"/>
        <w:gridCol w:w="1647"/>
        <w:gridCol w:w="1531"/>
        <w:gridCol w:w="896"/>
        <w:gridCol w:w="1409"/>
        <w:gridCol w:w="1267"/>
        <w:gridCol w:w="734"/>
        <w:gridCol w:w="712"/>
        <w:gridCol w:w="748"/>
        <w:gridCol w:w="621"/>
        <w:gridCol w:w="649"/>
        <w:gridCol w:w="1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bookmarkStart w:id="34" w:name="_Toc3250"/>
            <w:bookmarkStart w:id="35" w:name="_Toc24143"/>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5000" w:type="pct"/>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316"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妇联系统培训经费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6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228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新疆妇女干部学校</w:t>
            </w:r>
          </w:p>
        </w:tc>
        <w:tc>
          <w:tcPr>
            <w:tcW w:w="7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32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新疆妇女干部学校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8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7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5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68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190.00</w:t>
            </w:r>
          </w:p>
        </w:tc>
        <w:tc>
          <w:tcPr>
            <w:tcW w:w="7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170.78</w:t>
            </w:r>
          </w:p>
        </w:tc>
        <w:tc>
          <w:tcPr>
            <w:tcW w:w="5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89.88%</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68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7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68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68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3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02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31"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妇女干部培训的各类班次通过理论学习、实地考察与观摩相结合的方式既能体现中央和自治区党委及妇联党组中心工作的会议精神，又能满足各级妇女干部的培训需求。使学员们通过学习培训对习近平新时代中国特色社会主义</w:t>
            </w:r>
            <w:r>
              <w:rPr>
                <w:rFonts w:hint="eastAsia" w:ascii="宋体" w:hAnsi="宋体" w:cs="宋体"/>
                <w:i w:val="0"/>
                <w:iCs w:val="0"/>
                <w:color w:val="000000"/>
                <w:kern w:val="0"/>
                <w:sz w:val="20"/>
                <w:szCs w:val="20"/>
                <w:u w:val="none"/>
                <w:lang w:val="en-US" w:eastAsia="zh-CN" w:bidi="ar"/>
              </w:rPr>
              <w:t>思想</w:t>
            </w:r>
            <w:r>
              <w:rPr>
                <w:rFonts w:hint="eastAsia" w:ascii="宋体" w:hAnsi="宋体" w:eastAsia="宋体" w:cs="宋体"/>
                <w:i w:val="0"/>
                <w:iCs w:val="0"/>
                <w:color w:val="000000"/>
                <w:kern w:val="0"/>
                <w:sz w:val="20"/>
                <w:szCs w:val="20"/>
                <w:u w:val="none"/>
                <w:lang w:val="en-US" w:eastAsia="zh-CN" w:bidi="ar"/>
              </w:rPr>
              <w:t>和党的十九大精神、对马克思主义基本原理、对党章和党性党风党纪、对党史国史和新疆“四史”、社会主义核心价值观、对党中央治疆和形势政策、对全面深化妇联改革、对法治理念和法律法规、对妇联业务知识有进一步深入系统的学习，定会增长知识、开拓视野、提高综合素质和专业技能，进而优化她们的工作方式，必定激发妇女干部投身事业的热情，引领和团结更广大的妇女群众带动其它家庭成员听党话、跟党走，做党的好儿女，定能增强基层妇联组织建设的力量，为培养一支政治坚定、切实能担当起维护新疆社会稳定和长治久安的政治责任和历史使命的基层妇女干部队伍和基层妇联组织工作的开展奠定坚实的理论素质基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此项目专项资金很有意义，确保了妇女干部培训工作的长期开展。</w:t>
            </w:r>
          </w:p>
        </w:tc>
        <w:tc>
          <w:tcPr>
            <w:tcW w:w="2026" w:type="pct"/>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根据年初制定的计划基本完成该项目。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37"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4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1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48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58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7"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8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用于培训使用的LED屏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培训楼暖气改造</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改造项目按照实际决算审计结算因此产生偏差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培训天数</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77天</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参加培训人次</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=1130人</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1265人</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下基层购买笔记本电脑</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购买培训时用的课桌椅</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=120套</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120套</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实施教学模式创新数量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=6门</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6门</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组织培训班次数</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涉密设备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=26套</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26套</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培训合格率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设备质量合格率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培训出勤率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设备验收合格率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设备购置及时率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培训按期完成率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设备购置成本</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=77.1万元</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培训楼暖气改造根据竣工决算按实际产生支付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培训总成本</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=112.9万元</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由于受疫情影响部分培训未能正常开展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提高培训学员的综合素质和专业技能</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受训学员持证上岗率</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设备使用人员满意度</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3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受训学员满意度</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3419"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5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98.57分</w:t>
            </w:r>
          </w:p>
        </w:tc>
        <w:tc>
          <w:tcPr>
            <w:tcW w:w="5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sectPr>
          <w:pgSz w:w="16838" w:h="11906" w:orient="landscape"/>
          <w:pgMar w:top="1800" w:right="1440" w:bottom="1800" w:left="1440" w:header="851" w:footer="992" w:gutter="0"/>
          <w:cols w:space="720" w:num="1"/>
          <w:docGrid w:type="lines" w:linePitch="312" w:charSpace="0"/>
        </w:sect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2N2ViODZjMDY0YjZhOTM0MDRjYjU1OTljMjM5Nj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3201C4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7355F9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65F1D95"/>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2763C08"/>
    <w:rsid w:val="73FB6630"/>
    <w:rsid w:val="74060C43"/>
    <w:rsid w:val="74947C20"/>
    <w:rsid w:val="761262E7"/>
    <w:rsid w:val="76416A32"/>
    <w:rsid w:val="77022DD9"/>
    <w:rsid w:val="77ED6F44"/>
    <w:rsid w:val="7DC61F70"/>
    <w:rsid w:val="7E6C6E77"/>
    <w:rsid w:val="7F726A00"/>
    <w:rsid w:val="7FB31F36"/>
    <w:rsid w:val="7FBB6C74"/>
    <w:rsid w:val="7FC0756C"/>
    <w:rsid w:val="7FC85347"/>
    <w:rsid w:val="BF5DD8AA"/>
    <w:rsid w:val="D3CF2FDB"/>
    <w:rsid w:val="DB6FAF45"/>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Pages>
  <Words>5836</Words>
  <Characters>6514</Characters>
  <Lines>59</Lines>
  <Paragraphs>16</Paragraphs>
  <TotalTime>27</TotalTime>
  <ScaleCrop>false</ScaleCrop>
  <LinksUpToDate>false</LinksUpToDate>
  <CharactersWithSpaces>6545</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GXR</dc:creator>
  <cp:lastModifiedBy>王艳</cp:lastModifiedBy>
  <dcterms:modified xsi:type="dcterms:W3CDTF">2023-05-06T05:18:58Z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C3A4174CFC6845DCBAE82D7DBE01A61D</vt:lpwstr>
  </property>
</Properties>
</file>