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bookmarkStart w:id="52" w:name="_GoBack"/>
      <w:bookmarkEnd w:id="52"/>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新疆维吾尔自治区妇女联合会（本级）</w:t>
      </w:r>
    </w:p>
    <w:p>
      <w:pPr>
        <w:jc w:val="center"/>
        <w:rPr>
          <w:rFonts w:ascii="方正小标宋_GBK" w:hAnsi="宋体" w:eastAsia="方正小标宋_GBK"/>
          <w:sz w:val="44"/>
          <w:szCs w:val="44"/>
        </w:rPr>
      </w:pPr>
      <w:r>
        <w:rPr>
          <w:rFonts w:hint="eastAsia" w:ascii="方正小标宋_GBK" w:hAnsi="宋体" w:eastAsia="方正小标宋_GBK"/>
          <w:sz w:val="44"/>
          <w:szCs w:val="44"/>
        </w:rPr>
        <w:t>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ind w:firstLine="640" w:firstLineChars="200"/>
        <w:rPr>
          <w:rFonts w:ascii="仿宋_GB2312" w:eastAsia="仿宋_GB2312"/>
          <w:sz w:val="32"/>
          <w:szCs w:val="32"/>
        </w:rPr>
      </w:pPr>
      <w:r>
        <w:rPr>
          <w:rFonts w:ascii="仿宋_GB2312" w:eastAsia="仿宋_GB2312"/>
          <w:sz w:val="32"/>
          <w:szCs w:val="32"/>
        </w:rPr>
        <w:t>1.坚持正确的政治方向，团结、引领、服务、联系全疆各族各界妇女以及各类妇女组织，深入学习贯彻习近平新时代中国特色社会主义思想和党的路线方针政策，坚决维护习近平总书记的核心地位和党中央集中统一领导,始终在思想上政治上行动上同以习近平同志为核心的党中央保持高度一致，维护祖国统一，反对民族分裂主义和非法宗教活动。</w:t>
      </w:r>
      <w:r>
        <w:rPr>
          <w:rFonts w:ascii="仿宋_GB2312" w:eastAsia="仿宋_GB2312"/>
          <w:sz w:val="32"/>
          <w:szCs w:val="32"/>
        </w:rPr>
        <w:br w:type="textWrapping"/>
      </w:r>
      <w:r>
        <w:rPr>
          <w:rFonts w:ascii="仿宋_GB2312" w:eastAsia="仿宋_GB2312"/>
          <w:sz w:val="32"/>
          <w:szCs w:val="32"/>
        </w:rPr>
        <w:t>　　2.坚决贯彻落实新时代党的治疆方略，紧紧围绕社会稳定和长治久安总目标开展工作，团结、动员、组织妇女群众投身改革开放和社会主义经济建设、政治建设、文化建设、社会建设和生态文明建设，注重发挥妇女在社会生活和家庭生活中的独特作用，为中国特色社会主义伟大实践作贡献。</w:t>
      </w:r>
      <w:r>
        <w:rPr>
          <w:rFonts w:ascii="仿宋_GB2312" w:eastAsia="仿宋_GB2312"/>
          <w:sz w:val="32"/>
          <w:szCs w:val="32"/>
        </w:rPr>
        <w:br w:type="textWrapping"/>
      </w:r>
      <w:r>
        <w:rPr>
          <w:rFonts w:ascii="仿宋_GB2312" w:eastAsia="仿宋_GB2312"/>
          <w:sz w:val="32"/>
          <w:szCs w:val="32"/>
        </w:rPr>
        <w:t>　　3.宣传马克思主义妇女观，推动落实男女平等基本国策，营造有利于妇女全面发展的社会环境；教育引导妇女群众树立正确的世界观、人生观、价值观，弘扬“自尊、自信、自立，自强”精神，提高综合素质，实现全面发展；宣传表彰优秀妇女典型，培养、推荐女性人才。</w:t>
      </w:r>
      <w:r>
        <w:rPr>
          <w:rFonts w:ascii="仿宋_GB2312" w:eastAsia="仿宋_GB2312"/>
          <w:sz w:val="32"/>
          <w:szCs w:val="32"/>
        </w:rPr>
        <w:br w:type="textWrapping"/>
      </w:r>
      <w:r>
        <w:rPr>
          <w:rFonts w:ascii="仿宋_GB2312" w:eastAsia="仿宋_GB2312"/>
          <w:sz w:val="32"/>
          <w:szCs w:val="32"/>
        </w:rPr>
        <w:t>　　4.代表各族各界妇女参与管理国家事务、管理经济和文化事业、管理社会事务，参与民主决策、民主管理、民主监督，参与有关法律、法规、规章和政策的制定，推动保障妇女权益法律政策和妇女、儿童发展纲要的实施。</w:t>
      </w:r>
      <w:r>
        <w:rPr>
          <w:rFonts w:ascii="仿宋_GB2312" w:eastAsia="仿宋_GB2312"/>
          <w:sz w:val="32"/>
          <w:szCs w:val="32"/>
        </w:rPr>
        <w:br w:type="textWrapping"/>
      </w:r>
      <w:r>
        <w:rPr>
          <w:rFonts w:ascii="仿宋_GB2312" w:eastAsia="仿宋_GB2312"/>
          <w:sz w:val="32"/>
          <w:szCs w:val="32"/>
        </w:rPr>
        <w:t>　　5.维护妇女儿童合法权益，倾听妇女意见，反映妇女诉求，向自治区党委、自治区人民政府提出对策建议，要求并协助有关部门或单位查处侵害妇女儿童权益的行为，为受侵害的妇女提供帮助。</w:t>
      </w:r>
      <w:r>
        <w:rPr>
          <w:rFonts w:ascii="仿宋_GB2312" w:eastAsia="仿宋_GB2312"/>
          <w:sz w:val="32"/>
          <w:szCs w:val="32"/>
        </w:rPr>
        <w:br w:type="textWrapping"/>
      </w:r>
      <w:r>
        <w:rPr>
          <w:rFonts w:ascii="仿宋_GB2312" w:eastAsia="仿宋_GB2312"/>
          <w:sz w:val="32"/>
          <w:szCs w:val="32"/>
        </w:rPr>
        <w:t>　　6.教育引导各族妇女践行社会主义核心价值观，弘扬中华优秀文化，组织开展家庭文明创建，支持服务家庭教育，传承中华民族家庭美德，树立良好家风，推动形成家庭文明新风尚。</w:t>
      </w:r>
      <w:r>
        <w:rPr>
          <w:rFonts w:ascii="仿宋_GB2312" w:eastAsia="仿宋_GB2312"/>
          <w:sz w:val="32"/>
          <w:szCs w:val="32"/>
        </w:rPr>
        <w:br w:type="textWrapping"/>
      </w:r>
      <w:r>
        <w:rPr>
          <w:rFonts w:ascii="仿宋_GB2312" w:eastAsia="仿宋_GB2312"/>
          <w:sz w:val="32"/>
          <w:szCs w:val="32"/>
        </w:rPr>
        <w:t>　　7.关心妇女工作生活，拓宽服务渠道，创新服务方式，建设服务阵地，发展公益事业，壮大巾帼志愿者队伍，加强妇女之家建设。联系和引导女性社会组织，加强与社会各界的协作，推动全社会为妇女儿童和家庭服务。</w:t>
      </w:r>
      <w:r>
        <w:rPr>
          <w:rFonts w:ascii="仿宋_GB2312" w:eastAsia="仿宋_GB2312"/>
          <w:sz w:val="32"/>
          <w:szCs w:val="32"/>
        </w:rPr>
        <w:br w:type="textWrapping"/>
      </w:r>
      <w:r>
        <w:rPr>
          <w:rFonts w:ascii="仿宋_GB2312" w:eastAsia="仿宋_GB2312"/>
          <w:sz w:val="32"/>
          <w:szCs w:val="32"/>
        </w:rPr>
        <w:t>　　8.指导各地（州、市）妇联依据《中华全国妇女联合会章程》和妇女代表大会的任务，开展妇女儿童工作；联系团体会员并给予工作指导；加强同香港、澳门特别行政区和台湾地区及海外侨胞妇女的联谊；巩固和扩大各族各界妇女的大团结，促进祖国统一大业的完成。</w:t>
      </w:r>
      <w:r>
        <w:rPr>
          <w:rFonts w:ascii="仿宋_GB2312" w:eastAsia="仿宋_GB2312"/>
          <w:sz w:val="32"/>
          <w:szCs w:val="32"/>
        </w:rPr>
        <w:br w:type="textWrapping"/>
      </w:r>
      <w:r>
        <w:rPr>
          <w:rFonts w:ascii="仿宋_GB2312" w:eastAsia="仿宋_GB2312"/>
          <w:sz w:val="32"/>
          <w:szCs w:val="32"/>
        </w:rPr>
        <w:t>　　9.承担自治区妇女儿童工作委员会办公室的工作。</w:t>
      </w:r>
      <w:r>
        <w:rPr>
          <w:rFonts w:ascii="仿宋_GB2312" w:eastAsia="仿宋_GB2312"/>
          <w:sz w:val="32"/>
          <w:szCs w:val="32"/>
        </w:rPr>
        <w:br w:type="textWrapping"/>
      </w:r>
      <w:r>
        <w:rPr>
          <w:rFonts w:ascii="仿宋_GB2312" w:eastAsia="仿宋_GB2312"/>
          <w:sz w:val="32"/>
          <w:szCs w:val="32"/>
        </w:rPr>
        <w:t>　　10.承办自治区党委、自治区人民政府交办的有关事项</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新疆维吾尔自治区妇女联合会（本级）</w:t>
      </w:r>
      <w:r>
        <w:rPr>
          <w:rFonts w:ascii="仿宋_GB2312" w:eastAsia="仿宋_GB2312"/>
          <w:sz w:val="32"/>
          <w:szCs w:val="32"/>
        </w:rPr>
        <w:t>2021</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rPr>
        <w:t>实有人数</w:t>
      </w:r>
      <w:r>
        <w:rPr>
          <w:rFonts w:ascii="仿宋_GB2312" w:eastAsia="仿宋_GB2312"/>
          <w:sz w:val="32"/>
          <w:szCs w:val="32"/>
        </w:rPr>
        <w:t>131</w:t>
      </w:r>
      <w:r>
        <w:rPr>
          <w:rFonts w:hint="eastAsia" w:ascii="仿宋_GB2312" w:eastAsia="仿宋_GB2312"/>
          <w:sz w:val="32"/>
          <w:szCs w:val="32"/>
        </w:rPr>
        <w:t>人，其中：在职人员</w:t>
      </w:r>
      <w:r>
        <w:rPr>
          <w:rFonts w:ascii="仿宋_GB2312" w:eastAsia="仿宋_GB2312"/>
          <w:sz w:val="32"/>
          <w:szCs w:val="32"/>
        </w:rPr>
        <w:t>61</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69</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从部门决算单位构成看，新疆维吾尔自治区妇女联合会（本级）部门决算包括：新疆维吾尔自治区妇女联合会（本级）决算。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个处室，分别是：办公室、组织联络部（机关党委）、宣传部、妇女发展部、权益部、家庭和儿童工作部、老干处、自治区妇女儿童工作委员会办公室、自治区妇女联合会机关服务中心</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3,283.38</w:t>
      </w:r>
      <w:r>
        <w:rPr>
          <w:rFonts w:hint="eastAsia" w:ascii="仿宋_GB2312" w:eastAsia="仿宋_GB2312"/>
          <w:sz w:val="32"/>
          <w:szCs w:val="32"/>
        </w:rPr>
        <w:t>万元，与上年相比，增加440.92万元，</w:t>
      </w:r>
      <w:r>
        <w:rPr>
          <w:rFonts w:ascii="仿宋_GB2312" w:eastAsia="仿宋_GB2312"/>
          <w:sz w:val="32"/>
          <w:szCs w:val="32"/>
        </w:rPr>
        <w:t>增长15.51</w:t>
      </w:r>
      <w:r>
        <w:rPr>
          <w:rFonts w:hint="eastAsia" w:ascii="仿宋_GB2312" w:eastAsia="仿宋_GB2312"/>
          <w:sz w:val="32"/>
          <w:szCs w:val="32"/>
        </w:rPr>
        <w:t>%，主要原因是：一是人员经费收入增加，人员正常晋升与增资。二是年中追加中央彩票公益金。本年支出</w:t>
      </w:r>
      <w:r>
        <w:rPr>
          <w:rFonts w:ascii="仿宋_GB2312" w:eastAsia="仿宋_GB2312"/>
          <w:sz w:val="32"/>
          <w:szCs w:val="32"/>
        </w:rPr>
        <w:t>3,305.76</w:t>
      </w:r>
      <w:r>
        <w:rPr>
          <w:rFonts w:hint="eastAsia" w:ascii="仿宋_GB2312" w:eastAsia="仿宋_GB2312"/>
          <w:sz w:val="32"/>
          <w:szCs w:val="32"/>
        </w:rPr>
        <w:t>万元，与上年相比，</w:t>
      </w:r>
      <w:r>
        <w:rPr>
          <w:rFonts w:ascii="仿宋_GB2312" w:eastAsia="仿宋_GB2312"/>
          <w:sz w:val="32"/>
          <w:szCs w:val="32"/>
        </w:rPr>
        <w:t>增加363.27</w:t>
      </w:r>
      <w:r>
        <w:rPr>
          <w:rFonts w:hint="eastAsia" w:ascii="仿宋_GB2312" w:eastAsia="仿宋_GB2312"/>
          <w:sz w:val="32"/>
          <w:szCs w:val="32"/>
        </w:rPr>
        <w:t>万元，</w:t>
      </w:r>
      <w:r>
        <w:rPr>
          <w:rFonts w:ascii="仿宋_GB2312" w:eastAsia="仿宋_GB2312"/>
          <w:sz w:val="32"/>
          <w:szCs w:val="32"/>
        </w:rPr>
        <w:t>增长12.35</w:t>
      </w:r>
      <w:r>
        <w:rPr>
          <w:rFonts w:hint="eastAsia" w:ascii="仿宋_GB2312" w:eastAsia="仿宋_GB2312"/>
          <w:sz w:val="32"/>
          <w:szCs w:val="32"/>
        </w:rPr>
        <w:t>%，主要原因是：一是人员经费收入增加，人员正常晋升与增资。二是年中追加中央彩票公益金。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3,283.38</w:t>
      </w:r>
      <w:r>
        <w:rPr>
          <w:rFonts w:hint="eastAsia" w:ascii="仿宋_GB2312" w:eastAsia="仿宋_GB2312"/>
          <w:sz w:val="32"/>
          <w:szCs w:val="32"/>
        </w:rPr>
        <w:t>万元，其中：财政拨款收入</w:t>
      </w:r>
      <w:r>
        <w:rPr>
          <w:rFonts w:ascii="仿宋_GB2312" w:eastAsia="仿宋_GB2312"/>
          <w:sz w:val="32"/>
          <w:szCs w:val="32"/>
        </w:rPr>
        <w:t>3,279.89</w:t>
      </w:r>
      <w:r>
        <w:rPr>
          <w:rFonts w:hint="eastAsia" w:ascii="仿宋_GB2312" w:eastAsia="仿宋_GB2312"/>
          <w:sz w:val="32"/>
          <w:szCs w:val="32"/>
        </w:rPr>
        <w:t>万元，占99.89%；上级补助收入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3.49</w:t>
      </w:r>
      <w:r>
        <w:rPr>
          <w:rFonts w:hint="eastAsia" w:ascii="仿宋_GB2312" w:eastAsia="仿宋_GB2312"/>
          <w:sz w:val="32"/>
          <w:szCs w:val="32"/>
        </w:rPr>
        <w:t>万元，占0.11%。</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年度本年支出3,305.76万元，其中：基本支出</w:t>
      </w:r>
      <w:r>
        <w:rPr>
          <w:rFonts w:ascii="仿宋_GB2312" w:eastAsia="仿宋_GB2312"/>
          <w:sz w:val="32"/>
          <w:szCs w:val="32"/>
        </w:rPr>
        <w:t>1,629.94</w:t>
      </w:r>
      <w:r>
        <w:rPr>
          <w:rFonts w:hint="eastAsia" w:ascii="仿宋_GB2312" w:eastAsia="仿宋_GB2312"/>
          <w:sz w:val="32"/>
          <w:szCs w:val="32"/>
        </w:rPr>
        <w:t>万元，占49.31%；项目支出</w:t>
      </w:r>
      <w:r>
        <w:rPr>
          <w:rFonts w:ascii="仿宋_GB2312" w:eastAsia="仿宋_GB2312"/>
          <w:sz w:val="32"/>
          <w:szCs w:val="32"/>
        </w:rPr>
        <w:t>1,675.82</w:t>
      </w:r>
      <w:r>
        <w:rPr>
          <w:rFonts w:hint="eastAsia" w:ascii="仿宋_GB2312" w:eastAsia="仿宋_GB2312"/>
          <w:sz w:val="32"/>
          <w:szCs w:val="32"/>
        </w:rPr>
        <w:t>万元，占50.69%；上缴上级支出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3,279.89万元，与上年相比，增加438.36万元，增长15.43%，主要原因是：一是人员经费收入增加，人员正常晋升与增资。二是年中追加中央彩票公益金。财政拨款支出3,279.89万元，与上年相比，增加348.32万元，增长11.88%，主要原因是：一是人员经费收入增加，人员正常晋升与增资。二是年中追加中央彩票公益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2,416.27</w:t>
      </w:r>
      <w:r>
        <w:rPr>
          <w:rFonts w:hint="eastAsia" w:ascii="仿宋_GB2312" w:eastAsia="仿宋_GB2312"/>
          <w:sz w:val="32"/>
          <w:szCs w:val="32"/>
        </w:rPr>
        <w:t>万元，决算数</w:t>
      </w:r>
      <w:r>
        <w:rPr>
          <w:rFonts w:ascii="仿宋_GB2312" w:eastAsia="仿宋_GB2312"/>
          <w:sz w:val="32"/>
          <w:szCs w:val="32"/>
        </w:rPr>
        <w:t>3,279.89</w:t>
      </w:r>
      <w:r>
        <w:rPr>
          <w:rFonts w:hint="eastAsia" w:ascii="仿宋_GB2312" w:eastAsia="仿宋_GB2312"/>
          <w:sz w:val="32"/>
          <w:szCs w:val="32"/>
        </w:rPr>
        <w:t>万元，预决算差异率</w:t>
      </w:r>
      <w:r>
        <w:rPr>
          <w:rFonts w:ascii="仿宋_GB2312" w:eastAsia="仿宋_GB2312"/>
          <w:sz w:val="32"/>
          <w:szCs w:val="32"/>
        </w:rPr>
        <w:t>35.74</w:t>
      </w:r>
      <w:r>
        <w:rPr>
          <w:rFonts w:hint="eastAsia" w:ascii="仿宋_GB2312" w:eastAsia="仿宋_GB2312"/>
          <w:sz w:val="32"/>
          <w:szCs w:val="32"/>
        </w:rPr>
        <w:t>%，主要原因是：年中追加</w:t>
      </w:r>
      <w:r>
        <w:rPr>
          <w:rFonts w:hint="eastAsia" w:ascii="仿宋_GB2312" w:eastAsia="仿宋_GB2312"/>
          <w:sz w:val="32"/>
          <w:szCs w:val="32"/>
          <w:lang w:eastAsia="zh-CN"/>
        </w:rPr>
        <w:t>“</w:t>
      </w:r>
      <w:r>
        <w:rPr>
          <w:rFonts w:hint="eastAsia" w:ascii="仿宋_GB2312" w:eastAsia="仿宋_GB2312"/>
          <w:sz w:val="32"/>
          <w:szCs w:val="32"/>
        </w:rPr>
        <w:t>访惠聚</w:t>
      </w:r>
      <w:r>
        <w:rPr>
          <w:rFonts w:hint="eastAsia" w:ascii="仿宋_GB2312" w:eastAsia="仿宋_GB2312"/>
          <w:sz w:val="32"/>
          <w:szCs w:val="32"/>
          <w:lang w:eastAsia="zh-CN"/>
        </w:rPr>
        <w:t>”</w:t>
      </w:r>
      <w:r>
        <w:rPr>
          <w:rFonts w:hint="eastAsia" w:ascii="仿宋_GB2312" w:eastAsia="仿宋_GB2312"/>
          <w:sz w:val="32"/>
          <w:szCs w:val="32"/>
        </w:rPr>
        <w:t>工作经费、丧葬费、职业年金、绩效奖金、中央彩票公益金项目等。财政拨款支出年初预算数</w:t>
      </w:r>
      <w:r>
        <w:rPr>
          <w:rFonts w:ascii="仿宋_GB2312" w:eastAsia="仿宋_GB2312"/>
          <w:sz w:val="32"/>
          <w:szCs w:val="32"/>
        </w:rPr>
        <w:t>2,416.27</w:t>
      </w:r>
      <w:r>
        <w:rPr>
          <w:rFonts w:hint="eastAsia" w:ascii="仿宋_GB2312" w:eastAsia="仿宋_GB2312"/>
          <w:sz w:val="32"/>
          <w:szCs w:val="32"/>
        </w:rPr>
        <w:t>万元，决算数</w:t>
      </w:r>
      <w:r>
        <w:rPr>
          <w:rFonts w:ascii="仿宋_GB2312" w:eastAsia="仿宋_GB2312"/>
          <w:sz w:val="32"/>
          <w:szCs w:val="32"/>
        </w:rPr>
        <w:t>3,279.89</w:t>
      </w:r>
      <w:r>
        <w:rPr>
          <w:rFonts w:hint="eastAsia" w:ascii="仿宋_GB2312" w:eastAsia="仿宋_GB2312"/>
          <w:sz w:val="32"/>
          <w:szCs w:val="32"/>
        </w:rPr>
        <w:t>万元，预决算差异率35.74%，主要原因是：支出年中追加的</w:t>
      </w:r>
      <w:r>
        <w:rPr>
          <w:rFonts w:hint="eastAsia" w:ascii="仿宋_GB2312" w:eastAsia="仿宋_GB2312"/>
          <w:sz w:val="32"/>
          <w:szCs w:val="32"/>
          <w:lang w:eastAsia="zh-CN"/>
        </w:rPr>
        <w:t>“</w:t>
      </w:r>
      <w:r>
        <w:rPr>
          <w:rFonts w:hint="eastAsia" w:ascii="仿宋_GB2312" w:eastAsia="仿宋_GB2312"/>
          <w:sz w:val="32"/>
          <w:szCs w:val="32"/>
        </w:rPr>
        <w:t>访惠聚</w:t>
      </w:r>
      <w:r>
        <w:rPr>
          <w:rFonts w:hint="eastAsia" w:ascii="仿宋_GB2312" w:eastAsia="仿宋_GB2312"/>
          <w:sz w:val="32"/>
          <w:szCs w:val="32"/>
          <w:lang w:eastAsia="zh-CN"/>
        </w:rPr>
        <w:t>”</w:t>
      </w:r>
      <w:r>
        <w:rPr>
          <w:rFonts w:hint="eastAsia" w:ascii="仿宋_GB2312" w:eastAsia="仿宋_GB2312"/>
          <w:sz w:val="32"/>
          <w:szCs w:val="32"/>
        </w:rPr>
        <w:t>工作经费、丧葬费、职业年金、绩效奖金、中央彩票公益金项目等。</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年度一般公共预算财政拨款支出2,792.62万元。按功能分类科目项级科目公开，其中：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2012901行政运行1,033.65万元；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2012902一般行政管理事务94.50万元；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2012903机关服务151.60万元；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2012999其他群众团体事务支出1,089.61万元；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2080501行政单位离退休124.07万元；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2080505机关事业单位基本养老保险缴费支出101.56万元；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2080506机关事业单位职业年金缴费支出24.15万元；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2101101行政单位医疗44.99万元；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2101102事业单位医疗9.74万元；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2101103公务员医疗补助42.57万元；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2210201住房公积金76.17万元。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1,608.50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1,385.25</w:t>
      </w:r>
      <w:r>
        <w:rPr>
          <w:rFonts w:hint="eastAsia" w:ascii="仿宋_GB2312" w:eastAsia="仿宋_GB2312"/>
          <w:sz w:val="32"/>
          <w:szCs w:val="32"/>
        </w:rPr>
        <w:t>万元，包括：基本工资、津贴补贴、奖金、机关事业单位基本养老保险缴费、职业年金缴费、职工基本医疗保险缴费、公务员医疗补助缴费、住房公积金、离休费、退休费、抚恤金、医疗费补助、奖励金、其他对个人和家庭的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223.26万元，包括：办公费、手续费、水费、电费、邮电费、取暖费、物业管理费、差旅费、会议费、培训费、劳务费、委托业务费、工会经费、福利费、公务用车运行维护费、其他交通费用、其他商品和服务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2021年度一般公共预算“三公”经费支出决算30.30万元，比上年增加0.08万元，增长0.26%，主要原因是</w:t>
      </w:r>
      <w:r>
        <w:rPr>
          <w:rFonts w:hint="eastAsia" w:ascii="仿宋_GB2312" w:eastAsia="仿宋_GB2312"/>
          <w:sz w:val="32"/>
          <w:szCs w:val="32"/>
          <w:lang w:eastAsia="zh-CN"/>
        </w:rPr>
        <w:t>：</w:t>
      </w:r>
      <w:r>
        <w:rPr>
          <w:rFonts w:ascii="仿宋_GB2312" w:eastAsia="仿宋_GB2312"/>
          <w:sz w:val="32"/>
          <w:szCs w:val="32"/>
        </w:rPr>
        <w:t>2020年因疫情原因车辆加油费使用较少，2021年车辆用油增加。其中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30.30万元，占100.00%，比上年增加0.16万元，增长0.53%，主要原因是：2020年因疫情原因车辆加油费使用较少，2021年车辆用油增加；公务接待费支出0.00万元，占0.00%，比上年减少0.08万元，降低100.00%，主要原因是</w:t>
      </w:r>
      <w:r>
        <w:rPr>
          <w:rFonts w:hint="eastAsia" w:ascii="仿宋_GB2312" w:eastAsia="仿宋_GB2312"/>
          <w:sz w:val="32"/>
          <w:szCs w:val="32"/>
          <w:lang w:eastAsia="zh-CN"/>
        </w:rPr>
        <w:t>：</w:t>
      </w:r>
      <w:r>
        <w:rPr>
          <w:rFonts w:ascii="仿宋_GB2312" w:eastAsia="仿宋_GB2312"/>
          <w:sz w:val="32"/>
          <w:szCs w:val="32"/>
        </w:rPr>
        <w:t>2021年因疫情原因，未产生公务接待。具体情况如下：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w:t>
      </w:r>
      <w:r>
        <w:rPr>
          <w:rFonts w:hint="eastAsia" w:ascii="仿宋_GB2312" w:eastAsia="仿宋_GB2312"/>
          <w:sz w:val="32"/>
          <w:szCs w:val="32"/>
        </w:rPr>
        <w:t>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30.30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30.30</w:t>
      </w:r>
      <w:r>
        <w:rPr>
          <w:rFonts w:hint="eastAsia" w:ascii="仿宋_GB2312" w:eastAsia="仿宋_GB2312"/>
          <w:sz w:val="32"/>
          <w:szCs w:val="32"/>
        </w:rPr>
        <w:t>万元。公务用车运行维护费开支内容包括：公务用车燃料费，维修费、保险费等。公务用车购置数</w:t>
      </w:r>
      <w:r>
        <w:rPr>
          <w:rFonts w:ascii="仿宋_GB2312" w:eastAsia="仿宋_GB2312"/>
          <w:sz w:val="32"/>
          <w:szCs w:val="32"/>
        </w:rPr>
        <w:t>0</w:t>
      </w:r>
      <w:r>
        <w:rPr>
          <w:rFonts w:hint="eastAsia" w:ascii="仿宋_GB2312" w:eastAsia="仿宋_GB2312"/>
          <w:sz w:val="32"/>
          <w:szCs w:val="32"/>
        </w:rPr>
        <w:t>辆，公务用车保有量12辆。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w:t>
      </w:r>
      <w:r>
        <w:rPr>
          <w:rFonts w:hint="eastAsia" w:ascii="仿宋_GB2312" w:eastAsia="仿宋_GB2312"/>
          <w:sz w:val="32"/>
          <w:szCs w:val="32"/>
          <w:lang w:eastAsia="zh-CN"/>
        </w:rPr>
        <w:t>：</w:t>
      </w:r>
      <w:r>
        <w:rPr>
          <w:rFonts w:hint="eastAsia" w:ascii="仿宋_GB2312" w:eastAsia="仿宋_GB2312"/>
          <w:sz w:val="32"/>
          <w:szCs w:val="32"/>
        </w:rPr>
        <w:t>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与年初预算数相比情况：一般公共预算“三公”经费支出年初预算数30.30万元，决算数</w:t>
      </w:r>
      <w:r>
        <w:rPr>
          <w:rFonts w:ascii="仿宋_GB2312" w:eastAsia="仿宋_GB2312"/>
          <w:sz w:val="32"/>
          <w:szCs w:val="32"/>
        </w:rPr>
        <w:t>30.30</w:t>
      </w:r>
      <w:r>
        <w:rPr>
          <w:rFonts w:hint="eastAsia" w:ascii="仿宋_GB2312" w:eastAsia="仿宋_GB2312"/>
          <w:sz w:val="32"/>
          <w:szCs w:val="32"/>
        </w:rPr>
        <w:t>万元，预决算差异率0.00%，主要原因是：按照年初预算执行。</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预算数30.30万元，决算数30.30万元，预决算差异率0.00%，主要原因是：按照年初预算执行；</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2021年度政府性基金预算财政拨款收入487.27万元，与上年相比，增加377.27万元，增长342.97%，主要原因是：年中追加中央彩票公益金项目。政府性基金预算财政拨款支出487.27万元</w:t>
      </w:r>
      <w:r>
        <w:rPr>
          <w:rFonts w:hint="eastAsia" w:ascii="仿宋_GB2312" w:eastAsia="仿宋_GB2312"/>
          <w:sz w:val="32"/>
          <w:szCs w:val="32"/>
        </w:rPr>
        <w:t>，</w:t>
      </w:r>
      <w:r>
        <w:rPr>
          <w:rFonts w:ascii="仿宋_GB2312" w:eastAsia="仿宋_GB2312"/>
          <w:sz w:val="32"/>
          <w:szCs w:val="32"/>
        </w:rPr>
        <w:t>与上年相比，增加328.82万元，增长207.52%，主要原因是：年中追加中央彩票公益金项目。</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政府性基金预算财政拨款支出487.27万元。按功能分类科目项级科目公开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2296002用于社会福利的彩票公益金支出90.00万元；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ascii="仿宋_GB2312" w:eastAsia="仿宋_GB2312"/>
          <w:sz w:val="32"/>
          <w:szCs w:val="32"/>
        </w:rPr>
        <w:t>2296010用于文化事业的彩票公益金支出397.27万元。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2021年度新疆维吾尔自治区妇女联合会（本级）（行政单位和参照公务员法管理事业单位）机关运行经费支出</w:t>
      </w:r>
      <w:r>
        <w:rPr>
          <w:rFonts w:ascii="仿宋_GB2312" w:eastAsia="仿宋_GB2312"/>
          <w:sz w:val="32"/>
          <w:szCs w:val="32"/>
        </w:rPr>
        <w:t>223.26</w:t>
      </w:r>
      <w:r>
        <w:rPr>
          <w:rFonts w:hint="eastAsia" w:ascii="仿宋_GB2312" w:eastAsia="仿宋_GB2312"/>
          <w:sz w:val="32"/>
          <w:szCs w:val="32"/>
        </w:rPr>
        <w:t>万元，比上年增加5.02万元，增长2.30%，主要原因是：因疫情原因，2020年单位业务发生较少，公用经费支出较少，2021年度单位正常开展业务公用经费支出高于2020年。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440.18</w:t>
      </w:r>
      <w:r>
        <w:rPr>
          <w:rFonts w:hint="eastAsia" w:ascii="仿宋_GB2312" w:eastAsia="仿宋_GB2312"/>
          <w:sz w:val="32"/>
          <w:szCs w:val="32"/>
        </w:rPr>
        <w:t>万元，其中：政府采购货物支出</w:t>
      </w:r>
      <w:r>
        <w:rPr>
          <w:rFonts w:ascii="仿宋_GB2312" w:eastAsia="仿宋_GB2312"/>
          <w:sz w:val="32"/>
          <w:szCs w:val="32"/>
        </w:rPr>
        <w:t>440.18</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168.52</w:t>
      </w:r>
      <w:r>
        <w:rPr>
          <w:rFonts w:hint="eastAsia" w:ascii="仿宋_GB2312" w:eastAsia="仿宋_GB2312"/>
          <w:sz w:val="32"/>
          <w:szCs w:val="32"/>
        </w:rPr>
        <w:t>万元，占政府采购支出总额的</w:t>
      </w:r>
      <w:r>
        <w:rPr>
          <w:rFonts w:ascii="仿宋_GB2312" w:eastAsia="仿宋_GB2312"/>
          <w:sz w:val="32"/>
          <w:szCs w:val="32"/>
        </w:rPr>
        <w:t>38.2</w:t>
      </w:r>
      <w:r>
        <w:rPr>
          <w:rFonts w:hint="eastAsia" w:ascii="仿宋_GB2312" w:eastAsia="仿宋_GB2312"/>
          <w:sz w:val="32"/>
          <w:szCs w:val="32"/>
          <w:lang w:val="en-US" w:eastAsia="zh-CN"/>
        </w:rPr>
        <w:t>8</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8391"/>
      <w:bookmarkStart w:id="29" w:name="_Toc45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28,885.00</w:t>
      </w:r>
      <w:r>
        <w:rPr>
          <w:rFonts w:hint="eastAsia" w:ascii="仿宋_GB2312" w:eastAsia="仿宋_GB2312"/>
          <w:sz w:val="32"/>
          <w:szCs w:val="32"/>
        </w:rPr>
        <w:t>（平方米），价值</w:t>
      </w:r>
      <w:r>
        <w:rPr>
          <w:rFonts w:ascii="仿宋_GB2312" w:eastAsia="仿宋_GB2312"/>
          <w:sz w:val="32"/>
          <w:szCs w:val="32"/>
        </w:rPr>
        <w:t>4,543.26</w:t>
      </w:r>
      <w:r>
        <w:rPr>
          <w:rFonts w:hint="eastAsia" w:ascii="仿宋_GB2312" w:eastAsia="仿宋_GB2312"/>
          <w:sz w:val="32"/>
          <w:szCs w:val="32"/>
        </w:rPr>
        <w:t>万元。车辆</w:t>
      </w:r>
      <w:r>
        <w:rPr>
          <w:rFonts w:ascii="仿宋_GB2312" w:eastAsia="仿宋_GB2312"/>
          <w:sz w:val="32"/>
          <w:szCs w:val="32"/>
        </w:rPr>
        <w:t>12</w:t>
      </w:r>
      <w:r>
        <w:rPr>
          <w:rFonts w:hint="eastAsia" w:ascii="仿宋_GB2312" w:eastAsia="仿宋_GB2312"/>
          <w:sz w:val="32"/>
          <w:szCs w:val="32"/>
        </w:rPr>
        <w:t>辆，价值</w:t>
      </w:r>
      <w:r>
        <w:rPr>
          <w:rFonts w:ascii="仿宋_GB2312" w:eastAsia="仿宋_GB2312"/>
          <w:sz w:val="32"/>
          <w:szCs w:val="32"/>
        </w:rPr>
        <w:t>284.09</w:t>
      </w:r>
      <w:r>
        <w:rPr>
          <w:rFonts w:hint="eastAsia" w:ascii="仿宋_GB2312" w:eastAsia="仿宋_GB2312"/>
          <w:sz w:val="32"/>
          <w:szCs w:val="32"/>
        </w:rPr>
        <w:t>万元，其中：副部（省）级及以上领导用车0辆、主要领导干部用车2辆、机要通信用车</w:t>
      </w:r>
      <w:r>
        <w:rPr>
          <w:rFonts w:ascii="仿宋_GB2312" w:eastAsia="仿宋_GB2312"/>
          <w:sz w:val="32"/>
          <w:szCs w:val="32"/>
        </w:rPr>
        <w:t>1</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9</w:t>
      </w:r>
      <w:r>
        <w:rPr>
          <w:rFonts w:hint="eastAsia" w:ascii="仿宋_GB2312" w:eastAsia="仿宋_GB2312"/>
          <w:sz w:val="32"/>
          <w:szCs w:val="32"/>
        </w:rPr>
        <w:t>辆，其他用车主要是：保障机关正常工作用车；单位价值50万元以上通用设备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7个，共涉及资金1583.63万元。预算绩效管理取得的成效：一是在经济效益方面：通过发放临时救助金、“家庭学校进农户”培训及“家家幸福安康”工程等项目活动，提高了南疆四地州妇女儿童的生活质量，增强妇女儿童的幸福感；二是效率性方面：本部门预算编制程序规范合理，预算管理、收支管理、资产管理及业务管理都有较完备的规章制度，各事业单位及部门严格按照年初计划执行预算方案，部门支出结构总体稳定，固定资产利用率较高。但预算编制的科学性方面还有待加强，预算绩效目标设置的精细化、科学化水平有待提升。三是在有效性方面：我部门通过公众评判法、对比法等方法对202</w:t>
      </w:r>
      <w:r>
        <w:rPr>
          <w:rFonts w:hint="eastAsia" w:ascii="仿宋_GB2312" w:eastAsia="仿宋_GB2312"/>
          <w:sz w:val="32"/>
          <w:szCs w:val="32"/>
          <w:lang w:val="en-US" w:eastAsia="zh-CN"/>
        </w:rPr>
        <w:t>1</w:t>
      </w:r>
      <w:r>
        <w:rPr>
          <w:rFonts w:ascii="仿宋_GB2312" w:eastAsia="仿宋_GB2312"/>
          <w:sz w:val="32"/>
          <w:szCs w:val="32"/>
        </w:rPr>
        <w:t>年各项目进行了绩效评价，以期达到了解各项目的实际效益情况。发现的问题及原因：一是</w:t>
      </w:r>
      <w:r>
        <w:rPr>
          <w:rFonts w:hint="eastAsia" w:ascii="仿宋_GB2312" w:eastAsia="仿宋_GB2312"/>
          <w:sz w:val="32"/>
          <w:szCs w:val="32"/>
          <w:lang w:val="en-US" w:eastAsia="zh-CN"/>
        </w:rPr>
        <w:t>存</w:t>
      </w:r>
      <w:r>
        <w:rPr>
          <w:rFonts w:ascii="仿宋_GB2312" w:eastAsia="仿宋_GB2312"/>
          <w:sz w:val="32"/>
          <w:szCs w:val="32"/>
        </w:rPr>
        <w:t>在设定指标不够全面、针对性不强等问题，绩效评价指标体系有待进一步完善。二是预算编制不够明确和细化，预算编制的合理性需要提高，预算执行力度还要进一步加强。下一步改进措施：一是通过财政对绩效评价工作相关培训，提升各部门绩效指标设置的合理性、科学性及有效性，提升项目在决策、过程、产出、效益等各方面的精准度。二是加大预算编制前对各部门的培训，尽最大可能解决预算编制与工作计划脱节的矛盾，提高各部门预算编制科学化、精细化水平。具体项目自评情况附项目支出绩效自评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ascii="仿宋_GB2312" w:eastAsia="仿宋_GB2312"/>
          <w:sz w:val="32"/>
          <w:szCs w:val="32"/>
        </w:rPr>
        <w:br w:type="page"/>
      </w:r>
    </w:p>
    <w:p>
      <w:pPr>
        <w:bidi w:val="0"/>
        <w:jc w:val="left"/>
        <w:rPr>
          <w:rFonts w:ascii="Times New Roman" w:hAnsi="Times New Roman" w:eastAsia="宋体" w:cs="Times New Roman"/>
          <w:kern w:val="2"/>
          <w:sz w:val="21"/>
          <w:szCs w:val="24"/>
          <w:lang w:val="en-US" w:eastAsia="zh-CN" w:bidi="ar-SA"/>
        </w:rPr>
        <w:sectPr>
          <w:footerReference r:id="rId3" w:type="default"/>
          <w:pgSz w:w="11906" w:h="16838"/>
          <w:pgMar w:top="1440" w:right="1800" w:bottom="1440" w:left="1800" w:header="851" w:footer="992" w:gutter="0"/>
          <w:cols w:space="720" w:num="1"/>
          <w:docGrid w:type="lines" w:linePitch="312" w:charSpace="0"/>
        </w:sectPr>
      </w:pPr>
    </w:p>
    <w:tbl>
      <w:tblPr>
        <w:tblStyle w:val="10"/>
        <w:tblW w:w="1384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2"/>
        <w:gridCol w:w="1253"/>
        <w:gridCol w:w="1604"/>
        <w:gridCol w:w="236"/>
        <w:gridCol w:w="1219"/>
        <w:gridCol w:w="646"/>
        <w:gridCol w:w="1616"/>
        <w:gridCol w:w="236"/>
        <w:gridCol w:w="1582"/>
        <w:gridCol w:w="284"/>
        <w:gridCol w:w="757"/>
        <w:gridCol w:w="412"/>
        <w:gridCol w:w="820"/>
        <w:gridCol w:w="1006"/>
        <w:gridCol w:w="14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32" w:name="_Toc24143"/>
            <w:bookmarkStart w:id="33" w:name="_Toc3250"/>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10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4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965.00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965.00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962.87</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99.78%</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53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0"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7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1.客观反应2011年以来新疆妇女发展状况和变化，探究社会变迁与妇女地位变迁的关系，为党和政府制定相关政策提供服务；不断提高妇联组织联系引领服务妇女的能力，扩大妇联组织社会影响力；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2.充分发挥妇联组织独特作用，延伸妇联组织引领联系服务的工作手臂，帮助妇女实现就近就地就业；促进行业发展，助力龙头企业，扶持小微企业，帮助妇女就业增收；                                                                                                                                                 3.进一步加强和规范自治区妇联所属事业单位及对地州妇联项目资金工作，建立健全内部审计制度，推进内部审计工作实施；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4.通过开展宪法、民法典、反家庭暴力法及实施办法、妇女权益保障法等与妇女权益相关的法律法规的宣传教育，切实提高妇女群众的法治意识和法律素养；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保障自治区、地州市12338妇女维权公益热线有效运转，进一步畅通信访工作渠道，对来访的困难妇女儿童提供法律援助、临时救助、心理疏导服务，让她们感受到党和政府的温暖，切实保障各族妇女的合法权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深入贯彻落实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妇联家庭工作，夯实家庭在社会发展、民族进步、社会稳定中的重要作用；做好关心关爱困境儿童工作。</w:t>
            </w:r>
          </w:p>
        </w:tc>
        <w:tc>
          <w:tcPr>
            <w:tcW w:w="6531"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1.客观的反映了2011年以来新疆妇女发展状况和变化，探究社会变迁与妇女地位变迁的关系，为党和政府制定相关政策提供服务；不断提高妇联组织联系引领服务妇女的能力，扩大妇联组织社会影响力；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2.充分发挥妇联组织独特作用，延伸妇联组织引领联系服务的工作手臂，帮助妇女实现就近就地就业；促进行业发展，助力龙头企业，扶持小微企业，帮助妇女就业增收；                                                                                                                                                 3.进一步加强和规范自治区妇联所属事业单位及对地州妇联项目资金工作，建立健全内部审计制度，推进内部审计工作实施；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4.通过开展宪法、民法典、反家庭暴力法及实施办法、妇女权益保障法等与妇女权益相关的法律法规的宣传教育，切实提高妇女群众的法治意识和法律素养；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保障自治区、地州市12338妇女维权公益热线有效运转，进一步畅通信访工作渠道，对来访的困难妇女儿童提供法律援助、临时救助、心理疏导服务，让她们感受到党和政府的温暖，切实保障各族妇女的合法权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深入贯彻落实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妇联家庭工作，夯实家庭在社会发展、民族进步、社会稳定中的重要作用；做好关心关爱困境儿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8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保障就餐人次</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&gt;=24750人次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24786人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临时救助人数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根据地州上报临时救助人数，减少了每个人救助金额，增加了人数。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赴基层开展妇女发展工作指导调研次数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老干部征订报刊</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&gt;=110人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城乡妇女岗位建功评比表彰集体、岗位</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&gt;=45个</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45个</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编印两纲终期评估报告和监测报告份数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&gt;=320份</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320份</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法治宣传场次</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印刷系列丛书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&gt;=2万套</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28600万套</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根据工作计划，印刷并发放《新时代 新女性 新风尚》系列书籍28600套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开展户外及文体活动次数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&gt;=2次</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3次</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寻找自治区“最美家庭”户数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&gt;=100户</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233户</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因疫情反复，全民抗疫，家庭典型凸显，故揭晓数增多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三八活动参与人数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&gt;=80人</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80人</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召开国家两纲评估督导组汇报会和反馈会个数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0个</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2021年国家未在新疆召开两纲评估督导。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购买党员学习用书完成率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基础设施完好率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资产购置质量合格率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各类活动按时完成率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会议按期完成率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&gt;=94%</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维权工作经费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&lt;=46万元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&lt;=21万元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两纲工作经费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&lt;=33万元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&lt;=633万元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633万元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发展工作经费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&lt;=62万元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各项宣传活动工作经费</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&lt;=170万元</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170万元</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群众“最美家庭”和“五好家庭”知晓率</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七一表彰大会可持续影响时间</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&gt;=1年</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购置资产使用人员满意度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受助人员满意度</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31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28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98.92分</w:t>
            </w:r>
          </w:p>
        </w:tc>
        <w:tc>
          <w:tcPr>
            <w:tcW w:w="2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both"/>
        <w:outlineLvl w:val="0"/>
        <w:rPr>
          <w:rFonts w:hint="eastAsia" w:ascii="黑体" w:hAnsi="黑体" w:eastAsia="黑体"/>
          <w:sz w:val="32"/>
          <w:szCs w:val="32"/>
        </w:rPr>
        <w:sectPr>
          <w:pgSz w:w="16838" w:h="11906" w:orient="landscape"/>
          <w:pgMar w:top="1803" w:right="1440" w:bottom="1803" w:left="1440" w:header="851" w:footer="992" w:gutter="0"/>
          <w:cols w:space="0" w:num="1"/>
          <w:rtlGutter w:val="0"/>
          <w:docGrid w:type="lines" w:linePitch="319" w:charSpace="0"/>
        </w:sectPr>
      </w:pPr>
    </w:p>
    <w:tbl>
      <w:tblPr>
        <w:tblStyle w:val="10"/>
        <w:tblpPr w:leftFromText="180" w:rightFromText="180" w:vertAnchor="text" w:horzAnchor="page" w:tblpX="1557" w:tblpY="-23"/>
        <w:tblOverlap w:val="never"/>
        <w:tblW w:w="138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1"/>
        <w:gridCol w:w="659"/>
        <w:gridCol w:w="1093"/>
        <w:gridCol w:w="1118"/>
        <w:gridCol w:w="3013"/>
        <w:gridCol w:w="468"/>
        <w:gridCol w:w="1338"/>
        <w:gridCol w:w="1348"/>
        <w:gridCol w:w="24"/>
        <w:gridCol w:w="823"/>
        <w:gridCol w:w="279"/>
        <w:gridCol w:w="704"/>
        <w:gridCol w:w="358"/>
        <w:gridCol w:w="1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82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82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6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妇女儿童工作经费（拨付地州）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70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288.00</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43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8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深入贯彻习近平总书记关于“注重家庭、注重家教、注重家风”的重要指示，以立德树人为根本任务，发挥妇女在社会生活和家庭生活中的独特作用，把握家庭领域出现的新情况新问题，以家庭文明、家庭教育、家庭研究为重点，统筹和创新推进家庭工作；                                                                                           2.保障各地州市妇联顺利开展“乡村振兴巾帼行动”，巩固“巾帼脱贫行动”成果，做到“乡村振兴巾帼行动”和“巾帼脱贫行动”的有效衔接；增强各地州市妇联指导基层妇联引领联系服务妇女发展的能力和水平；促进妇女综合素质的提升，拓展妇女就业创业渠道；                                                                                   3.充分发挥妇联组织独特作用，延伸妇联组织引领联系服务的工作手臂，帮助妇女实现就近就地就业；发挥示范基地在妇女就业创业、技能培训、技术推广和服务咨询等方面的示范带动作用；促进行业发展，助力龙头企业，扶持小微企业，帮助妇女就业增收；                                                                                                                                                                                                                                                                                                                                                                                                                                                   </w:t>
            </w:r>
          </w:p>
        </w:tc>
        <w:tc>
          <w:tcPr>
            <w:tcW w:w="5437"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各地（州、市）、县（区、市）妇联召开现场会、推进会38次，开展调研、摸清底数、督导项目111次。2.各级妇联结合“百千万巾帼大宣讲”等活动，开展宣传教育活动4.3万场，印制发放宣传资料20万份，累计受益群众52.7万人次。各地州妇联表彰巾帼建功集体、个人295个。3.各级妇联结合“农村妇女素质提升计划”，开展美容美发、家政服务、手工制作、服装缝纫、直播带货等各类技能培训3149期，培训妇女172753人次；各级“巾帼示范基地”开展技能培训130期，培训妇女2887人次；开展春风送岗位线上线下招聘活动10228次，为妇女提供就业职位26796个。4.各级妇联广泛动员各界社会力量，利用对口援疆资源，面向妇女和儿童开展结对帮扶、送温暖等关心关爱活动近千场，慰问关爱人7000余人次；结合“国庆节”“中国农民丰收节”等节点，通过开展网络直播带货、搭建促销平台、动员引导以买代捐等多种形式助力消费扶贫。自治区妇联在832平台购买产品73836元，支持购买农村合作社产品22.4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59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1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9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家家幸福安康工程建立示范点个数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“乡村振兴巾帼行动”基层妇联工作经费拨付地州市个数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14个地州市妇联开展本地区调研、督导合计次数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命名自治区巾帼示范基地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20个</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14个地州市妇联指导本地基层妇联开展培训或组织培训次数合计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14个地州市妇联召开本地推进妇女发展工作会议合计次数</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妇女参与技能培训后就业上岗率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妇女参与技能培训后合格率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参加自治区巾帼示范基地技能培训就业率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资金拨付地州及时率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家家幸福安康工程示范点建立按期完成率</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自治区巾帼示范基地项目工作完成时限</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家家幸福安康工程示范点工作经费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&lt;=32万元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自治区巾帼示范基地工作经费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&lt;=100万元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“乡村振兴巾帼行动”基层妇联工作经费</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&lt;=156万元</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156万元</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提升妇女就业创业的能力</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提升群众参与乡村振兴的积极度</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59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各地州市妇联满意度</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jc w:val="both"/>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45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4"/>
        <w:gridCol w:w="874"/>
        <w:gridCol w:w="1811"/>
        <w:gridCol w:w="1274"/>
        <w:gridCol w:w="1612"/>
        <w:gridCol w:w="730"/>
        <w:gridCol w:w="1394"/>
        <w:gridCol w:w="1391"/>
        <w:gridCol w:w="240"/>
        <w:gridCol w:w="811"/>
        <w:gridCol w:w="516"/>
        <w:gridCol w:w="499"/>
        <w:gridCol w:w="553"/>
        <w:gridCol w:w="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45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45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0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妇联系统培训经费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82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2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7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0"/>
                <w:szCs w:val="20"/>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7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48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9"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9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培训针对自治区妇联系统干部，培训开展1次，通过培训推动妇联改革，加强妇联队伍建设，提升女性领导力，增强妇联干部素质综合和履职尽责能力，解决干什么和怎么干的问题。</w:t>
            </w:r>
          </w:p>
        </w:tc>
        <w:tc>
          <w:tcPr>
            <w:tcW w:w="4884"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按照年初预算，完成培训项目。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6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4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培训天数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&gt;=7天</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培训班次</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女性领导干部参加培训人数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学员出勤率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培训按期完成率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培训人均支出标准</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&lt;=5600元/人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5600元/人</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增强妇联干部素质综合和履职尽责能力</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显著增强</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女性领导干部满意率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9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100</w:t>
            </w:r>
            <w:r>
              <w:rPr>
                <w:rFonts w:hint="eastAsia" w:ascii="宋体" w:hAnsi="宋体" w:eastAsia="宋体" w:cs="宋体"/>
                <w:i w:val="0"/>
                <w:iCs w:val="0"/>
                <w:color w:val="000000"/>
                <w:kern w:val="0"/>
                <w:sz w:val="20"/>
                <w:szCs w:val="20"/>
                <w:u w:val="none"/>
                <w:lang w:val="en-US" w:eastAsia="zh-CN" w:bidi="ar"/>
              </w:rPr>
              <w:t>分</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68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1"/>
        <w:gridCol w:w="1084"/>
        <w:gridCol w:w="1242"/>
        <w:gridCol w:w="709"/>
        <w:gridCol w:w="1224"/>
        <w:gridCol w:w="754"/>
        <w:gridCol w:w="1253"/>
        <w:gridCol w:w="1466"/>
        <w:gridCol w:w="233"/>
        <w:gridCol w:w="967"/>
        <w:gridCol w:w="421"/>
        <w:gridCol w:w="991"/>
        <w:gridCol w:w="163"/>
        <w:gridCol w:w="2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6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68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70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妇联业务经费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26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5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66"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该项目为延续项目，项目资金主要用于按社区要求缴纳机关办公楼及培训楼物业费和机关办公楼维修维护，保障机关办公楼办公工作秩序和培训楼的正常运转。</w:t>
            </w:r>
          </w:p>
        </w:tc>
        <w:tc>
          <w:tcPr>
            <w:tcW w:w="6521"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该项目经费按要求缴纳了机关办公楼及培训楼物业费和机关办公楼维修维护，保障机关办公楼办公工作秩序和培训楼的正常运转。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4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零星维修次数</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&gt;=5次</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缴纳物业费面积</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=15994㎡</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15994㎡</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修缮达标率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物业管理服务达标率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缴纳物业费期限</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按季度缴纳</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缴纳物业费金额</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&lt;=90万元</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维修（维护）费金额</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&lt;=4.5万元</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4.5万元</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机关办公楼和培训楼正常运转率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职工满意率</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63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4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7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1"/>
        <w:gridCol w:w="971"/>
        <w:gridCol w:w="1296"/>
        <w:gridCol w:w="647"/>
        <w:gridCol w:w="905"/>
        <w:gridCol w:w="837"/>
        <w:gridCol w:w="1402"/>
        <w:gridCol w:w="1661"/>
        <w:gridCol w:w="1015"/>
        <w:gridCol w:w="482"/>
        <w:gridCol w:w="554"/>
        <w:gridCol w:w="635"/>
        <w:gridCol w:w="23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772"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772"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3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妇女儿童教育培训基地经费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60.26</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75.33%</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9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7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58"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开展家庭教育大讲堂、亲子互动等活动，打造为集培训、会议、讲座、演出为一体的教育基地，推进社会主义核心价观在家庭落地生根。</w:t>
            </w:r>
          </w:p>
        </w:tc>
        <w:tc>
          <w:tcPr>
            <w:tcW w:w="6743"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该项目用于修建妇女儿童教育基地，用于开展家庭教育大讲堂、亲子互动等活动，打造为集培训、会议、讲座、演出为一体的教育基地，推进社会主义核心价观在家庭落地生根。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8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修缮工程量</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&lt;=288.25平方米</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288.25平方米</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工程量完成率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工程按期完成率（%）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施工单位资质是否达标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达标</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2021年11月底前</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工程单位建设成本</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&lt;=80万元</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60.26万元</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该项目在执行过程中由于资金需要分批次支付，该项目应竣工决算未完成，为保护资金安全性，尾款未支付。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综合利用率（%）</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&gt;=98%</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8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受益群体满意度</w:t>
            </w: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6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94.53分</w:t>
            </w:r>
          </w:p>
        </w:tc>
        <w:tc>
          <w:tcPr>
            <w:tcW w:w="3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tbl>
      <w:tblPr>
        <w:tblStyle w:val="10"/>
        <w:tblW w:w="1345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6"/>
        <w:gridCol w:w="966"/>
        <w:gridCol w:w="1019"/>
        <w:gridCol w:w="1409"/>
        <w:gridCol w:w="2712"/>
        <w:gridCol w:w="1424"/>
        <w:gridCol w:w="179"/>
        <w:gridCol w:w="637"/>
        <w:gridCol w:w="648"/>
        <w:gridCol w:w="722"/>
        <w:gridCol w:w="952"/>
        <w:gridCol w:w="57"/>
        <w:gridCol w:w="11"/>
        <w:gridCol w:w="517"/>
        <w:gridCol w:w="916"/>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454"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454"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62"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74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29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2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w:t>
            </w:r>
          </w:p>
        </w:tc>
        <w:tc>
          <w:tcPr>
            <w:tcW w:w="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0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11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9"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9"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为深入贯彻习近平总书记关于妇女儿童和家庭工作的重要论述，全面落实党中央治疆方略、特别是社会稳定和长治久安总目标,通过“巾帼阳光服务行动”项目 ，实施巾帼志愿阳光行动，关爱老人、守护女童；实施“家庭学校进农户”，提升对农村妇女的引领、联系和服务能力，引导广大妇女弘扬时代新风，做新时代新女性。</w:t>
            </w:r>
          </w:p>
        </w:tc>
        <w:tc>
          <w:tcPr>
            <w:tcW w:w="5119" w:type="dxa"/>
            <w:gridSpan w:val="9"/>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妇女群众所需,用通俗易懂的“苞谷馕”式的语言,围绕习近平新时代中国特色社会主义思想、中央第三次新疆工作座谈会精神、中国共产党历史、用勤劳双手创建“美丽庭院”、女性形象与礼仪、反对家庭暴力法、新时代女性婚姻生活、未成年人保护家庭教育、科学育儿、健康养护等专题开展宣讲,已覆盖14个地州市的100个村，开展“文化润疆进家庭”及素质提升宣讲539场次，受益妇女18222人次；实现技能培训100场次，受益妇女4243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1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9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9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“家庭学校进农户”技能培训覆盖人数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&gt;=3500人</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3766</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“家庭学校进农户”工作覆盖村</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103个</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“家庭学校进农户”宣讲覆盖人数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&gt;=4万人</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40103</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印制《新时代 新女性 新风尚》系列丛书套数</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&gt;=3万套</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28600套</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该项目年初预算时，对书籍价格掌握不够精准，因此产生偏差。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《新时代新女性新风尚》发放覆盖全疆妇女之家</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“家庭学校进农户”技能培训覆盖率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“家庭学进农户”培训计划按期完成率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印制《新时代新女性新风尚》系列丛书经费</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“家庭学校进农户”项目经费</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&lt;=60万元</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60万元</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提升“家庭学校进农户”项目受益农村妇女对现代文明生活基本常识、技能和礼仪的知晓率</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提升“家庭学校进农户”项目受益妇女开展家庭服务的能力</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12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受益妇女满意度</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62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99.76分</w:t>
            </w:r>
          </w:p>
        </w:tc>
        <w:tc>
          <w:tcPr>
            <w:tcW w:w="20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jc w:val="both"/>
        <w:outlineLvl w:val="0"/>
        <w:rPr>
          <w:rFonts w:hint="eastAsia" w:ascii="黑体" w:hAnsi="黑体" w:eastAsia="黑体"/>
          <w:sz w:val="32"/>
          <w:szCs w:val="32"/>
        </w:rPr>
      </w:pPr>
    </w:p>
    <w:tbl>
      <w:tblPr>
        <w:tblStyle w:val="10"/>
        <w:tblW w:w="137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147"/>
        <w:gridCol w:w="1423"/>
        <w:gridCol w:w="708"/>
        <w:gridCol w:w="1346"/>
        <w:gridCol w:w="1217"/>
        <w:gridCol w:w="1359"/>
        <w:gridCol w:w="1221"/>
        <w:gridCol w:w="53"/>
        <w:gridCol w:w="977"/>
        <w:gridCol w:w="168"/>
        <w:gridCol w:w="937"/>
        <w:gridCol w:w="184"/>
        <w:gridCol w:w="2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1373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373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88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“巾帼志愿阳光行动”经费（拨付地州）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新疆维吾尔自治区妇女联合会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8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3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83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0"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为深入贯彻习近平总书记关于妇女儿童和家庭工作的重要论述，全面落实党中央治疆方略、特别是社会稳定和长治久安总目标,通过“巾帼阳光服务行动”项目 ，实施巾帼志愿阳光行动，关爱老人、守护女童；实施“家庭学校进农户”，提升对农村妇女的引领、联系和服务能力，引导广大妇女弘扬时代新风，做新时代新女性。</w:t>
            </w:r>
          </w:p>
        </w:tc>
        <w:tc>
          <w:tcPr>
            <w:tcW w:w="583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经各地（州、市）妇联、文明办协商沟通、层层筛选、审核把关后共成立了巾帼志愿“阳光站”30个，14个地州市做到了全覆盖，已全部完成了挂牌并积极开展志愿服务工作。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4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2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0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试点站召开启动仪式个数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每个试点站建立志愿者服务队伍</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每个志愿服务试点站服务次数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&gt;=12次</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“巾帼志愿阳光行动”购置设备试点数</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&gt;=30个</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必要服务器具配备率</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试点站启动仪式开展率</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“巾帼志愿阳光行动”设备购置金额</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试点站建立时间</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2021年6月之前</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“巾帼志愿阳光行动”启动资金金额</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&lt;=30万元</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提高志愿者服务队服务能力</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有所提高</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“巾帼志愿阳光行动”受益人群满意度</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2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100.00分</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pPr>
    </w:p>
    <w:p>
      <w:pPr>
        <w:jc w:val="both"/>
        <w:outlineLvl w:val="0"/>
        <w:rPr>
          <w:rFonts w:hint="eastAsia" w:ascii="黑体" w:hAnsi="黑体" w:eastAsia="黑体"/>
          <w:sz w:val="32"/>
          <w:szCs w:val="32"/>
        </w:rPr>
      </w:pPr>
    </w:p>
    <w:p>
      <w:pPr>
        <w:ind w:firstLine="640" w:firstLineChars="200"/>
        <w:jc w:val="center"/>
        <w:outlineLvl w:val="0"/>
        <w:rPr>
          <w:rFonts w:hint="eastAsia" w:ascii="黑体" w:hAnsi="黑体" w:eastAsia="黑体"/>
          <w:sz w:val="32"/>
          <w:szCs w:val="32"/>
        </w:rPr>
        <w:sectPr>
          <w:pgSz w:w="16838" w:h="11906" w:orient="landscape"/>
          <w:pgMar w:top="1803" w:right="1440" w:bottom="1803" w:left="1440" w:header="851" w:footer="992" w:gutter="0"/>
          <w:cols w:space="0" w:num="1"/>
          <w:rtlGutter w:val="0"/>
          <w:docGrid w:type="lines" w:linePitch="319" w:charSpace="0"/>
        </w:sect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8903"/>
      <w:bookmarkStart w:id="35"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6062"/>
      <w:bookmarkStart w:id="37" w:name="_Toc2183"/>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30364"/>
      <w:bookmarkStart w:id="39" w:name="_Toc24532"/>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21304"/>
      <w:bookmarkStart w:id="41" w:name="_Toc3243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4869"/>
      <w:bookmarkStart w:id="45" w:name="_Toc10347"/>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32663"/>
      <w:bookmarkStart w:id="49" w:name="_Toc29106"/>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2N2ViODZjMDY0YjZhOTM0MDRjYjU1OTljMjM5Nj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B6844AB"/>
    <w:rsid w:val="1C666C77"/>
    <w:rsid w:val="1C8B4975"/>
    <w:rsid w:val="1C98798D"/>
    <w:rsid w:val="1D2D783E"/>
    <w:rsid w:val="1D9D4C68"/>
    <w:rsid w:val="1DAF458D"/>
    <w:rsid w:val="1E150A80"/>
    <w:rsid w:val="1EAA00AC"/>
    <w:rsid w:val="1F5A718F"/>
    <w:rsid w:val="1FA73C1B"/>
    <w:rsid w:val="258917FB"/>
    <w:rsid w:val="25CF446F"/>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7B2A1B"/>
    <w:rsid w:val="4EEF1380"/>
    <w:rsid w:val="4F9D7B44"/>
    <w:rsid w:val="50DB5F45"/>
    <w:rsid w:val="512709C0"/>
    <w:rsid w:val="51DB4252"/>
    <w:rsid w:val="52314E57"/>
    <w:rsid w:val="523358A5"/>
    <w:rsid w:val="53350823"/>
    <w:rsid w:val="54054866"/>
    <w:rsid w:val="54F22EA5"/>
    <w:rsid w:val="550924CC"/>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CCE2C96"/>
    <w:rsid w:val="6D587ECB"/>
    <w:rsid w:val="6DE375B7"/>
    <w:rsid w:val="6F516C58"/>
    <w:rsid w:val="6FDFD92C"/>
    <w:rsid w:val="6FFF530B"/>
    <w:rsid w:val="706B5504"/>
    <w:rsid w:val="70A609BC"/>
    <w:rsid w:val="73FB6630"/>
    <w:rsid w:val="74060C43"/>
    <w:rsid w:val="74947C20"/>
    <w:rsid w:val="761262E7"/>
    <w:rsid w:val="76416A32"/>
    <w:rsid w:val="77022DD9"/>
    <w:rsid w:val="77ED6F44"/>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34</Pages>
  <Words>12486</Words>
  <Characters>14059</Characters>
  <Lines>59</Lines>
  <Paragraphs>16</Paragraphs>
  <TotalTime>9</TotalTime>
  <ScaleCrop>false</ScaleCrop>
  <LinksUpToDate>false</LinksUpToDate>
  <CharactersWithSpaces>15066</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王艳</cp:lastModifiedBy>
  <dcterms:modified xsi:type="dcterms:W3CDTF">2023-05-08T02:08:08Z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DAC5FA82D4504F7BB8D9DE0D2D3A73AF</vt:lpwstr>
  </property>
</Properties>
</file>