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新疆维吾尔自治区妇女联合会2021年度</w:t>
      </w:r>
    </w:p>
    <w:p>
      <w:pPr>
        <w:jc w:val="center"/>
        <w:rPr>
          <w:rFonts w:ascii="方正小标宋_GBK" w:hAnsi="宋体" w:eastAsia="方正小标宋_GBK"/>
          <w:sz w:val="44"/>
          <w:szCs w:val="44"/>
        </w:rPr>
      </w:pPr>
      <w:r>
        <w:rPr>
          <w:rFonts w:hint="eastAsia" w:ascii="方正小标宋_GBK" w:hAnsi="宋体" w:eastAsia="方正小标宋_GBK"/>
          <w:sz w:val="44"/>
          <w:szCs w:val="44"/>
        </w:rPr>
        <w:t>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bookmarkStart w:id="3" w:name="_Hlk9780704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4" w:name="_Toc30738"/>
      <w:bookmarkStart w:id="5" w:name="_Toc30567"/>
      <w:r>
        <w:rPr>
          <w:rFonts w:hint="eastAsia" w:ascii="黑体" w:hAnsi="黑体" w:eastAsia="黑体" w:cs="宋体"/>
          <w:bCs/>
          <w:kern w:val="0"/>
          <w:sz w:val="32"/>
          <w:szCs w:val="32"/>
        </w:rPr>
        <w:t>一、主要职能</w:t>
      </w:r>
      <w:bookmarkEnd w:id="4"/>
      <w:bookmarkEnd w:id="5"/>
    </w:p>
    <w:p>
      <w:pPr>
        <w:rPr>
          <w:rFonts w:ascii="仿宋_GB2312" w:eastAsia="仿宋_GB2312"/>
          <w:sz w:val="32"/>
          <w:szCs w:val="32"/>
        </w:rPr>
      </w:pPr>
      <w:r>
        <w:rPr>
          <w:rFonts w:ascii="仿宋_GB2312" w:eastAsia="仿宋_GB2312"/>
          <w:sz w:val="32"/>
          <w:szCs w:val="32"/>
        </w:rPr>
        <w:t>　　1.坚持正确的政治方向，团结、引领、服务、联系全疆各族各界妇女以及各类妇女组织，深入学习贯彻习近平新时代中国特色社会主义思想和党的路线方针政策，坚决维护习近平总书记的核心地位和党中央集中统一领导,始终在思想上政治上行动上同以习近平同志为核心的党中央保持高度一致，维护祖国统一，反对民族分裂主义和非法宗教活动。</w:t>
      </w:r>
      <w:r>
        <w:rPr>
          <w:rFonts w:ascii="仿宋_GB2312" w:eastAsia="仿宋_GB2312"/>
          <w:sz w:val="32"/>
          <w:szCs w:val="32"/>
        </w:rPr>
        <w:br w:type="textWrapping"/>
      </w:r>
      <w:r>
        <w:rPr>
          <w:rFonts w:ascii="仿宋_GB2312" w:eastAsia="仿宋_GB2312"/>
          <w:sz w:val="32"/>
          <w:szCs w:val="32"/>
        </w:rPr>
        <w:t>　　2.坚决贯彻落实新时代党的治疆方略，紧紧围绕社会稳定和长治久安总目标开展工作，团结、动员、组织妇女群众投身改革开放和社会主义经济建设、政治建设、文化建设、社会建设和生态文明建设，注重发挥妇女在社会生活和家庭生活中的独特作用，为中国特色社会主义伟大实践作贡献。</w:t>
      </w:r>
      <w:r>
        <w:rPr>
          <w:rFonts w:ascii="仿宋_GB2312" w:eastAsia="仿宋_GB2312"/>
          <w:sz w:val="32"/>
          <w:szCs w:val="32"/>
        </w:rPr>
        <w:br w:type="textWrapping"/>
      </w:r>
      <w:r>
        <w:rPr>
          <w:rFonts w:ascii="仿宋_GB2312" w:eastAsia="仿宋_GB2312"/>
          <w:sz w:val="32"/>
          <w:szCs w:val="32"/>
        </w:rPr>
        <w:t>　　3.宣传马克思主义妇女观，推动落实男女平等基本国策，营造有利于妇女全面发展的社会环境；教育引导妇女群众树立正确的世界观、人生观、价值观，弘扬“自尊、自信、自立，自强”精神，提高综合素质，实现全面发展；宣传表彰优秀妇女典型，培养、推荐女性人才。</w:t>
      </w:r>
      <w:r>
        <w:rPr>
          <w:rFonts w:ascii="仿宋_GB2312" w:eastAsia="仿宋_GB2312"/>
          <w:sz w:val="32"/>
          <w:szCs w:val="32"/>
        </w:rPr>
        <w:br w:type="textWrapping"/>
      </w:r>
      <w:r>
        <w:rPr>
          <w:rFonts w:ascii="仿宋_GB2312" w:eastAsia="仿宋_GB2312"/>
          <w:sz w:val="32"/>
          <w:szCs w:val="32"/>
        </w:rPr>
        <w:t>　　4.代表各族各界妇女参与管理国家事务、管理经济和文化事业、管理社会事务，参与民主决策、民主管理、民主监督，参与有关法律、法规、规章和政策的制定，推动保障妇女权益法律政策和妇女、儿童发展纲要的实施。</w:t>
      </w:r>
      <w:r>
        <w:rPr>
          <w:rFonts w:ascii="仿宋_GB2312" w:eastAsia="仿宋_GB2312"/>
          <w:sz w:val="32"/>
          <w:szCs w:val="32"/>
        </w:rPr>
        <w:br w:type="textWrapping"/>
      </w:r>
      <w:r>
        <w:rPr>
          <w:rFonts w:ascii="仿宋_GB2312" w:eastAsia="仿宋_GB2312"/>
          <w:sz w:val="32"/>
          <w:szCs w:val="32"/>
        </w:rPr>
        <w:t>　　5.维护妇女儿童合法权益，倾听妇女意见，反映妇女诉求，向自治区党委、自治区人民政府提出对策建议，要求并协助有关部门或单位查处侵害妇女儿童权益的行为，为受侵害的妇女提供帮助。</w:t>
      </w:r>
      <w:r>
        <w:rPr>
          <w:rFonts w:ascii="仿宋_GB2312" w:eastAsia="仿宋_GB2312"/>
          <w:sz w:val="32"/>
          <w:szCs w:val="32"/>
        </w:rPr>
        <w:br w:type="textWrapping"/>
      </w:r>
      <w:r>
        <w:rPr>
          <w:rFonts w:ascii="仿宋_GB2312" w:eastAsia="仿宋_GB2312"/>
          <w:sz w:val="32"/>
          <w:szCs w:val="32"/>
        </w:rPr>
        <w:t>　　6.教育引导各族妇女践行社会主义核心价值观，弘扬中华优秀文化，组织开展家庭文明创建，支持服务家庭教育，传承中华民族家庭美德，树立良好家风，推动形成家庭文明新风尚。</w:t>
      </w:r>
      <w:r>
        <w:rPr>
          <w:rFonts w:ascii="仿宋_GB2312" w:eastAsia="仿宋_GB2312"/>
          <w:sz w:val="32"/>
          <w:szCs w:val="32"/>
        </w:rPr>
        <w:br w:type="textWrapping"/>
      </w:r>
      <w:r>
        <w:rPr>
          <w:rFonts w:ascii="仿宋_GB2312" w:eastAsia="仿宋_GB2312"/>
          <w:sz w:val="32"/>
          <w:szCs w:val="32"/>
        </w:rPr>
        <w:t>　　7.关心妇女工作生活，拓宽服务渠道，创新服务方式，建设服务阵地，发展公益事业，壮大巾帼志愿者队伍，加强妇女之家建设。联系和引导女性社会组织，加强与社会各界的协作，推动全社会为妇女儿童和家庭服务。</w:t>
      </w:r>
      <w:r>
        <w:rPr>
          <w:rFonts w:ascii="仿宋_GB2312" w:eastAsia="仿宋_GB2312"/>
          <w:sz w:val="32"/>
          <w:szCs w:val="32"/>
        </w:rPr>
        <w:br w:type="textWrapping"/>
      </w:r>
      <w:r>
        <w:rPr>
          <w:rFonts w:ascii="仿宋_GB2312" w:eastAsia="仿宋_GB2312"/>
          <w:sz w:val="32"/>
          <w:szCs w:val="32"/>
        </w:rPr>
        <w:t>　　8.指导各地（州、市）妇联依据《中华全国妇女联合会章程》和妇女代表大会的任务，开展妇女儿童工作；联系团体会员并给予工作指导；加强同香港、澳门特别行政区和台湾地区及海外侨胞妇女的联谊；巩固和扩大各族各界妇女的大团结，促进祖国统一大业的完成。</w:t>
      </w:r>
      <w:r>
        <w:rPr>
          <w:rFonts w:ascii="仿宋_GB2312" w:eastAsia="仿宋_GB2312"/>
          <w:sz w:val="32"/>
          <w:szCs w:val="32"/>
        </w:rPr>
        <w:br w:type="textWrapping"/>
      </w:r>
      <w:r>
        <w:rPr>
          <w:rFonts w:ascii="仿宋_GB2312" w:eastAsia="仿宋_GB2312"/>
          <w:sz w:val="32"/>
          <w:szCs w:val="32"/>
        </w:rPr>
        <w:t>　　9.承担自治区妇女儿童工作委员会办公室的工作。</w:t>
      </w:r>
      <w:r>
        <w:rPr>
          <w:rFonts w:ascii="仿宋_GB2312" w:eastAsia="仿宋_GB2312"/>
          <w:sz w:val="32"/>
          <w:szCs w:val="32"/>
        </w:rPr>
        <w:br w:type="textWrapping"/>
      </w:r>
      <w:r>
        <w:rPr>
          <w:rFonts w:ascii="仿宋_GB2312" w:eastAsia="仿宋_GB2312"/>
          <w:sz w:val="32"/>
          <w:szCs w:val="32"/>
        </w:rPr>
        <w:t>　　10.承办自治区党委、自治区人民政府交办的有关事项</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6" w:name="_Toc31238"/>
      <w:bookmarkStart w:id="7" w:name="_Toc2151"/>
      <w:r>
        <w:rPr>
          <w:rFonts w:hint="eastAsia" w:ascii="黑体" w:hAnsi="黑体" w:eastAsia="黑体" w:cs="宋体"/>
          <w:bCs/>
          <w:kern w:val="0"/>
          <w:sz w:val="32"/>
          <w:szCs w:val="32"/>
        </w:rPr>
        <w:t>二、机构设置及</w:t>
      </w:r>
      <w:bookmarkEnd w:id="6"/>
      <w:r>
        <w:rPr>
          <w:rFonts w:hint="eastAsia" w:ascii="黑体" w:hAnsi="黑体" w:eastAsia="黑体" w:cs="宋体"/>
          <w:bCs/>
          <w:kern w:val="0"/>
          <w:sz w:val="32"/>
          <w:szCs w:val="32"/>
        </w:rPr>
        <w:t>人员情况</w:t>
      </w:r>
      <w:bookmarkEnd w:id="7"/>
    </w:p>
    <w:p>
      <w:pPr>
        <w:ind w:firstLine="640" w:firstLineChars="200"/>
        <w:rPr>
          <w:rFonts w:ascii="仿宋_GB2312" w:eastAsia="仿宋_GB2312"/>
          <w:sz w:val="32"/>
          <w:szCs w:val="32"/>
        </w:rPr>
      </w:pPr>
      <w:r>
        <w:rPr>
          <w:rFonts w:hint="eastAsia" w:ascii="仿宋_GB2312" w:eastAsia="仿宋_GB2312"/>
          <w:sz w:val="32"/>
          <w:szCs w:val="32"/>
        </w:rPr>
        <w:t>新疆维吾尔自治区妇女联合会</w:t>
      </w:r>
      <w:r>
        <w:rPr>
          <w:rFonts w:ascii="仿宋_GB2312" w:eastAsia="仿宋_GB2312"/>
          <w:sz w:val="32"/>
          <w:szCs w:val="32"/>
        </w:rPr>
        <w:t>2021</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rPr>
        <w:t>实有人数</w:t>
      </w:r>
      <w:r>
        <w:rPr>
          <w:rFonts w:ascii="仿宋_GB2312" w:eastAsia="仿宋_GB2312"/>
          <w:sz w:val="32"/>
          <w:szCs w:val="32"/>
        </w:rPr>
        <w:t>232</w:t>
      </w:r>
      <w:r>
        <w:rPr>
          <w:rFonts w:hint="eastAsia" w:ascii="仿宋_GB2312" w:eastAsia="仿宋_GB2312"/>
          <w:sz w:val="32"/>
          <w:szCs w:val="32"/>
        </w:rPr>
        <w:t>人，其中：在职人员</w:t>
      </w:r>
      <w:r>
        <w:rPr>
          <w:rFonts w:ascii="仿宋_GB2312" w:eastAsia="仿宋_GB2312"/>
          <w:sz w:val="32"/>
          <w:szCs w:val="32"/>
        </w:rPr>
        <w:t>115</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116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从部门决算单位构成看，新疆维吾尔自治区妇女联合会部门决算包括：新疆维吾尔自治区妇女联合会部门本级决算及所属单位决算。</w:t>
      </w:r>
    </w:p>
    <w:p>
      <w:pPr>
        <w:ind w:firstLine="640" w:firstLineChars="200"/>
        <w:rPr>
          <w:rFonts w:ascii="仿宋_GB2312" w:eastAsia="仿宋_GB2312"/>
          <w:sz w:val="32"/>
          <w:szCs w:val="32"/>
        </w:rPr>
      </w:pPr>
      <w:r>
        <w:rPr>
          <w:rFonts w:hint="eastAsia" w:ascii="仿宋_GB2312" w:hAnsi="宋体" w:eastAsia="仿宋_GB2312" w:cs="宋体"/>
          <w:kern w:val="0"/>
          <w:sz w:val="32"/>
          <w:szCs w:val="32"/>
        </w:rPr>
        <w:t>新疆维吾尔自治区妇女联合会本级</w:t>
      </w:r>
      <w:r>
        <w:rPr>
          <w:rFonts w:hint="eastAsia" w:ascii="仿宋_GB2312" w:hAnsi="黑体" w:eastAsia="仿宋_GB2312" w:cs="宋体"/>
          <w:bCs/>
          <w:kern w:val="0"/>
          <w:sz w:val="32"/>
          <w:szCs w:val="32"/>
        </w:rPr>
        <w:t>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个处室，分别是：办公室、组织联络部（机关党委）、宣传部、妇女发展部、权益部、家庭和儿童工作部、老干处、自治区妇女儿童工作委员会办公室、自治区妇女联合会机关服务中心</w:t>
      </w:r>
      <w:r>
        <w:rPr>
          <w:rFonts w:ascii="Arial" w:hAnsi="Arial" w:cs="Arial"/>
          <w:color w:val="4D4D4D"/>
          <w:shd w:val="clear" w:color="auto" w:fill="FFFFFF"/>
        </w:rPr>
        <w:t xml:space="preserve"> </w:t>
      </w:r>
      <w:r>
        <w:rPr>
          <w:rFonts w:hint="eastAsia" w:ascii="仿宋_GB2312" w:hAnsi="宋体" w:eastAsia="仿宋_GB2312" w:cs="宋体"/>
          <w:kern w:val="0"/>
          <w:sz w:val="32"/>
          <w:szCs w:val="32"/>
        </w:rPr>
        <w:t>。</w:t>
      </w:r>
    </w:p>
    <w:tbl>
      <w:tblPr>
        <w:tblStyle w:val="10"/>
        <w:tblpPr w:leftFromText="180" w:rightFromText="180" w:vertAnchor="text" w:horzAnchor="page" w:tblpX="1785" w:tblpY="1366"/>
        <w:tblOverlap w:val="never"/>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3999"/>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847" w:type="dxa"/>
            <w:vAlign w:val="center"/>
          </w:tcPr>
          <w:p>
            <w:pPr>
              <w:jc w:val="center"/>
              <w:rPr>
                <w:rFonts w:ascii="仿宋_GB2312" w:eastAsia="仿宋_GB2312"/>
                <w:sz w:val="32"/>
                <w:szCs w:val="32"/>
              </w:rPr>
            </w:pPr>
            <w:r>
              <w:rPr>
                <w:rFonts w:hint="eastAsia" w:ascii="仿宋_GB2312" w:eastAsia="仿宋_GB2312"/>
                <w:sz w:val="32"/>
                <w:szCs w:val="32"/>
              </w:rPr>
              <w:t>序号</w:t>
            </w:r>
          </w:p>
        </w:tc>
        <w:tc>
          <w:tcPr>
            <w:tcW w:w="3999" w:type="dxa"/>
            <w:vAlign w:val="center"/>
          </w:tcPr>
          <w:p>
            <w:pPr>
              <w:jc w:val="center"/>
              <w:rPr>
                <w:rFonts w:ascii="仿宋_GB2312" w:eastAsia="仿宋_GB2312"/>
                <w:sz w:val="32"/>
                <w:szCs w:val="32"/>
              </w:rPr>
            </w:pPr>
            <w:r>
              <w:rPr>
                <w:rFonts w:hint="eastAsia" w:ascii="仿宋_GB2312" w:eastAsia="仿宋_GB2312"/>
                <w:sz w:val="32"/>
                <w:szCs w:val="32"/>
              </w:rPr>
              <w:t>单位名称</w:t>
            </w:r>
          </w:p>
        </w:tc>
        <w:tc>
          <w:tcPr>
            <w:tcW w:w="2673" w:type="dxa"/>
            <w:vAlign w:val="center"/>
          </w:tcPr>
          <w:p>
            <w:pPr>
              <w:jc w:val="center"/>
              <w:rPr>
                <w:rFonts w:ascii="仿宋_GB2312" w:eastAsia="仿宋_GB2312"/>
                <w:sz w:val="32"/>
                <w:szCs w:val="32"/>
              </w:rPr>
            </w:pPr>
            <w:r>
              <w:rPr>
                <w:rFonts w:hint="eastAsia" w:ascii="仿宋_GB2312" w:eastAsia="仿宋_GB2312"/>
                <w:sz w:val="32"/>
                <w:szCs w:val="32"/>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1</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新疆维吾尔自治区妇女联合会（本级）</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行政单位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2</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新疆妇女干部学校</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3</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新疆维吾尔自治区儿童发展中心</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4</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新疆妇女《伴侣》编辑部</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5</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《新疆妇女》编辑部</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exact"/>
        </w:trPr>
        <w:tc>
          <w:tcPr>
            <w:tcW w:w="1847" w:type="dxa"/>
            <w:vAlign w:val="center"/>
          </w:tcPr>
          <w:p>
            <w:pPr>
              <w:jc w:val="center"/>
              <w:rPr>
                <w:rFonts w:ascii="仿宋_GB2312" w:eastAsia="仿宋_GB2312"/>
                <w:sz w:val="32"/>
                <w:szCs w:val="32"/>
              </w:rPr>
            </w:pPr>
            <w:r>
              <w:rPr>
                <w:rFonts w:ascii="Arial" w:hAnsi="Arial" w:cs="Arial"/>
                <w:color w:val="4D4D4D"/>
                <w:shd w:val="clear" w:color="auto" w:fill="FFFFFF"/>
              </w:rPr>
              <w:t>6</w:t>
            </w:r>
          </w:p>
        </w:tc>
        <w:tc>
          <w:tcPr>
            <w:tcW w:w="3999" w:type="dxa"/>
            <w:vAlign w:val="center"/>
          </w:tcPr>
          <w:p>
            <w:pPr>
              <w:jc w:val="center"/>
              <w:rPr>
                <w:rFonts w:ascii="仿宋_GB2312" w:eastAsia="仿宋_GB2312"/>
                <w:sz w:val="32"/>
                <w:szCs w:val="32"/>
              </w:rPr>
            </w:pPr>
            <w:r>
              <w:rPr>
                <w:rFonts w:ascii="Arial" w:hAnsi="Arial" w:cs="Arial"/>
                <w:color w:val="4D4D4D"/>
                <w:shd w:val="clear" w:color="auto" w:fill="FFFFFF"/>
              </w:rPr>
              <w:t>新疆维吾尔自治区妇女儿童公益项目管理中心</w:t>
            </w:r>
          </w:p>
        </w:tc>
        <w:tc>
          <w:tcPr>
            <w:tcW w:w="2673" w:type="dxa"/>
            <w:vAlign w:val="center"/>
          </w:tcPr>
          <w:p>
            <w:pPr>
              <w:jc w:val="center"/>
              <w:rPr>
                <w:rFonts w:ascii="仿宋_GB2312" w:eastAsia="仿宋_GB2312"/>
                <w:sz w:val="32"/>
                <w:szCs w:val="32"/>
              </w:rPr>
            </w:pPr>
            <w:r>
              <w:rPr>
                <w:rFonts w:ascii="Arial" w:hAnsi="Arial" w:cs="Arial"/>
                <w:color w:val="4D4D4D"/>
                <w:shd w:val="clear" w:color="auto" w:fill="FFFFFF"/>
              </w:rPr>
              <w:t>财政补助事业单位</w:t>
            </w:r>
          </w:p>
        </w:tc>
      </w:tr>
    </w:tbl>
    <w:p>
      <w:pPr>
        <w:ind w:firstLine="640" w:firstLineChars="200"/>
        <w:rPr>
          <w:rFonts w:ascii="仿宋_GB2312" w:eastAsia="仿宋_GB2312"/>
          <w:spacing w:val="-6"/>
          <w:sz w:val="32"/>
          <w:szCs w:val="32"/>
        </w:rPr>
      </w:pPr>
      <w:r>
        <w:rPr>
          <w:rFonts w:hint="eastAsia" w:ascii="仿宋_GB2312" w:eastAsia="仿宋_GB2312"/>
          <w:sz w:val="32"/>
          <w:szCs w:val="32"/>
        </w:rPr>
        <w:t>纳入新疆维吾尔自治区妇女联合会</w:t>
      </w:r>
      <w:r>
        <w:rPr>
          <w:rFonts w:ascii="仿宋_GB2312" w:eastAsia="仿宋_GB2312"/>
          <w:sz w:val="32"/>
          <w:szCs w:val="32"/>
        </w:rPr>
        <w:t>2021</w:t>
      </w:r>
      <w:r>
        <w:rPr>
          <w:rFonts w:hint="eastAsia" w:ascii="仿宋_GB2312" w:eastAsia="仿宋_GB2312"/>
          <w:sz w:val="32"/>
          <w:szCs w:val="32"/>
        </w:rPr>
        <w:t>年度部门决算编制范围的单位名单见下表</w:t>
      </w:r>
      <w:r>
        <w:rPr>
          <w:rFonts w:hint="eastAsia" w:ascii="仿宋_GB2312" w:eastAsia="仿宋_GB2312"/>
          <w:spacing w:val="-6"/>
          <w:sz w:val="32"/>
          <w:szCs w:val="32"/>
        </w:rPr>
        <w:t>：</w:t>
      </w:r>
    </w:p>
    <w:bookmarkEnd w:id="3"/>
    <w:p>
      <w:pPr>
        <w:ind w:firstLine="420" w:firstLineChars="200"/>
        <w:jc w:val="left"/>
        <w:rPr>
          <w:rFonts w:ascii="Arial" w:hAnsi="Arial" w:cs="Arial"/>
          <w:color w:val="4D4D4D"/>
          <w:shd w:val="clear" w:color="auto" w:fill="FFFFFF"/>
        </w:rPr>
      </w:pPr>
      <w:bookmarkStart w:id="8" w:name="_Toc3092"/>
      <w:bookmarkStart w:id="9" w:name="_Toc29374"/>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8"/>
      <w:bookmarkEnd w:id="9"/>
    </w:p>
    <w:p>
      <w:pPr>
        <w:ind w:firstLine="640" w:firstLineChars="200"/>
        <w:outlineLvl w:val="1"/>
        <w:rPr>
          <w:rFonts w:ascii="黑体" w:hAnsi="黑体" w:eastAsia="黑体" w:cs="宋体"/>
          <w:bCs/>
          <w:kern w:val="0"/>
          <w:sz w:val="32"/>
          <w:szCs w:val="32"/>
        </w:rPr>
      </w:pPr>
      <w:bookmarkStart w:id="10" w:name="_Toc12566"/>
      <w:bookmarkStart w:id="11" w:name="_Toc25314"/>
      <w:bookmarkStart w:id="12" w:name="_Hlk97807141"/>
      <w:r>
        <w:rPr>
          <w:rFonts w:hint="eastAsia" w:ascii="黑体" w:hAnsi="黑体" w:eastAsia="黑体" w:cs="宋体"/>
          <w:bCs/>
          <w:kern w:val="0"/>
          <w:sz w:val="32"/>
          <w:szCs w:val="32"/>
        </w:rPr>
        <w:t>一、收入支出决算总体情况说明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5,014.43</w:t>
      </w:r>
      <w:r>
        <w:rPr>
          <w:rFonts w:hint="eastAsia" w:ascii="仿宋_GB2312" w:eastAsia="仿宋_GB2312"/>
          <w:sz w:val="32"/>
          <w:szCs w:val="32"/>
        </w:rPr>
        <w:t>万元，与上年相比，增加704.76万元，</w:t>
      </w:r>
      <w:r>
        <w:rPr>
          <w:rFonts w:ascii="仿宋_GB2312" w:eastAsia="仿宋_GB2312"/>
          <w:sz w:val="32"/>
          <w:szCs w:val="32"/>
        </w:rPr>
        <w:t>增长16.35</w:t>
      </w:r>
      <w:r>
        <w:rPr>
          <w:rFonts w:hint="eastAsia" w:ascii="仿宋_GB2312" w:eastAsia="仿宋_GB2312"/>
          <w:sz w:val="32"/>
          <w:szCs w:val="32"/>
        </w:rPr>
        <w:t>%，主要原因是：一是人员经费收入增加，人员正常晋升与增资；二是新疆维吾尔自治区妇女联合会（机关）年中追加中央彩票公益金；三是所属事业单位杂志社收回以前年度杂志销售收入</w:t>
      </w:r>
      <w:r>
        <w:rPr>
          <w:rFonts w:hint="eastAsia" w:ascii="仿宋_GB2312" w:eastAsia="仿宋_GB2312"/>
          <w:sz w:val="32"/>
          <w:szCs w:val="32"/>
          <w:lang w:val="en-US" w:eastAsia="zh-CN"/>
        </w:rPr>
        <w:t>款</w:t>
      </w:r>
      <w:r>
        <w:rPr>
          <w:rFonts w:hint="eastAsia" w:ascii="仿宋_GB2312" w:eastAsia="仿宋_GB2312"/>
          <w:sz w:val="32"/>
          <w:szCs w:val="32"/>
        </w:rPr>
        <w:t>。本年支出</w:t>
      </w:r>
      <w:r>
        <w:rPr>
          <w:rFonts w:ascii="仿宋_GB2312" w:eastAsia="仿宋_GB2312"/>
          <w:sz w:val="32"/>
          <w:szCs w:val="32"/>
        </w:rPr>
        <w:t>5,009.28</w:t>
      </w:r>
      <w:r>
        <w:rPr>
          <w:rFonts w:hint="eastAsia" w:ascii="仿宋_GB2312" w:eastAsia="仿宋_GB2312"/>
          <w:sz w:val="32"/>
          <w:szCs w:val="32"/>
        </w:rPr>
        <w:t>万元，与上年相比，</w:t>
      </w:r>
      <w:r>
        <w:rPr>
          <w:rFonts w:ascii="仿宋_GB2312" w:eastAsia="仿宋_GB2312"/>
          <w:sz w:val="32"/>
          <w:szCs w:val="32"/>
        </w:rPr>
        <w:t>增加587.21</w:t>
      </w:r>
      <w:r>
        <w:rPr>
          <w:rFonts w:hint="eastAsia" w:ascii="仿宋_GB2312" w:eastAsia="仿宋_GB2312"/>
          <w:sz w:val="32"/>
          <w:szCs w:val="32"/>
        </w:rPr>
        <w:t>万元，</w:t>
      </w:r>
      <w:r>
        <w:rPr>
          <w:rFonts w:ascii="仿宋_GB2312" w:eastAsia="仿宋_GB2312"/>
          <w:sz w:val="32"/>
          <w:szCs w:val="32"/>
        </w:rPr>
        <w:t>增长13.28</w:t>
      </w:r>
      <w:r>
        <w:rPr>
          <w:rFonts w:hint="eastAsia" w:ascii="仿宋_GB2312" w:eastAsia="仿宋_GB2312"/>
          <w:sz w:val="32"/>
          <w:szCs w:val="32"/>
        </w:rPr>
        <w:t>%，主要原因是：一是人员经费支出增加，人员正常晋升与增资；二是支出新疆维吾尔自治区妇女联合会（机关）年中追加中央彩票公益金；三是所属事业单位杂志社用收回杂志款支付上年应付未支付的杂志印刷费。</w:t>
      </w:r>
    </w:p>
    <w:p>
      <w:pPr>
        <w:ind w:firstLine="640" w:firstLineChars="200"/>
        <w:outlineLvl w:val="1"/>
        <w:rPr>
          <w:rFonts w:ascii="黑体" w:hAnsi="黑体" w:eastAsia="黑体" w:cs="宋体"/>
          <w:bCs/>
          <w:kern w:val="0"/>
          <w:sz w:val="32"/>
          <w:szCs w:val="32"/>
        </w:rPr>
      </w:pPr>
      <w:bookmarkStart w:id="13" w:name="_Toc12142"/>
      <w:bookmarkStart w:id="14" w:name="_Toc1979"/>
      <w:r>
        <w:rPr>
          <w:rFonts w:hint="eastAsia" w:ascii="黑体" w:hAnsi="黑体" w:eastAsia="黑体" w:cs="宋体"/>
          <w:bCs/>
          <w:kern w:val="0"/>
          <w:sz w:val="32"/>
          <w:szCs w:val="32"/>
        </w:rPr>
        <w:t>二、收入决算情况说明</w:t>
      </w:r>
      <w:bookmarkEnd w:id="13"/>
      <w:bookmarkEnd w:id="14"/>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5,014.43</w:t>
      </w:r>
      <w:r>
        <w:rPr>
          <w:rFonts w:hint="eastAsia" w:ascii="仿宋_GB2312" w:eastAsia="仿宋_GB2312"/>
          <w:sz w:val="32"/>
          <w:szCs w:val="32"/>
        </w:rPr>
        <w:t>万元，其中：财政拨款收入</w:t>
      </w:r>
      <w:r>
        <w:rPr>
          <w:rFonts w:ascii="仿宋_GB2312" w:eastAsia="仿宋_GB2312"/>
          <w:sz w:val="32"/>
          <w:szCs w:val="32"/>
        </w:rPr>
        <w:t>4,687.56</w:t>
      </w:r>
      <w:r>
        <w:rPr>
          <w:rFonts w:hint="eastAsia" w:ascii="仿宋_GB2312" w:eastAsia="仿宋_GB2312"/>
          <w:sz w:val="32"/>
          <w:szCs w:val="32"/>
        </w:rPr>
        <w:t>万元，占93.48%；上级补助收入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292.18</w:t>
      </w:r>
      <w:r>
        <w:rPr>
          <w:rFonts w:hint="eastAsia" w:ascii="仿宋_GB2312" w:eastAsia="仿宋_GB2312"/>
          <w:sz w:val="32"/>
          <w:szCs w:val="32"/>
        </w:rPr>
        <w:t>万元，占5.83%；经营收入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34.69</w:t>
      </w:r>
      <w:r>
        <w:rPr>
          <w:rFonts w:hint="eastAsia" w:ascii="仿宋_GB2312" w:eastAsia="仿宋_GB2312"/>
          <w:sz w:val="32"/>
          <w:szCs w:val="32"/>
        </w:rPr>
        <w:t>万元，占0.69%。</w:t>
      </w:r>
    </w:p>
    <w:p>
      <w:pPr>
        <w:ind w:firstLine="640" w:firstLineChars="200"/>
        <w:outlineLvl w:val="1"/>
        <w:rPr>
          <w:rFonts w:ascii="黑体" w:hAnsi="黑体" w:eastAsia="黑体" w:cs="宋体"/>
          <w:bCs/>
          <w:kern w:val="0"/>
          <w:sz w:val="32"/>
          <w:szCs w:val="32"/>
        </w:rPr>
      </w:pPr>
      <w:bookmarkStart w:id="15" w:name="_Toc13201"/>
      <w:bookmarkStart w:id="16" w:name="_Toc27961"/>
      <w:r>
        <w:rPr>
          <w:rFonts w:hint="eastAsia" w:ascii="黑体" w:hAnsi="黑体" w:eastAsia="黑体" w:cs="宋体"/>
          <w:bCs/>
          <w:kern w:val="0"/>
          <w:sz w:val="32"/>
          <w:szCs w:val="32"/>
        </w:rPr>
        <w:t>三、支出决算情况说明</w:t>
      </w:r>
      <w:bookmarkEnd w:id="15"/>
      <w:bookmarkEnd w:id="16"/>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年度本年支出5,009.28万元，其中：基本支出</w:t>
      </w:r>
      <w:r>
        <w:rPr>
          <w:rFonts w:ascii="仿宋_GB2312" w:eastAsia="仿宋_GB2312"/>
          <w:sz w:val="32"/>
          <w:szCs w:val="32"/>
        </w:rPr>
        <w:t>2,630.34</w:t>
      </w:r>
      <w:r>
        <w:rPr>
          <w:rFonts w:hint="eastAsia" w:ascii="仿宋_GB2312" w:eastAsia="仿宋_GB2312"/>
          <w:sz w:val="32"/>
          <w:szCs w:val="32"/>
        </w:rPr>
        <w:t>万元，占52.51%；项目支出</w:t>
      </w:r>
      <w:r>
        <w:rPr>
          <w:rFonts w:ascii="仿宋_GB2312" w:eastAsia="仿宋_GB2312"/>
          <w:sz w:val="32"/>
          <w:szCs w:val="32"/>
        </w:rPr>
        <w:t>2,378.94</w:t>
      </w:r>
      <w:r>
        <w:rPr>
          <w:rFonts w:hint="eastAsia" w:ascii="仿宋_GB2312" w:eastAsia="仿宋_GB2312"/>
          <w:sz w:val="32"/>
          <w:szCs w:val="32"/>
        </w:rPr>
        <w:t>万元，占47.49%；上缴上级支出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12"/>
    <w:p>
      <w:pPr>
        <w:ind w:firstLine="640" w:firstLineChars="200"/>
        <w:outlineLvl w:val="1"/>
        <w:rPr>
          <w:rFonts w:ascii="黑体" w:hAnsi="黑体" w:eastAsia="黑体" w:cs="宋体"/>
          <w:bCs/>
          <w:kern w:val="0"/>
          <w:sz w:val="32"/>
          <w:szCs w:val="32"/>
        </w:rPr>
      </w:pPr>
      <w:bookmarkStart w:id="17" w:name="_Toc4393"/>
      <w:bookmarkStart w:id="18" w:name="_Toc26564"/>
      <w:r>
        <w:rPr>
          <w:rFonts w:hint="eastAsia" w:ascii="黑体" w:hAnsi="黑体" w:eastAsia="黑体" w:cs="宋体"/>
          <w:bCs/>
          <w:kern w:val="0"/>
          <w:sz w:val="32"/>
          <w:szCs w:val="32"/>
        </w:rPr>
        <w:t>四、财政拨款收入支出决算总体情况说明</w:t>
      </w:r>
      <w:bookmarkEnd w:id="17"/>
      <w:bookmarkEnd w:id="1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4,687.56万元，与上年相比，增加570.77万元，增长13.86%，主要原因是：一是人员经费收入增加，人员正常晋升与增资；二是新疆维吾尔自治区妇女联合会（机关）年中追加中央彩票公益金。财政拨款支出4,687.56万元，与上年相比，增加421.01万元，增长9.87%，主要原因是：一是人员经费支出增加，人员正常晋升与增资；二是支出新疆维吾尔自治区妇女联合会（机关）年中追加中央彩票公益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3,710.22</w:t>
      </w:r>
      <w:r>
        <w:rPr>
          <w:rFonts w:hint="eastAsia" w:ascii="仿宋_GB2312" w:eastAsia="仿宋_GB2312"/>
          <w:sz w:val="32"/>
          <w:szCs w:val="32"/>
        </w:rPr>
        <w:t>万元，决算数</w:t>
      </w:r>
      <w:r>
        <w:rPr>
          <w:rFonts w:ascii="仿宋_GB2312" w:eastAsia="仿宋_GB2312"/>
          <w:sz w:val="32"/>
          <w:szCs w:val="32"/>
        </w:rPr>
        <w:t>4,687.56</w:t>
      </w:r>
      <w:r>
        <w:rPr>
          <w:rFonts w:hint="eastAsia" w:ascii="仿宋_GB2312" w:eastAsia="仿宋_GB2312"/>
          <w:sz w:val="32"/>
          <w:szCs w:val="32"/>
        </w:rPr>
        <w:t>万元，预决算差异率</w:t>
      </w:r>
      <w:r>
        <w:rPr>
          <w:rFonts w:ascii="仿宋_GB2312" w:eastAsia="仿宋_GB2312"/>
          <w:sz w:val="32"/>
          <w:szCs w:val="32"/>
        </w:rPr>
        <w:t>26.34</w:t>
      </w:r>
      <w:r>
        <w:rPr>
          <w:rFonts w:hint="eastAsia" w:ascii="仿宋_GB2312" w:eastAsia="仿宋_GB2312"/>
          <w:sz w:val="32"/>
          <w:szCs w:val="32"/>
        </w:rPr>
        <w:t>%，主要原因是：年中追加</w:t>
      </w:r>
      <w:r>
        <w:rPr>
          <w:rFonts w:hint="eastAsia" w:ascii="仿宋_GB2312" w:eastAsia="仿宋_GB2312"/>
          <w:sz w:val="32"/>
          <w:szCs w:val="32"/>
          <w:lang w:eastAsia="zh-CN"/>
        </w:rPr>
        <w:t>“</w:t>
      </w:r>
      <w:r>
        <w:rPr>
          <w:rFonts w:hint="eastAsia" w:ascii="仿宋_GB2312" w:eastAsia="仿宋_GB2312"/>
          <w:sz w:val="32"/>
          <w:szCs w:val="32"/>
        </w:rPr>
        <w:t>访惠聚</w:t>
      </w:r>
      <w:r>
        <w:rPr>
          <w:rFonts w:hint="eastAsia" w:ascii="仿宋_GB2312" w:eastAsia="仿宋_GB2312"/>
          <w:sz w:val="32"/>
          <w:szCs w:val="32"/>
          <w:lang w:eastAsia="zh-CN"/>
        </w:rPr>
        <w:t>”</w:t>
      </w:r>
      <w:r>
        <w:rPr>
          <w:rFonts w:hint="eastAsia" w:ascii="仿宋_GB2312" w:eastAsia="仿宋_GB2312"/>
          <w:sz w:val="32"/>
          <w:szCs w:val="32"/>
        </w:rPr>
        <w:t>工作经费、丧葬费、职业年金、绩效奖金、中央彩票公益金项目等。财政拨款支出年初预算数</w:t>
      </w:r>
      <w:r>
        <w:rPr>
          <w:rFonts w:ascii="仿宋_GB2312" w:eastAsia="仿宋_GB2312"/>
          <w:sz w:val="32"/>
          <w:szCs w:val="32"/>
        </w:rPr>
        <w:t>3,710.22</w:t>
      </w:r>
      <w:r>
        <w:rPr>
          <w:rFonts w:hint="eastAsia" w:ascii="仿宋_GB2312" w:eastAsia="仿宋_GB2312"/>
          <w:sz w:val="32"/>
          <w:szCs w:val="32"/>
        </w:rPr>
        <w:t>万元，决算数</w:t>
      </w:r>
      <w:r>
        <w:rPr>
          <w:rFonts w:ascii="仿宋_GB2312" w:eastAsia="仿宋_GB2312"/>
          <w:sz w:val="32"/>
          <w:szCs w:val="32"/>
        </w:rPr>
        <w:t>4,687.56</w:t>
      </w:r>
      <w:r>
        <w:rPr>
          <w:rFonts w:hint="eastAsia" w:ascii="仿宋_GB2312" w:eastAsia="仿宋_GB2312"/>
          <w:sz w:val="32"/>
          <w:szCs w:val="32"/>
        </w:rPr>
        <w:t>万元，预决算差异率26.34%，主要原因是：支出年中追加的</w:t>
      </w:r>
      <w:r>
        <w:rPr>
          <w:rFonts w:hint="eastAsia" w:ascii="仿宋_GB2312" w:eastAsia="仿宋_GB2312"/>
          <w:sz w:val="32"/>
          <w:szCs w:val="32"/>
          <w:lang w:eastAsia="zh-CN"/>
        </w:rPr>
        <w:t>“</w:t>
      </w:r>
      <w:r>
        <w:rPr>
          <w:rFonts w:hint="eastAsia" w:ascii="仿宋_GB2312" w:eastAsia="仿宋_GB2312"/>
          <w:sz w:val="32"/>
          <w:szCs w:val="32"/>
        </w:rPr>
        <w:t>访惠聚</w:t>
      </w:r>
      <w:r>
        <w:rPr>
          <w:rFonts w:hint="eastAsia" w:ascii="仿宋_GB2312" w:eastAsia="仿宋_GB2312"/>
          <w:sz w:val="32"/>
          <w:szCs w:val="32"/>
          <w:lang w:eastAsia="zh-CN"/>
        </w:rPr>
        <w:t>”</w:t>
      </w:r>
      <w:r>
        <w:rPr>
          <w:rFonts w:hint="eastAsia" w:ascii="仿宋_GB2312" w:eastAsia="仿宋_GB2312"/>
          <w:sz w:val="32"/>
          <w:szCs w:val="32"/>
        </w:rPr>
        <w:t>工作经费、丧葬费、职业年金、绩效奖金、中央彩票公益金项目等。</w:t>
      </w:r>
    </w:p>
    <w:p>
      <w:pPr>
        <w:ind w:firstLine="640" w:firstLineChars="200"/>
        <w:outlineLvl w:val="1"/>
        <w:rPr>
          <w:rFonts w:ascii="黑体" w:hAnsi="黑体" w:eastAsia="黑体" w:cs="宋体"/>
          <w:bCs/>
          <w:kern w:val="0"/>
          <w:sz w:val="32"/>
          <w:szCs w:val="32"/>
        </w:rPr>
      </w:pPr>
      <w:bookmarkStart w:id="19" w:name="_Toc20360"/>
      <w:bookmarkStart w:id="20" w:name="_Toc13833"/>
      <w:r>
        <w:rPr>
          <w:rFonts w:hint="eastAsia" w:ascii="黑体" w:hAnsi="黑体" w:eastAsia="黑体" w:cs="宋体"/>
          <w:bCs/>
          <w:kern w:val="0"/>
          <w:sz w:val="32"/>
          <w:szCs w:val="32"/>
        </w:rPr>
        <w:t>五、一般公共预算财政拨款支出决算情况说明</w:t>
      </w:r>
      <w:bookmarkEnd w:id="19"/>
      <w:bookmarkEnd w:id="20"/>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年度一般公共预算财政拨款支出4,200.29万元。按功能分类科目项级科目公开，其中：</w:t>
      </w:r>
    </w:p>
    <w:p>
      <w:pPr>
        <w:jc w:val="left"/>
        <w:rPr>
          <w:rFonts w:ascii="仿宋_GB2312" w:eastAsia="仿宋_GB2312"/>
          <w:sz w:val="32"/>
          <w:szCs w:val="32"/>
        </w:rPr>
      </w:pPr>
      <w:bookmarkStart w:id="21" w:name="_Toc11146"/>
      <w:bookmarkStart w:id="22" w:name="_Toc30870"/>
      <w:r>
        <w:rPr>
          <w:rFonts w:ascii="仿宋_GB2312" w:eastAsia="仿宋_GB2312"/>
          <w:sz w:val="32"/>
          <w:szCs w:val="32"/>
        </w:rPr>
        <w:tab/>
      </w:r>
      <w:r>
        <w:rPr>
          <w:rFonts w:ascii="仿宋_GB2312" w:eastAsia="仿宋_GB2312"/>
          <w:sz w:val="32"/>
          <w:szCs w:val="32"/>
        </w:rPr>
        <w:t xml:space="preserve"> 2012901行政运行1,033.65万元；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2012902一般行政管理事务94.50万元；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2012903机关服务151.60万元；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2012950事业运行495.45万元；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2012999其他群众团体事务支出1,486.39万元；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2070605出版发行225.13万元；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2080501行政单位离退休124.07万元；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2080502事业单位离退休62.48万元；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2080505机关事业单位基本养老保险缴费支出179.37万元；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2080506机关事业单位职业年金缴费支出41.35万元；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2101101行政单位医疗44.99万元；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2101102事业单位医疗51.62万元；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2101103公务员医疗补助75.15万元；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2210201住房公积金134.53万元。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21"/>
      <w:bookmarkEnd w:id="22"/>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2,605.40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2,320.62</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离休费、退休费、抚恤金、医疗费补助、奖励金、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284.78万元，包括：办公费、手续费、水费、电费、邮电费、取暖费、物业管理费、差旅费、会议费、培训费、劳务费、委托业务费、工会经费、福利费、公务用车运行维护费、其他交通费用、税金及附加费用、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3" w:name="_Toc21518"/>
      <w:bookmarkStart w:id="24" w:name="_Toc7190"/>
      <w:r>
        <w:rPr>
          <w:rFonts w:hint="eastAsia" w:ascii="黑体" w:hAnsi="黑体" w:eastAsia="黑体" w:cs="宋体"/>
          <w:bCs/>
          <w:kern w:val="0"/>
          <w:sz w:val="32"/>
          <w:szCs w:val="32"/>
        </w:rPr>
        <w:t>七、一般公共预算财政拨款“三公”经费支出决算情况说明</w:t>
      </w:r>
      <w:bookmarkEnd w:id="23"/>
      <w:bookmarkEnd w:id="24"/>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2021年度一般公共预算“三公”经费支出决算30.80万元，比上年增加0.03万元，增长0.10%，主要原因是</w:t>
      </w:r>
      <w:r>
        <w:rPr>
          <w:rFonts w:hint="eastAsia" w:ascii="仿宋_GB2312" w:eastAsia="仿宋_GB2312"/>
          <w:sz w:val="32"/>
          <w:szCs w:val="32"/>
          <w:lang w:eastAsia="zh-CN"/>
        </w:rPr>
        <w:t>：</w:t>
      </w:r>
      <w:r>
        <w:rPr>
          <w:rFonts w:ascii="仿宋_GB2312" w:eastAsia="仿宋_GB2312"/>
          <w:sz w:val="32"/>
          <w:szCs w:val="32"/>
        </w:rPr>
        <w:t>2020年因疫情原因车辆加油费使用较少，2021年车辆用油增加。其中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30.80万元，占100.00%，比上年增加0.11万元，增长0.36%，主要原因是：2020年因疫情原因车辆加油费使用较少，2021年车辆用油增加；公务接待费支出0.00万元，占0.00%，比上年减少0.08万元，降低100.00%，主要原因是</w:t>
      </w:r>
      <w:r>
        <w:rPr>
          <w:rFonts w:hint="eastAsia" w:ascii="仿宋_GB2312" w:eastAsia="仿宋_GB2312"/>
          <w:sz w:val="32"/>
          <w:szCs w:val="32"/>
          <w:lang w:eastAsia="zh-CN"/>
        </w:rPr>
        <w:t>：</w:t>
      </w:r>
      <w:r>
        <w:rPr>
          <w:rFonts w:ascii="仿宋_GB2312" w:eastAsia="仿宋_GB2312"/>
          <w:sz w:val="32"/>
          <w:szCs w:val="32"/>
        </w:rPr>
        <w:t>2021年因疫情原因，未产生公务接待。具体情况如下：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w:t>
      </w:r>
      <w:r>
        <w:rPr>
          <w:rFonts w:hint="eastAsia" w:ascii="仿宋_GB2312" w:eastAsia="仿宋_GB2312"/>
          <w:sz w:val="32"/>
          <w:szCs w:val="32"/>
        </w:rPr>
        <w:t>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30.80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30.80</w:t>
      </w:r>
      <w:r>
        <w:rPr>
          <w:rFonts w:hint="eastAsia" w:ascii="仿宋_GB2312" w:eastAsia="仿宋_GB2312"/>
          <w:sz w:val="32"/>
          <w:szCs w:val="32"/>
        </w:rPr>
        <w:t>万元。公务用车运行维护费开支内容包括：公务用车燃料费，维修费、保险费等。公务用车购置数</w:t>
      </w:r>
      <w:r>
        <w:rPr>
          <w:rFonts w:ascii="仿宋_GB2312" w:eastAsia="仿宋_GB2312"/>
          <w:sz w:val="32"/>
          <w:szCs w:val="32"/>
        </w:rPr>
        <w:t>0</w:t>
      </w:r>
      <w:r>
        <w:rPr>
          <w:rFonts w:hint="eastAsia" w:ascii="仿宋_GB2312" w:eastAsia="仿宋_GB2312"/>
          <w:sz w:val="32"/>
          <w:szCs w:val="32"/>
        </w:rPr>
        <w:t>辆，公务用车保有量13辆。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w:t>
      </w:r>
      <w:r>
        <w:rPr>
          <w:rFonts w:hint="eastAsia" w:ascii="仿宋_GB2312" w:eastAsia="仿宋_GB2312"/>
          <w:sz w:val="32"/>
          <w:szCs w:val="32"/>
        </w:rPr>
        <w:t>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与年初预算数相比情况：一般公共预算“三公”经费支出年初预算数30.80万元，决算数</w:t>
      </w:r>
      <w:r>
        <w:rPr>
          <w:rFonts w:ascii="仿宋_GB2312" w:eastAsia="仿宋_GB2312"/>
          <w:sz w:val="32"/>
          <w:szCs w:val="32"/>
        </w:rPr>
        <w:t>30.80</w:t>
      </w:r>
      <w:r>
        <w:rPr>
          <w:rFonts w:hint="eastAsia" w:ascii="仿宋_GB2312" w:eastAsia="仿宋_GB2312"/>
          <w:sz w:val="32"/>
          <w:szCs w:val="32"/>
        </w:rPr>
        <w:t>万元，预决算差异率0.00%，主要原因是：按照年初预算执行。</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预算数30.80万元，决算数30.80万元，预决算差异率0.00%，主要原因是：按照年初预算执行；</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5" w:name="_Toc5810"/>
      <w:bookmarkStart w:id="26" w:name="_Toc7927"/>
      <w:r>
        <w:rPr>
          <w:rFonts w:hint="eastAsia" w:ascii="黑体" w:hAnsi="黑体" w:eastAsia="黑体" w:cs="宋体"/>
          <w:bCs/>
          <w:kern w:val="0"/>
          <w:sz w:val="32"/>
          <w:szCs w:val="32"/>
        </w:rPr>
        <w:t>八、政府性基金预算财政拨款收入支出决算情况说明</w:t>
      </w:r>
      <w:bookmarkEnd w:id="25"/>
      <w:bookmarkEnd w:id="26"/>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2021年度政府性基金预算财政拨款收入487.27万元，与上年相比，增加377.27万元，增长342.97%，主要原因是：年中追加中央彩票公益金项目。政府性基金预算财政拨款支出487.27万元</w:t>
      </w:r>
      <w:r>
        <w:rPr>
          <w:rFonts w:hint="eastAsia" w:ascii="仿宋_GB2312" w:eastAsia="仿宋_GB2312"/>
          <w:sz w:val="32"/>
          <w:szCs w:val="32"/>
        </w:rPr>
        <w:t>，</w:t>
      </w:r>
      <w:r>
        <w:rPr>
          <w:rFonts w:ascii="仿宋_GB2312" w:eastAsia="仿宋_GB2312"/>
          <w:sz w:val="32"/>
          <w:szCs w:val="32"/>
        </w:rPr>
        <w:t>与上年相比，增加328.82万元，增长207.52%，主要原因是：支出年中追加中央彩票公益金项目。</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政府性基金预算财政拨款支出487.27万元。按功能分类科目项级科目公开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2296002用于社会福利的彩票公益金支出90.00万元；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ascii="仿宋_GB2312" w:eastAsia="仿宋_GB2312"/>
          <w:sz w:val="32"/>
          <w:szCs w:val="32"/>
        </w:rPr>
        <w:t>2296010用于文化事业的彩票公益金支出397.27万元。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7" w:name="_Toc1235"/>
      <w:bookmarkStart w:id="28" w:name="_Toc7314"/>
      <w:r>
        <w:rPr>
          <w:rFonts w:hint="eastAsia" w:ascii="黑体" w:hAnsi="黑体" w:eastAsia="黑体" w:cs="宋体"/>
          <w:bCs/>
          <w:kern w:val="0"/>
          <w:sz w:val="32"/>
          <w:szCs w:val="32"/>
        </w:rPr>
        <w:t>十、其他重要事项的情况说明</w:t>
      </w:r>
      <w:bookmarkEnd w:id="27"/>
      <w:bookmarkEnd w:id="28"/>
    </w:p>
    <w:p>
      <w:pPr>
        <w:ind w:firstLine="640" w:firstLineChars="200"/>
        <w:outlineLvl w:val="2"/>
        <w:rPr>
          <w:rFonts w:hint="eastAsia" w:ascii="黑体" w:hAnsi="黑体" w:eastAsia="黑体"/>
          <w:sz w:val="32"/>
          <w:szCs w:val="32"/>
        </w:rPr>
      </w:pPr>
      <w:bookmarkStart w:id="29" w:name="_Toc13105"/>
      <w:bookmarkStart w:id="30" w:name="_Toc14519"/>
      <w:r>
        <w:rPr>
          <w:rFonts w:hint="eastAsia" w:ascii="黑体" w:hAnsi="黑体" w:eastAsia="黑体"/>
          <w:sz w:val="32"/>
          <w:szCs w:val="32"/>
        </w:rPr>
        <w:t>（一）机关运行经费支出情况</w:t>
      </w:r>
      <w:bookmarkEnd w:id="29"/>
      <w:bookmarkEnd w:id="30"/>
    </w:p>
    <w:p>
      <w:pPr>
        <w:ind w:firstLine="640" w:firstLineChars="200"/>
        <w:outlineLvl w:val="2"/>
        <w:rPr>
          <w:rFonts w:ascii="黑体" w:hAnsi="黑体" w:eastAsia="黑体"/>
          <w:sz w:val="32"/>
          <w:szCs w:val="32"/>
        </w:rPr>
      </w:pPr>
      <w:r>
        <w:rPr>
          <w:rFonts w:hint="eastAsia" w:ascii="仿宋_GB2312" w:eastAsia="仿宋_GB2312"/>
          <w:sz w:val="32"/>
          <w:szCs w:val="32"/>
        </w:rPr>
        <w:t>2021年度新疆维吾尔自治区妇女联合会（行政单位和参照公务员法管理事业单位）机关运行经费支出</w:t>
      </w:r>
      <w:r>
        <w:rPr>
          <w:rFonts w:ascii="仿宋_GB2312" w:eastAsia="仿宋_GB2312"/>
          <w:sz w:val="32"/>
          <w:szCs w:val="32"/>
        </w:rPr>
        <w:t>223.26</w:t>
      </w:r>
      <w:r>
        <w:rPr>
          <w:rFonts w:hint="eastAsia" w:ascii="仿宋_GB2312" w:eastAsia="仿宋_GB2312"/>
          <w:sz w:val="32"/>
          <w:szCs w:val="32"/>
        </w:rPr>
        <w:t>万元，比上年增加5.02万元，增长2.30%，主要原因是：因疫情原因，2020年单位业务发生较少，公用经费支出较少，2021年度单位正常开展业务公用经费支出高于2020年。</w:t>
      </w:r>
    </w:p>
    <w:p>
      <w:pPr>
        <w:ind w:firstLine="640" w:firstLineChars="200"/>
        <w:rPr>
          <w:rFonts w:ascii="仿宋_GB2312" w:eastAsia="仿宋_GB2312"/>
          <w:sz w:val="32"/>
          <w:szCs w:val="32"/>
        </w:rPr>
      </w:pPr>
      <w:r>
        <w:rPr>
          <w:rFonts w:hint="eastAsia" w:ascii="仿宋_GB2312" w:eastAsia="仿宋_GB2312"/>
          <w:sz w:val="32"/>
          <w:szCs w:val="32"/>
        </w:rPr>
        <w:t>2021年度新疆维吾尔自治区妇女联合会（事业单位）公用经费</w:t>
      </w:r>
      <w:r>
        <w:rPr>
          <w:rFonts w:ascii="仿宋_GB2312" w:eastAsia="仿宋_GB2312"/>
          <w:sz w:val="32"/>
          <w:szCs w:val="32"/>
        </w:rPr>
        <w:t>61.53</w:t>
      </w:r>
      <w:r>
        <w:rPr>
          <w:rFonts w:hint="eastAsia" w:ascii="仿宋_GB2312" w:eastAsia="仿宋_GB2312"/>
          <w:sz w:val="32"/>
          <w:szCs w:val="32"/>
        </w:rPr>
        <w:t>万元，比上年</w:t>
      </w:r>
      <w:r>
        <w:rPr>
          <w:rFonts w:ascii="仿宋_GB2312" w:eastAsia="仿宋_GB2312"/>
          <w:sz w:val="32"/>
          <w:szCs w:val="32"/>
        </w:rPr>
        <w:t>增加5.91</w:t>
      </w:r>
      <w:r>
        <w:rPr>
          <w:rFonts w:hint="eastAsia" w:ascii="仿宋_GB2312" w:eastAsia="仿宋_GB2312"/>
          <w:sz w:val="32"/>
          <w:szCs w:val="32"/>
        </w:rPr>
        <w:t>万元，</w:t>
      </w:r>
      <w:r>
        <w:rPr>
          <w:rFonts w:ascii="仿宋_GB2312" w:eastAsia="仿宋_GB2312"/>
          <w:sz w:val="32"/>
          <w:szCs w:val="32"/>
        </w:rPr>
        <w:t>增长10.63</w:t>
      </w:r>
      <w:r>
        <w:rPr>
          <w:rFonts w:hint="eastAsia" w:ascii="仿宋_GB2312" w:eastAsia="仿宋_GB2312"/>
          <w:sz w:val="32"/>
          <w:szCs w:val="32"/>
        </w:rPr>
        <w:t>%，主要原因是：因疫情原因，2020年所属事业单位年业务量相对较少，2021年度正常开展各项业务。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644.02</w:t>
      </w:r>
      <w:r>
        <w:rPr>
          <w:rFonts w:hint="eastAsia" w:ascii="仿宋_GB2312" w:eastAsia="仿宋_GB2312"/>
          <w:sz w:val="32"/>
          <w:szCs w:val="32"/>
        </w:rPr>
        <w:t>万元，其中：政府采购货物支出</w:t>
      </w:r>
      <w:r>
        <w:rPr>
          <w:rFonts w:ascii="仿宋_GB2312" w:eastAsia="仿宋_GB2312"/>
          <w:sz w:val="32"/>
          <w:szCs w:val="32"/>
        </w:rPr>
        <w:t>483.31</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160.71</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168.52</w:t>
      </w:r>
      <w:r>
        <w:rPr>
          <w:rFonts w:hint="eastAsia" w:ascii="仿宋_GB2312" w:eastAsia="仿宋_GB2312"/>
          <w:sz w:val="32"/>
          <w:szCs w:val="32"/>
        </w:rPr>
        <w:t>万元，占政府采购支出总额的</w:t>
      </w:r>
      <w:r>
        <w:rPr>
          <w:rFonts w:ascii="仿宋_GB2312" w:eastAsia="仿宋_GB2312"/>
          <w:sz w:val="32"/>
          <w:szCs w:val="32"/>
        </w:rPr>
        <w:t>26.17</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1" w:name="_Toc4591"/>
      <w:bookmarkStart w:id="32" w:name="_Toc8391"/>
      <w:r>
        <w:rPr>
          <w:rFonts w:hint="eastAsia" w:ascii="黑体" w:hAnsi="黑体" w:eastAsia="黑体"/>
          <w:sz w:val="32"/>
          <w:szCs w:val="32"/>
        </w:rPr>
        <w:t>（三）国有资产占用情况说明</w:t>
      </w:r>
      <w:bookmarkEnd w:id="31"/>
      <w:bookmarkEnd w:id="32"/>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39,117.00</w:t>
      </w:r>
      <w:r>
        <w:rPr>
          <w:rFonts w:hint="eastAsia" w:ascii="仿宋_GB2312" w:eastAsia="仿宋_GB2312"/>
          <w:sz w:val="32"/>
          <w:szCs w:val="32"/>
        </w:rPr>
        <w:t>（平方米），价值</w:t>
      </w:r>
      <w:r>
        <w:rPr>
          <w:rFonts w:ascii="仿宋_GB2312" w:eastAsia="仿宋_GB2312"/>
          <w:sz w:val="32"/>
          <w:szCs w:val="32"/>
        </w:rPr>
        <w:t>7,036.60</w:t>
      </w:r>
      <w:r>
        <w:rPr>
          <w:rFonts w:hint="eastAsia" w:ascii="仿宋_GB2312" w:eastAsia="仿宋_GB2312"/>
          <w:sz w:val="32"/>
          <w:szCs w:val="32"/>
        </w:rPr>
        <w:t>万元。车辆</w:t>
      </w:r>
      <w:r>
        <w:rPr>
          <w:rFonts w:ascii="仿宋_GB2312" w:eastAsia="仿宋_GB2312"/>
          <w:sz w:val="32"/>
          <w:szCs w:val="32"/>
        </w:rPr>
        <w:t>14</w:t>
      </w:r>
      <w:r>
        <w:rPr>
          <w:rFonts w:hint="eastAsia" w:ascii="仿宋_GB2312" w:eastAsia="仿宋_GB2312"/>
          <w:sz w:val="32"/>
          <w:szCs w:val="32"/>
        </w:rPr>
        <w:t>辆，价值</w:t>
      </w:r>
      <w:r>
        <w:rPr>
          <w:rFonts w:ascii="仿宋_GB2312" w:eastAsia="仿宋_GB2312"/>
          <w:sz w:val="32"/>
          <w:szCs w:val="32"/>
        </w:rPr>
        <w:t>320.95</w:t>
      </w:r>
      <w:r>
        <w:rPr>
          <w:rFonts w:hint="eastAsia" w:ascii="仿宋_GB2312" w:eastAsia="仿宋_GB2312"/>
          <w:sz w:val="32"/>
          <w:szCs w:val="32"/>
        </w:rPr>
        <w:t>万元，其中：副部（省）级及以上领导用车0辆、主要领导干部用车2辆、机要通信用车</w:t>
      </w:r>
      <w:r>
        <w:rPr>
          <w:rFonts w:ascii="仿宋_GB2312" w:eastAsia="仿宋_GB2312"/>
          <w:sz w:val="32"/>
          <w:szCs w:val="32"/>
        </w:rPr>
        <w:t>1</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11</w:t>
      </w:r>
      <w:r>
        <w:rPr>
          <w:rFonts w:hint="eastAsia" w:ascii="仿宋_GB2312" w:eastAsia="仿宋_GB2312"/>
          <w:sz w:val="32"/>
          <w:szCs w:val="32"/>
        </w:rPr>
        <w:t>辆，其他用车主要是：保障机关正常工作用车；单位价值50万元以上通用设备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3" w:name="_Toc11283"/>
      <w:bookmarkStart w:id="34" w:name="_Toc435"/>
      <w:r>
        <w:rPr>
          <w:rFonts w:hint="eastAsia" w:ascii="黑体" w:hAnsi="黑体" w:eastAsia="黑体" w:cs="宋体"/>
          <w:bCs/>
          <w:kern w:val="0"/>
          <w:sz w:val="32"/>
          <w:szCs w:val="32"/>
        </w:rPr>
        <w:t>十一、预算绩效的情况说明</w:t>
      </w:r>
      <w:bookmarkEnd w:id="33"/>
      <w:bookmarkEnd w:id="34"/>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根据预算绩效管理要求，我单位2021年度开展预算绩效评价项目18个，共涉及资金</w:t>
      </w:r>
      <w:r>
        <w:rPr>
          <w:rFonts w:hint="eastAsia" w:ascii="仿宋_GB2312" w:eastAsia="仿宋_GB2312"/>
          <w:sz w:val="32"/>
          <w:szCs w:val="32"/>
          <w:lang w:val="en-US" w:eastAsia="zh-CN"/>
        </w:rPr>
        <w:t>2173.02</w:t>
      </w:r>
      <w:r>
        <w:rPr>
          <w:rFonts w:ascii="仿宋_GB2312" w:eastAsia="仿宋_GB2312"/>
          <w:sz w:val="32"/>
          <w:szCs w:val="32"/>
        </w:rPr>
        <w:t>万元。预算绩效管理取得的成效：一是在经济效益方面：通过发放临时救助金、“家庭学校进农户”培训及“家家幸福安康”工程、南疆四地州免费发放《伴侣》、《新疆妇女》杂志、开展“家庭教育指导员”、妇女维权工作等培训班项目活动，提高了南疆四地州妇女儿童的生活质量，增强妇女儿童的幸福感；二是效率性方面：本部门预算编制程序规范合理，预算管理、收支管理、资产管理及业务管理都有较完备的规章制度，各事业单位及部门严格按照年初计划执行预算方案，部门支出结构总体稳定，固定资产利用率较高。但预算编制的科学性方面还有待加强，预算绩效目标设置的精细化、科学化水平有待提升。三是在有效性方面：我部门通过公众评判法、对比法等方法对202</w:t>
      </w:r>
      <w:r>
        <w:rPr>
          <w:rFonts w:hint="eastAsia" w:ascii="仿宋_GB2312" w:eastAsia="仿宋_GB2312"/>
          <w:sz w:val="32"/>
          <w:szCs w:val="32"/>
          <w:lang w:val="en-US" w:eastAsia="zh-CN"/>
        </w:rPr>
        <w:t>1</w:t>
      </w:r>
      <w:r>
        <w:rPr>
          <w:rFonts w:ascii="仿宋_GB2312" w:eastAsia="仿宋_GB2312"/>
          <w:sz w:val="32"/>
          <w:szCs w:val="32"/>
        </w:rPr>
        <w:t>年各项目进行了绩效评价，以期达到了解各项目的实际效益情况。发现的问题及原因：一是</w:t>
      </w:r>
      <w:r>
        <w:rPr>
          <w:rFonts w:hint="eastAsia" w:ascii="仿宋_GB2312" w:eastAsia="仿宋_GB2312"/>
          <w:sz w:val="32"/>
          <w:szCs w:val="32"/>
          <w:lang w:val="en-US" w:eastAsia="zh-CN"/>
        </w:rPr>
        <w:t>存</w:t>
      </w:r>
      <w:r>
        <w:rPr>
          <w:rFonts w:ascii="仿宋_GB2312" w:eastAsia="仿宋_GB2312"/>
          <w:sz w:val="32"/>
          <w:szCs w:val="32"/>
        </w:rPr>
        <w:t>在设定指标不够全面、针对性不强等问题，绩效评价指标体系有待进一步完善。二是预算编制不够明确和细化，预算编制的合理性需要提高，预算执行力度还要进一步加强。三是部分培训受疫情影响，未能按照年初预算执行。下一步改进措施：一是通过财政对绩效评价工作相关培训，提升各部门（单位）绩效指标设置的合理性、科学性及有效性，提升项目在决策、过程、产出、效益等各方面的精准度。二是加大预算编制前对</w:t>
      </w:r>
      <w:r>
        <w:rPr>
          <w:rFonts w:hint="eastAsia" w:ascii="仿宋_GB2312" w:eastAsia="仿宋_GB2312"/>
          <w:sz w:val="32"/>
          <w:szCs w:val="32"/>
          <w:lang w:val="en-US" w:eastAsia="zh-CN"/>
        </w:rPr>
        <w:t>各</w:t>
      </w:r>
      <w:r>
        <w:rPr>
          <w:rFonts w:ascii="仿宋_GB2312" w:eastAsia="仿宋_GB2312"/>
          <w:sz w:val="32"/>
          <w:szCs w:val="32"/>
        </w:rPr>
        <w:t>部门（单位）的培训，尽最大可能解决预算编制与工作计划脱节的矛盾，提高</w:t>
      </w:r>
      <w:r>
        <w:rPr>
          <w:rFonts w:hint="eastAsia" w:ascii="仿宋_GB2312" w:eastAsia="仿宋_GB2312"/>
          <w:sz w:val="32"/>
          <w:szCs w:val="32"/>
          <w:lang w:val="en-US" w:eastAsia="zh-CN"/>
        </w:rPr>
        <w:t>各</w:t>
      </w:r>
      <w:r>
        <w:rPr>
          <w:rFonts w:ascii="仿宋_GB2312" w:eastAsia="仿宋_GB2312"/>
          <w:sz w:val="32"/>
          <w:szCs w:val="32"/>
        </w:rPr>
        <w:t>部门（单位）预算编制科学化、精细化水平。三是按时间进度分解资金使用计划。专项资金的使用，要事前做计划，事中进行控制，事后总结提高。合理安排资金使用,充分体现资金投向的目标和效益。具体项目自评情况附项目支出绩效自评表。</w:t>
      </w:r>
    </w:p>
    <w:p>
      <w:pPr>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ascii="仿宋_GB2312" w:eastAsia="仿宋_GB2312"/>
          <w:sz w:val="32"/>
          <w:szCs w:val="32"/>
        </w:rPr>
        <w:br w:type="page"/>
      </w:r>
    </w:p>
    <w:tbl>
      <w:tblPr>
        <w:tblStyle w:val="10"/>
        <w:tblW w:w="1384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2"/>
        <w:gridCol w:w="1253"/>
        <w:gridCol w:w="1604"/>
        <w:gridCol w:w="236"/>
        <w:gridCol w:w="1219"/>
        <w:gridCol w:w="646"/>
        <w:gridCol w:w="1616"/>
        <w:gridCol w:w="236"/>
        <w:gridCol w:w="1582"/>
        <w:gridCol w:w="284"/>
        <w:gridCol w:w="757"/>
        <w:gridCol w:w="412"/>
        <w:gridCol w:w="820"/>
        <w:gridCol w:w="1006"/>
        <w:gridCol w:w="14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10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4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965.00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962.87</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99.78%</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53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1.客观反应2011年以来新疆妇女发展状况和变化，探究社会变迁与妇女地位变迁的关系，为党和政府制定相关政策提供服务；不断提高妇联组织联系引领服务妇女的能力，扩大妇联组织社会影响力；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2.充分发挥妇联组织独特作用，延伸妇联组织引领联系服务的工作手臂，帮助妇女实现就近就地就业；促进行业发展，助力龙头企业，扶持小微企业，帮助妇女就业增收；                                                                                                                                                 3.进一步加强和规范自治区妇联所属事业单位及对地州妇联项目资金工作，建立健全内部审计制度，推进内部审计工作实施；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4.通过开展宪法、民法典、反家庭暴力法及实施办法、妇女权益保障法等与妇女权益相关的法律法规的宣传教育，切实提高妇女群众的法治意识和法律素养；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保障自治区、地州市12338妇女维权公益热线有效运转，进一步畅通信访工作渠道，对来访的困难妇女儿童提供法律援助、临时救助、心理疏导服务，让她们感受到党和政府的温暖，切实保障各族妇女的合法权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深入贯彻落实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妇联家庭工作，夯实家庭在社会发展、民族进步、社会稳定中的重要作用；做好关心关爱困境儿童工作。</w:t>
            </w:r>
          </w:p>
        </w:tc>
        <w:tc>
          <w:tcPr>
            <w:tcW w:w="6531"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1.客观的反映了2011年以来新疆妇女发展状况和变化，探究社会变迁与妇女地位变迁的关系，为党和政府制定相关政策提供服务；不断提高妇联组织联系引领服务妇女的能力，扩大妇联组织社会影响力；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2.充分发挥妇联组织独特作用，延伸妇联组织引领联系服务的工作手臂，帮助妇女实现就近就地就业；促进行业发展，助力龙头企业，扶持小微企业，帮助妇女就业增收；                                                                                                                                                 3.进一步加强和规范自治区妇联所属事业单位及对地州妇联项目资金工作，建立健全内部审计制度，推进内部审计工作实施；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4.通过开展宪法、民法典、反家庭暴力法及实施办法、妇女权益保障法等与妇女权益相关的法律法规的宣传教育，切实提高妇女群众的法治意识和法律素养；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保障自治区、地州市12338妇女维权公益热线有效运转，进一步畅通信访工作渠道，对来访的困难妇女儿童提供法律援助、临时救助、心理疏导服务，让她们感受到党和政府的温暖，切实保障各族妇女的合法权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深入贯彻落实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妇联家庭工作，夯实家庭在社会发展、民族进步、社会稳定中的重要作用；做好关心关爱困境儿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8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保障就餐人次</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&gt;=24750人次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24786人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临时救助人数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根据地州上报临时救助人数，减少了每个人救助金额，增加了人数。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赴基层开展妇女发展工作指导调研次数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老干部征订报刊</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&gt;=110人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城乡妇女岗位建功评比表彰集体、岗位</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&gt;=45个</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45个</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编印两纲终期评估报告和监测报告份数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&gt;=320份</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320份</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法治宣传场次</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印刷系列丛书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&gt;=2万套</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28600万套</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根据工作计划，印刷并发放《新时代 新女性 新风尚》系列书籍28600套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开展户外及文体活动次数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寻找自治区“最美家庭”户数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&gt;=100户</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233户</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因疫情反复，全民抗疫，家庭典型凸显，故揭晓数增多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三八活动参与人数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召开国家两纲评估督导组汇报会和反馈会个数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0个</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2021年国家未在新疆召开两纲评估督导。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购买党员学习用书完成率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基础设施完好率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资产购置质量合格率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各类活动按时完成率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会议按期完成率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&gt;=94%</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维权工作经费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&lt;=46万元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&lt;=21万元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两纲工作经费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&lt;=33万元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&lt;=633万元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633万元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发展工作经费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&lt;=62万元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各项宣传活动工作经费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&lt;=170万元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群众“最美家庭”和“五好家庭”知晓率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七一表彰大会可持续影响时间</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&gt;=1年</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购置资产使用人员满意度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受助人员满意度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31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28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98.92分</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both"/>
        <w:outlineLvl w:val="0"/>
        <w:rPr>
          <w:rFonts w:hint="eastAsia" w:ascii="黑体" w:hAnsi="黑体" w:eastAsia="黑体"/>
          <w:sz w:val="32"/>
          <w:szCs w:val="32"/>
        </w:rPr>
        <w:sectPr>
          <w:pgSz w:w="16838" w:h="11906" w:orient="landscape"/>
          <w:pgMar w:top="1803" w:right="1440" w:bottom="1803" w:left="1440" w:header="851" w:footer="992" w:gutter="0"/>
          <w:cols w:space="0" w:num="1"/>
          <w:rtlGutter w:val="0"/>
          <w:docGrid w:type="lines" w:linePitch="319" w:charSpace="0"/>
        </w:sectPr>
      </w:pPr>
    </w:p>
    <w:tbl>
      <w:tblPr>
        <w:tblStyle w:val="10"/>
        <w:tblpPr w:leftFromText="180" w:rightFromText="180" w:vertAnchor="text" w:horzAnchor="page" w:tblpX="1557" w:tblpY="-23"/>
        <w:tblOverlap w:val="never"/>
        <w:tblW w:w="138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1"/>
        <w:gridCol w:w="659"/>
        <w:gridCol w:w="1093"/>
        <w:gridCol w:w="1118"/>
        <w:gridCol w:w="3013"/>
        <w:gridCol w:w="468"/>
        <w:gridCol w:w="1338"/>
        <w:gridCol w:w="1348"/>
        <w:gridCol w:w="24"/>
        <w:gridCol w:w="823"/>
        <w:gridCol w:w="279"/>
        <w:gridCol w:w="704"/>
        <w:gridCol w:w="358"/>
        <w:gridCol w:w="1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382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2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6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妇女儿童工作经费（拨付地州）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70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43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8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深入贯彻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家庭工作；                                                                                           2.保障各地州市妇联顺利开展“乡村振兴巾帼行动”，巩固“巾帼脱贫行动”成果，做到“乡村振兴巾帼行动”和“巾帼脱贫行动”的有效衔接；增强各地州市妇联指导基层妇联引领联系服务妇女发展的能力和水平；促进妇女综合素质的提升，拓展妇女就业创业渠道；                                                                                   3.充分发挥妇联组织独特作用，延伸妇联组织引领联系服务的工作手臂，帮助妇女实现就近就地就业；发挥示范基地在妇女就业创业、技能培训、技术推广和服务咨询等方面的示范带动作用；促进行业发展，助力龙头企业，扶持小微企业，帮助妇女就业增收；                                                                                                                                                                                                                                                                                                                                                                                                                                                   </w:t>
            </w:r>
          </w:p>
        </w:tc>
        <w:tc>
          <w:tcPr>
            <w:tcW w:w="5437"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各地（州、市）、县（区、市）妇联召开现场会、推进会38次，开展调研、摸清底数、督导项目111次。2.各级妇联结合“百千万巾帼大宣讲”等活动，开展宣传教育活动4.3万场，印制发放宣传资料20万份，累计受益群众52.7万人次。各地州妇联表彰巾帼建功集体、个人295个。3.各级妇联结合“农村妇女素质提升计划”，开展美容美发、家政服务、手工制作、服装缝纫、直播带货等各类技能培训3149期，培训妇女172753人次；各级“巾帼示范基地”开展技能培训130期，培训妇女2887人次；开展春风送岗位线上线下招聘活动10228次，为妇女提供就业职位26796个。4.各级妇联广泛动员各界社会力量，利用对口援疆资源，面向妇女和儿童开展结对帮扶、送温暖等关心关爱活动近千场，慰问关爱人7000余人次；结合“国庆节”“中国农民丰收节”等节点，通过开展网络直播带货、搭建促销平台、动员引导以买代捐等多种形式助力消费扶贫。自治区妇联在832平台购买产品73836元，支持购买农村合作社产品22.4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59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1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9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家家幸福安康工程建立示范点个数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“乡村振兴巾帼行动”基层妇联工作经费拨付地州市个数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14个地州市妇联开展本地区调研、督导合计次数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命名自治区巾帼示范基地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14个地州市妇联指导本地基层妇联开展培训或组织培训次数合计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14个地州市妇联召开本地推进妇女发展工作会议合计次数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妇女参与技能培训后就业上岗率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妇女参与技能培训后合格率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参加自治区巾帼示范基地技能培训就业率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资金拨付地州及时率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家家幸福安康工程示范点建立按期完成率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自治区巾帼示范基地项目工作完成时限</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家家幸福安康工程示范点工作经费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&lt;=32万元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自治区巾帼示范基地工作经费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“乡村振兴巾帼行动”基层妇联工作经费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&lt;=156万元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提升妇女就业创业的能力</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提升群众参与乡村振兴的积极度</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各地州市妇联满意度</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7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jc w:val="both"/>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45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4"/>
        <w:gridCol w:w="874"/>
        <w:gridCol w:w="1811"/>
        <w:gridCol w:w="1274"/>
        <w:gridCol w:w="1612"/>
        <w:gridCol w:w="730"/>
        <w:gridCol w:w="1394"/>
        <w:gridCol w:w="1391"/>
        <w:gridCol w:w="240"/>
        <w:gridCol w:w="811"/>
        <w:gridCol w:w="516"/>
        <w:gridCol w:w="499"/>
        <w:gridCol w:w="553"/>
        <w:gridCol w:w="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45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45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0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妇联系统培训经费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8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2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0"/>
                <w:szCs w:val="20"/>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8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9"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培训针对自治区妇联系统干部，培训开展1次，通过培训推动妇联改革，加强妇联队伍建设，提升女性领导力，增强妇联干部素质综合和履职尽责能力，解决干什么和怎么干的问题。</w:t>
            </w:r>
          </w:p>
        </w:tc>
        <w:tc>
          <w:tcPr>
            <w:tcW w:w="4884"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按照年初预算，完成培训项目。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6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4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培训天数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&gt;=7天</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培训班次</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女性领导干部参加培训人数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学员出勤率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培训按期完成率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培训人均支出标准</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&lt;=5600元/人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5600元/人</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增强妇联干部素质综合和履职尽责能力</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显著增强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女性领导干部满意率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9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分</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68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1"/>
        <w:gridCol w:w="1084"/>
        <w:gridCol w:w="1242"/>
        <w:gridCol w:w="709"/>
        <w:gridCol w:w="1224"/>
        <w:gridCol w:w="754"/>
        <w:gridCol w:w="1253"/>
        <w:gridCol w:w="1466"/>
        <w:gridCol w:w="233"/>
        <w:gridCol w:w="967"/>
        <w:gridCol w:w="421"/>
        <w:gridCol w:w="991"/>
        <w:gridCol w:w="163"/>
        <w:gridCol w:w="2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6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0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妇联业务经费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26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5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6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该项目为延续项目，项目资金主要用于按社区要求缴纳机关办公楼及培训楼物业费和机关办公楼维修维护，保障机关办公楼办公工作秩序和培训楼的正常运转。</w:t>
            </w:r>
          </w:p>
        </w:tc>
        <w:tc>
          <w:tcPr>
            <w:tcW w:w="6521"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该项目经费按要求缴纳了机关办公楼及培训楼物业费和机关办公楼维修维护，保障机关办公楼办公工作秩序和培训楼的正常运转。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4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零星维修次数</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&gt;=5次</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缴纳物业费面积</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=15994㎡</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15994㎡</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修缮达标率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物业管理服务达标率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缴纳物业费期限</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按季度缴纳</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缴纳物业费金额</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&lt;=90万元</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维修（维护）费金额</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&lt;=4.5万元</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机关办公楼和培训楼正常运转率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63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7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1"/>
        <w:gridCol w:w="971"/>
        <w:gridCol w:w="1296"/>
        <w:gridCol w:w="647"/>
        <w:gridCol w:w="905"/>
        <w:gridCol w:w="837"/>
        <w:gridCol w:w="1402"/>
        <w:gridCol w:w="1661"/>
        <w:gridCol w:w="1015"/>
        <w:gridCol w:w="482"/>
        <w:gridCol w:w="554"/>
        <w:gridCol w:w="635"/>
        <w:gridCol w:w="2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3772"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772"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3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妇女儿童教育培训基地经费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60.26</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75.33%</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7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开展家庭教育大讲堂、亲子互动等活动，打造为集培训、会议、讲座、演出为一体的教育基地，推进社会主义核心价观在家庭落地生根。</w:t>
            </w:r>
          </w:p>
        </w:tc>
        <w:tc>
          <w:tcPr>
            <w:tcW w:w="6743"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该项目用于修建妇女儿童教育基地，用于开展家庭教育大讲堂、亲子互动等活动，打造为集培训、会议、讲座、演出为一体的教育基地，推进社会主义核心价观在家庭落地生根。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8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修缮工程量</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&lt;=288.25平方米</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288.25平方米</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工程量完成率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工程按期完成率（%）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施工单位资质是否达标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达标</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2021年11月底前</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工程单位建设成本</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&lt;=80万元</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60.26万元</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综合利用率（%）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受益群体满意度</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6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94.53分</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55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6"/>
        <w:gridCol w:w="966"/>
        <w:gridCol w:w="1019"/>
        <w:gridCol w:w="1409"/>
        <w:gridCol w:w="2712"/>
        <w:gridCol w:w="1424"/>
        <w:gridCol w:w="179"/>
        <w:gridCol w:w="637"/>
        <w:gridCol w:w="648"/>
        <w:gridCol w:w="722"/>
        <w:gridCol w:w="137"/>
        <w:gridCol w:w="99"/>
        <w:gridCol w:w="716"/>
        <w:gridCol w:w="68"/>
        <w:gridCol w:w="63"/>
        <w:gridCol w:w="1040"/>
        <w:gridCol w:w="989"/>
        <w:gridCol w:w="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8" w:hRule="atLeast"/>
        </w:trPr>
        <w:tc>
          <w:tcPr>
            <w:tcW w:w="13454" w:type="dxa"/>
            <w:gridSpan w:val="1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88" w:hRule="atLeast"/>
        </w:trPr>
        <w:tc>
          <w:tcPr>
            <w:tcW w:w="13454" w:type="dxa"/>
            <w:gridSpan w:val="1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88"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62"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88"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74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29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80" w:hRule="atLeast"/>
        </w:trPr>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1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88"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11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139"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为深入贯彻习近平总书记关于妇女儿童和家庭工作的重要论述，全面落实党中央治疆方略、特别是社会稳定和长治久安总目标,通过“巾帼阳光服务行动”项目 ，实施巾帼志愿阳光行动，关爱老人、守护女童；实施“家庭学校进农户”，提升对农村妇女的引领、联系和服务能力，引导广大妇女弘扬时代新风，做新时代新女性。</w:t>
            </w:r>
          </w:p>
        </w:tc>
        <w:tc>
          <w:tcPr>
            <w:tcW w:w="5119" w:type="dxa"/>
            <w:gridSpan w:val="10"/>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妇女群众所需,用通俗易懂的“苞谷馕”式的语言,围绕习近平新时代中国特色社会主义思想、中央第三次新疆工作座谈会精神、中国共产党历史、用勤劳双手创建“美丽庭院”、女性形象与礼仪、反对家庭暴力法、新时代女性婚姻生活、未成年人保护家庭教育、科学育儿、健康养护等专题开展宣讲,已覆盖14个地州市的100个村，开展“文化润疆进家庭”及素质提升宣讲539场次，受益妇女18222人次；实现技能培训100场次，受益妇女4243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1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2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97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7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“家庭学校进农户”技能培训覆盖人数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&gt;=3500人</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3766</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“家庭学校进农户”工作覆盖村</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103个</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“家庭学校进农户”宣讲覆盖人数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&gt;=4万人</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40103</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印制《新时代 新女性 新风尚》系列丛书套数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&gt;=3万套</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28600套</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该项目年初预算时，对书籍价格掌握不够精准，因此产生偏差。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《新时代新女性新风尚》发放覆盖全疆妇女之家</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“家庭学校进农户”技能培训覆盖率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“家庭学进农户”培训计划按期完成率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印制《新时代新女性新风尚》系列丛书经费</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“家庭学校进农户”项目经费</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&lt;=60万元</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60万元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提升“家庭学校进农户”项目受益农村妇女对现代文明生活基本常识、技能和礼仪的知晓率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提升“家庭学校进农户”项目受益妇女开展家庭服务的能力</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受益妇女满意度</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9" w:type="dxa"/>
          <w:trHeight w:val="288" w:hRule="atLeast"/>
        </w:trPr>
        <w:tc>
          <w:tcPr>
            <w:tcW w:w="962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99.76分</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jc w:val="both"/>
        <w:outlineLvl w:val="0"/>
        <w:rPr>
          <w:rFonts w:hint="eastAsia" w:ascii="黑体" w:hAnsi="黑体" w:eastAsia="黑体"/>
          <w:sz w:val="32"/>
          <w:szCs w:val="32"/>
        </w:rPr>
      </w:pPr>
    </w:p>
    <w:tbl>
      <w:tblPr>
        <w:tblStyle w:val="10"/>
        <w:tblW w:w="137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147"/>
        <w:gridCol w:w="1423"/>
        <w:gridCol w:w="708"/>
        <w:gridCol w:w="1346"/>
        <w:gridCol w:w="1217"/>
        <w:gridCol w:w="1359"/>
        <w:gridCol w:w="1221"/>
        <w:gridCol w:w="53"/>
        <w:gridCol w:w="977"/>
        <w:gridCol w:w="168"/>
        <w:gridCol w:w="937"/>
        <w:gridCol w:w="184"/>
        <w:gridCol w:w="2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73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73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8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“巾帼志愿阳光行动”经费（拨付地州）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8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83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为深入贯彻习近平总书记关于妇女儿童和家庭工作的重要论述，全面落实党中央治疆方略、特别是社会稳定和长治久安总目标,通过“巾帼阳光服务行动”项目 ，实施巾帼志愿阳光行动，关爱老人、守护女童；实施“家庭学校进农户”，提升对农村妇女的引领、联系和服务能力，引导广大妇女弘扬时代新风，做新时代新女性。</w:t>
            </w:r>
          </w:p>
        </w:tc>
        <w:tc>
          <w:tcPr>
            <w:tcW w:w="583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经各地（州、市）妇联、文明办协商沟通、层层筛选、审核把关后共成立了巾帼志愿“阳光站”30个，14个地州市做到了全覆盖，已全部完成了挂牌并积极开展志愿服务工作。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2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试点站召开启动仪式个数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每个试点站建立志愿者服务队伍</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每个志愿服务试点站服务次数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&gt;=12次</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“巾帼志愿阳光行动”购置设备试点数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必要服务器具配备率</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试点站启动仪式开展率</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“巾帼志愿阳光行动”设备购置金额</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试点站建立时间</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2021年6月之前</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“巾帼志愿阳光行动”启动资金金额</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提高志愿者服务队服务能力</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有所提高</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“巾帼志愿阳光行动”受益人群满意度</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2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tbl>
      <w:tblPr>
        <w:tblStyle w:val="10"/>
        <w:tblW w:w="1376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8"/>
        <w:gridCol w:w="858"/>
        <w:gridCol w:w="1691"/>
        <w:gridCol w:w="592"/>
        <w:gridCol w:w="1327"/>
        <w:gridCol w:w="863"/>
        <w:gridCol w:w="1253"/>
        <w:gridCol w:w="1349"/>
        <w:gridCol w:w="240"/>
        <w:gridCol w:w="822"/>
        <w:gridCol w:w="479"/>
        <w:gridCol w:w="785"/>
        <w:gridCol w:w="331"/>
        <w:gridCol w:w="23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76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76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0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妇联系统培训经费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7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新疆妇女干部学校</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新疆妇女干部学校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170.78</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89.88%</w:t>
            </w:r>
          </w:p>
        </w:tc>
        <w:tc>
          <w:tcPr>
            <w:tcW w:w="2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5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8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妇女干部培训的各类班次通过理论学习、实地考察与观摩相结合的方式既能体现中央和自治区党委及妇联党组中心工作的会议精神，又能满足各级妇女干部的培训需求。使学员们通过学习培训对习近平新时代中国特色社会主义</w:t>
            </w:r>
            <w:r>
              <w:rPr>
                <w:rFonts w:hint="eastAsia" w:ascii="宋体" w:hAnsi="宋体" w:cs="宋体"/>
                <w:i w:val="0"/>
                <w:iCs w:val="0"/>
                <w:color w:val="000000"/>
                <w:kern w:val="0"/>
                <w:sz w:val="20"/>
                <w:szCs w:val="20"/>
                <w:u w:val="none"/>
                <w:lang w:val="en-US" w:eastAsia="zh-CN" w:bidi="ar"/>
              </w:rPr>
              <w:t>思想</w:t>
            </w:r>
            <w:r>
              <w:rPr>
                <w:rFonts w:hint="eastAsia" w:ascii="宋体" w:hAnsi="宋体" w:eastAsia="宋体" w:cs="宋体"/>
                <w:i w:val="0"/>
                <w:iCs w:val="0"/>
                <w:color w:val="000000"/>
                <w:kern w:val="0"/>
                <w:sz w:val="20"/>
                <w:szCs w:val="20"/>
                <w:u w:val="none"/>
                <w:lang w:val="en-US" w:eastAsia="zh-CN" w:bidi="ar"/>
              </w:rPr>
              <w:t>和党的十九大精神、对马克思主义基本原理、对党章和党性党风党纪、对</w:t>
            </w:r>
            <w:bookmarkStart w:id="55" w:name="_GoBack"/>
            <w:bookmarkEnd w:id="55"/>
            <w:r>
              <w:rPr>
                <w:rFonts w:hint="eastAsia" w:ascii="宋体" w:hAnsi="宋体" w:eastAsia="宋体" w:cs="宋体"/>
                <w:i w:val="0"/>
                <w:iCs w:val="0"/>
                <w:color w:val="000000"/>
                <w:kern w:val="0"/>
                <w:sz w:val="20"/>
                <w:szCs w:val="20"/>
                <w:u w:val="none"/>
                <w:lang w:val="en-US" w:eastAsia="zh-CN" w:bidi="ar"/>
              </w:rPr>
              <w:t>党史国史和新疆“四史”、社会主义核心价值观、对党中央治疆和形势政策、对全面深化妇联改革、对法治理念和法律法规、对妇联业务知识有进一步深入系统的学习，定会增长知识、开拓视野、提高综合素质和专业技能，进而优化她们的工作方式，必定激发妇女干部投身事业的热情，引领和团结更广大的妇女群众带动其它家庭成员听党话、跟党走，做党的好儿女，定能增强基层妇联组织建设的力量，为培养一支政治坚定、切实能担当起维护新疆社会稳定和长治久安的政治责任和历史使命的基层妇女干部队伍和基层妇联组织工作的开展奠定坚实的理论素质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此项目专项资金很有意义，确保了妇女干部培训工作的长期开展。</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根据年初制定的计划基本完成该项目。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8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用于培训使用的LED屏</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培训楼暖气改造</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改造项目按照实际决算审计结算因此产生偏差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培训天数</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77天</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参加培训人次</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=1130人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1265人</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下基层购买笔记本电脑</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购买培训时用的课桌椅</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120套</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实施教学模式创新数量</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=6门</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6门</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组织培训班次数</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涉密设备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26套</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培训合格率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设备质量合格率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培训出勤率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设备验收合格率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设备购置及时率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培训按期完成率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设备购置成本</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=77.1万元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培训楼暖气改造根据竣工决算按实际产生支付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培训总成本</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=112.9万元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由于受疫情影响部分培训未能正常开展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提高培训学员的综合素质和专业技能</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受训学员持证上岗率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设备使用人员满意度</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受训学员满意度</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9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98.57分</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tbl>
      <w:tblPr>
        <w:tblStyle w:val="10"/>
        <w:tblW w:w="1384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905"/>
        <w:gridCol w:w="1416"/>
        <w:gridCol w:w="750"/>
        <w:gridCol w:w="1159"/>
        <w:gridCol w:w="613"/>
        <w:gridCol w:w="1273"/>
        <w:gridCol w:w="1547"/>
        <w:gridCol w:w="303"/>
        <w:gridCol w:w="897"/>
        <w:gridCol w:w="483"/>
        <w:gridCol w:w="554"/>
        <w:gridCol w:w="602"/>
        <w:gridCol w:w="24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46"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46"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03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8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17.00</w:t>
            </w:r>
          </w:p>
        </w:tc>
        <w:tc>
          <w:tcPr>
            <w:tcW w:w="1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1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8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11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对广大少年儿童开展校外服务与培训、提供校外活动场所。</w:t>
            </w:r>
          </w:p>
        </w:tc>
        <w:tc>
          <w:tcPr>
            <w:tcW w:w="682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在疫情防控的严格管理下，克服困难积积极落实“双减”政策，开展切实有效的艺术培训，提高少年儿童的思想道德素质和美育素质。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2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5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2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组织培训班次</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培训受益人数</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&gt;=300人次</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360人次</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开设课程数量</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&gt;=10个</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12个</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培训人员参与率</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因各种原因留生率未达到100%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培训班次按期完成率</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5.16</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受疫情影响中断2年课程，在11月开课，虽未能准时开课，但是也在年度内完成了教学计划。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培训活动公用费用支出</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&lt;=2.4万元</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培训班课时费成本</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&lt;=9万元</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老师代课费按人数发放，按绩效支出，避免了出工不出力，节约了成本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培训班材料费支出</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&lt;=3.6万元</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课程改进，培训材料购买更合理。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各族儿童综合素质得到提升</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因各种原因留生率未达到100%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儿童艺术修养的可持续影响时间</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&gt;=2年</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2年</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因各种原因留生率未达到100%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家长满意度</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因各种原因留生率未达到100%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2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参加培训少年儿童满意度</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因各种原因留生率未达到100%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6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98.56分</w:t>
            </w:r>
          </w:p>
        </w:tc>
        <w:tc>
          <w:tcPr>
            <w:tcW w:w="3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tbl>
      <w:tblPr>
        <w:tblStyle w:val="10"/>
        <w:tblW w:w="1382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4"/>
        <w:gridCol w:w="1172"/>
        <w:gridCol w:w="1222"/>
        <w:gridCol w:w="581"/>
        <w:gridCol w:w="1496"/>
        <w:gridCol w:w="1151"/>
        <w:gridCol w:w="1242"/>
        <w:gridCol w:w="1030"/>
        <w:gridCol w:w="249"/>
        <w:gridCol w:w="628"/>
        <w:gridCol w:w="665"/>
        <w:gridCol w:w="423"/>
        <w:gridCol w:w="713"/>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儿童发展中心专项业务经费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6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2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0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6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中心成立至今积极与中国儿童中心、中央彩票公益金办公室、全国妇联家庭和儿童工作部合作开展了多项项目活动。专项业务费主要用于项目前期申报、项目人员培训费、项目监测评估、单位日常办公费等,保证单位项目活动正常进行,为单位运行提供后勤保障保障,计划1-12月份完成各类项目计划,达到项目经费使用效率最大化。</w:t>
            </w:r>
          </w:p>
        </w:tc>
        <w:tc>
          <w:tcPr>
            <w:tcW w:w="6107"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专项业务费主要用于项目前期申报、项目人员培训费、项目监测评估、单位日常办公费等,保证单位项目活动正常进行,为单位运行提供后勤保障保障,计划1-12月份完成各类项目计划,达到项目经费使用效率最大化。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22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8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1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调研、考察次数</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实地考察调研缩减，更多使用网上调查问卷，了解情况后生成调研报告。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项目管理人员参与培训次数</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受疫情影响，外出培训次数减少，改为参加线上项目培训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儿童发展中心缴纳水电费面积</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出具调研考察报告数量</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diaoyanba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开展项目活动数量</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&gt;=2个</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项目管理人员培训参与率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调研、考察按期完成率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虽然完成考察，但调研、考察形式改变，所以有所偏差。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各项项目活动按时完成率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受局部疫情的影响，活动按月完成产生了偏差，但全年完成了的目标。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儿童发展中心水电费缴纳及时率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保障儿童发展中心运转费用</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&lt;=8.4万元</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9.1万元</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3.68</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由于活动范围变化，致使经费使用用途产生了轻微变化。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外出调研费用</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&lt;=4.6万元</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3.9万元</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受疫情影响，外出调研次数减少，改为线上问卷调查，节约资金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提升少年儿童参与校外培训的积极性</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显著提升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参与少年儿童主题教育活动所获得知识还有提高的空间。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确保中心工作可持续影响时间</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&gt;=5年</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5年</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少年儿童满意度</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95%</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受疫情影响，本年外出培训机会减少，网络学习效果欠佳。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98.58分</w:t>
            </w:r>
          </w:p>
        </w:tc>
        <w:tc>
          <w:tcPr>
            <w:tcW w:w="3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tbl>
      <w:tblPr>
        <w:tblStyle w:val="10"/>
        <w:tblpPr w:leftFromText="180" w:rightFromText="180" w:vertAnchor="text" w:horzAnchor="page" w:tblpX="1556" w:tblpY="136"/>
        <w:tblOverlap w:val="never"/>
        <w:tblW w:w="138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5"/>
        <w:gridCol w:w="785"/>
        <w:gridCol w:w="1200"/>
        <w:gridCol w:w="918"/>
        <w:gridCol w:w="2022"/>
        <w:gridCol w:w="708"/>
        <w:gridCol w:w="1353"/>
        <w:gridCol w:w="1424"/>
        <w:gridCol w:w="902"/>
        <w:gridCol w:w="267"/>
        <w:gridCol w:w="954"/>
        <w:gridCol w:w="143"/>
        <w:gridCol w:w="23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56"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3856"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8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妇联系统培训费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2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新疆维吾尔自治区儿童发展中心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5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2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2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2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2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儿童发展中心结合自治区妇联中心工作和全国“双有”主题教育活动的要求，以科学普及、加强民族团结教育、注重家庭教育为切入点，面向全社会策划实施了第十六届“爱在新疆”——“我的美好家园”主题教育活动、新疆儿童庆“六一”活动以及绘画大赛等活动。</w:t>
            </w:r>
          </w:p>
        </w:tc>
        <w:tc>
          <w:tcPr>
            <w:tcW w:w="608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儿童发展中心结合自治区妇联中心工作和全国“双有”主题教育活动的要求，以科学普及、加强民族团结教育、注重家庭教育为切入点，面向全社会策划实施了第十六届“爱在新疆”——“我的美好家园”主题教育活动、新疆儿童庆“六一”活动以及绘画大赛等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6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4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举办“爱在新疆”主题教育活动次数</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&gt;=3个</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活动惠及少年儿童参与数</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&gt;=2000人</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2200人</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主题教育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“爱在新疆”主题教育活动少年儿童参与率</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“爱在新疆”主题教育活动按时完成率</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活动组织单元成本</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31万元</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8.55</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项目网上评估，节省的成本，由于开展主题教育活动。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项目评估单元成本</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&lt;=8万元</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项目开展网上评估，节省的成本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各族儿童爱国感恩情怀的提升</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项目督导、评估可持续影响时间</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&gt;=2年</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2年</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参与活动儿童满意度</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64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家长满意度</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99.55分</w:t>
            </w:r>
          </w:p>
        </w:tc>
        <w:tc>
          <w:tcPr>
            <w:tcW w:w="25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rPr>
          <w:rFonts w:ascii="仿宋_GB2312" w:eastAsia="仿宋_GB2312"/>
          <w:sz w:val="32"/>
          <w:szCs w:val="32"/>
        </w:rPr>
      </w:pPr>
    </w:p>
    <w:p>
      <w:pPr>
        <w:ind w:firstLine="640" w:firstLineChars="200"/>
        <w:jc w:val="center"/>
        <w:outlineLvl w:val="0"/>
        <w:rPr>
          <w:rFonts w:hint="eastAsia" w:ascii="黑体" w:hAnsi="黑体" w:eastAsia="黑体"/>
          <w:sz w:val="32"/>
          <w:szCs w:val="32"/>
        </w:rPr>
      </w:pPr>
      <w:bookmarkStart w:id="35" w:name="_Toc24143"/>
      <w:bookmarkStart w:id="36" w:name="_Toc3250"/>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88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3"/>
        <w:gridCol w:w="874"/>
        <w:gridCol w:w="1511"/>
        <w:gridCol w:w="418"/>
        <w:gridCol w:w="1619"/>
        <w:gridCol w:w="639"/>
        <w:gridCol w:w="1614"/>
        <w:gridCol w:w="1158"/>
        <w:gridCol w:w="272"/>
        <w:gridCol w:w="981"/>
        <w:gridCol w:w="353"/>
        <w:gridCol w:w="953"/>
        <w:gridCol w:w="174"/>
        <w:gridCol w:w="2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14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8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新疆妇女杂志社《伴侣》编辑部</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新疆妇女杂志社《伴侣》编辑部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64.45</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85.93%</w:t>
            </w:r>
          </w:p>
        </w:tc>
        <w:tc>
          <w:tcPr>
            <w:tcW w:w="2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6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通过向社会大众销售杂志，用现代文化宣传和引领基层妇女，提高各族妇女的综合素质，积极投身社会生产生活中，充分发挥妇女半边天作用；充分发挥杂志舆论宣传优势，守护好意识形态领域阵地。刊物坚持正确的舆论导向，以先进文化为引领，大力弘扬主旋律，倡导科学健康文明生活，成为引导广大家庭和各族妇女向上向好、至善至美，勇于创业追梦、创造美好生活的重要舆论阵地。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同时必须通过取得一定经济收入，弥补财政拨款严重不足的状况，保障正常出刊所需支出，才能保证按时完成党委和妇联安排的宣传任务。         </w:t>
            </w:r>
          </w:p>
        </w:tc>
        <w:tc>
          <w:tcPr>
            <w:tcW w:w="634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截止2021年底，本项目共支付资金64.45万元，主要用于支付单位运转保障。支付职工社保、医疗、公积金财政拨款不足部分；支付单位公用经费支出；支付在职及退休人员各类奖金和办公设备采购。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《伴侣》杂志每期发布宣传稿件数</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&gt;=44篇</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47篇</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《伴侣》杂志出刊期数</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&gt;=12期</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12期</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发放工资社保人数</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&gt;=9人</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9人</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每期赠阅《伴侣》杂志数量</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&gt;=14000册</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12100册</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读者征订（订阅)数量下降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每期发布的公众号消息数量</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&gt;=105条</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117条</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《伴侣》杂志设置栏目数</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&gt;=22</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杂志编校质量差错率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&lt;=0.001%</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0.0008%</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杂志验收合格率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《伴侣》杂志印刷按期完成率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《伴侣》杂志邮寄及时率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《伴侣》杂志印刷费</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&lt;=38.28万元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32.46万元</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印刷数量减少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发放工资社保费用</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&lt;=27.48万元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22.89万元</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拟调入人员未成功进入单位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年度公用经费支出</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&lt;=9.24万元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9.10万元</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公众号订阅人数</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提高各族妇女的综合素质</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基层妇女满意度</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7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0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97.09分</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93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8"/>
        <w:gridCol w:w="104"/>
        <w:gridCol w:w="821"/>
        <w:gridCol w:w="151"/>
        <w:gridCol w:w="1070"/>
        <w:gridCol w:w="350"/>
        <w:gridCol w:w="297"/>
        <w:gridCol w:w="227"/>
        <w:gridCol w:w="905"/>
        <w:gridCol w:w="487"/>
        <w:gridCol w:w="495"/>
        <w:gridCol w:w="72"/>
        <w:gridCol w:w="1436"/>
        <w:gridCol w:w="21"/>
        <w:gridCol w:w="1391"/>
        <w:gridCol w:w="160"/>
        <w:gridCol w:w="95"/>
        <w:gridCol w:w="1221"/>
        <w:gridCol w:w="23"/>
        <w:gridCol w:w="41"/>
        <w:gridCol w:w="50"/>
        <w:gridCol w:w="948"/>
        <w:gridCol w:w="138"/>
        <w:gridCol w:w="12"/>
        <w:gridCol w:w="40"/>
        <w:gridCol w:w="2433"/>
        <w:gridCol w:w="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8" w:hRule="atLeast"/>
        </w:trPr>
        <w:tc>
          <w:tcPr>
            <w:tcW w:w="13856" w:type="dxa"/>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13856" w:type="dxa"/>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17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063"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17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9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新疆妇女杂志社《伴侣》编辑部</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0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新疆妇女杂志社《伴侣》编辑部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80" w:hRule="atLeast"/>
        </w:trPr>
        <w:tc>
          <w:tcPr>
            <w:tcW w:w="179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39" w:hRule="atLeast"/>
        </w:trPr>
        <w:tc>
          <w:tcPr>
            <w:tcW w:w="17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2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3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39" w:hRule="atLeast"/>
        </w:trPr>
        <w:tc>
          <w:tcPr>
            <w:tcW w:w="17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39" w:hRule="atLeast"/>
        </w:trPr>
        <w:tc>
          <w:tcPr>
            <w:tcW w:w="17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39" w:hRule="atLeast"/>
        </w:trPr>
        <w:tc>
          <w:tcPr>
            <w:tcW w:w="17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6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41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5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54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15" w:type="dxa"/>
            <w:gridSpan w:val="1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向基层赠阅杂志，用现代文化宣传和引领基层妇女，提高各族妇女的综合素质，积极投身社会生产生活中，充分发挥妇女半边天作用；充分发挥杂志舆论宣传优势，守护好意识形态领域阵地。刊物坚持正确的舆论导向，以先进文化为引领，大力弘扬主旋律，倡导科学健康文明生活，成为引导广大家庭和各族妇女向上向好、至善至美，勇于创业追梦、创造美好生活的重要舆论阵地。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w:t>
            </w:r>
          </w:p>
        </w:tc>
        <w:tc>
          <w:tcPr>
            <w:tcW w:w="6573" w:type="dxa"/>
            <w:gridSpan w:val="1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截至2021年12月底，共向基层妇女之家赠阅《伴侣》 杂志近8万册，有力助推妇女综合素质提升和乡村振兴。通过向基层赠阅杂志，用现代文化宣传和引领基层妇女，提高各族妇女的综合素质，积极投身社会生产生活中，充分发挥妇女半边天作用；充分发挥杂志舆论宣传优势，守护好意识形态领域阵地。刊物坚持正确的舆论导向，以先进文化为引领，大力弘扬主旋律，倡导科学健康文明生活，成为引导广大家庭和各族妇女向上向好、至善至美，勇于创业追梦、创造美好生活的重要舆论阵地。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33"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66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0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33"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《伴侣》杂志每期发布宣传稿件数</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&gt;=44篇</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47篇 </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每期赠阅《伴侣》杂志数量</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&gt;=7500册</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7500册</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每期发布的公众号消息数量</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&gt;=105条</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117条</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《伴侣》杂志出刊期数</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&gt;=12</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《伴侣》杂志设置栏目数</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&gt;=22</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杂志编校质量差错率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&lt;=0.001%</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0.0008%</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杂志验收合格率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&gt;=99.5%</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《伴侣》杂志邮寄及时率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《伴侣》杂志印刷按期完成率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《伴侣》杂志印刷费</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&lt;=21.6万元</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《伴侣》杂志稿费</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&lt;=5.8万元</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《伴侣》杂志邮寄费</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&lt;=12.6万元</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提高各族妇女的综合素质</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公众号订阅人数</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&gt;=3600</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4100人</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基层妇女组织满意度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2"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3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基层妇女满意度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6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288" w:hRule="atLeast"/>
        </w:trPr>
        <w:tc>
          <w:tcPr>
            <w:tcW w:w="8950"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4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931"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931" w:type="dxa"/>
            <w:gridSpan w:val="2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987"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成本性支出1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6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3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4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4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w:t>
            </w:r>
          </w:p>
        </w:tc>
        <w:tc>
          <w:tcPr>
            <w:tcW w:w="2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100.16</w:t>
            </w:r>
          </w:p>
        </w:tc>
        <w:tc>
          <w:tcPr>
            <w:tcW w:w="14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91.05%</w:t>
            </w:r>
          </w:p>
        </w:tc>
        <w:tc>
          <w:tcPr>
            <w:tcW w:w="2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3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62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32" w:type="dxa"/>
            <w:gridSpan w:val="1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1.通过发行《新疆妇女》，用现代文化宣传和引领基层妇女，提高各族妇女的综合素质，积极投身社会生产生活中，充分发挥妇女半边天作用；充分发挥杂志舆论宣传优势，守护好意识形态领域阵地。                                                                                                                                                                                                                                          2.刊物坚持正确的舆论导向，以先进文化为引领，大力弘扬主旋律，倡导科学健康文明生活，成为引导广大家庭和各族妇女向上向好、至善至美，勇于创业追梦、创造美好生活的重要舆论阵地。                                                                                                                                                                                                                                                                        3.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                                                                                                                                                                              4.通过事业收入保障本部门（差额单位）日常工作中的成本和费用。主要用于弥补工资福利支出、商品和服务支出的不足。</w:t>
            </w:r>
          </w:p>
        </w:tc>
        <w:tc>
          <w:tcPr>
            <w:tcW w:w="6627" w:type="dxa"/>
            <w:gridSpan w:val="1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截至2021年12月底，本项目共支付资金100.16万元。资金主要用于保障支出，支付在职人员社保、医疗、公积金等不足部分，公用经费支出以及在职及退休人员各类奖金等费用。《新疆妇女》杂志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11"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2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5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38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98"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1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98"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每期发行《新疆妇女》杂志数量</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&gt;=7000册</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8260</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《新疆妇女》杂志每期发布宣传稿件数</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&gt;=24篇</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29篇</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发放工资社保人数</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=12人</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12人</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每期发布的公众号消息数量</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&gt;=50条</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57条</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杂志验收合格率</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7"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编校质量差错率</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&lt;=0.1‰</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0.0.8‰</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《新疆妇女》杂志印刷按期完成率</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《新疆妇女》杂志邮寄及时率</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95%</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全年商品服务支出成本</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&lt;=32.69万元</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30.51</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商品和服务对象价格标准发生变动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全年工资福利支出成本</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&lt;=44.55万元</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38.46</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拟调入人员未调入单位，预算已安排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全年印刷费成本</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&lt;=32.76万元</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31.19</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印刷成本发生变化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提高各族妇女的综合素质</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公众号累计订阅人数</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&gt;=7500人</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8760</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基层妇女满意度</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95%</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11"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15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95%</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85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99.11分</w:t>
            </w:r>
          </w:p>
        </w:tc>
        <w:tc>
          <w:tcPr>
            <w:tcW w:w="2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8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1"/>
        <w:gridCol w:w="1222"/>
        <w:gridCol w:w="1019"/>
        <w:gridCol w:w="1136"/>
        <w:gridCol w:w="1455"/>
        <w:gridCol w:w="722"/>
        <w:gridCol w:w="1933"/>
        <w:gridCol w:w="1009"/>
        <w:gridCol w:w="425"/>
        <w:gridCol w:w="619"/>
        <w:gridCol w:w="305"/>
        <w:gridCol w:w="835"/>
        <w:gridCol w:w="396"/>
        <w:gridCol w:w="1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381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1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5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7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9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9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58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87"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发行《新疆妇女》和《伴侣》两本杂志，用现代文化宣传和引领基层妇女，提高各族妇女的综合素质，积极投身社会生产生活中，充分发挥妇女半边天作用，充分发挥杂志舆论宣传优势，守护好意识形态领域阵地。                                                                                                                                                                                                                      2.两本刊物坚持正确的舆论导向，以先进文化为引领，大力弘扬主旋律，倡导科学健康文明生活，成为引导广大家庭和各族妇女向上向好、至善至美，勇于创业追梦、创造美好生活的重要舆论阵地。                                                                                                                                                                                                                                                       3.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w:t>
            </w:r>
          </w:p>
        </w:tc>
        <w:tc>
          <w:tcPr>
            <w:tcW w:w="5586"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截至2021年12月底，共支付印刷费补贴资金14万元，有力缓解了《新疆妇女》《伴侣》两本杂志印刷费资金不足的困难。两本杂志用现代文化宣传和引领基层妇女，提高各族妇女的综合素质，积极投身社会生产生活中，充分发挥妇女半边天作用，充分发挥了杂志舆论宣传优势，担当起了守护好意识形态领域阵地的职责。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31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4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3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《新疆妇女》杂志每期出版印刷数</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&gt;=1500册</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1500册</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《伴侣》每期杂志稿件使用数</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&gt;=44篇</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44篇</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《新疆妇女》每期杂志稿件使用数</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&gt;=24篇</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29篇</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《伴侣》杂志每期出版印刷数</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&gt;=2200册</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2200册</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编校质量差错率</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&lt;=0.1‰</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杂志验收合格率</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&gt;=99.5%</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《新疆妇女》杂志印刷按期完成率</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《伴侣》杂志印刷按期完成率</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《新疆妇女》杂志印刷费成本</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&lt;=7万元</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《伴侣》杂志印刷费成本</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&lt;=7万元</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公众号累计订阅人数</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&gt;=7500人</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8760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提高各族妇女的综合素质</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31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基层妇女满意度</w:t>
            </w:r>
          </w:p>
        </w:tc>
        <w:tc>
          <w:tcPr>
            <w:tcW w:w="1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66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8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5"/>
        <w:gridCol w:w="826"/>
        <w:gridCol w:w="1352"/>
        <w:gridCol w:w="707"/>
        <w:gridCol w:w="1741"/>
        <w:gridCol w:w="679"/>
        <w:gridCol w:w="1588"/>
        <w:gridCol w:w="1340"/>
        <w:gridCol w:w="158"/>
        <w:gridCol w:w="1072"/>
        <w:gridCol w:w="38"/>
        <w:gridCol w:w="1035"/>
        <w:gridCol w:w="82"/>
        <w:gridCol w:w="2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6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6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1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06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《新疆妇女》编辑部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6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6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6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6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9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4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93"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1.通过向基层赠阅杂志，用现代文化宣传和引领基层妇女，提高各族妇女的综合素质，积极投身社会生产生活中，充分发挥妇女半边天作用，充分发挥杂志舆论宣传优势，守护好意识形态领域阵地。                                                                                                                                                                                                                                                                                                                                                2.刊物坚持正确的舆论导向，以先进文化为引领，大力弘扬主旋律，倡导科学健康文明生活，成为引导广大家庭和各族妇女向上向好、至善至美，勇于创业追梦、创造美好生活的重要舆论阵地。                                                                                                                                                                                                                                                       3.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w:t>
            </w:r>
          </w:p>
        </w:tc>
        <w:tc>
          <w:tcPr>
            <w:tcW w:w="6149"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2021年底，共向基层“妇女之家”赠送杂志8.2万册，有力助推妇女群众综合素质提升和乡村振兴。1.通过向基层赠阅杂志，用现代文化宣传和引领基层妇女，提高各族妇女的综合素质，积极投身社会生产生活中，充分发挥妇女半边天作用，充分发挥杂志舆论宣传优势，守护好意识形态领域阵地。                                                                                                                                                                                                                                                                                                                                                2.刊物坚持正确的舆论导向，以先进文化为引领，大力弘扬主旋律，倡导科学健康文明生活，成为引导广大家庭和各族妇女向上向好、至善至美，勇于创业追梦、创造美好生活的重要舆论阵地。                                                                                                                                                                                                                                                       3.引领各族妇女崇尚先进文化、积极投身创业就业，引领各族妇女牢固树立“四个意识”、坚定“四个自信”、做到“两个维护”，引领各族妇女感党恩听党话跟党走，以实际行动维护祖国统一和民族团结，为实现新疆社会稳定和长治久安总目标贡献巾帼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12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4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每期发布的公众号消息数量</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&gt;=50条</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57条</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《新疆妇女》杂志每期发布宣传稿件数</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&gt;=24篇</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29篇</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每期赠阅《新疆妇女》杂志数量</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&gt;=6800册</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6860册</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杂志验收合格率</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&gt;=99.5%</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编校质量差错率</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&lt;=0.1‰</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0.08%</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《新疆妇女》杂志邮寄及时率</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《新疆妇女》杂志印刷按期完成率</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《新疆妇女》邮寄费成本</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&lt;=15.13万元</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15.13万元</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《新疆妇女》稿费成本</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&lt;=9.58万元</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9.58万元</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《新疆妇女》印刷费成本</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&lt;=35.29万元</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35.29万元</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提高各族妇女的综合素质</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公众号累计订阅人数</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&gt;=7500人</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8760</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基层妇女满意度</w:t>
            </w:r>
          </w:p>
        </w:tc>
        <w:tc>
          <w:tcPr>
            <w:tcW w:w="1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2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tbl>
      <w:tblPr>
        <w:tblStyle w:val="10"/>
        <w:tblW w:w="138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3"/>
        <w:gridCol w:w="1248"/>
        <w:gridCol w:w="1189"/>
        <w:gridCol w:w="701"/>
        <w:gridCol w:w="1326"/>
        <w:gridCol w:w="690"/>
        <w:gridCol w:w="1552"/>
        <w:gridCol w:w="1211"/>
        <w:gridCol w:w="219"/>
        <w:gridCol w:w="959"/>
        <w:gridCol w:w="351"/>
        <w:gridCol w:w="956"/>
        <w:gridCol w:w="175"/>
        <w:gridCol w:w="24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7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7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7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复明流动眼科手术车工作经费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新疆维吾尔自治区妇女儿童公益项目管理中心</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新疆维吾尔自治区妇女儿童公益项目管理中心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2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2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1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7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70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用该项目资金可以保障车辆正常运行，为伊犁、喀什地区困难群众完成3000例减免费眼科手术,帮助困难群众走出困境，让他们跟上当前的发展步伐，提高提升他们的健康水平和生活质量，让他们也能参加到建设新疆美好明天的实践中来，为新疆的长治久安做出贡献。项目实施以送健康理念、送健康知识、送健康服务为宗旨，帮助贫困地区的妇女与非白内障疾病，争取早发现、早治疗，提高贫困妇女的健康水平。</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复明“20”、“23”号手术车为伊犁州、喀什地区偏远地区的白内障患者提供了免费筛查和眼科保健知识的宣传，共完成减免手术3152例，手术成功率99%，患者满意度100%.项目的实施使受助人及其家庭的生活水平得到了明显改善，在一定程度上减轻了患者家庭的经济压力。项目管理中心对项目执行督导检查覆盖率100%，有效地推进项目活动的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1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1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业务监督、指导次数</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手术覆盖地区</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&gt;=2个</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享受减免眼科手术人数</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&gt;=3000人次</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3152</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手术车运行数量</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=2辆</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主题宣传内容互动数</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复明流动眼科手术车正常运转率</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眼科手术成功率</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督导结果运用</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复明流动眼科手术车工作按期完成率</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眼科手术配套工作经费</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=2000元/人</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改善受助人群生活</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减轻患者家庭经济压力</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有效减轻</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接受治疗患者满意度</w:t>
            </w:r>
          </w:p>
        </w:tc>
        <w:tc>
          <w:tcPr>
            <w:tcW w:w="1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6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96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4"/>
        <w:gridCol w:w="784"/>
        <w:gridCol w:w="1276"/>
        <w:gridCol w:w="1162"/>
        <w:gridCol w:w="1496"/>
        <w:gridCol w:w="914"/>
        <w:gridCol w:w="1366"/>
        <w:gridCol w:w="1158"/>
        <w:gridCol w:w="255"/>
        <w:gridCol w:w="870"/>
        <w:gridCol w:w="301"/>
        <w:gridCol w:w="1097"/>
        <w:gridCol w:w="153"/>
        <w:gridCol w:w="23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96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1396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9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项目管理经费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2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新疆维吾尔自治区妇女儿童公益项目管理中心</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新疆维吾尔自治区妇女儿童公益项目管理中心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9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新疆妇女儿童公益项目管理中心运用专项业务费项目经费进行项目前期申报、项目人员培训费、项目监测评估、单位日常办公费等,保证单位项目活动正常进行,为单位运行提供后勤保障保障。使得管理中心正常的工作得到有序开展，更在一定程度上加速了对承接项目的有效落实、监测评估和持续争取。</w:t>
            </w:r>
          </w:p>
        </w:tc>
        <w:tc>
          <w:tcPr>
            <w:tcW w:w="6181"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通过实施该项目单位项目活动正常推进。加强了项目督导，是项目执行更加精准。同时为单位运行提供后勤保障。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57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1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5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7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5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公务保障用车数量</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=1辆</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1辆</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发放外聘人员劳务费次数</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新增设备数量</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&gt;=2台</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妇女儿童公益项目管理中心缴纳水电费面积</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发放外聘人员劳务费人数</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设备购置验收通过率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设备质量合格率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发放外聘人员劳务费及时性.</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设备采购及时率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公用经费支付及时性</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发放外聘人员劳务费</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&lt;=4.8万元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2021年补发上一年度末劳务费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设备购置费用</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&lt;=1.7万元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公用经费支出</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&lt;=8.5万元</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3.56</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政府采购节支率(％)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&gt;=0.1%</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2021年政府采购</w:t>
            </w:r>
            <w:r>
              <w:rPr>
                <w:rFonts w:hint="eastAsia" w:ascii="宋体" w:hAnsi="宋体" w:cs="宋体"/>
                <w:i w:val="0"/>
                <w:iCs w:val="0"/>
                <w:color w:val="000000"/>
                <w:kern w:val="0"/>
                <w:sz w:val="20"/>
                <w:szCs w:val="20"/>
                <w:u w:val="none"/>
                <w:lang w:val="en-US" w:eastAsia="zh-CN" w:bidi="ar"/>
              </w:rPr>
              <w:t>中车辆保险支出数较预算数的节支率为2.22%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保障管理中心正常的工作得到有序开展</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设备使用人员满意度</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9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99.60分</w:t>
            </w:r>
          </w:p>
        </w:tc>
        <w:tc>
          <w:tcPr>
            <w:tcW w:w="23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sectPr>
          <w:pgSz w:w="16838" w:h="11906" w:orient="landscape"/>
          <w:pgMar w:top="1803" w:right="1440" w:bottom="1803" w:left="1440" w:header="851" w:footer="992" w:gutter="0"/>
          <w:cols w:space="0" w:num="1"/>
          <w:rtlGutter w:val="0"/>
          <w:docGrid w:type="lines" w:linePitch="319" w:charSpace="0"/>
        </w:sect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5"/>
      <w:bookmarkEnd w:id="36"/>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7" w:name="_Toc28903"/>
      <w:bookmarkStart w:id="38"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7"/>
      <w:bookmarkEnd w:id="38"/>
    </w:p>
    <w:p>
      <w:pPr>
        <w:ind w:firstLine="640" w:firstLineChars="200"/>
        <w:outlineLvl w:val="1"/>
        <w:rPr>
          <w:rFonts w:ascii="黑体" w:hAnsi="黑体" w:eastAsia="黑体" w:cs="宋体"/>
          <w:bCs/>
          <w:kern w:val="0"/>
          <w:sz w:val="32"/>
          <w:szCs w:val="32"/>
        </w:rPr>
      </w:pPr>
      <w:bookmarkStart w:id="39" w:name="_Toc2183"/>
      <w:bookmarkStart w:id="40" w:name="_Toc6062"/>
      <w:r>
        <w:rPr>
          <w:rFonts w:hint="eastAsia" w:ascii="黑体" w:hAnsi="黑体" w:eastAsia="黑体" w:cs="宋体"/>
          <w:bCs/>
          <w:kern w:val="0"/>
          <w:sz w:val="32"/>
          <w:szCs w:val="32"/>
        </w:rPr>
        <w:t>一、《收入支出决算总表》</w:t>
      </w:r>
      <w:bookmarkEnd w:id="39"/>
      <w:bookmarkEnd w:id="40"/>
    </w:p>
    <w:p>
      <w:pPr>
        <w:ind w:firstLine="640" w:firstLineChars="200"/>
        <w:outlineLvl w:val="1"/>
        <w:rPr>
          <w:rFonts w:ascii="黑体" w:hAnsi="黑体" w:eastAsia="黑体" w:cs="宋体"/>
          <w:bCs/>
          <w:kern w:val="0"/>
          <w:sz w:val="32"/>
          <w:szCs w:val="32"/>
        </w:rPr>
      </w:pPr>
      <w:bookmarkStart w:id="41" w:name="_Toc24532"/>
      <w:bookmarkStart w:id="42" w:name="_Toc30364"/>
      <w:r>
        <w:rPr>
          <w:rFonts w:hint="eastAsia" w:ascii="黑体" w:hAnsi="黑体" w:eastAsia="黑体" w:cs="宋体"/>
          <w:bCs/>
          <w:kern w:val="0"/>
          <w:sz w:val="32"/>
          <w:szCs w:val="32"/>
        </w:rPr>
        <w:t>二、《收入决算表》</w:t>
      </w:r>
      <w:bookmarkEnd w:id="41"/>
      <w:bookmarkEnd w:id="42"/>
    </w:p>
    <w:p>
      <w:pPr>
        <w:ind w:firstLine="640" w:firstLineChars="200"/>
        <w:outlineLvl w:val="1"/>
        <w:rPr>
          <w:rFonts w:ascii="黑体" w:hAnsi="黑体" w:eastAsia="黑体" w:cs="宋体"/>
          <w:bCs/>
          <w:kern w:val="0"/>
          <w:sz w:val="32"/>
          <w:szCs w:val="32"/>
        </w:rPr>
      </w:pPr>
      <w:bookmarkStart w:id="43" w:name="_Toc21304"/>
      <w:bookmarkStart w:id="44" w:name="_Toc32434"/>
      <w:r>
        <w:rPr>
          <w:rFonts w:hint="eastAsia" w:ascii="黑体" w:hAnsi="黑体" w:eastAsia="黑体" w:cs="宋体"/>
          <w:bCs/>
          <w:kern w:val="0"/>
          <w:sz w:val="32"/>
          <w:szCs w:val="32"/>
        </w:rPr>
        <w:t>三、《支出决算表》</w:t>
      </w:r>
      <w:bookmarkEnd w:id="43"/>
      <w:bookmarkEnd w:id="44"/>
    </w:p>
    <w:p>
      <w:pPr>
        <w:ind w:firstLine="640" w:firstLineChars="200"/>
        <w:outlineLvl w:val="1"/>
        <w:rPr>
          <w:rFonts w:ascii="黑体" w:hAnsi="黑体" w:eastAsia="黑体" w:cs="宋体"/>
          <w:bCs/>
          <w:kern w:val="0"/>
          <w:sz w:val="32"/>
          <w:szCs w:val="32"/>
        </w:rPr>
      </w:pPr>
      <w:bookmarkStart w:id="45" w:name="_Toc14238"/>
      <w:bookmarkStart w:id="46" w:name="_Toc28786"/>
      <w:r>
        <w:rPr>
          <w:rFonts w:hint="eastAsia" w:ascii="黑体" w:hAnsi="黑体" w:eastAsia="黑体" w:cs="宋体"/>
          <w:bCs/>
          <w:kern w:val="0"/>
          <w:sz w:val="32"/>
          <w:szCs w:val="32"/>
        </w:rPr>
        <w:t>四、《财政拨款收入支出决算总表》</w:t>
      </w:r>
      <w:bookmarkEnd w:id="45"/>
      <w:bookmarkEnd w:id="46"/>
    </w:p>
    <w:p>
      <w:pPr>
        <w:ind w:firstLine="640" w:firstLineChars="200"/>
        <w:outlineLvl w:val="1"/>
        <w:rPr>
          <w:rFonts w:ascii="黑体" w:hAnsi="黑体" w:eastAsia="黑体" w:cs="宋体"/>
          <w:bCs/>
          <w:kern w:val="0"/>
          <w:sz w:val="32"/>
          <w:szCs w:val="32"/>
        </w:rPr>
      </w:pPr>
      <w:bookmarkStart w:id="47" w:name="_Toc14869"/>
      <w:bookmarkStart w:id="48" w:name="_Toc10347"/>
      <w:r>
        <w:rPr>
          <w:rFonts w:hint="eastAsia" w:ascii="黑体" w:hAnsi="黑体" w:eastAsia="黑体" w:cs="宋体"/>
          <w:bCs/>
          <w:kern w:val="0"/>
          <w:sz w:val="32"/>
          <w:szCs w:val="32"/>
        </w:rPr>
        <w:t>五、《一般公共预算财政拨款支出决算表》</w:t>
      </w:r>
      <w:bookmarkEnd w:id="47"/>
      <w:bookmarkEnd w:id="48"/>
    </w:p>
    <w:p>
      <w:pPr>
        <w:ind w:firstLine="640" w:firstLineChars="200"/>
        <w:outlineLvl w:val="1"/>
        <w:rPr>
          <w:rFonts w:ascii="黑体" w:hAnsi="黑体" w:eastAsia="黑体" w:cs="宋体"/>
          <w:bCs/>
          <w:kern w:val="0"/>
          <w:sz w:val="32"/>
          <w:szCs w:val="32"/>
        </w:rPr>
      </w:pPr>
      <w:bookmarkStart w:id="49" w:name="_Toc8884"/>
      <w:bookmarkStart w:id="50" w:name="_Toc5626"/>
      <w:r>
        <w:rPr>
          <w:rFonts w:hint="eastAsia" w:ascii="黑体" w:hAnsi="黑体" w:eastAsia="黑体" w:cs="宋体"/>
          <w:bCs/>
          <w:kern w:val="0"/>
          <w:sz w:val="32"/>
          <w:szCs w:val="32"/>
        </w:rPr>
        <w:t>六、《一般公共预算财政拨款基本支出决算表》</w:t>
      </w:r>
      <w:bookmarkEnd w:id="49"/>
      <w:bookmarkEnd w:id="50"/>
    </w:p>
    <w:p>
      <w:pPr>
        <w:ind w:firstLine="640" w:firstLineChars="200"/>
        <w:outlineLvl w:val="1"/>
        <w:rPr>
          <w:rFonts w:ascii="黑体" w:hAnsi="黑体" w:eastAsia="黑体" w:cs="宋体"/>
          <w:bCs/>
          <w:kern w:val="0"/>
          <w:sz w:val="32"/>
          <w:szCs w:val="32"/>
        </w:rPr>
      </w:pPr>
      <w:bookmarkStart w:id="51" w:name="_Toc29106"/>
      <w:bookmarkStart w:id="52" w:name="_Toc32663"/>
      <w:r>
        <w:rPr>
          <w:rFonts w:hint="eastAsia" w:ascii="黑体" w:hAnsi="黑体" w:eastAsia="黑体" w:cs="宋体"/>
          <w:bCs/>
          <w:kern w:val="0"/>
          <w:sz w:val="32"/>
          <w:szCs w:val="32"/>
        </w:rPr>
        <w:t>七、《一般公共预算财政拨款“三公”经费支出决算表》</w:t>
      </w:r>
      <w:bookmarkEnd w:id="51"/>
      <w:bookmarkEnd w:id="52"/>
    </w:p>
    <w:p>
      <w:pPr>
        <w:ind w:firstLine="640" w:firstLineChars="200"/>
        <w:outlineLvl w:val="1"/>
        <w:rPr>
          <w:rFonts w:ascii="黑体" w:hAnsi="黑体" w:eastAsia="黑体" w:cs="宋体"/>
          <w:bCs/>
          <w:kern w:val="0"/>
          <w:sz w:val="32"/>
          <w:szCs w:val="32"/>
        </w:rPr>
      </w:pPr>
      <w:bookmarkStart w:id="53" w:name="_Toc7643"/>
      <w:bookmarkStart w:id="54" w:name="_Toc5453"/>
      <w:r>
        <w:rPr>
          <w:rFonts w:hint="eastAsia" w:ascii="黑体" w:hAnsi="黑体" w:eastAsia="黑体" w:cs="宋体"/>
          <w:bCs/>
          <w:kern w:val="0"/>
          <w:sz w:val="32"/>
          <w:szCs w:val="32"/>
        </w:rPr>
        <w:t>八、《政府性基金预算财政拨款收入支出决算表》</w:t>
      </w:r>
      <w:bookmarkEnd w:id="53"/>
      <w:bookmarkEnd w:id="54"/>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N2ViODZjMDY0YjZhOTM0MDRjYjU1OTljMjM5Nj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6F4BFE"/>
    <w:rsid w:val="0AF87F94"/>
    <w:rsid w:val="0B835865"/>
    <w:rsid w:val="0BF6540F"/>
    <w:rsid w:val="0C7227A7"/>
    <w:rsid w:val="0C801B16"/>
    <w:rsid w:val="0D1E33E4"/>
    <w:rsid w:val="0DAA21EE"/>
    <w:rsid w:val="0FA7589A"/>
    <w:rsid w:val="102C6852"/>
    <w:rsid w:val="1081433D"/>
    <w:rsid w:val="12B31D5B"/>
    <w:rsid w:val="12D3520E"/>
    <w:rsid w:val="1396784F"/>
    <w:rsid w:val="13EC0B8A"/>
    <w:rsid w:val="14EB6229"/>
    <w:rsid w:val="155C65A7"/>
    <w:rsid w:val="15E95753"/>
    <w:rsid w:val="16F045F9"/>
    <w:rsid w:val="176E6CF3"/>
    <w:rsid w:val="17C618A3"/>
    <w:rsid w:val="185F4F4D"/>
    <w:rsid w:val="18EE62E8"/>
    <w:rsid w:val="193D4B9E"/>
    <w:rsid w:val="1A9749EB"/>
    <w:rsid w:val="1B4E62E5"/>
    <w:rsid w:val="1C666C77"/>
    <w:rsid w:val="1C8B4975"/>
    <w:rsid w:val="1C98798D"/>
    <w:rsid w:val="1D2D783E"/>
    <w:rsid w:val="1D9D4C68"/>
    <w:rsid w:val="1DAF458D"/>
    <w:rsid w:val="1E150A80"/>
    <w:rsid w:val="1EAA00AC"/>
    <w:rsid w:val="1F67406A"/>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EC264E7"/>
    <w:rsid w:val="3F076061"/>
    <w:rsid w:val="3F6A08C0"/>
    <w:rsid w:val="455E1F7C"/>
    <w:rsid w:val="45897ADA"/>
    <w:rsid w:val="46901EEE"/>
    <w:rsid w:val="469C74D2"/>
    <w:rsid w:val="48A52360"/>
    <w:rsid w:val="4902047E"/>
    <w:rsid w:val="4A7D4485"/>
    <w:rsid w:val="4C2E1A9B"/>
    <w:rsid w:val="4C3D0626"/>
    <w:rsid w:val="4DE45AD9"/>
    <w:rsid w:val="4E11500F"/>
    <w:rsid w:val="4EEF1380"/>
    <w:rsid w:val="4F9D7B44"/>
    <w:rsid w:val="50DB5F45"/>
    <w:rsid w:val="512709C0"/>
    <w:rsid w:val="51DB4252"/>
    <w:rsid w:val="52314E57"/>
    <w:rsid w:val="523358A5"/>
    <w:rsid w:val="53350823"/>
    <w:rsid w:val="54054866"/>
    <w:rsid w:val="54E73BC9"/>
    <w:rsid w:val="54F22EA5"/>
    <w:rsid w:val="55516A31"/>
    <w:rsid w:val="59444B98"/>
    <w:rsid w:val="59996596"/>
    <w:rsid w:val="5A8B468F"/>
    <w:rsid w:val="5AA84C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A7C3F19"/>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59</Pages>
  <Words>23418</Words>
  <Characters>26561</Characters>
  <Lines>59</Lines>
  <Paragraphs>16</Paragraphs>
  <TotalTime>53</TotalTime>
  <ScaleCrop>false</ScaleCrop>
  <LinksUpToDate>false</LinksUpToDate>
  <CharactersWithSpaces>30369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王艳</cp:lastModifiedBy>
  <dcterms:modified xsi:type="dcterms:W3CDTF">2023-05-08T02:02:25Z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3B3B3FC074C04B4FA64AF7A26A5DA3B0</vt:lpwstr>
  </property>
</Properties>
</file>