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04D2" w:rsidRDefault="00B304D2">
      <w:pPr>
        <w:jc w:val="center"/>
        <w:rPr>
          <w:rFonts w:ascii="方正小标宋_GBK" w:eastAsia="方正小标宋_GBK" w:hAnsi="宋体"/>
          <w:sz w:val="44"/>
          <w:szCs w:val="44"/>
        </w:rPr>
      </w:pPr>
      <w:bookmarkStart w:id="0" w:name="_Hlk97806973"/>
    </w:p>
    <w:p w:rsidR="00B304D2" w:rsidRDefault="00B304D2">
      <w:pPr>
        <w:jc w:val="center"/>
        <w:rPr>
          <w:rFonts w:ascii="方正小标宋_GBK" w:eastAsia="方正小标宋_GBK" w:hAnsi="宋体"/>
          <w:sz w:val="44"/>
          <w:szCs w:val="44"/>
        </w:rPr>
      </w:pPr>
    </w:p>
    <w:p w:rsidR="00B304D2" w:rsidRDefault="00B304D2">
      <w:pPr>
        <w:jc w:val="center"/>
        <w:rPr>
          <w:rFonts w:ascii="方正小标宋_GBK" w:eastAsia="方正小标宋_GBK" w:hAnsi="宋体"/>
          <w:sz w:val="44"/>
          <w:szCs w:val="44"/>
        </w:rPr>
      </w:pPr>
    </w:p>
    <w:p w:rsidR="00B304D2" w:rsidRDefault="00B304D2">
      <w:pPr>
        <w:jc w:val="center"/>
        <w:rPr>
          <w:rFonts w:ascii="方正小标宋_GBK" w:eastAsia="方正小标宋_GBK" w:hAnsi="宋体"/>
          <w:sz w:val="44"/>
          <w:szCs w:val="44"/>
        </w:rPr>
      </w:pPr>
    </w:p>
    <w:p w:rsidR="00B304D2" w:rsidRDefault="00647263">
      <w:pPr>
        <w:jc w:val="center"/>
        <w:rPr>
          <w:rFonts w:ascii="方正小标宋_GBK" w:eastAsia="方正小标宋_GBK" w:hAnsi="宋体"/>
          <w:sz w:val="44"/>
          <w:szCs w:val="44"/>
        </w:rPr>
      </w:pPr>
      <w:r>
        <w:rPr>
          <w:rFonts w:ascii="方正小标宋_GBK" w:eastAsia="方正小标宋_GBK" w:hAnsi="宋体" w:hint="eastAsia"/>
          <w:sz w:val="44"/>
          <w:szCs w:val="44"/>
        </w:rPr>
        <w:t>新疆维吾尔自治区建设工程招标投标服务中心2021年度部门决算公开说明</w:t>
      </w:r>
    </w:p>
    <w:p w:rsidR="00B304D2" w:rsidRDefault="00647263">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目录</w:t>
      </w:r>
    </w:p>
    <w:p w:rsidR="00B304D2" w:rsidRDefault="001616C1">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647263">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647263">
          <w:rPr>
            <w:rFonts w:ascii="仿宋_GB2312" w:eastAsia="仿宋_GB2312" w:hAnsi="仿宋_GB2312" w:cs="仿宋_GB2312" w:hint="eastAsia"/>
            <w:b/>
            <w:bCs/>
            <w:sz w:val="32"/>
            <w:szCs w:val="32"/>
          </w:rPr>
          <w:t>第一部分部门单位概况</w:t>
        </w:r>
      </w:hyperlink>
    </w:p>
    <w:p w:rsidR="00B304D2" w:rsidRDefault="001616C1">
      <w:pPr>
        <w:pStyle w:val="2"/>
        <w:tabs>
          <w:tab w:val="right" w:pos="8306"/>
        </w:tabs>
        <w:ind w:leftChars="0" w:left="0"/>
        <w:rPr>
          <w:rFonts w:ascii="仿宋_GB2312" w:eastAsia="仿宋_GB2312" w:hAnsi="仿宋_GB2312" w:cs="仿宋_GB2312"/>
          <w:sz w:val="32"/>
          <w:szCs w:val="32"/>
        </w:rPr>
      </w:pPr>
      <w:hyperlink w:anchor="_Toc30567" w:history="1">
        <w:r w:rsidR="00647263">
          <w:rPr>
            <w:rFonts w:ascii="仿宋_GB2312" w:eastAsia="仿宋_GB2312" w:hAnsi="仿宋_GB2312" w:cs="仿宋_GB2312" w:hint="eastAsia"/>
            <w:bCs/>
            <w:kern w:val="0"/>
            <w:sz w:val="32"/>
            <w:szCs w:val="32"/>
          </w:rPr>
          <w:t>一、主要职能</w:t>
        </w:r>
      </w:hyperlink>
    </w:p>
    <w:p w:rsidR="00B304D2" w:rsidRDefault="001616C1">
      <w:pPr>
        <w:pStyle w:val="2"/>
        <w:tabs>
          <w:tab w:val="right" w:pos="8306"/>
        </w:tabs>
        <w:ind w:leftChars="0" w:left="0"/>
        <w:rPr>
          <w:rFonts w:ascii="仿宋_GB2312" w:eastAsia="仿宋_GB2312" w:hAnsi="仿宋_GB2312" w:cs="仿宋_GB2312"/>
          <w:sz w:val="32"/>
          <w:szCs w:val="32"/>
        </w:rPr>
      </w:pPr>
      <w:hyperlink w:anchor="_Toc2151" w:history="1">
        <w:r w:rsidR="00647263">
          <w:rPr>
            <w:rFonts w:ascii="仿宋_GB2312" w:eastAsia="仿宋_GB2312" w:hAnsi="仿宋_GB2312" w:cs="仿宋_GB2312" w:hint="eastAsia"/>
            <w:bCs/>
            <w:kern w:val="0"/>
            <w:sz w:val="32"/>
            <w:szCs w:val="32"/>
          </w:rPr>
          <w:t>二、机构设置及人员情况</w:t>
        </w:r>
      </w:hyperlink>
    </w:p>
    <w:p w:rsidR="00B304D2" w:rsidRDefault="001616C1">
      <w:pPr>
        <w:pStyle w:val="1"/>
        <w:tabs>
          <w:tab w:val="right" w:pos="8306"/>
        </w:tabs>
        <w:rPr>
          <w:rFonts w:ascii="仿宋_GB2312" w:eastAsia="仿宋_GB2312" w:hAnsi="仿宋_GB2312" w:cs="仿宋_GB2312"/>
          <w:b/>
          <w:bCs/>
          <w:sz w:val="32"/>
          <w:szCs w:val="32"/>
        </w:rPr>
      </w:pPr>
      <w:hyperlink w:anchor="_Toc29374" w:history="1">
        <w:r w:rsidR="00647263">
          <w:rPr>
            <w:rFonts w:ascii="仿宋_GB2312" w:eastAsia="仿宋_GB2312" w:hAnsi="仿宋_GB2312" w:cs="仿宋_GB2312" w:hint="eastAsia"/>
            <w:b/>
            <w:bCs/>
            <w:sz w:val="32"/>
            <w:szCs w:val="32"/>
          </w:rPr>
          <w:t>第二部分部门决算情况说明</w:t>
        </w:r>
      </w:hyperlink>
    </w:p>
    <w:p w:rsidR="00B304D2" w:rsidRDefault="001616C1">
      <w:pPr>
        <w:pStyle w:val="2"/>
        <w:tabs>
          <w:tab w:val="right" w:pos="8306"/>
        </w:tabs>
        <w:ind w:leftChars="0" w:left="0"/>
        <w:rPr>
          <w:rFonts w:ascii="仿宋_GB2312" w:eastAsia="仿宋_GB2312" w:hAnsi="仿宋_GB2312" w:cs="仿宋_GB2312"/>
          <w:sz w:val="32"/>
          <w:szCs w:val="32"/>
        </w:rPr>
      </w:pPr>
      <w:hyperlink w:anchor="_Toc25314" w:history="1">
        <w:r w:rsidR="00647263">
          <w:rPr>
            <w:rFonts w:ascii="仿宋_GB2312" w:eastAsia="仿宋_GB2312" w:hAnsi="仿宋_GB2312" w:cs="仿宋_GB2312" w:hint="eastAsia"/>
            <w:bCs/>
            <w:kern w:val="0"/>
            <w:sz w:val="32"/>
            <w:szCs w:val="32"/>
          </w:rPr>
          <w:t>一、收入支出决算总体情况说明</w:t>
        </w:r>
      </w:hyperlink>
    </w:p>
    <w:p w:rsidR="00B304D2" w:rsidRDefault="001616C1">
      <w:pPr>
        <w:pStyle w:val="2"/>
        <w:tabs>
          <w:tab w:val="right" w:pos="8306"/>
        </w:tabs>
        <w:ind w:leftChars="0" w:left="0"/>
        <w:rPr>
          <w:rFonts w:ascii="仿宋_GB2312" w:eastAsia="仿宋_GB2312" w:hAnsi="仿宋_GB2312" w:cs="仿宋_GB2312"/>
          <w:sz w:val="32"/>
          <w:szCs w:val="32"/>
        </w:rPr>
      </w:pPr>
      <w:hyperlink w:anchor="_Toc12142" w:history="1">
        <w:r w:rsidR="00647263">
          <w:rPr>
            <w:rFonts w:ascii="仿宋_GB2312" w:eastAsia="仿宋_GB2312" w:hAnsi="仿宋_GB2312" w:cs="仿宋_GB2312" w:hint="eastAsia"/>
            <w:bCs/>
            <w:kern w:val="0"/>
            <w:sz w:val="32"/>
            <w:szCs w:val="32"/>
          </w:rPr>
          <w:t>二、收入决算情况说明</w:t>
        </w:r>
      </w:hyperlink>
    </w:p>
    <w:p w:rsidR="00B304D2" w:rsidRDefault="001616C1">
      <w:pPr>
        <w:pStyle w:val="2"/>
        <w:tabs>
          <w:tab w:val="right" w:pos="8306"/>
        </w:tabs>
        <w:ind w:leftChars="0" w:left="0"/>
        <w:rPr>
          <w:rFonts w:ascii="仿宋_GB2312" w:eastAsia="仿宋_GB2312" w:hAnsi="仿宋_GB2312" w:cs="仿宋_GB2312"/>
          <w:sz w:val="32"/>
          <w:szCs w:val="32"/>
        </w:rPr>
      </w:pPr>
      <w:hyperlink w:anchor="_Toc13201" w:history="1">
        <w:r w:rsidR="00647263">
          <w:rPr>
            <w:rFonts w:ascii="仿宋_GB2312" w:eastAsia="仿宋_GB2312" w:hAnsi="仿宋_GB2312" w:cs="仿宋_GB2312" w:hint="eastAsia"/>
            <w:bCs/>
            <w:kern w:val="0"/>
            <w:sz w:val="32"/>
            <w:szCs w:val="32"/>
          </w:rPr>
          <w:t>三、支出决算情况说明</w:t>
        </w:r>
      </w:hyperlink>
    </w:p>
    <w:p w:rsidR="00B304D2" w:rsidRDefault="001616C1">
      <w:pPr>
        <w:pStyle w:val="2"/>
        <w:tabs>
          <w:tab w:val="right" w:pos="8306"/>
        </w:tabs>
        <w:ind w:leftChars="0" w:left="0"/>
        <w:rPr>
          <w:rFonts w:ascii="仿宋_GB2312" w:eastAsia="仿宋_GB2312" w:hAnsi="仿宋_GB2312" w:cs="仿宋_GB2312"/>
          <w:sz w:val="32"/>
          <w:szCs w:val="32"/>
        </w:rPr>
      </w:pPr>
      <w:hyperlink w:anchor="_Toc26564" w:history="1">
        <w:r w:rsidR="00647263">
          <w:rPr>
            <w:rFonts w:ascii="仿宋_GB2312" w:eastAsia="仿宋_GB2312" w:hAnsi="仿宋_GB2312" w:cs="仿宋_GB2312" w:hint="eastAsia"/>
            <w:bCs/>
            <w:kern w:val="0"/>
            <w:sz w:val="32"/>
            <w:szCs w:val="32"/>
          </w:rPr>
          <w:t>四、财政拨款收入支出决算总体情况说明</w:t>
        </w:r>
      </w:hyperlink>
    </w:p>
    <w:p w:rsidR="00B304D2" w:rsidRDefault="001616C1">
      <w:pPr>
        <w:pStyle w:val="2"/>
        <w:tabs>
          <w:tab w:val="right" w:pos="8306"/>
        </w:tabs>
        <w:ind w:leftChars="0" w:left="0"/>
        <w:rPr>
          <w:rFonts w:ascii="仿宋_GB2312" w:eastAsia="仿宋_GB2312" w:hAnsi="仿宋_GB2312" w:cs="仿宋_GB2312"/>
          <w:sz w:val="32"/>
          <w:szCs w:val="32"/>
        </w:rPr>
      </w:pPr>
      <w:hyperlink w:anchor="_Toc20360" w:history="1">
        <w:r w:rsidR="00647263">
          <w:rPr>
            <w:rFonts w:ascii="仿宋_GB2312" w:eastAsia="仿宋_GB2312" w:hAnsi="仿宋_GB2312" w:cs="仿宋_GB2312" w:hint="eastAsia"/>
            <w:bCs/>
            <w:kern w:val="0"/>
            <w:sz w:val="32"/>
            <w:szCs w:val="32"/>
          </w:rPr>
          <w:t>五、一般公共预算财政拨款支出决算情况说明</w:t>
        </w:r>
      </w:hyperlink>
    </w:p>
    <w:p w:rsidR="00B304D2" w:rsidRDefault="001616C1">
      <w:pPr>
        <w:pStyle w:val="2"/>
        <w:tabs>
          <w:tab w:val="right" w:pos="8306"/>
        </w:tabs>
        <w:ind w:leftChars="0" w:left="0"/>
        <w:rPr>
          <w:rFonts w:ascii="仿宋_GB2312" w:eastAsia="仿宋_GB2312" w:hAnsi="仿宋_GB2312" w:cs="仿宋_GB2312"/>
          <w:sz w:val="32"/>
          <w:szCs w:val="32"/>
        </w:rPr>
      </w:pPr>
      <w:hyperlink w:anchor="_Toc30870" w:history="1">
        <w:r w:rsidR="00647263">
          <w:rPr>
            <w:rFonts w:ascii="仿宋_GB2312" w:eastAsia="仿宋_GB2312" w:hAnsi="仿宋_GB2312" w:cs="仿宋_GB2312" w:hint="eastAsia"/>
            <w:bCs/>
            <w:kern w:val="0"/>
            <w:sz w:val="32"/>
            <w:szCs w:val="32"/>
          </w:rPr>
          <w:t>六、一般公共预算财政拨款基本支出决算情况说明</w:t>
        </w:r>
      </w:hyperlink>
    </w:p>
    <w:p w:rsidR="00B304D2" w:rsidRDefault="001616C1">
      <w:pPr>
        <w:pStyle w:val="2"/>
        <w:tabs>
          <w:tab w:val="right" w:pos="8306"/>
        </w:tabs>
        <w:ind w:leftChars="0" w:left="0"/>
        <w:rPr>
          <w:rFonts w:ascii="仿宋_GB2312" w:eastAsia="仿宋_GB2312" w:hAnsi="仿宋_GB2312" w:cs="仿宋_GB2312"/>
          <w:sz w:val="32"/>
          <w:szCs w:val="32"/>
        </w:rPr>
      </w:pPr>
      <w:hyperlink w:anchor="_Toc21518" w:history="1">
        <w:r w:rsidR="00647263">
          <w:rPr>
            <w:rFonts w:ascii="仿宋_GB2312" w:eastAsia="仿宋_GB2312" w:hAnsi="仿宋_GB2312" w:cs="仿宋_GB2312" w:hint="eastAsia"/>
            <w:bCs/>
            <w:kern w:val="0"/>
            <w:sz w:val="32"/>
            <w:szCs w:val="32"/>
          </w:rPr>
          <w:t>七、一般公共预算财政拨款“三公”经费支出决算情况说明</w:t>
        </w:r>
      </w:hyperlink>
    </w:p>
    <w:p w:rsidR="00B304D2" w:rsidRDefault="001616C1">
      <w:pPr>
        <w:pStyle w:val="2"/>
        <w:tabs>
          <w:tab w:val="right" w:pos="8306"/>
        </w:tabs>
        <w:ind w:leftChars="0" w:left="0"/>
        <w:rPr>
          <w:rFonts w:ascii="仿宋_GB2312" w:eastAsia="仿宋_GB2312" w:hAnsi="仿宋_GB2312" w:cs="仿宋_GB2312"/>
          <w:sz w:val="32"/>
          <w:szCs w:val="32"/>
        </w:rPr>
      </w:pPr>
      <w:hyperlink w:anchor="_Toc5810" w:history="1">
        <w:r w:rsidR="00647263">
          <w:rPr>
            <w:rFonts w:ascii="仿宋_GB2312" w:eastAsia="仿宋_GB2312" w:hAnsi="仿宋_GB2312" w:cs="仿宋_GB2312" w:hint="eastAsia"/>
            <w:bCs/>
            <w:kern w:val="0"/>
            <w:sz w:val="32"/>
            <w:szCs w:val="32"/>
          </w:rPr>
          <w:t>八、政府性基金预算财政拨款收入支出决算情况说明</w:t>
        </w:r>
      </w:hyperlink>
    </w:p>
    <w:p w:rsidR="00B304D2" w:rsidRDefault="001616C1">
      <w:hyperlink w:anchor="_Toc5810" w:history="1">
        <w:r w:rsidR="00647263">
          <w:rPr>
            <w:rFonts w:ascii="仿宋_GB2312" w:eastAsia="仿宋_GB2312" w:hAnsi="仿宋_GB2312" w:cs="仿宋_GB2312" w:hint="eastAsia"/>
            <w:bCs/>
            <w:kern w:val="0"/>
            <w:sz w:val="32"/>
            <w:szCs w:val="32"/>
          </w:rPr>
          <w:t>九、国有资本经营预算财政拨款收入支出决算情况说明</w:t>
        </w:r>
      </w:hyperlink>
    </w:p>
    <w:p w:rsidR="00B304D2" w:rsidRDefault="001616C1">
      <w:pPr>
        <w:pStyle w:val="2"/>
        <w:tabs>
          <w:tab w:val="right" w:pos="8306"/>
        </w:tabs>
        <w:ind w:leftChars="0" w:left="0"/>
        <w:rPr>
          <w:rFonts w:ascii="仿宋_GB2312" w:eastAsia="仿宋_GB2312" w:hAnsi="仿宋_GB2312" w:cs="仿宋_GB2312"/>
          <w:sz w:val="32"/>
          <w:szCs w:val="32"/>
        </w:rPr>
      </w:pPr>
      <w:hyperlink w:anchor="_Toc1235" w:history="1">
        <w:r w:rsidR="00647263">
          <w:rPr>
            <w:rFonts w:ascii="仿宋_GB2312" w:eastAsia="仿宋_GB2312" w:hAnsi="仿宋_GB2312" w:cs="仿宋_GB2312" w:hint="eastAsia"/>
            <w:sz w:val="32"/>
            <w:szCs w:val="32"/>
          </w:rPr>
          <w:t>十</w:t>
        </w:r>
        <w:r w:rsidR="00647263">
          <w:rPr>
            <w:rFonts w:ascii="仿宋_GB2312" w:eastAsia="仿宋_GB2312" w:hAnsi="仿宋_GB2312" w:cs="仿宋_GB2312" w:hint="eastAsia"/>
            <w:bCs/>
            <w:kern w:val="0"/>
            <w:sz w:val="32"/>
            <w:szCs w:val="32"/>
          </w:rPr>
          <w:t>、其他重要事项的情况说明</w:t>
        </w:r>
      </w:hyperlink>
    </w:p>
    <w:p w:rsidR="00B304D2" w:rsidRDefault="001616C1">
      <w:pPr>
        <w:pStyle w:val="3"/>
        <w:tabs>
          <w:tab w:val="right" w:pos="8306"/>
        </w:tabs>
        <w:ind w:leftChars="0" w:left="0"/>
        <w:rPr>
          <w:rFonts w:ascii="仿宋_GB2312" w:eastAsia="仿宋_GB2312" w:hAnsi="仿宋_GB2312" w:cs="仿宋_GB2312"/>
          <w:sz w:val="32"/>
          <w:szCs w:val="32"/>
        </w:rPr>
      </w:pPr>
      <w:hyperlink w:anchor="_Toc14519" w:history="1">
        <w:r w:rsidR="00647263">
          <w:rPr>
            <w:rFonts w:ascii="仿宋_GB2312" w:eastAsia="仿宋_GB2312" w:hAnsi="仿宋_GB2312" w:cs="仿宋_GB2312" w:hint="eastAsia"/>
            <w:sz w:val="32"/>
            <w:szCs w:val="32"/>
          </w:rPr>
          <w:t>（一）机关运行经费支出情况</w:t>
        </w:r>
      </w:hyperlink>
    </w:p>
    <w:p w:rsidR="00B304D2" w:rsidRDefault="001616C1">
      <w:pPr>
        <w:pStyle w:val="3"/>
        <w:tabs>
          <w:tab w:val="right" w:pos="8306"/>
        </w:tabs>
        <w:ind w:leftChars="0" w:left="0"/>
        <w:rPr>
          <w:rFonts w:ascii="仿宋_GB2312" w:eastAsia="仿宋_GB2312" w:hAnsi="仿宋_GB2312" w:cs="仿宋_GB2312"/>
          <w:sz w:val="32"/>
          <w:szCs w:val="32"/>
        </w:rPr>
      </w:pPr>
      <w:hyperlink w:anchor="_Toc227" w:history="1">
        <w:r w:rsidR="00647263">
          <w:rPr>
            <w:rFonts w:ascii="仿宋_GB2312" w:eastAsia="仿宋_GB2312" w:hAnsi="仿宋_GB2312" w:cs="仿宋_GB2312" w:hint="eastAsia"/>
            <w:sz w:val="32"/>
            <w:szCs w:val="32"/>
          </w:rPr>
          <w:t>（二）政府采购情况</w:t>
        </w:r>
      </w:hyperlink>
    </w:p>
    <w:p w:rsidR="00B304D2" w:rsidRDefault="001616C1">
      <w:pPr>
        <w:pStyle w:val="3"/>
        <w:tabs>
          <w:tab w:val="right" w:pos="8306"/>
        </w:tabs>
        <w:ind w:leftChars="0" w:left="0"/>
        <w:rPr>
          <w:rFonts w:ascii="仿宋_GB2312" w:eastAsia="仿宋_GB2312" w:hAnsi="仿宋_GB2312" w:cs="仿宋_GB2312"/>
          <w:sz w:val="32"/>
          <w:szCs w:val="32"/>
        </w:rPr>
      </w:pPr>
      <w:hyperlink w:anchor="_Toc8391" w:history="1">
        <w:r w:rsidR="00647263">
          <w:rPr>
            <w:rFonts w:ascii="仿宋_GB2312" w:eastAsia="仿宋_GB2312" w:hAnsi="仿宋_GB2312" w:cs="仿宋_GB2312" w:hint="eastAsia"/>
            <w:sz w:val="32"/>
            <w:szCs w:val="32"/>
          </w:rPr>
          <w:t>（三）国有资产占用情况说明</w:t>
        </w:r>
      </w:hyperlink>
    </w:p>
    <w:p w:rsidR="00B304D2" w:rsidRDefault="001616C1">
      <w:pPr>
        <w:pStyle w:val="2"/>
        <w:tabs>
          <w:tab w:val="right" w:pos="8306"/>
        </w:tabs>
        <w:ind w:leftChars="0" w:left="0"/>
        <w:rPr>
          <w:rFonts w:ascii="仿宋_GB2312" w:eastAsia="仿宋_GB2312" w:hAnsi="仿宋_GB2312" w:cs="仿宋_GB2312"/>
          <w:sz w:val="32"/>
          <w:szCs w:val="32"/>
        </w:rPr>
      </w:pPr>
      <w:hyperlink w:anchor="_Toc11283" w:history="1">
        <w:r w:rsidR="00647263">
          <w:rPr>
            <w:rFonts w:ascii="仿宋_GB2312" w:eastAsia="仿宋_GB2312" w:hAnsi="仿宋_GB2312" w:cs="仿宋_GB2312" w:hint="eastAsia"/>
            <w:bCs/>
            <w:kern w:val="0"/>
            <w:sz w:val="32"/>
            <w:szCs w:val="32"/>
          </w:rPr>
          <w:t>十一、预算绩效的情况说明</w:t>
        </w:r>
      </w:hyperlink>
    </w:p>
    <w:p w:rsidR="00B304D2" w:rsidRDefault="001616C1">
      <w:pPr>
        <w:pStyle w:val="1"/>
        <w:tabs>
          <w:tab w:val="right" w:pos="8306"/>
        </w:tabs>
        <w:rPr>
          <w:rFonts w:ascii="仿宋_GB2312" w:eastAsia="仿宋_GB2312" w:hAnsi="仿宋_GB2312" w:cs="仿宋_GB2312"/>
          <w:b/>
          <w:bCs/>
          <w:sz w:val="32"/>
          <w:szCs w:val="32"/>
        </w:rPr>
      </w:pPr>
      <w:hyperlink w:anchor="_Toc3250" w:history="1">
        <w:r w:rsidR="00647263">
          <w:rPr>
            <w:rFonts w:ascii="仿宋_GB2312" w:eastAsia="仿宋_GB2312" w:hAnsi="仿宋_GB2312" w:cs="仿宋_GB2312" w:hint="eastAsia"/>
            <w:b/>
            <w:bCs/>
            <w:sz w:val="32"/>
            <w:szCs w:val="32"/>
          </w:rPr>
          <w:t>第三部分专业名词解释</w:t>
        </w:r>
      </w:hyperlink>
    </w:p>
    <w:p w:rsidR="00B304D2" w:rsidRDefault="001616C1">
      <w:pPr>
        <w:pStyle w:val="1"/>
        <w:tabs>
          <w:tab w:val="right" w:pos="8306"/>
        </w:tabs>
        <w:rPr>
          <w:rFonts w:ascii="仿宋_GB2312" w:eastAsia="仿宋_GB2312" w:hAnsi="仿宋_GB2312" w:cs="仿宋_GB2312"/>
          <w:b/>
          <w:bCs/>
          <w:sz w:val="32"/>
          <w:szCs w:val="32"/>
        </w:rPr>
      </w:pPr>
      <w:hyperlink w:anchor="_Toc22784" w:history="1">
        <w:r w:rsidR="00647263">
          <w:rPr>
            <w:rFonts w:ascii="仿宋_GB2312" w:eastAsia="仿宋_GB2312" w:hAnsi="仿宋_GB2312" w:cs="仿宋_GB2312" w:hint="eastAsia"/>
            <w:b/>
            <w:bCs/>
            <w:sz w:val="32"/>
            <w:szCs w:val="32"/>
          </w:rPr>
          <w:t>第四部分部门决算报表（见附表）</w:t>
        </w:r>
      </w:hyperlink>
    </w:p>
    <w:p w:rsidR="00B304D2" w:rsidRDefault="001616C1">
      <w:pPr>
        <w:pStyle w:val="2"/>
        <w:tabs>
          <w:tab w:val="right" w:pos="8306"/>
        </w:tabs>
        <w:ind w:leftChars="0" w:left="0"/>
        <w:rPr>
          <w:rFonts w:ascii="仿宋_GB2312" w:eastAsia="仿宋_GB2312" w:hAnsi="仿宋_GB2312" w:cs="仿宋_GB2312"/>
          <w:sz w:val="32"/>
          <w:szCs w:val="32"/>
        </w:rPr>
      </w:pPr>
      <w:hyperlink w:anchor="_Toc2183" w:history="1">
        <w:r w:rsidR="00647263">
          <w:rPr>
            <w:rFonts w:ascii="仿宋_GB2312" w:eastAsia="仿宋_GB2312" w:hAnsi="仿宋_GB2312" w:cs="仿宋_GB2312" w:hint="eastAsia"/>
            <w:bCs/>
            <w:kern w:val="0"/>
            <w:sz w:val="32"/>
            <w:szCs w:val="32"/>
          </w:rPr>
          <w:t>一、《收入支出决算总表》</w:t>
        </w:r>
      </w:hyperlink>
    </w:p>
    <w:p w:rsidR="00B304D2" w:rsidRDefault="001616C1">
      <w:pPr>
        <w:pStyle w:val="2"/>
        <w:tabs>
          <w:tab w:val="right" w:pos="8306"/>
        </w:tabs>
        <w:ind w:leftChars="0" w:left="0"/>
        <w:rPr>
          <w:rFonts w:ascii="仿宋_GB2312" w:eastAsia="仿宋_GB2312" w:hAnsi="仿宋_GB2312" w:cs="仿宋_GB2312"/>
          <w:sz w:val="32"/>
          <w:szCs w:val="32"/>
        </w:rPr>
      </w:pPr>
      <w:hyperlink w:anchor="_Toc24532" w:history="1">
        <w:r w:rsidR="00647263">
          <w:rPr>
            <w:rFonts w:ascii="仿宋_GB2312" w:eastAsia="仿宋_GB2312" w:hAnsi="仿宋_GB2312" w:cs="仿宋_GB2312" w:hint="eastAsia"/>
            <w:bCs/>
            <w:kern w:val="0"/>
            <w:sz w:val="32"/>
            <w:szCs w:val="32"/>
          </w:rPr>
          <w:t>二、《收入决算表》</w:t>
        </w:r>
      </w:hyperlink>
    </w:p>
    <w:p w:rsidR="00B304D2" w:rsidRDefault="001616C1">
      <w:pPr>
        <w:pStyle w:val="2"/>
        <w:tabs>
          <w:tab w:val="right" w:pos="8306"/>
        </w:tabs>
        <w:ind w:leftChars="0" w:left="0"/>
        <w:rPr>
          <w:rFonts w:ascii="仿宋_GB2312" w:eastAsia="仿宋_GB2312" w:hAnsi="仿宋_GB2312" w:cs="仿宋_GB2312"/>
          <w:sz w:val="32"/>
          <w:szCs w:val="32"/>
        </w:rPr>
      </w:pPr>
      <w:hyperlink w:anchor="_Toc32434" w:history="1">
        <w:r w:rsidR="00647263">
          <w:rPr>
            <w:rFonts w:ascii="仿宋_GB2312" w:eastAsia="仿宋_GB2312" w:hAnsi="仿宋_GB2312" w:cs="仿宋_GB2312" w:hint="eastAsia"/>
            <w:bCs/>
            <w:kern w:val="0"/>
            <w:sz w:val="32"/>
            <w:szCs w:val="32"/>
          </w:rPr>
          <w:t>三、《支出决算表》</w:t>
        </w:r>
      </w:hyperlink>
    </w:p>
    <w:p w:rsidR="00B304D2" w:rsidRDefault="001616C1">
      <w:pPr>
        <w:pStyle w:val="2"/>
        <w:tabs>
          <w:tab w:val="right" w:pos="8306"/>
        </w:tabs>
        <w:ind w:leftChars="0" w:left="0"/>
        <w:rPr>
          <w:rFonts w:ascii="仿宋_GB2312" w:eastAsia="仿宋_GB2312" w:hAnsi="仿宋_GB2312" w:cs="仿宋_GB2312"/>
          <w:sz w:val="32"/>
          <w:szCs w:val="32"/>
        </w:rPr>
      </w:pPr>
      <w:hyperlink w:anchor="_Toc28786" w:history="1">
        <w:r w:rsidR="00647263">
          <w:rPr>
            <w:rFonts w:ascii="仿宋_GB2312" w:eastAsia="仿宋_GB2312" w:hAnsi="仿宋_GB2312" w:cs="仿宋_GB2312" w:hint="eastAsia"/>
            <w:bCs/>
            <w:kern w:val="0"/>
            <w:sz w:val="32"/>
            <w:szCs w:val="32"/>
          </w:rPr>
          <w:t>四、《财政拨款收入支出决算总表》</w:t>
        </w:r>
      </w:hyperlink>
    </w:p>
    <w:p w:rsidR="00B304D2" w:rsidRDefault="001616C1">
      <w:pPr>
        <w:pStyle w:val="2"/>
        <w:tabs>
          <w:tab w:val="right" w:pos="8306"/>
        </w:tabs>
        <w:ind w:leftChars="0" w:left="0"/>
        <w:rPr>
          <w:rFonts w:ascii="仿宋_GB2312" w:eastAsia="仿宋_GB2312" w:hAnsi="仿宋_GB2312" w:cs="仿宋_GB2312"/>
          <w:sz w:val="32"/>
          <w:szCs w:val="32"/>
        </w:rPr>
      </w:pPr>
      <w:hyperlink w:anchor="_Toc14869" w:history="1">
        <w:r w:rsidR="00647263">
          <w:rPr>
            <w:rFonts w:ascii="仿宋_GB2312" w:eastAsia="仿宋_GB2312" w:hAnsi="仿宋_GB2312" w:cs="仿宋_GB2312" w:hint="eastAsia"/>
            <w:bCs/>
            <w:kern w:val="0"/>
            <w:sz w:val="32"/>
            <w:szCs w:val="32"/>
          </w:rPr>
          <w:t>五、《一般公共预算财政拨款支出决算表》</w:t>
        </w:r>
      </w:hyperlink>
    </w:p>
    <w:p w:rsidR="00B304D2" w:rsidRDefault="001616C1">
      <w:pPr>
        <w:pStyle w:val="2"/>
        <w:tabs>
          <w:tab w:val="right" w:pos="8306"/>
        </w:tabs>
        <w:ind w:leftChars="0" w:left="0"/>
        <w:rPr>
          <w:rFonts w:ascii="仿宋_GB2312" w:eastAsia="仿宋_GB2312" w:hAnsi="仿宋_GB2312" w:cs="仿宋_GB2312"/>
          <w:sz w:val="32"/>
          <w:szCs w:val="32"/>
        </w:rPr>
      </w:pPr>
      <w:hyperlink w:anchor="_Toc8884" w:history="1">
        <w:r w:rsidR="00647263">
          <w:rPr>
            <w:rFonts w:ascii="仿宋_GB2312" w:eastAsia="仿宋_GB2312" w:hAnsi="仿宋_GB2312" w:cs="仿宋_GB2312" w:hint="eastAsia"/>
            <w:bCs/>
            <w:kern w:val="0"/>
            <w:sz w:val="32"/>
            <w:szCs w:val="32"/>
          </w:rPr>
          <w:t>六、《一般公共预算财政拨款基本支出决算表》</w:t>
        </w:r>
      </w:hyperlink>
    </w:p>
    <w:p w:rsidR="00B304D2" w:rsidRDefault="001616C1">
      <w:pPr>
        <w:pStyle w:val="2"/>
        <w:tabs>
          <w:tab w:val="right" w:pos="8306"/>
        </w:tabs>
        <w:ind w:leftChars="0" w:left="0"/>
        <w:rPr>
          <w:rFonts w:ascii="仿宋_GB2312" w:eastAsia="仿宋_GB2312" w:hAnsi="仿宋_GB2312" w:cs="仿宋_GB2312"/>
          <w:sz w:val="32"/>
          <w:szCs w:val="32"/>
        </w:rPr>
      </w:pPr>
      <w:hyperlink w:anchor="_Toc29106" w:history="1">
        <w:r w:rsidR="00647263">
          <w:rPr>
            <w:rFonts w:ascii="仿宋_GB2312" w:eastAsia="仿宋_GB2312" w:hAnsi="仿宋_GB2312" w:cs="仿宋_GB2312" w:hint="eastAsia"/>
            <w:bCs/>
            <w:kern w:val="0"/>
            <w:sz w:val="32"/>
            <w:szCs w:val="32"/>
          </w:rPr>
          <w:t>七、《一般公共预算财政拨款“三公”经费支出决算表》</w:t>
        </w:r>
      </w:hyperlink>
    </w:p>
    <w:p w:rsidR="00B304D2" w:rsidRDefault="001616C1">
      <w:pPr>
        <w:pStyle w:val="2"/>
        <w:tabs>
          <w:tab w:val="right" w:pos="8306"/>
        </w:tabs>
        <w:ind w:leftChars="0" w:left="0"/>
        <w:rPr>
          <w:rFonts w:ascii="仿宋_GB2312" w:eastAsia="仿宋_GB2312" w:hAnsi="仿宋_GB2312" w:cs="仿宋_GB2312"/>
          <w:bCs/>
          <w:kern w:val="0"/>
          <w:sz w:val="32"/>
          <w:szCs w:val="32"/>
        </w:rPr>
      </w:pPr>
      <w:hyperlink w:anchor="_Toc7643" w:history="1">
        <w:r w:rsidR="00647263">
          <w:rPr>
            <w:rFonts w:ascii="仿宋_GB2312" w:eastAsia="仿宋_GB2312" w:hAnsi="仿宋_GB2312" w:cs="仿宋_GB2312" w:hint="eastAsia"/>
            <w:bCs/>
            <w:kern w:val="0"/>
            <w:sz w:val="32"/>
            <w:szCs w:val="32"/>
          </w:rPr>
          <w:t>八、《政府性基金预算财政拨款收入支出决算表》</w:t>
        </w:r>
      </w:hyperlink>
    </w:p>
    <w:p w:rsidR="00B304D2" w:rsidRDefault="00647263">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B304D2" w:rsidRDefault="001616C1">
      <w:r>
        <w:rPr>
          <w:rFonts w:ascii="仿宋_GB2312" w:eastAsia="仿宋_GB2312" w:hAnsi="仿宋_GB2312" w:cs="仿宋_GB2312" w:hint="eastAsia"/>
          <w:sz w:val="32"/>
          <w:szCs w:val="32"/>
        </w:rPr>
        <w:fldChar w:fldCharType="end"/>
      </w:r>
    </w:p>
    <w:p w:rsidR="00B304D2" w:rsidRDefault="00647263">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1" w:name="_Toc24028"/>
      <w:bookmarkStart w:id="2" w:name="_Toc32314"/>
      <w:r>
        <w:rPr>
          <w:rFonts w:ascii="黑体" w:eastAsia="黑体" w:hAnsi="黑体" w:hint="eastAsia"/>
          <w:sz w:val="32"/>
          <w:szCs w:val="32"/>
        </w:rPr>
        <w:lastRenderedPageBreak/>
        <w:t>第一部分 部门单位概况</w:t>
      </w:r>
      <w:bookmarkEnd w:id="1"/>
      <w:bookmarkEnd w:id="2"/>
    </w:p>
    <w:p w:rsidR="00B304D2" w:rsidRDefault="00647263">
      <w:pPr>
        <w:ind w:firstLineChars="200" w:firstLine="640"/>
        <w:outlineLvl w:val="1"/>
        <w:rPr>
          <w:rFonts w:ascii="黑体" w:eastAsia="黑体" w:hAnsi="黑体" w:cs="宋体"/>
          <w:bCs/>
          <w:kern w:val="0"/>
          <w:sz w:val="32"/>
          <w:szCs w:val="32"/>
        </w:rPr>
      </w:pPr>
      <w:bookmarkStart w:id="3" w:name="_Toc30567"/>
      <w:bookmarkStart w:id="4" w:name="_Toc30738"/>
      <w:r>
        <w:rPr>
          <w:rFonts w:ascii="黑体" w:eastAsia="黑体" w:hAnsi="黑体" w:cs="宋体" w:hint="eastAsia"/>
          <w:bCs/>
          <w:kern w:val="0"/>
          <w:sz w:val="32"/>
          <w:szCs w:val="32"/>
        </w:rPr>
        <w:t>一、主要职能</w:t>
      </w:r>
      <w:bookmarkEnd w:id="3"/>
      <w:bookmarkEnd w:id="4"/>
    </w:p>
    <w:p w:rsidR="00B304D2" w:rsidRDefault="00647263">
      <w:pPr>
        <w:rPr>
          <w:rFonts w:ascii="仿宋_GB2312" w:eastAsia="仿宋_GB2312"/>
          <w:sz w:val="32"/>
          <w:szCs w:val="32"/>
        </w:rPr>
      </w:pPr>
      <w:r>
        <w:rPr>
          <w:rFonts w:ascii="仿宋_GB2312" w:eastAsia="仿宋_GB2312"/>
          <w:sz w:val="32"/>
          <w:szCs w:val="32"/>
        </w:rPr>
        <w:t>承担全区房屋建筑和市政基础设施工程勘察、设计、施工、监理以及与工程建设有关的重要设备、材料采购招标投标相关服务等工作</w:t>
      </w:r>
      <w:r>
        <w:rPr>
          <w:rFonts w:ascii="仿宋_GB2312" w:eastAsia="仿宋_GB2312" w:hint="eastAsia"/>
          <w:sz w:val="32"/>
          <w:szCs w:val="32"/>
        </w:rPr>
        <w:t>。</w:t>
      </w:r>
    </w:p>
    <w:p w:rsidR="00B304D2" w:rsidRDefault="00647263">
      <w:pPr>
        <w:ind w:firstLineChars="200" w:firstLine="640"/>
        <w:outlineLvl w:val="1"/>
        <w:rPr>
          <w:rFonts w:ascii="黑体" w:eastAsia="黑体" w:hAnsi="黑体" w:cs="宋体"/>
          <w:bCs/>
          <w:kern w:val="0"/>
          <w:sz w:val="32"/>
          <w:szCs w:val="32"/>
        </w:rPr>
      </w:pPr>
      <w:bookmarkStart w:id="5" w:name="_Toc31238"/>
      <w:bookmarkStart w:id="6" w:name="_Toc2151"/>
      <w:r>
        <w:rPr>
          <w:rFonts w:ascii="黑体" w:eastAsia="黑体" w:hAnsi="黑体" w:cs="宋体" w:hint="eastAsia"/>
          <w:bCs/>
          <w:kern w:val="0"/>
          <w:sz w:val="32"/>
          <w:szCs w:val="32"/>
        </w:rPr>
        <w:t>二、机构设置及</w:t>
      </w:r>
      <w:bookmarkEnd w:id="5"/>
      <w:r>
        <w:rPr>
          <w:rFonts w:ascii="黑体" w:eastAsia="黑体" w:hAnsi="黑体" w:cs="宋体" w:hint="eastAsia"/>
          <w:bCs/>
          <w:kern w:val="0"/>
          <w:sz w:val="32"/>
          <w:szCs w:val="32"/>
        </w:rPr>
        <w:t>人员情况</w:t>
      </w:r>
      <w:bookmarkEnd w:id="6"/>
    </w:p>
    <w:p w:rsidR="00B304D2" w:rsidRDefault="00647263">
      <w:pPr>
        <w:ind w:firstLineChars="200" w:firstLine="640"/>
        <w:rPr>
          <w:rFonts w:ascii="仿宋_GB2312" w:eastAsia="仿宋_GB2312"/>
          <w:sz w:val="32"/>
          <w:szCs w:val="32"/>
        </w:rPr>
      </w:pPr>
      <w:r>
        <w:rPr>
          <w:rFonts w:ascii="仿宋_GB2312" w:eastAsia="仿宋_GB2312" w:hint="eastAsia"/>
          <w:sz w:val="32"/>
          <w:szCs w:val="32"/>
        </w:rPr>
        <w:t>新疆维吾尔自治区建设工程招标投标服务中心</w:t>
      </w:r>
      <w:r>
        <w:rPr>
          <w:rFonts w:ascii="仿宋_GB2312" w:eastAsia="仿宋_GB2312"/>
          <w:sz w:val="32"/>
          <w:szCs w:val="32"/>
        </w:rPr>
        <w:t>2021</w:t>
      </w:r>
      <w:r>
        <w:rPr>
          <w:rFonts w:ascii="仿宋_GB2312" w:eastAsia="仿宋_GB2312" w:hint="eastAsia"/>
          <w:sz w:val="32"/>
          <w:szCs w:val="32"/>
        </w:rPr>
        <w:t>年度，实有人数</w:t>
      </w:r>
      <w:r>
        <w:rPr>
          <w:rFonts w:ascii="仿宋_GB2312" w:eastAsia="仿宋_GB2312"/>
          <w:sz w:val="32"/>
          <w:szCs w:val="32"/>
        </w:rPr>
        <w:t>7</w:t>
      </w:r>
      <w:r>
        <w:rPr>
          <w:rFonts w:ascii="仿宋_GB2312" w:eastAsia="仿宋_GB2312" w:hint="eastAsia"/>
          <w:sz w:val="32"/>
          <w:szCs w:val="32"/>
        </w:rPr>
        <w:t>人，其中：在职人员</w:t>
      </w:r>
      <w:r>
        <w:rPr>
          <w:rFonts w:ascii="仿宋_GB2312" w:eastAsia="仿宋_GB2312"/>
          <w:sz w:val="32"/>
          <w:szCs w:val="32"/>
        </w:rPr>
        <w:t>7</w:t>
      </w:r>
      <w:r>
        <w:rPr>
          <w:rFonts w:ascii="仿宋_GB2312" w:eastAsia="仿宋_GB2312" w:hint="eastAsia"/>
          <w:sz w:val="32"/>
          <w:szCs w:val="32"/>
        </w:rPr>
        <w:t>人，离休人员</w:t>
      </w:r>
      <w:r>
        <w:rPr>
          <w:rFonts w:ascii="仿宋_GB2312" w:eastAsia="仿宋_GB2312"/>
          <w:sz w:val="32"/>
          <w:szCs w:val="32"/>
        </w:rPr>
        <w:t>0</w:t>
      </w:r>
      <w:r>
        <w:rPr>
          <w:rFonts w:ascii="仿宋_GB2312" w:eastAsia="仿宋_GB2312" w:hint="eastAsia"/>
          <w:sz w:val="32"/>
          <w:szCs w:val="32"/>
        </w:rPr>
        <w:t>人，退休人员</w:t>
      </w:r>
      <w:r>
        <w:rPr>
          <w:rFonts w:ascii="仿宋_GB2312" w:eastAsia="仿宋_GB2312"/>
          <w:sz w:val="32"/>
          <w:szCs w:val="32"/>
        </w:rPr>
        <w:t>0</w:t>
      </w:r>
      <w:r>
        <w:rPr>
          <w:rFonts w:ascii="仿宋_GB2312" w:eastAsia="仿宋_GB2312" w:hint="eastAsia"/>
          <w:sz w:val="32"/>
          <w:szCs w:val="32"/>
        </w:rPr>
        <w:t>人。</w:t>
      </w:r>
    </w:p>
    <w:p w:rsidR="00B304D2" w:rsidRDefault="00647263" w:rsidP="00187078">
      <w:pPr>
        <w:ind w:firstLineChars="200" w:firstLine="640"/>
        <w:rPr>
          <w:rFonts w:ascii="仿宋_GB2312" w:eastAsia="仿宋_GB2312"/>
          <w:sz w:val="32"/>
          <w:szCs w:val="32"/>
        </w:rPr>
      </w:pPr>
      <w:r>
        <w:rPr>
          <w:rFonts w:ascii="仿宋_GB2312" w:eastAsia="仿宋_GB2312" w:hint="eastAsia"/>
          <w:sz w:val="32"/>
          <w:szCs w:val="32"/>
        </w:rPr>
        <w:t>从部门决算单位构成看，新疆维吾尔自治区建设工程招标投标服务中心部门决算包括：新疆维吾尔自治区建设工程招标投标服务中心决算。</w:t>
      </w:r>
      <w:r>
        <w:rPr>
          <w:rFonts w:ascii="仿宋_GB2312" w:eastAsia="仿宋_GB2312" w:hAnsi="黑体" w:cs="宋体" w:hint="eastAsia"/>
          <w:bCs/>
          <w:kern w:val="0"/>
          <w:sz w:val="32"/>
          <w:szCs w:val="32"/>
        </w:rPr>
        <w:t>单位无下属预算单位，无下设科室</w:t>
      </w:r>
      <w:r>
        <w:rPr>
          <w:rFonts w:ascii="仿宋_GB2312" w:eastAsia="仿宋_GB2312" w:hAnsi="宋体" w:cs="宋体" w:hint="eastAsia"/>
          <w:kern w:val="0"/>
          <w:sz w:val="32"/>
          <w:szCs w:val="32"/>
        </w:rPr>
        <w:t>。</w:t>
      </w:r>
    </w:p>
    <w:p w:rsidR="00B304D2" w:rsidRDefault="00647263">
      <w:pPr>
        <w:rPr>
          <w:rFonts w:ascii="Arial" w:hAnsi="Arial" w:cs="Arial"/>
          <w:color w:val="4D4D4D"/>
          <w:shd w:val="clear" w:color="auto" w:fill="FFFFFF"/>
        </w:rPr>
      </w:pPr>
      <w:r>
        <w:rPr>
          <w:rFonts w:ascii="Arial" w:hAnsi="Arial" w:cs="Arial"/>
          <w:color w:val="4D4D4D"/>
          <w:shd w:val="clear" w:color="auto" w:fill="FFFFFF"/>
        </w:rPr>
        <w:br w:type="page"/>
      </w:r>
    </w:p>
    <w:p w:rsidR="00B304D2" w:rsidRDefault="00647263">
      <w:pPr>
        <w:ind w:firstLineChars="200" w:firstLine="640"/>
        <w:jc w:val="center"/>
        <w:outlineLvl w:val="0"/>
        <w:rPr>
          <w:rFonts w:ascii="黑体" w:eastAsia="黑体" w:hAnsi="黑体"/>
          <w:sz w:val="32"/>
          <w:szCs w:val="32"/>
        </w:rPr>
      </w:pPr>
      <w:r>
        <w:rPr>
          <w:rFonts w:ascii="黑体" w:eastAsia="黑体" w:hAnsi="黑体" w:hint="eastAsia"/>
          <w:sz w:val="32"/>
          <w:szCs w:val="32"/>
        </w:rPr>
        <w:lastRenderedPageBreak/>
        <w:t>第二部分 部门决算情况说明</w:t>
      </w:r>
    </w:p>
    <w:p w:rsidR="00B304D2" w:rsidRDefault="00647263">
      <w:pPr>
        <w:ind w:firstLineChars="200" w:firstLine="640"/>
        <w:outlineLvl w:val="1"/>
        <w:rPr>
          <w:rFonts w:ascii="黑体" w:eastAsia="黑体" w:hAnsi="黑体" w:cs="宋体"/>
          <w:bCs/>
          <w:kern w:val="0"/>
          <w:sz w:val="32"/>
          <w:szCs w:val="32"/>
        </w:rPr>
      </w:pPr>
      <w:bookmarkStart w:id="7" w:name="_Toc25314"/>
      <w:bookmarkStart w:id="8" w:name="_Toc12566"/>
      <w:bookmarkStart w:id="9" w:name="_Hlk97807141"/>
      <w:r>
        <w:rPr>
          <w:rFonts w:ascii="黑体" w:eastAsia="黑体" w:hAnsi="黑体" w:cs="宋体" w:hint="eastAsia"/>
          <w:bCs/>
          <w:kern w:val="0"/>
          <w:sz w:val="32"/>
          <w:szCs w:val="32"/>
        </w:rPr>
        <w:t>一、收入支出决算总体情况说明</w:t>
      </w:r>
      <w:bookmarkEnd w:id="7"/>
      <w:bookmarkEnd w:id="8"/>
    </w:p>
    <w:p w:rsidR="00B304D2" w:rsidRDefault="00647263">
      <w:pPr>
        <w:ind w:firstLineChars="200" w:firstLine="640"/>
        <w:rPr>
          <w:rFonts w:ascii="仿宋_GB2312" w:eastAsia="仿宋_GB2312"/>
          <w:sz w:val="32"/>
          <w:szCs w:val="32"/>
        </w:rPr>
      </w:pPr>
      <w:r>
        <w:rPr>
          <w:rFonts w:ascii="仿宋_GB2312" w:eastAsia="仿宋_GB2312"/>
          <w:sz w:val="32"/>
          <w:szCs w:val="32"/>
        </w:rPr>
        <w:t>2021</w:t>
      </w:r>
      <w:r>
        <w:rPr>
          <w:rFonts w:ascii="仿宋_GB2312" w:eastAsia="仿宋_GB2312" w:hint="eastAsia"/>
          <w:sz w:val="32"/>
          <w:szCs w:val="32"/>
        </w:rPr>
        <w:t>年度本年收入</w:t>
      </w:r>
      <w:r>
        <w:rPr>
          <w:rFonts w:ascii="仿宋_GB2312" w:eastAsia="仿宋_GB2312"/>
          <w:sz w:val="32"/>
          <w:szCs w:val="32"/>
        </w:rPr>
        <w:t>110.82</w:t>
      </w:r>
      <w:r>
        <w:rPr>
          <w:rFonts w:ascii="仿宋_GB2312" w:eastAsia="仿宋_GB2312" w:hint="eastAsia"/>
          <w:sz w:val="32"/>
          <w:szCs w:val="32"/>
        </w:rPr>
        <w:t>万元，与上年相比，增加49.60万元，</w:t>
      </w:r>
      <w:r>
        <w:rPr>
          <w:rFonts w:ascii="仿宋_GB2312" w:eastAsia="仿宋_GB2312"/>
          <w:sz w:val="32"/>
          <w:szCs w:val="32"/>
        </w:rPr>
        <w:t>增长81.02</w:t>
      </w:r>
      <w:r>
        <w:rPr>
          <w:rFonts w:ascii="仿宋_GB2312" w:eastAsia="仿宋_GB2312" w:hint="eastAsia"/>
          <w:sz w:val="32"/>
          <w:szCs w:val="32"/>
        </w:rPr>
        <w:t>%，主要原因是：2021年增加批复项目经费。本年支出</w:t>
      </w:r>
      <w:r>
        <w:rPr>
          <w:rFonts w:ascii="仿宋_GB2312" w:eastAsia="仿宋_GB2312"/>
          <w:sz w:val="32"/>
          <w:szCs w:val="32"/>
        </w:rPr>
        <w:t>125.76</w:t>
      </w:r>
      <w:r>
        <w:rPr>
          <w:rFonts w:ascii="仿宋_GB2312" w:eastAsia="仿宋_GB2312" w:hint="eastAsia"/>
          <w:sz w:val="32"/>
          <w:szCs w:val="32"/>
        </w:rPr>
        <w:t>万元，与上年相比，</w:t>
      </w:r>
      <w:r>
        <w:rPr>
          <w:rFonts w:ascii="仿宋_GB2312" w:eastAsia="仿宋_GB2312"/>
          <w:sz w:val="32"/>
          <w:szCs w:val="32"/>
        </w:rPr>
        <w:t>增加51.11</w:t>
      </w:r>
      <w:r>
        <w:rPr>
          <w:rFonts w:ascii="仿宋_GB2312" w:eastAsia="仿宋_GB2312" w:hint="eastAsia"/>
          <w:sz w:val="32"/>
          <w:szCs w:val="32"/>
        </w:rPr>
        <w:t>万元，</w:t>
      </w:r>
      <w:r>
        <w:rPr>
          <w:rFonts w:ascii="仿宋_GB2312" w:eastAsia="仿宋_GB2312"/>
          <w:sz w:val="32"/>
          <w:szCs w:val="32"/>
        </w:rPr>
        <w:t>增长68.47</w:t>
      </w:r>
      <w:r>
        <w:rPr>
          <w:rFonts w:ascii="仿宋_GB2312" w:eastAsia="仿宋_GB2312" w:hint="eastAsia"/>
          <w:sz w:val="32"/>
          <w:szCs w:val="32"/>
        </w:rPr>
        <w:t>%，主要原因是：2021年增加批复项目经费。</w:t>
      </w:r>
    </w:p>
    <w:p w:rsidR="00B304D2" w:rsidRDefault="00647263">
      <w:pPr>
        <w:ind w:firstLineChars="200" w:firstLine="640"/>
        <w:outlineLvl w:val="1"/>
        <w:rPr>
          <w:rFonts w:ascii="黑体" w:eastAsia="黑体" w:hAnsi="黑体" w:cs="宋体"/>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rsidR="00B304D2" w:rsidRDefault="00647263">
      <w:pPr>
        <w:ind w:firstLineChars="200" w:firstLine="640"/>
        <w:rPr>
          <w:rFonts w:ascii="仿宋_GB2312" w:eastAsia="仿宋_GB2312"/>
          <w:sz w:val="32"/>
          <w:szCs w:val="32"/>
        </w:rPr>
      </w:pPr>
      <w:r>
        <w:rPr>
          <w:rFonts w:ascii="仿宋_GB2312" w:eastAsia="仿宋_GB2312"/>
          <w:sz w:val="32"/>
          <w:szCs w:val="32"/>
        </w:rPr>
        <w:t>2021</w:t>
      </w:r>
      <w:r>
        <w:rPr>
          <w:rFonts w:ascii="仿宋_GB2312" w:eastAsia="仿宋_GB2312" w:hint="eastAsia"/>
          <w:sz w:val="32"/>
          <w:szCs w:val="32"/>
        </w:rPr>
        <w:t>年度本年收入</w:t>
      </w:r>
      <w:r>
        <w:rPr>
          <w:rFonts w:ascii="仿宋_GB2312" w:eastAsia="仿宋_GB2312"/>
          <w:sz w:val="32"/>
          <w:szCs w:val="32"/>
        </w:rPr>
        <w:t>110.82</w:t>
      </w:r>
      <w:r>
        <w:rPr>
          <w:rFonts w:ascii="仿宋_GB2312" w:eastAsia="仿宋_GB2312" w:hint="eastAsia"/>
          <w:sz w:val="32"/>
          <w:szCs w:val="32"/>
        </w:rPr>
        <w:t>万元，其中：财政拨款收入</w:t>
      </w:r>
      <w:r>
        <w:rPr>
          <w:rFonts w:ascii="仿宋_GB2312" w:eastAsia="仿宋_GB2312"/>
          <w:sz w:val="32"/>
          <w:szCs w:val="32"/>
        </w:rPr>
        <w:t>110.80</w:t>
      </w:r>
      <w:r>
        <w:rPr>
          <w:rFonts w:ascii="仿宋_GB2312" w:eastAsia="仿宋_GB2312" w:hint="eastAsia"/>
          <w:sz w:val="32"/>
          <w:szCs w:val="32"/>
        </w:rPr>
        <w:t>万元，占99.98%；上级补助收入</w:t>
      </w:r>
      <w:r>
        <w:rPr>
          <w:rFonts w:ascii="仿宋_GB2312" w:eastAsia="仿宋_GB2312"/>
          <w:sz w:val="32"/>
          <w:szCs w:val="32"/>
        </w:rPr>
        <w:t>0.00</w:t>
      </w:r>
      <w:r>
        <w:rPr>
          <w:rFonts w:ascii="仿宋_GB2312" w:eastAsia="仿宋_GB2312" w:hint="eastAsia"/>
          <w:sz w:val="32"/>
          <w:szCs w:val="32"/>
        </w:rPr>
        <w:t>万元，占0.00%；事业收入</w:t>
      </w:r>
      <w:r>
        <w:rPr>
          <w:rFonts w:ascii="仿宋_GB2312" w:eastAsia="仿宋_GB2312"/>
          <w:sz w:val="32"/>
          <w:szCs w:val="32"/>
        </w:rPr>
        <w:t>0.00</w:t>
      </w:r>
      <w:r>
        <w:rPr>
          <w:rFonts w:ascii="仿宋_GB2312" w:eastAsia="仿宋_GB2312" w:hint="eastAsia"/>
          <w:sz w:val="32"/>
          <w:szCs w:val="32"/>
        </w:rPr>
        <w:t>万元，占0.00%；经营收入</w:t>
      </w:r>
      <w:r>
        <w:rPr>
          <w:rFonts w:ascii="仿宋_GB2312" w:eastAsia="仿宋_GB2312"/>
          <w:sz w:val="32"/>
          <w:szCs w:val="32"/>
        </w:rPr>
        <w:t>0.00</w:t>
      </w:r>
      <w:r>
        <w:rPr>
          <w:rFonts w:ascii="仿宋_GB2312" w:eastAsia="仿宋_GB2312" w:hint="eastAsia"/>
          <w:sz w:val="32"/>
          <w:szCs w:val="32"/>
        </w:rPr>
        <w:t>万元，占0.00%；附属单位上缴收入</w:t>
      </w:r>
      <w:r>
        <w:rPr>
          <w:rFonts w:ascii="仿宋_GB2312" w:eastAsia="仿宋_GB2312"/>
          <w:sz w:val="32"/>
          <w:szCs w:val="32"/>
        </w:rPr>
        <w:t>0.00</w:t>
      </w:r>
      <w:r>
        <w:rPr>
          <w:rFonts w:ascii="仿宋_GB2312" w:eastAsia="仿宋_GB2312" w:hint="eastAsia"/>
          <w:sz w:val="32"/>
          <w:szCs w:val="32"/>
        </w:rPr>
        <w:t>万元，占0.00%；其他收入</w:t>
      </w:r>
      <w:r>
        <w:rPr>
          <w:rFonts w:ascii="仿宋_GB2312" w:eastAsia="仿宋_GB2312"/>
          <w:sz w:val="32"/>
          <w:szCs w:val="32"/>
        </w:rPr>
        <w:t>0.02</w:t>
      </w:r>
      <w:r>
        <w:rPr>
          <w:rFonts w:ascii="仿宋_GB2312" w:eastAsia="仿宋_GB2312" w:hint="eastAsia"/>
          <w:sz w:val="32"/>
          <w:szCs w:val="32"/>
        </w:rPr>
        <w:t>万元，占0.02%。</w:t>
      </w:r>
    </w:p>
    <w:p w:rsidR="00B304D2" w:rsidRDefault="00647263">
      <w:pPr>
        <w:ind w:firstLineChars="200" w:firstLine="640"/>
        <w:outlineLvl w:val="1"/>
        <w:rPr>
          <w:rFonts w:ascii="黑体" w:eastAsia="黑体" w:hAnsi="黑体" w:cs="宋体"/>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rsidR="00B304D2" w:rsidRDefault="00647263">
      <w:pPr>
        <w:ind w:firstLineChars="200" w:firstLine="640"/>
        <w:rPr>
          <w:rFonts w:ascii="仿宋_GB2312" w:eastAsia="仿宋_GB2312"/>
          <w:sz w:val="32"/>
          <w:szCs w:val="32"/>
        </w:rPr>
      </w:pPr>
      <w:r>
        <w:rPr>
          <w:rFonts w:ascii="仿宋_GB2312" w:eastAsia="仿宋_GB2312"/>
          <w:sz w:val="32"/>
          <w:szCs w:val="32"/>
        </w:rPr>
        <w:t>2021</w:t>
      </w:r>
      <w:r>
        <w:rPr>
          <w:rFonts w:ascii="仿宋_GB2312" w:eastAsia="仿宋_GB2312" w:hint="eastAsia"/>
          <w:sz w:val="32"/>
          <w:szCs w:val="32"/>
        </w:rPr>
        <w:t>年度本年支出125.76万元，其中：基本支出</w:t>
      </w:r>
      <w:r>
        <w:rPr>
          <w:rFonts w:ascii="仿宋_GB2312" w:eastAsia="仿宋_GB2312"/>
          <w:sz w:val="32"/>
          <w:szCs w:val="32"/>
        </w:rPr>
        <w:t>102.13</w:t>
      </w:r>
      <w:r>
        <w:rPr>
          <w:rFonts w:ascii="仿宋_GB2312" w:eastAsia="仿宋_GB2312" w:hint="eastAsia"/>
          <w:sz w:val="32"/>
          <w:szCs w:val="32"/>
        </w:rPr>
        <w:t>万元，占81.21%；项目支出</w:t>
      </w:r>
      <w:r>
        <w:rPr>
          <w:rFonts w:ascii="仿宋_GB2312" w:eastAsia="仿宋_GB2312"/>
          <w:sz w:val="32"/>
          <w:szCs w:val="32"/>
        </w:rPr>
        <w:t>23.64</w:t>
      </w:r>
      <w:r>
        <w:rPr>
          <w:rFonts w:ascii="仿宋_GB2312" w:eastAsia="仿宋_GB2312" w:hint="eastAsia"/>
          <w:sz w:val="32"/>
          <w:szCs w:val="32"/>
        </w:rPr>
        <w:t>万元，占18.79%；上缴上级支出</w:t>
      </w:r>
      <w:r>
        <w:rPr>
          <w:rFonts w:ascii="仿宋_GB2312" w:eastAsia="仿宋_GB2312"/>
          <w:sz w:val="32"/>
          <w:szCs w:val="32"/>
        </w:rPr>
        <w:t>0.00</w:t>
      </w:r>
      <w:r>
        <w:rPr>
          <w:rFonts w:ascii="仿宋_GB2312" w:eastAsia="仿宋_GB2312" w:hint="eastAsia"/>
          <w:sz w:val="32"/>
          <w:szCs w:val="32"/>
        </w:rPr>
        <w:t>万元，占0.00%；经营支出</w:t>
      </w:r>
      <w:r>
        <w:rPr>
          <w:rFonts w:ascii="仿宋_GB2312" w:eastAsia="仿宋_GB2312"/>
          <w:sz w:val="32"/>
          <w:szCs w:val="32"/>
        </w:rPr>
        <w:t>0.00</w:t>
      </w:r>
      <w:r>
        <w:rPr>
          <w:rFonts w:ascii="仿宋_GB2312" w:eastAsia="仿宋_GB2312" w:hint="eastAsia"/>
          <w:sz w:val="32"/>
          <w:szCs w:val="32"/>
        </w:rPr>
        <w:t>万元，占</w:t>
      </w:r>
      <w:r>
        <w:rPr>
          <w:rFonts w:ascii="仿宋_GB2312" w:eastAsia="仿宋_GB2312"/>
          <w:sz w:val="32"/>
          <w:szCs w:val="32"/>
        </w:rPr>
        <w:t>0.00</w:t>
      </w:r>
      <w:r>
        <w:rPr>
          <w:rFonts w:ascii="仿宋_GB2312" w:eastAsia="仿宋_GB2312" w:hint="eastAsia"/>
          <w:sz w:val="32"/>
          <w:szCs w:val="32"/>
        </w:rPr>
        <w:t>%；对附属单位补助支出0.00万元，占0.00%。</w:t>
      </w:r>
    </w:p>
    <w:p w:rsidR="00B304D2" w:rsidRDefault="00647263">
      <w:pPr>
        <w:ind w:firstLineChars="200" w:firstLine="640"/>
        <w:outlineLvl w:val="1"/>
        <w:rPr>
          <w:rFonts w:ascii="黑体" w:eastAsia="黑体" w:hAnsi="黑体" w:cs="宋体"/>
          <w:bCs/>
          <w:kern w:val="0"/>
          <w:sz w:val="32"/>
          <w:szCs w:val="32"/>
        </w:rPr>
      </w:pPr>
      <w:bookmarkStart w:id="14" w:name="_Toc4393"/>
      <w:bookmarkStart w:id="15" w:name="_Toc26564"/>
      <w:bookmarkEnd w:id="9"/>
      <w:r>
        <w:rPr>
          <w:rFonts w:ascii="黑体" w:eastAsia="黑体" w:hAnsi="黑体" w:cs="宋体" w:hint="eastAsia"/>
          <w:bCs/>
          <w:kern w:val="0"/>
          <w:sz w:val="32"/>
          <w:szCs w:val="32"/>
        </w:rPr>
        <w:t>四、财政拨款收入支出决算总体情况说明</w:t>
      </w:r>
      <w:bookmarkEnd w:id="14"/>
      <w:bookmarkEnd w:id="15"/>
    </w:p>
    <w:p w:rsidR="00B304D2" w:rsidRDefault="00647263">
      <w:pPr>
        <w:ind w:firstLineChars="200" w:firstLine="640"/>
        <w:rPr>
          <w:rFonts w:ascii="仿宋_GB2312" w:eastAsia="仿宋_GB2312"/>
          <w:sz w:val="32"/>
          <w:szCs w:val="32"/>
        </w:rPr>
      </w:pPr>
      <w:r>
        <w:rPr>
          <w:rFonts w:ascii="仿宋_GB2312" w:eastAsia="仿宋_GB2312"/>
          <w:sz w:val="32"/>
          <w:szCs w:val="32"/>
        </w:rPr>
        <w:t>2021</w:t>
      </w:r>
      <w:r>
        <w:rPr>
          <w:rFonts w:ascii="仿宋_GB2312" w:eastAsia="仿宋_GB2312" w:hint="eastAsia"/>
          <w:sz w:val="32"/>
          <w:szCs w:val="32"/>
        </w:rPr>
        <w:t>年度财政拨款收入110.80万元，与上年相比，增加49.64万元，增长81.16%，主要原因是：2021年增加批复项目经费。财政拨款支出125.63万元，与上年相比，增</w:t>
      </w:r>
      <w:r>
        <w:rPr>
          <w:rFonts w:ascii="仿宋_GB2312" w:eastAsia="仿宋_GB2312" w:hint="eastAsia"/>
          <w:sz w:val="32"/>
          <w:szCs w:val="32"/>
        </w:rPr>
        <w:lastRenderedPageBreak/>
        <w:t>加50.98万元，增长68.29%，主要原因是：2021年增加批复项目经费。</w:t>
      </w:r>
    </w:p>
    <w:p w:rsidR="00B304D2" w:rsidRDefault="00647263">
      <w:pPr>
        <w:ind w:firstLineChars="200" w:firstLine="640"/>
        <w:rPr>
          <w:rFonts w:ascii="仿宋_GB2312" w:eastAsia="仿宋_GB2312"/>
          <w:sz w:val="32"/>
          <w:szCs w:val="32"/>
        </w:rPr>
      </w:pPr>
      <w:r>
        <w:rPr>
          <w:rFonts w:ascii="仿宋_GB2312" w:eastAsia="仿宋_GB2312" w:hint="eastAsia"/>
          <w:sz w:val="32"/>
          <w:szCs w:val="32"/>
        </w:rPr>
        <w:t>与年初预算数相比情况：财政拨款收入年初预算数</w:t>
      </w:r>
      <w:r>
        <w:rPr>
          <w:rFonts w:ascii="仿宋_GB2312" w:eastAsia="仿宋_GB2312"/>
          <w:sz w:val="32"/>
          <w:szCs w:val="32"/>
        </w:rPr>
        <w:t>79.46</w:t>
      </w:r>
      <w:r>
        <w:rPr>
          <w:rFonts w:ascii="仿宋_GB2312" w:eastAsia="仿宋_GB2312" w:hint="eastAsia"/>
          <w:sz w:val="32"/>
          <w:szCs w:val="32"/>
        </w:rPr>
        <w:t>万元，决算数</w:t>
      </w:r>
      <w:r>
        <w:rPr>
          <w:rFonts w:ascii="仿宋_GB2312" w:eastAsia="仿宋_GB2312"/>
          <w:sz w:val="32"/>
          <w:szCs w:val="32"/>
        </w:rPr>
        <w:t>110.80</w:t>
      </w:r>
      <w:r>
        <w:rPr>
          <w:rFonts w:ascii="仿宋_GB2312" w:eastAsia="仿宋_GB2312" w:hint="eastAsia"/>
          <w:sz w:val="32"/>
          <w:szCs w:val="32"/>
        </w:rPr>
        <w:t>万元，预决算差异率</w:t>
      </w:r>
      <w:r>
        <w:rPr>
          <w:rFonts w:ascii="仿宋_GB2312" w:eastAsia="仿宋_GB2312"/>
          <w:sz w:val="32"/>
          <w:szCs w:val="32"/>
        </w:rPr>
        <w:t>39.44</w:t>
      </w:r>
      <w:r>
        <w:rPr>
          <w:rFonts w:ascii="仿宋_GB2312" w:eastAsia="仿宋_GB2312" w:hint="eastAsia"/>
          <w:sz w:val="32"/>
          <w:szCs w:val="32"/>
        </w:rPr>
        <w:t>%，主要原因是：追加人员工资和结亲费用。财政拨款支出年初预算数</w:t>
      </w:r>
      <w:r>
        <w:rPr>
          <w:rFonts w:ascii="仿宋_GB2312" w:eastAsia="仿宋_GB2312"/>
          <w:sz w:val="32"/>
          <w:szCs w:val="32"/>
        </w:rPr>
        <w:t>79.46</w:t>
      </w:r>
      <w:r>
        <w:rPr>
          <w:rFonts w:ascii="仿宋_GB2312" w:eastAsia="仿宋_GB2312" w:hint="eastAsia"/>
          <w:sz w:val="32"/>
          <w:szCs w:val="32"/>
        </w:rPr>
        <w:t>万元，决算数</w:t>
      </w:r>
      <w:r>
        <w:rPr>
          <w:rFonts w:ascii="仿宋_GB2312" w:eastAsia="仿宋_GB2312"/>
          <w:sz w:val="32"/>
          <w:szCs w:val="32"/>
        </w:rPr>
        <w:t>125.63</w:t>
      </w:r>
      <w:r>
        <w:rPr>
          <w:rFonts w:ascii="仿宋_GB2312" w:eastAsia="仿宋_GB2312" w:hint="eastAsia"/>
          <w:sz w:val="32"/>
          <w:szCs w:val="32"/>
        </w:rPr>
        <w:t>万元，预决算差异率58.10%，主要原因是：包含2020年结转资金。</w:t>
      </w:r>
    </w:p>
    <w:p w:rsidR="00B304D2" w:rsidRDefault="00647263">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rsidR="00B304D2" w:rsidRDefault="00647263">
      <w:pPr>
        <w:ind w:firstLineChars="200" w:firstLine="640"/>
        <w:rPr>
          <w:rFonts w:ascii="仿宋_GB2312" w:eastAsia="仿宋_GB2312"/>
          <w:sz w:val="32"/>
          <w:szCs w:val="32"/>
        </w:rPr>
      </w:pPr>
      <w:r>
        <w:rPr>
          <w:rFonts w:ascii="仿宋_GB2312" w:eastAsia="仿宋_GB2312"/>
          <w:sz w:val="32"/>
          <w:szCs w:val="32"/>
        </w:rPr>
        <w:t>2021</w:t>
      </w:r>
      <w:r>
        <w:rPr>
          <w:rFonts w:ascii="仿宋_GB2312" w:eastAsia="仿宋_GB2312" w:hint="eastAsia"/>
          <w:sz w:val="32"/>
          <w:szCs w:val="32"/>
        </w:rPr>
        <w:t>年度一般公共预算财政拨款支出125.63万元。按功能分类科目项级科目公开，其中：</w:t>
      </w:r>
    </w:p>
    <w:p w:rsidR="00B304D2" w:rsidRDefault="00647263">
      <w:pPr>
        <w:jc w:val="left"/>
        <w:rPr>
          <w:rFonts w:ascii="仿宋_GB2312" w:eastAsia="仿宋_GB2312"/>
          <w:sz w:val="32"/>
          <w:szCs w:val="32"/>
        </w:rPr>
      </w:pPr>
      <w:bookmarkStart w:id="18" w:name="_Toc11146"/>
      <w:bookmarkStart w:id="19" w:name="_Toc30870"/>
      <w:r>
        <w:rPr>
          <w:rFonts w:ascii="仿宋_GB2312" w:eastAsia="仿宋_GB2312"/>
          <w:sz w:val="32"/>
          <w:szCs w:val="32"/>
        </w:rPr>
        <w:tab/>
        <w:t xml:space="preserve"> 2010101行政运行94.60万元；</w:t>
      </w:r>
    </w:p>
    <w:p w:rsidR="00B304D2" w:rsidRDefault="00647263">
      <w:pPr>
        <w:rPr>
          <w:rFonts w:ascii="仿宋_GB2312" w:eastAsia="仿宋_GB2312"/>
          <w:sz w:val="32"/>
          <w:szCs w:val="32"/>
        </w:rPr>
      </w:pPr>
      <w:r>
        <w:rPr>
          <w:rFonts w:ascii="仿宋_GB2312" w:eastAsia="仿宋_GB2312"/>
          <w:sz w:val="32"/>
          <w:szCs w:val="32"/>
        </w:rPr>
        <w:tab/>
        <w:t xml:space="preserve"> 2010102一般行政管理事务16.20万元；</w:t>
      </w:r>
    </w:p>
    <w:p w:rsidR="00B304D2" w:rsidRDefault="00647263">
      <w:pPr>
        <w:rPr>
          <w:rFonts w:ascii="仿宋_GB2312" w:eastAsia="仿宋_GB2312"/>
          <w:sz w:val="32"/>
          <w:szCs w:val="32"/>
        </w:rPr>
      </w:pPr>
      <w:r>
        <w:rPr>
          <w:rFonts w:ascii="仿宋_GB2312" w:eastAsia="仿宋_GB2312"/>
          <w:sz w:val="32"/>
          <w:szCs w:val="32"/>
        </w:rPr>
        <w:tab/>
        <w:t xml:space="preserve"> 2120102一般行政管理事务2.61万元；</w:t>
      </w:r>
    </w:p>
    <w:p w:rsidR="00B304D2" w:rsidRDefault="00647263">
      <w:pPr>
        <w:rPr>
          <w:rFonts w:ascii="仿宋_GB2312" w:eastAsia="仿宋_GB2312"/>
          <w:sz w:val="32"/>
          <w:szCs w:val="32"/>
        </w:rPr>
      </w:pPr>
      <w:r>
        <w:rPr>
          <w:rFonts w:ascii="仿宋_GB2312" w:eastAsia="仿宋_GB2312"/>
          <w:sz w:val="32"/>
          <w:szCs w:val="32"/>
        </w:rPr>
        <w:tab/>
        <w:t xml:space="preserve"> 2120601建设市场管理与监督12.23万元。</w:t>
      </w:r>
    </w:p>
    <w:p w:rsidR="00B304D2" w:rsidRDefault="00647263">
      <w:pPr>
        <w:rPr>
          <w:rFonts w:ascii="仿宋_GB2312" w:eastAsia="仿宋_GB2312"/>
          <w:sz w:val="32"/>
          <w:szCs w:val="32"/>
        </w:rPr>
      </w:pPr>
      <w:r>
        <w:rPr>
          <w:rFonts w:ascii="仿宋_GB2312" w:eastAsia="仿宋_GB2312"/>
          <w:sz w:val="32"/>
          <w:szCs w:val="32"/>
        </w:rPr>
        <w:tab/>
        <w:t xml:space="preserve"> </w:t>
      </w:r>
      <w:r>
        <w:rPr>
          <w:rFonts w:ascii="黑体" w:eastAsia="黑体" w:hAnsi="黑体" w:cs="宋体" w:hint="eastAsia"/>
          <w:bCs/>
          <w:kern w:val="0"/>
          <w:sz w:val="32"/>
          <w:szCs w:val="32"/>
        </w:rPr>
        <w:t>六、一般公共预算财政拨款基本支出决算情况说明</w:t>
      </w:r>
      <w:bookmarkEnd w:id="18"/>
      <w:bookmarkEnd w:id="19"/>
    </w:p>
    <w:p w:rsidR="00B304D2" w:rsidRDefault="00647263">
      <w:pPr>
        <w:ind w:firstLineChars="200" w:firstLine="640"/>
        <w:rPr>
          <w:rFonts w:ascii="仿宋_GB2312" w:eastAsia="仿宋_GB2312"/>
          <w:sz w:val="32"/>
          <w:szCs w:val="32"/>
        </w:rPr>
      </w:pPr>
      <w:r>
        <w:rPr>
          <w:rFonts w:ascii="仿宋_GB2312" w:eastAsia="仿宋_GB2312"/>
          <w:sz w:val="32"/>
          <w:szCs w:val="32"/>
        </w:rPr>
        <w:t>2021</w:t>
      </w:r>
      <w:r>
        <w:rPr>
          <w:rFonts w:ascii="仿宋_GB2312" w:eastAsia="仿宋_GB2312" w:hint="eastAsia"/>
          <w:sz w:val="32"/>
          <w:szCs w:val="32"/>
        </w:rPr>
        <w:t>年度一般公共预算财政拨款基本支出</w:t>
      </w:r>
      <w:r>
        <w:rPr>
          <w:rFonts w:ascii="仿宋_GB2312" w:eastAsia="仿宋_GB2312"/>
          <w:sz w:val="32"/>
          <w:szCs w:val="32"/>
        </w:rPr>
        <w:t>102.00</w:t>
      </w:r>
      <w:r>
        <w:rPr>
          <w:rFonts w:ascii="仿宋_GB2312" w:eastAsia="仿宋_GB2312" w:hint="eastAsia"/>
          <w:sz w:val="32"/>
          <w:szCs w:val="32"/>
        </w:rPr>
        <w:t>万元，其中：</w:t>
      </w:r>
    </w:p>
    <w:p w:rsidR="00B304D2" w:rsidRDefault="00647263">
      <w:pPr>
        <w:ind w:firstLineChars="200" w:firstLine="640"/>
        <w:rPr>
          <w:rFonts w:ascii="仿宋_GB2312" w:eastAsia="仿宋_GB2312"/>
          <w:sz w:val="32"/>
          <w:szCs w:val="32"/>
        </w:rPr>
      </w:pPr>
      <w:r>
        <w:rPr>
          <w:rFonts w:ascii="仿宋_GB2312" w:eastAsia="仿宋_GB2312" w:hint="eastAsia"/>
          <w:sz w:val="32"/>
          <w:szCs w:val="32"/>
        </w:rPr>
        <w:t>人员经费</w:t>
      </w:r>
      <w:r>
        <w:rPr>
          <w:rFonts w:ascii="仿宋_GB2312" w:eastAsia="仿宋_GB2312"/>
          <w:sz w:val="32"/>
          <w:szCs w:val="32"/>
        </w:rPr>
        <w:t>101.19</w:t>
      </w:r>
      <w:r>
        <w:rPr>
          <w:rFonts w:ascii="仿宋_GB2312" w:eastAsia="仿宋_GB2312" w:hint="eastAsia"/>
          <w:sz w:val="32"/>
          <w:szCs w:val="32"/>
        </w:rPr>
        <w:t>万元，包括：基本工资、津贴补贴、奖金、绩效工资、机关事业单位基本养老保险缴费、职业年金缴费、职工基本医疗保险缴费、公务员医疗补助缴费、其他社会保障缴费、住房公积金、医疗费</w:t>
      </w:r>
      <w:r>
        <w:rPr>
          <w:rFonts w:ascii="仿宋_GB2312" w:eastAsia="仿宋_GB2312" w:hAnsi="宋体" w:cs="宋体" w:hint="eastAsia"/>
          <w:kern w:val="0"/>
          <w:sz w:val="32"/>
          <w:szCs w:val="32"/>
        </w:rPr>
        <w:t>。</w:t>
      </w:r>
    </w:p>
    <w:p w:rsidR="00B304D2" w:rsidRDefault="00647263">
      <w:pPr>
        <w:ind w:firstLineChars="200" w:firstLine="640"/>
        <w:rPr>
          <w:rFonts w:ascii="仿宋_GB2312" w:eastAsia="仿宋_GB2312"/>
          <w:sz w:val="32"/>
          <w:szCs w:val="32"/>
        </w:rPr>
      </w:pPr>
      <w:r>
        <w:rPr>
          <w:rFonts w:ascii="仿宋_GB2312" w:eastAsia="仿宋_GB2312" w:hint="eastAsia"/>
          <w:sz w:val="32"/>
          <w:szCs w:val="32"/>
        </w:rPr>
        <w:t>公用经费0.81万元，包括：办公费</w:t>
      </w:r>
      <w:r>
        <w:rPr>
          <w:rFonts w:ascii="仿宋_GB2312" w:eastAsia="仿宋_GB2312" w:hAnsi="宋体" w:cs="宋体" w:hint="eastAsia"/>
          <w:kern w:val="0"/>
          <w:sz w:val="32"/>
          <w:szCs w:val="32"/>
        </w:rPr>
        <w:t>。</w:t>
      </w:r>
    </w:p>
    <w:p w:rsidR="00B304D2" w:rsidRDefault="00647263">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lastRenderedPageBreak/>
        <w:t>七、一般公共预算财政拨款“三公”经费支出决算情况说明</w:t>
      </w:r>
      <w:bookmarkEnd w:id="20"/>
      <w:bookmarkEnd w:id="21"/>
    </w:p>
    <w:p w:rsidR="00B304D2" w:rsidRDefault="00647263">
      <w:pPr>
        <w:pStyle w:val="HTML"/>
        <w:widowControl/>
        <w:shd w:val="clear" w:color="auto" w:fill="FFFFFF"/>
        <w:ind w:firstLineChars="200" w:firstLine="640"/>
        <w:rPr>
          <w:rFonts w:ascii="仿宋_GB2312" w:eastAsia="仿宋_GB2312" w:hint="default"/>
          <w:sz w:val="32"/>
          <w:szCs w:val="32"/>
        </w:rPr>
      </w:pPr>
      <w:r>
        <w:rPr>
          <w:rFonts w:ascii="仿宋_GB2312" w:eastAsia="仿宋_GB2312"/>
          <w:sz w:val="32"/>
          <w:szCs w:val="32"/>
        </w:rPr>
        <w:t>2021年度一般公共预算“三公”经费支出决算0.30万元，比上年减少0.10万元，降低25.00%，主要原因是：本年度车辆未发生维修费用及减少了车辆使用频次。其中：因公出国（境）费支出0.00万元，占0.00%，比上年增加0.00万元，增长0.00%，主要原因是：我单位无因公出国（境）费；公务用车购置及运行维护费支出0.30万元，占100.00%，比上年减少0.10万元，降低25.00%，主要原因是：本年度车辆未发生维修费用及减少了车辆使用频次；公务接待费支出0.00万元，占0.00%，比上年增加0.00万元，增长0.00%，主要原因是：我单位无公务接待费。具体情况如下：</w:t>
      </w:r>
    </w:p>
    <w:p w:rsidR="00B304D2" w:rsidRDefault="00647263">
      <w:pPr>
        <w:ind w:firstLineChars="200" w:firstLine="640"/>
        <w:rPr>
          <w:rFonts w:ascii="仿宋_GB2312" w:eastAsia="仿宋_GB2312"/>
          <w:sz w:val="32"/>
          <w:szCs w:val="32"/>
        </w:rPr>
      </w:pPr>
      <w:r>
        <w:rPr>
          <w:rFonts w:ascii="仿宋_GB2312" w:eastAsia="仿宋_GB2312" w:hint="eastAsia"/>
          <w:sz w:val="32"/>
          <w:szCs w:val="32"/>
        </w:rPr>
        <w:t>因公出国（境）费支出</w:t>
      </w:r>
      <w:r>
        <w:rPr>
          <w:rFonts w:ascii="仿宋_GB2312" w:eastAsia="仿宋_GB2312"/>
          <w:sz w:val="32"/>
          <w:szCs w:val="32"/>
        </w:rPr>
        <w:t>0.00</w:t>
      </w:r>
      <w:r>
        <w:rPr>
          <w:rFonts w:ascii="仿宋_GB2312" w:eastAsia="仿宋_GB2312" w:hint="eastAsia"/>
          <w:sz w:val="32"/>
          <w:szCs w:val="32"/>
        </w:rPr>
        <w:t>万元，开支内容包括我单位无因公出国（境）费。单位全年安排的因公出国（境）团组</w:t>
      </w:r>
      <w:r>
        <w:rPr>
          <w:rFonts w:ascii="仿宋_GB2312" w:eastAsia="仿宋_GB2312"/>
          <w:sz w:val="32"/>
          <w:szCs w:val="32"/>
        </w:rPr>
        <w:t>0</w:t>
      </w:r>
      <w:r>
        <w:rPr>
          <w:rFonts w:ascii="仿宋_GB2312" w:eastAsia="仿宋_GB2312" w:hint="eastAsia"/>
          <w:sz w:val="32"/>
          <w:szCs w:val="32"/>
        </w:rPr>
        <w:t>个，因公出国（境）0人次。</w:t>
      </w:r>
    </w:p>
    <w:p w:rsidR="00B304D2" w:rsidRDefault="00647263">
      <w:pPr>
        <w:ind w:firstLineChars="200" w:firstLine="640"/>
        <w:rPr>
          <w:rFonts w:ascii="仿宋_GB2312" w:eastAsia="仿宋_GB2312"/>
          <w:sz w:val="32"/>
          <w:szCs w:val="32"/>
        </w:rPr>
      </w:pPr>
      <w:r>
        <w:rPr>
          <w:rFonts w:ascii="仿宋_GB2312" w:eastAsia="仿宋_GB2312" w:hint="eastAsia"/>
          <w:sz w:val="32"/>
          <w:szCs w:val="32"/>
        </w:rPr>
        <w:t>公务用车购置及运行维护费</w:t>
      </w:r>
      <w:r>
        <w:rPr>
          <w:rFonts w:ascii="仿宋_GB2312" w:eastAsia="仿宋_GB2312"/>
          <w:sz w:val="32"/>
          <w:szCs w:val="32"/>
        </w:rPr>
        <w:t>0.30</w:t>
      </w:r>
      <w:r>
        <w:rPr>
          <w:rFonts w:ascii="仿宋_GB2312" w:eastAsia="仿宋_GB2312" w:hint="eastAsia"/>
          <w:sz w:val="32"/>
          <w:szCs w:val="32"/>
        </w:rPr>
        <w:t>万元，其中：公务用车购置费</w:t>
      </w:r>
      <w:r>
        <w:rPr>
          <w:rFonts w:ascii="仿宋_GB2312" w:eastAsia="仿宋_GB2312"/>
          <w:sz w:val="32"/>
          <w:szCs w:val="32"/>
        </w:rPr>
        <w:t>0.00</w:t>
      </w:r>
      <w:r>
        <w:rPr>
          <w:rFonts w:ascii="仿宋_GB2312" w:eastAsia="仿宋_GB2312" w:hint="eastAsia"/>
          <w:sz w:val="32"/>
          <w:szCs w:val="32"/>
        </w:rPr>
        <w:t>万元，公务用车运行维护费</w:t>
      </w:r>
      <w:r>
        <w:rPr>
          <w:rFonts w:ascii="仿宋_GB2312" w:eastAsia="仿宋_GB2312"/>
          <w:sz w:val="32"/>
          <w:szCs w:val="32"/>
        </w:rPr>
        <w:t>0.30</w:t>
      </w:r>
      <w:r>
        <w:rPr>
          <w:rFonts w:ascii="仿宋_GB2312" w:eastAsia="仿宋_GB2312" w:hint="eastAsia"/>
          <w:sz w:val="32"/>
          <w:szCs w:val="32"/>
        </w:rPr>
        <w:t>万元。公务用车运行维护费开支内容包括：车辆的燃料费。公务用车购置数</w:t>
      </w:r>
      <w:r>
        <w:rPr>
          <w:rFonts w:ascii="仿宋_GB2312" w:eastAsia="仿宋_GB2312"/>
          <w:sz w:val="32"/>
          <w:szCs w:val="32"/>
        </w:rPr>
        <w:t>0</w:t>
      </w:r>
      <w:r>
        <w:rPr>
          <w:rFonts w:ascii="仿宋_GB2312" w:eastAsia="仿宋_GB2312" w:hint="eastAsia"/>
          <w:sz w:val="32"/>
          <w:szCs w:val="32"/>
        </w:rPr>
        <w:t>辆，公务用车保有量1辆。</w:t>
      </w:r>
    </w:p>
    <w:p w:rsidR="00B304D2" w:rsidRDefault="00647263">
      <w:pPr>
        <w:ind w:firstLineChars="200" w:firstLine="640"/>
        <w:rPr>
          <w:rFonts w:ascii="仿宋_GB2312" w:eastAsia="仿宋_GB2312"/>
          <w:sz w:val="32"/>
          <w:szCs w:val="32"/>
        </w:rPr>
      </w:pPr>
      <w:r>
        <w:rPr>
          <w:rFonts w:ascii="仿宋_GB2312" w:eastAsia="仿宋_GB2312" w:hint="eastAsia"/>
          <w:sz w:val="32"/>
          <w:szCs w:val="32"/>
        </w:rPr>
        <w:t>公务接待费</w:t>
      </w:r>
      <w:r>
        <w:rPr>
          <w:rFonts w:ascii="仿宋_GB2312" w:eastAsia="仿宋_GB2312"/>
          <w:sz w:val="32"/>
          <w:szCs w:val="32"/>
        </w:rPr>
        <w:t>0.00</w:t>
      </w:r>
      <w:r>
        <w:rPr>
          <w:rFonts w:ascii="仿宋_GB2312" w:eastAsia="仿宋_GB2312" w:hint="eastAsia"/>
          <w:sz w:val="32"/>
          <w:szCs w:val="32"/>
        </w:rPr>
        <w:t>万元，开支内容包括我单位无公务接待费。单位全年安排的国内公务接待</w:t>
      </w:r>
      <w:r>
        <w:rPr>
          <w:rFonts w:ascii="仿宋_GB2312" w:eastAsia="仿宋_GB2312"/>
          <w:sz w:val="32"/>
          <w:szCs w:val="32"/>
        </w:rPr>
        <w:t>0</w:t>
      </w:r>
      <w:r>
        <w:rPr>
          <w:rFonts w:ascii="仿宋_GB2312" w:eastAsia="仿宋_GB2312" w:hint="eastAsia"/>
          <w:sz w:val="32"/>
          <w:szCs w:val="32"/>
        </w:rPr>
        <w:t>批次，</w:t>
      </w:r>
      <w:r>
        <w:rPr>
          <w:rFonts w:ascii="仿宋_GB2312" w:eastAsia="仿宋_GB2312"/>
          <w:sz w:val="32"/>
          <w:szCs w:val="32"/>
        </w:rPr>
        <w:t>0</w:t>
      </w:r>
      <w:r>
        <w:rPr>
          <w:rFonts w:ascii="仿宋_GB2312" w:eastAsia="仿宋_GB2312" w:hint="eastAsia"/>
          <w:sz w:val="32"/>
          <w:szCs w:val="32"/>
        </w:rPr>
        <w:t>人次。</w:t>
      </w:r>
    </w:p>
    <w:p w:rsidR="00B304D2" w:rsidRDefault="00647263">
      <w:pPr>
        <w:ind w:firstLineChars="200" w:firstLine="640"/>
        <w:rPr>
          <w:rFonts w:ascii="仿宋_GB2312" w:eastAsia="仿宋_GB2312"/>
          <w:sz w:val="32"/>
          <w:szCs w:val="32"/>
        </w:rPr>
      </w:pPr>
      <w:r>
        <w:rPr>
          <w:rFonts w:ascii="仿宋_GB2312" w:eastAsia="仿宋_GB2312" w:hint="eastAsia"/>
          <w:sz w:val="32"/>
          <w:szCs w:val="32"/>
        </w:rPr>
        <w:t>与年初预算数相比情况：一般公共预算“三公”经费支</w:t>
      </w:r>
      <w:r>
        <w:rPr>
          <w:rFonts w:ascii="仿宋_GB2312" w:eastAsia="仿宋_GB2312" w:hint="eastAsia"/>
          <w:sz w:val="32"/>
          <w:szCs w:val="32"/>
        </w:rPr>
        <w:lastRenderedPageBreak/>
        <w:t>出年初预算数0.30万元，决算数</w:t>
      </w:r>
      <w:r>
        <w:rPr>
          <w:rFonts w:ascii="仿宋_GB2312" w:eastAsia="仿宋_GB2312"/>
          <w:sz w:val="32"/>
          <w:szCs w:val="32"/>
        </w:rPr>
        <w:t>0.30</w:t>
      </w:r>
      <w:r>
        <w:rPr>
          <w:rFonts w:ascii="仿宋_GB2312" w:eastAsia="仿宋_GB2312" w:hint="eastAsia"/>
          <w:sz w:val="32"/>
          <w:szCs w:val="32"/>
        </w:rPr>
        <w:t>万元，预决算差异率0.00%，主要原因是：本年度车辆未发生维修费用。</w:t>
      </w:r>
      <w:r>
        <w:rPr>
          <w:rFonts w:ascii="仿宋_GB2312" w:eastAsia="仿宋_GB2312" w:hAnsi="宋体" w:cs="宋体" w:hint="eastAsia"/>
          <w:kern w:val="0"/>
          <w:sz w:val="32"/>
          <w:szCs w:val="32"/>
        </w:rPr>
        <w:t>其中：因公出国（境）费</w:t>
      </w:r>
      <w:r>
        <w:rPr>
          <w:rFonts w:ascii="仿宋_GB2312" w:eastAsia="仿宋_GB2312" w:hint="eastAsia"/>
          <w:sz w:val="32"/>
          <w:szCs w:val="32"/>
        </w:rPr>
        <w:t>预算数0.00万元，决算数0.00万元，预决算差异率0.00%，主要原因是：我单位无因公出国（境）费；</w:t>
      </w:r>
      <w:r>
        <w:rPr>
          <w:rFonts w:ascii="仿宋_GB2312" w:eastAsia="仿宋_GB2312" w:hAnsi="宋体" w:cs="宋体" w:hint="eastAsia"/>
          <w:kern w:val="0"/>
          <w:sz w:val="32"/>
          <w:szCs w:val="32"/>
        </w:rPr>
        <w:t>公务用车购置</w:t>
      </w:r>
      <w:r>
        <w:rPr>
          <w:rFonts w:ascii="仿宋_GB2312" w:eastAsia="仿宋_GB2312" w:hint="eastAsia"/>
          <w:sz w:val="32"/>
          <w:szCs w:val="32"/>
        </w:rPr>
        <w:t>费预算数0.00万元，决算数0.00万元，预决算差异率0.00%，主要原因是：我单位无公务用车购置费；</w:t>
      </w:r>
      <w:r>
        <w:rPr>
          <w:rFonts w:ascii="仿宋_GB2312" w:eastAsia="仿宋_GB2312" w:hAnsi="宋体" w:cs="宋体" w:hint="eastAsia"/>
          <w:kern w:val="0"/>
          <w:sz w:val="32"/>
          <w:szCs w:val="32"/>
        </w:rPr>
        <w:t>公务用车运行费</w:t>
      </w:r>
      <w:r>
        <w:rPr>
          <w:rFonts w:ascii="仿宋_GB2312" w:eastAsia="仿宋_GB2312" w:hint="eastAsia"/>
          <w:sz w:val="32"/>
          <w:szCs w:val="32"/>
        </w:rPr>
        <w:t>预算数0.30万元，决算数0.30万元，预决算差异率0.00%，主要原因是：本年度车辆未发生维修费用；</w:t>
      </w:r>
      <w:r>
        <w:rPr>
          <w:rFonts w:ascii="仿宋_GB2312" w:eastAsia="仿宋_GB2312" w:hAnsi="宋体" w:cs="宋体" w:hint="eastAsia"/>
          <w:kern w:val="0"/>
          <w:sz w:val="32"/>
          <w:szCs w:val="32"/>
        </w:rPr>
        <w:t>公务接待费</w:t>
      </w:r>
      <w:r>
        <w:rPr>
          <w:rFonts w:ascii="仿宋_GB2312" w:eastAsia="仿宋_GB2312" w:hint="eastAsia"/>
          <w:sz w:val="32"/>
          <w:szCs w:val="32"/>
        </w:rPr>
        <w:t>预算数</w:t>
      </w:r>
      <w:r>
        <w:rPr>
          <w:rFonts w:ascii="仿宋_GB2312" w:eastAsia="仿宋_GB2312"/>
          <w:sz w:val="32"/>
          <w:szCs w:val="32"/>
        </w:rPr>
        <w:t>0.00</w:t>
      </w:r>
      <w:r>
        <w:rPr>
          <w:rFonts w:ascii="仿宋_GB2312" w:eastAsia="仿宋_GB2312" w:hint="eastAsia"/>
          <w:sz w:val="32"/>
          <w:szCs w:val="32"/>
        </w:rPr>
        <w:t>万元，决算数</w:t>
      </w:r>
      <w:r>
        <w:rPr>
          <w:rFonts w:ascii="仿宋_GB2312" w:eastAsia="仿宋_GB2312"/>
          <w:sz w:val="32"/>
          <w:szCs w:val="32"/>
        </w:rPr>
        <w:t>0.00</w:t>
      </w:r>
      <w:r>
        <w:rPr>
          <w:rFonts w:ascii="仿宋_GB2312" w:eastAsia="仿宋_GB2312" w:hint="eastAsia"/>
          <w:sz w:val="32"/>
          <w:szCs w:val="32"/>
        </w:rPr>
        <w:t>万元，预决算差异率0.00%，主要原因是：我单位无公务接待费。</w:t>
      </w:r>
    </w:p>
    <w:p w:rsidR="00B304D2" w:rsidRDefault="00647263">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八、政府性基金预算财政拨款收入支出决算情况说明</w:t>
      </w:r>
      <w:bookmarkEnd w:id="22"/>
      <w:bookmarkEnd w:id="23"/>
    </w:p>
    <w:p w:rsidR="00B304D2" w:rsidRDefault="00647263" w:rsidP="00187078">
      <w:pPr>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我单位本年度无政府性基金预算财政拨款收入支出，政府性基金预算财政拨款收入支出决算表为空表。</w:t>
      </w:r>
    </w:p>
    <w:p w:rsidR="00B304D2" w:rsidRDefault="00647263" w:rsidP="00187078">
      <w:pPr>
        <w:ind w:firstLineChars="200" w:firstLine="640"/>
        <w:rPr>
          <w:rFonts w:ascii="仿宋_GB2312" w:eastAsia="仿宋_GB2312"/>
          <w:sz w:val="32"/>
          <w:szCs w:val="32"/>
        </w:rPr>
      </w:pPr>
      <w:r>
        <w:rPr>
          <w:rFonts w:ascii="黑体" w:eastAsia="黑体" w:hAnsi="黑体" w:cs="宋体" w:hint="eastAsia"/>
          <w:bCs/>
          <w:kern w:val="0"/>
          <w:sz w:val="32"/>
          <w:szCs w:val="32"/>
        </w:rPr>
        <w:t>九、国有资本经营预算财政拨款收入支出决算情况说明</w:t>
      </w:r>
    </w:p>
    <w:p w:rsidR="00B304D2" w:rsidRDefault="00647263" w:rsidP="00187078">
      <w:pPr>
        <w:ind w:firstLineChars="200" w:firstLine="640"/>
        <w:rPr>
          <w:rFonts w:ascii="Arial" w:hAnsi="Arial" w:cs="Arial"/>
          <w:color w:val="4D4D4D"/>
          <w:shd w:val="clear" w:color="auto" w:fill="FFFFFF"/>
        </w:rPr>
      </w:pPr>
      <w:r>
        <w:rPr>
          <w:rFonts w:ascii="仿宋_GB2312" w:eastAsia="仿宋_GB2312" w:hint="eastAsia"/>
          <w:sz w:val="32"/>
          <w:szCs w:val="32"/>
        </w:rPr>
        <w:t>我单位本年度无国有资本经营预算财政拨款收入支出，国有资本经营预算财政拨款收入支出决算表为空表。</w:t>
      </w:r>
    </w:p>
    <w:p w:rsidR="00B304D2" w:rsidRDefault="00647263">
      <w:pPr>
        <w:ind w:firstLineChars="200" w:firstLine="640"/>
        <w:outlineLvl w:val="1"/>
        <w:rPr>
          <w:rFonts w:ascii="黑体" w:eastAsia="黑体" w:hAnsi="黑体" w:cs="宋体"/>
          <w:bCs/>
          <w:kern w:val="0"/>
          <w:sz w:val="32"/>
          <w:szCs w:val="32"/>
        </w:rPr>
      </w:pPr>
      <w:bookmarkStart w:id="24" w:name="_Toc1235"/>
      <w:bookmarkStart w:id="25" w:name="_Toc7314"/>
      <w:r>
        <w:rPr>
          <w:rFonts w:ascii="黑体" w:eastAsia="黑体" w:hAnsi="黑体" w:cs="宋体" w:hint="eastAsia"/>
          <w:bCs/>
          <w:kern w:val="0"/>
          <w:sz w:val="32"/>
          <w:szCs w:val="32"/>
        </w:rPr>
        <w:t>十、其他重要事项的情况说明</w:t>
      </w:r>
      <w:bookmarkEnd w:id="24"/>
      <w:bookmarkEnd w:id="25"/>
    </w:p>
    <w:p w:rsidR="00B304D2" w:rsidRDefault="00647263">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rsidR="00B304D2" w:rsidRDefault="00647263" w:rsidP="00187078">
      <w:pPr>
        <w:ind w:firstLineChars="200" w:firstLine="640"/>
        <w:outlineLvl w:val="2"/>
        <w:rPr>
          <w:rFonts w:ascii="黑体" w:eastAsia="黑体" w:hAnsi="黑体"/>
          <w:sz w:val="32"/>
          <w:szCs w:val="32"/>
        </w:rPr>
      </w:pPr>
      <w:r>
        <w:rPr>
          <w:rFonts w:ascii="仿宋_GB2312" w:eastAsia="仿宋_GB2312" w:hint="eastAsia"/>
          <w:sz w:val="32"/>
          <w:szCs w:val="32"/>
        </w:rPr>
        <w:t>2021年度新疆维吾尔自治区建设工程招标投标服务中心（事业单位）公用经费0.81万元，比上年减少10.63万元，降低92.92%，主要原因是：预算科目调整。</w:t>
      </w:r>
    </w:p>
    <w:p w:rsidR="00B304D2" w:rsidRDefault="00647263" w:rsidP="0018707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rsidR="00B304D2" w:rsidRDefault="00647263">
      <w:pPr>
        <w:ind w:firstLineChars="200" w:firstLine="640"/>
        <w:rPr>
          <w:rFonts w:ascii="仿宋_GB2312" w:eastAsia="仿宋_GB2312"/>
          <w:sz w:val="32"/>
          <w:szCs w:val="32"/>
        </w:rPr>
      </w:pPr>
      <w:r>
        <w:rPr>
          <w:rFonts w:ascii="仿宋_GB2312" w:eastAsia="仿宋_GB2312" w:hint="eastAsia"/>
          <w:sz w:val="32"/>
          <w:szCs w:val="32"/>
        </w:rPr>
        <w:lastRenderedPageBreak/>
        <w:t>2021年度政府采购支出总额</w:t>
      </w:r>
      <w:r>
        <w:rPr>
          <w:rFonts w:ascii="仿宋_GB2312" w:eastAsia="仿宋_GB2312"/>
          <w:sz w:val="32"/>
          <w:szCs w:val="32"/>
        </w:rPr>
        <w:t>0.00</w:t>
      </w:r>
      <w:r>
        <w:rPr>
          <w:rFonts w:ascii="仿宋_GB2312" w:eastAsia="仿宋_GB2312" w:hint="eastAsia"/>
          <w:sz w:val="32"/>
          <w:szCs w:val="32"/>
        </w:rPr>
        <w:t>万元，其中：政府采购货物支出</w:t>
      </w:r>
      <w:r>
        <w:rPr>
          <w:rFonts w:ascii="仿宋_GB2312" w:eastAsia="仿宋_GB2312"/>
          <w:sz w:val="32"/>
          <w:szCs w:val="32"/>
        </w:rPr>
        <w:t>0.00</w:t>
      </w:r>
      <w:r>
        <w:rPr>
          <w:rFonts w:ascii="仿宋_GB2312" w:eastAsia="仿宋_GB2312" w:hint="eastAsia"/>
          <w:sz w:val="32"/>
          <w:szCs w:val="32"/>
        </w:rPr>
        <w:t>万元、政府采购工程支出</w:t>
      </w:r>
      <w:r>
        <w:rPr>
          <w:rFonts w:ascii="仿宋_GB2312" w:eastAsia="仿宋_GB2312"/>
          <w:sz w:val="32"/>
          <w:szCs w:val="32"/>
        </w:rPr>
        <w:t>0.00</w:t>
      </w:r>
      <w:r>
        <w:rPr>
          <w:rFonts w:ascii="仿宋_GB2312" w:eastAsia="仿宋_GB2312" w:hint="eastAsia"/>
          <w:sz w:val="32"/>
          <w:szCs w:val="32"/>
        </w:rPr>
        <w:t>万元、政府采购服务支出</w:t>
      </w:r>
      <w:r>
        <w:rPr>
          <w:rFonts w:ascii="仿宋_GB2312" w:eastAsia="仿宋_GB2312"/>
          <w:sz w:val="32"/>
          <w:szCs w:val="32"/>
        </w:rPr>
        <w:t>0.00</w:t>
      </w:r>
      <w:r>
        <w:rPr>
          <w:rFonts w:ascii="仿宋_GB2312" w:eastAsia="仿宋_GB2312" w:hint="eastAsia"/>
          <w:sz w:val="32"/>
          <w:szCs w:val="32"/>
        </w:rPr>
        <w:t>万元。</w:t>
      </w:r>
    </w:p>
    <w:p w:rsidR="00B304D2" w:rsidRDefault="00647263">
      <w:pPr>
        <w:ind w:firstLineChars="200" w:firstLine="640"/>
        <w:rPr>
          <w:rFonts w:ascii="仿宋_GB2312" w:eastAsia="仿宋_GB2312"/>
          <w:sz w:val="32"/>
          <w:szCs w:val="32"/>
        </w:rPr>
      </w:pPr>
      <w:r>
        <w:rPr>
          <w:rFonts w:ascii="仿宋_GB2312" w:eastAsia="仿宋_GB2312" w:hint="eastAsia"/>
          <w:sz w:val="32"/>
          <w:szCs w:val="32"/>
        </w:rPr>
        <w:t>授予中小企业合同金额</w:t>
      </w:r>
      <w:r>
        <w:rPr>
          <w:rFonts w:ascii="仿宋_GB2312" w:eastAsia="仿宋_GB2312"/>
          <w:sz w:val="32"/>
          <w:szCs w:val="32"/>
        </w:rPr>
        <w:t>0.00</w:t>
      </w:r>
      <w:r>
        <w:rPr>
          <w:rFonts w:ascii="仿宋_GB2312" w:eastAsia="仿宋_GB2312" w:hint="eastAsia"/>
          <w:sz w:val="32"/>
          <w:szCs w:val="32"/>
        </w:rPr>
        <w:t>万元，占政府采购支出总额的</w:t>
      </w:r>
      <w:r>
        <w:rPr>
          <w:rFonts w:ascii="仿宋_GB2312" w:eastAsia="仿宋_GB2312"/>
          <w:sz w:val="32"/>
          <w:szCs w:val="32"/>
        </w:rPr>
        <w:t>0.00</w:t>
      </w:r>
      <w:r>
        <w:rPr>
          <w:rFonts w:ascii="仿宋_GB2312" w:eastAsia="仿宋_GB2312" w:hint="eastAsia"/>
          <w:sz w:val="32"/>
          <w:szCs w:val="32"/>
        </w:rPr>
        <w:t>%，其中：授予小</w:t>
      </w:r>
      <w:proofErr w:type="gramStart"/>
      <w:r>
        <w:rPr>
          <w:rFonts w:ascii="仿宋_GB2312" w:eastAsia="仿宋_GB2312" w:hint="eastAsia"/>
          <w:sz w:val="32"/>
          <w:szCs w:val="32"/>
        </w:rPr>
        <w:t>微企业</w:t>
      </w:r>
      <w:proofErr w:type="gramEnd"/>
      <w:r>
        <w:rPr>
          <w:rFonts w:ascii="仿宋_GB2312" w:eastAsia="仿宋_GB2312" w:hint="eastAsia"/>
          <w:sz w:val="32"/>
          <w:szCs w:val="32"/>
        </w:rPr>
        <w:t>合同金额</w:t>
      </w:r>
      <w:r>
        <w:rPr>
          <w:rFonts w:ascii="仿宋_GB2312" w:eastAsia="仿宋_GB2312"/>
          <w:sz w:val="32"/>
          <w:szCs w:val="32"/>
        </w:rPr>
        <w:t>0.00</w:t>
      </w:r>
      <w:r>
        <w:rPr>
          <w:rFonts w:ascii="仿宋_GB2312" w:eastAsia="仿宋_GB2312" w:hint="eastAsia"/>
          <w:sz w:val="32"/>
          <w:szCs w:val="32"/>
        </w:rPr>
        <w:t>万元，占政府采购支出总额的</w:t>
      </w:r>
      <w:r>
        <w:rPr>
          <w:rFonts w:ascii="仿宋_GB2312" w:eastAsia="仿宋_GB2312"/>
          <w:sz w:val="32"/>
          <w:szCs w:val="32"/>
        </w:rPr>
        <w:t>0.00</w:t>
      </w:r>
      <w:r>
        <w:rPr>
          <w:rFonts w:ascii="仿宋_GB2312" w:eastAsia="仿宋_GB2312" w:hint="eastAsia"/>
          <w:sz w:val="32"/>
          <w:szCs w:val="32"/>
        </w:rPr>
        <w:t>%。</w:t>
      </w:r>
    </w:p>
    <w:p w:rsidR="00B304D2" w:rsidRDefault="00647263">
      <w:pPr>
        <w:ind w:firstLineChars="200" w:firstLine="640"/>
        <w:outlineLvl w:val="2"/>
        <w:rPr>
          <w:rFonts w:ascii="黑体" w:eastAsia="黑体" w:hAnsi="黑体"/>
          <w:sz w:val="32"/>
          <w:szCs w:val="32"/>
        </w:rPr>
      </w:pPr>
      <w:bookmarkStart w:id="30" w:name="_Toc8391"/>
      <w:bookmarkStart w:id="31" w:name="_Toc4591"/>
      <w:r>
        <w:rPr>
          <w:rFonts w:ascii="黑体" w:eastAsia="黑体" w:hAnsi="黑体" w:hint="eastAsia"/>
          <w:sz w:val="32"/>
          <w:szCs w:val="32"/>
        </w:rPr>
        <w:t>（三）国有资产占用情况说明</w:t>
      </w:r>
      <w:bookmarkEnd w:id="30"/>
      <w:bookmarkEnd w:id="31"/>
    </w:p>
    <w:p w:rsidR="00B304D2" w:rsidRDefault="00647263">
      <w:pPr>
        <w:ind w:firstLineChars="200" w:firstLine="640"/>
        <w:rPr>
          <w:rFonts w:ascii="仿宋_GB2312" w:eastAsia="仿宋_GB2312"/>
          <w:sz w:val="32"/>
          <w:szCs w:val="32"/>
        </w:rPr>
      </w:pPr>
      <w:r>
        <w:rPr>
          <w:rFonts w:ascii="仿宋_GB2312" w:eastAsia="仿宋_GB2312" w:hint="eastAsia"/>
          <w:sz w:val="32"/>
          <w:szCs w:val="32"/>
        </w:rPr>
        <w:t>截止2021年12月31日，单位共有房屋</w:t>
      </w:r>
      <w:r>
        <w:rPr>
          <w:rFonts w:ascii="仿宋_GB2312" w:eastAsia="仿宋_GB2312"/>
          <w:sz w:val="32"/>
          <w:szCs w:val="32"/>
        </w:rPr>
        <w:t>0.00</w:t>
      </w:r>
      <w:r>
        <w:rPr>
          <w:rFonts w:ascii="仿宋_GB2312" w:eastAsia="仿宋_GB2312" w:hint="eastAsia"/>
          <w:sz w:val="32"/>
          <w:szCs w:val="32"/>
        </w:rPr>
        <w:t>（平方米），价值</w:t>
      </w:r>
      <w:r>
        <w:rPr>
          <w:rFonts w:ascii="仿宋_GB2312" w:eastAsia="仿宋_GB2312"/>
          <w:sz w:val="32"/>
          <w:szCs w:val="32"/>
        </w:rPr>
        <w:t>0.00</w:t>
      </w:r>
      <w:r>
        <w:rPr>
          <w:rFonts w:ascii="仿宋_GB2312" w:eastAsia="仿宋_GB2312" w:hint="eastAsia"/>
          <w:sz w:val="32"/>
          <w:szCs w:val="32"/>
        </w:rPr>
        <w:t>万元。车辆</w:t>
      </w:r>
      <w:r>
        <w:rPr>
          <w:rFonts w:ascii="仿宋_GB2312" w:eastAsia="仿宋_GB2312"/>
          <w:sz w:val="32"/>
          <w:szCs w:val="32"/>
        </w:rPr>
        <w:t>1</w:t>
      </w:r>
      <w:r>
        <w:rPr>
          <w:rFonts w:ascii="仿宋_GB2312" w:eastAsia="仿宋_GB2312" w:hint="eastAsia"/>
          <w:sz w:val="32"/>
          <w:szCs w:val="32"/>
        </w:rPr>
        <w:t>辆，价值</w:t>
      </w:r>
      <w:r>
        <w:rPr>
          <w:rFonts w:ascii="仿宋_GB2312" w:eastAsia="仿宋_GB2312"/>
          <w:sz w:val="32"/>
          <w:szCs w:val="32"/>
        </w:rPr>
        <w:t>5.26</w:t>
      </w:r>
      <w:r>
        <w:rPr>
          <w:rFonts w:ascii="仿宋_GB2312" w:eastAsia="仿宋_GB2312" w:hint="eastAsia"/>
          <w:sz w:val="32"/>
          <w:szCs w:val="32"/>
        </w:rPr>
        <w:t>万元，其中：副部（省）级及以上领导用车0辆、主要领导干部用车0辆、机要通信用车</w:t>
      </w:r>
      <w:r>
        <w:rPr>
          <w:rFonts w:ascii="仿宋_GB2312" w:eastAsia="仿宋_GB2312"/>
          <w:sz w:val="32"/>
          <w:szCs w:val="32"/>
        </w:rPr>
        <w:t>0</w:t>
      </w:r>
      <w:r>
        <w:rPr>
          <w:rFonts w:ascii="仿宋_GB2312" w:eastAsia="仿宋_GB2312" w:hint="eastAsia"/>
          <w:sz w:val="32"/>
          <w:szCs w:val="32"/>
        </w:rPr>
        <w:t>辆、应急保障用车</w:t>
      </w:r>
      <w:r>
        <w:rPr>
          <w:rFonts w:ascii="仿宋_GB2312" w:eastAsia="仿宋_GB2312"/>
          <w:sz w:val="32"/>
          <w:szCs w:val="32"/>
        </w:rPr>
        <w:t>0</w:t>
      </w:r>
      <w:r>
        <w:rPr>
          <w:rFonts w:ascii="仿宋_GB2312" w:eastAsia="仿宋_GB2312" w:hint="eastAsia"/>
          <w:sz w:val="32"/>
          <w:szCs w:val="32"/>
        </w:rPr>
        <w:t>辆、执法执勤用车</w:t>
      </w:r>
      <w:r>
        <w:rPr>
          <w:rFonts w:ascii="仿宋_GB2312" w:eastAsia="仿宋_GB2312"/>
          <w:sz w:val="32"/>
          <w:szCs w:val="32"/>
        </w:rPr>
        <w:t>0</w:t>
      </w:r>
      <w:r>
        <w:rPr>
          <w:rFonts w:ascii="仿宋_GB2312" w:eastAsia="仿宋_GB2312" w:hint="eastAsia"/>
          <w:sz w:val="32"/>
          <w:szCs w:val="32"/>
        </w:rPr>
        <w:t>辆、特种专业技术用车</w:t>
      </w:r>
      <w:r>
        <w:rPr>
          <w:rFonts w:ascii="仿宋_GB2312" w:eastAsia="仿宋_GB2312"/>
          <w:sz w:val="32"/>
          <w:szCs w:val="32"/>
        </w:rPr>
        <w:t>0</w:t>
      </w:r>
      <w:r>
        <w:rPr>
          <w:rFonts w:ascii="仿宋_GB2312" w:eastAsia="仿宋_GB2312" w:hint="eastAsia"/>
          <w:sz w:val="32"/>
          <w:szCs w:val="32"/>
        </w:rPr>
        <w:t>辆、离退休干部用车</w:t>
      </w:r>
      <w:r>
        <w:rPr>
          <w:rFonts w:ascii="仿宋_GB2312" w:eastAsia="仿宋_GB2312"/>
          <w:sz w:val="32"/>
          <w:szCs w:val="32"/>
        </w:rPr>
        <w:t>0</w:t>
      </w:r>
      <w:r>
        <w:rPr>
          <w:rFonts w:ascii="仿宋_GB2312" w:eastAsia="仿宋_GB2312" w:hint="eastAsia"/>
          <w:sz w:val="32"/>
          <w:szCs w:val="32"/>
        </w:rPr>
        <w:t>辆、其他用车</w:t>
      </w:r>
      <w:r>
        <w:rPr>
          <w:rFonts w:ascii="仿宋_GB2312" w:eastAsia="仿宋_GB2312"/>
          <w:sz w:val="32"/>
          <w:szCs w:val="32"/>
        </w:rPr>
        <w:t>1</w:t>
      </w:r>
      <w:r>
        <w:rPr>
          <w:rFonts w:ascii="仿宋_GB2312" w:eastAsia="仿宋_GB2312" w:hint="eastAsia"/>
          <w:sz w:val="32"/>
          <w:szCs w:val="32"/>
        </w:rPr>
        <w:t>辆，其他用车主要是：保证新疆维吾尔自治区建设工程招标投标服务中心正常运转；单位价值50万元以上通用设备</w:t>
      </w:r>
      <w:r>
        <w:rPr>
          <w:rFonts w:ascii="仿宋_GB2312" w:eastAsia="仿宋_GB2312"/>
          <w:sz w:val="32"/>
          <w:szCs w:val="32"/>
        </w:rPr>
        <w:t>0</w:t>
      </w:r>
      <w:r>
        <w:rPr>
          <w:rFonts w:ascii="仿宋_GB2312" w:eastAsia="仿宋_GB2312" w:hint="eastAsia"/>
          <w:sz w:val="32"/>
          <w:szCs w:val="32"/>
        </w:rPr>
        <w:t>台（套）、单位价值100万元以上专用设备</w:t>
      </w:r>
      <w:r>
        <w:rPr>
          <w:rFonts w:ascii="仿宋_GB2312" w:eastAsia="仿宋_GB2312"/>
          <w:sz w:val="32"/>
          <w:szCs w:val="32"/>
        </w:rPr>
        <w:t>0</w:t>
      </w:r>
      <w:r>
        <w:rPr>
          <w:rFonts w:ascii="仿宋_GB2312" w:eastAsia="仿宋_GB2312" w:hint="eastAsia"/>
          <w:sz w:val="32"/>
          <w:szCs w:val="32"/>
        </w:rPr>
        <w:t>台（套）。</w:t>
      </w:r>
    </w:p>
    <w:p w:rsidR="00B304D2" w:rsidRDefault="00647263">
      <w:pPr>
        <w:ind w:firstLineChars="200" w:firstLine="640"/>
        <w:outlineLvl w:val="1"/>
        <w:rPr>
          <w:rFonts w:ascii="黑体" w:eastAsia="黑体" w:hAnsi="黑体" w:cs="宋体"/>
          <w:bCs/>
          <w:kern w:val="0"/>
          <w:sz w:val="32"/>
          <w:szCs w:val="32"/>
        </w:rPr>
      </w:pPr>
      <w:bookmarkStart w:id="32" w:name="_Toc11283"/>
      <w:bookmarkStart w:id="33" w:name="_Toc435"/>
      <w:r>
        <w:rPr>
          <w:rFonts w:ascii="黑体" w:eastAsia="黑体" w:hAnsi="黑体" w:cs="宋体" w:hint="eastAsia"/>
          <w:bCs/>
          <w:kern w:val="0"/>
          <w:sz w:val="32"/>
          <w:szCs w:val="32"/>
        </w:rPr>
        <w:t>十一、预算绩效的情况说明</w:t>
      </w:r>
      <w:bookmarkEnd w:id="32"/>
      <w:bookmarkEnd w:id="33"/>
    </w:p>
    <w:p w:rsidR="00B304D2" w:rsidRDefault="00647263">
      <w:pPr>
        <w:pStyle w:val="HTML"/>
        <w:widowControl/>
        <w:shd w:val="clear" w:color="auto" w:fill="FFFFFF"/>
        <w:ind w:firstLineChars="200" w:firstLine="640"/>
        <w:rPr>
          <w:rFonts w:ascii="仿宋_GB2312" w:eastAsia="仿宋_GB2312" w:hint="default"/>
          <w:sz w:val="32"/>
          <w:szCs w:val="32"/>
        </w:rPr>
      </w:pPr>
      <w:r>
        <w:rPr>
          <w:rFonts w:ascii="仿宋_GB2312" w:eastAsia="仿宋_GB2312"/>
          <w:sz w:val="32"/>
          <w:szCs w:val="32"/>
        </w:rPr>
        <w:t>根据预算绩效管理要求，我单位2021年度开展预算绩效评价项目1个，共涉及资金10万元。预算绩效管理取得的成效：1、对新疆建设工程招标投标交易平台进行维护。 2、按照自治区规定，对全区房屋建筑和市政基础设施工程勘察、设计、施工、监理以及与工程建设有关的重要设备、材料采购招标投标相关服务工作。 3、对建设工程各方主体进行政</w:t>
      </w:r>
      <w:r>
        <w:rPr>
          <w:rFonts w:ascii="仿宋_GB2312" w:eastAsia="仿宋_GB2312"/>
          <w:sz w:val="32"/>
          <w:szCs w:val="32"/>
        </w:rPr>
        <w:lastRenderedPageBreak/>
        <w:t>策解读及服务咨询 。</w:t>
      </w:r>
      <w:r>
        <w:rPr>
          <w:rFonts w:ascii="仿宋_GB2312" w:eastAsia="仿宋_GB2312"/>
          <w:sz w:val="32"/>
          <w:szCs w:val="32"/>
        </w:rPr>
        <w:br/>
        <w:t>。发现的问题及原因：一是招标投标交易平台系统网络故障率、建设工程招标投标系统运行维护响应时间及建设工程招标投标系统故障修复处理时间均接近上限；建设工程招标投标交易平台年度维护成本高；招标投标交易平台使用点击量增长率、招标投标交易平台系统正常使用年限和招标投标交易平台使用人满意度不够，原因：因系统新旧更换</w:t>
      </w:r>
      <w:r>
        <w:rPr>
          <w:rFonts w:ascii="仿宋_GB2312" w:eastAsia="仿宋_GB2312"/>
          <w:sz w:val="32"/>
          <w:szCs w:val="32"/>
        </w:rPr>
        <w:br/>
        <w:t>二是远程异地评标重点推广地州进度不足，原因：因项目资金紧缺。下一步改进措施：加快系统新旧更换进度、积极沟通协调资金问题。具体项目自评情况</w:t>
      </w:r>
      <w:proofErr w:type="gramStart"/>
      <w:r>
        <w:rPr>
          <w:rFonts w:ascii="仿宋_GB2312" w:eastAsia="仿宋_GB2312"/>
          <w:sz w:val="32"/>
          <w:szCs w:val="32"/>
        </w:rPr>
        <w:t>附项目</w:t>
      </w:r>
      <w:proofErr w:type="gramEnd"/>
      <w:r>
        <w:rPr>
          <w:rFonts w:ascii="仿宋_GB2312" w:eastAsia="仿宋_GB2312"/>
          <w:sz w:val="32"/>
          <w:szCs w:val="32"/>
        </w:rPr>
        <w:t>支出绩效自评表。</w:t>
      </w:r>
    </w:p>
    <w:p w:rsidR="0069591E" w:rsidRDefault="00647263">
      <w:pPr>
        <w:rPr>
          <w:rFonts w:ascii="仿宋_GB2312" w:eastAsia="仿宋_GB2312"/>
          <w:sz w:val="32"/>
          <w:szCs w:val="32"/>
        </w:rPr>
      </w:pPr>
      <w:r>
        <w:rPr>
          <w:rFonts w:ascii="仿宋_GB2312" w:eastAsia="仿宋_GB2312"/>
          <w:sz w:val="32"/>
          <w:szCs w:val="32"/>
        </w:rPr>
        <w:br w:type="page"/>
      </w:r>
    </w:p>
    <w:p w:rsidR="00BF1545" w:rsidRDefault="00BF1545">
      <w:pPr>
        <w:rPr>
          <w:rFonts w:ascii="仿宋_GB2312" w:eastAsia="仿宋_GB2312"/>
          <w:sz w:val="32"/>
          <w:szCs w:val="32"/>
        </w:rPr>
        <w:sectPr w:rsidR="00BF1545" w:rsidSect="00BF1545">
          <w:footerReference w:type="default" r:id="rId8"/>
          <w:pgSz w:w="11906" w:h="16838"/>
          <w:pgMar w:top="1440" w:right="1800" w:bottom="1440" w:left="1800" w:header="851" w:footer="992" w:gutter="0"/>
          <w:cols w:space="720"/>
          <w:docGrid w:type="lines" w:linePitch="312"/>
        </w:sectPr>
      </w:pPr>
    </w:p>
    <w:p w:rsidR="00BF1545" w:rsidRDefault="00BF1545">
      <w:pPr>
        <w:rPr>
          <w:rFonts w:ascii="仿宋_GB2312" w:eastAsia="仿宋_GB2312"/>
          <w:sz w:val="32"/>
          <w:szCs w:val="32"/>
        </w:rPr>
      </w:pPr>
    </w:p>
    <w:tbl>
      <w:tblPr>
        <w:tblW w:w="13740" w:type="dxa"/>
        <w:tblInd w:w="93" w:type="dxa"/>
        <w:tblLook w:val="04A0"/>
      </w:tblPr>
      <w:tblGrid>
        <w:gridCol w:w="909"/>
        <w:gridCol w:w="910"/>
        <w:gridCol w:w="936"/>
        <w:gridCol w:w="1489"/>
        <w:gridCol w:w="1860"/>
        <w:gridCol w:w="881"/>
        <w:gridCol w:w="1298"/>
        <w:gridCol w:w="1168"/>
        <w:gridCol w:w="732"/>
        <w:gridCol w:w="662"/>
        <w:gridCol w:w="723"/>
        <w:gridCol w:w="584"/>
        <w:gridCol w:w="618"/>
        <w:gridCol w:w="970"/>
      </w:tblGrid>
      <w:tr w:rsidR="0069591E" w:rsidRPr="0069591E" w:rsidTr="0069591E">
        <w:trPr>
          <w:trHeight w:val="405"/>
        </w:trPr>
        <w:tc>
          <w:tcPr>
            <w:tcW w:w="13740" w:type="dxa"/>
            <w:gridSpan w:val="14"/>
            <w:tcBorders>
              <w:top w:val="nil"/>
              <w:left w:val="nil"/>
              <w:bottom w:val="nil"/>
              <w:right w:val="nil"/>
            </w:tcBorders>
            <w:shd w:val="clear" w:color="auto" w:fill="auto"/>
            <w:vAlign w:val="center"/>
            <w:hideMark/>
          </w:tcPr>
          <w:p w:rsidR="0069591E" w:rsidRPr="0069591E" w:rsidRDefault="0069591E" w:rsidP="0069591E">
            <w:pPr>
              <w:widowControl/>
              <w:jc w:val="center"/>
              <w:rPr>
                <w:rFonts w:ascii="宋体" w:hAnsi="宋体" w:cs="宋体"/>
                <w:b/>
                <w:bCs/>
                <w:color w:val="000000"/>
                <w:kern w:val="0"/>
                <w:sz w:val="32"/>
                <w:szCs w:val="32"/>
              </w:rPr>
            </w:pPr>
            <w:r w:rsidRPr="0069591E">
              <w:rPr>
                <w:rFonts w:ascii="宋体" w:hAnsi="宋体" w:cs="宋体" w:hint="eastAsia"/>
                <w:b/>
                <w:bCs/>
                <w:color w:val="000000"/>
                <w:kern w:val="0"/>
                <w:sz w:val="32"/>
                <w:szCs w:val="32"/>
              </w:rPr>
              <w:t>项目支出绩效自评表</w:t>
            </w:r>
          </w:p>
        </w:tc>
      </w:tr>
      <w:tr w:rsidR="0069591E" w:rsidRPr="0069591E" w:rsidTr="0069591E">
        <w:trPr>
          <w:trHeight w:val="270"/>
        </w:trPr>
        <w:tc>
          <w:tcPr>
            <w:tcW w:w="13740" w:type="dxa"/>
            <w:gridSpan w:val="14"/>
            <w:tcBorders>
              <w:top w:val="nil"/>
              <w:left w:val="nil"/>
              <w:bottom w:val="nil"/>
              <w:right w:val="nil"/>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(2021年度)</w:t>
            </w:r>
          </w:p>
        </w:tc>
      </w:tr>
      <w:tr w:rsidR="0069591E" w:rsidRPr="0069591E" w:rsidTr="0069591E">
        <w:trPr>
          <w:trHeight w:val="270"/>
        </w:trPr>
        <w:tc>
          <w:tcPr>
            <w:tcW w:w="18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项目名称</w:t>
            </w:r>
          </w:p>
        </w:tc>
        <w:tc>
          <w:tcPr>
            <w:tcW w:w="11921" w:type="dxa"/>
            <w:gridSpan w:val="12"/>
            <w:tcBorders>
              <w:top w:val="single" w:sz="4" w:space="0" w:color="auto"/>
              <w:left w:val="nil"/>
              <w:bottom w:val="single" w:sz="4" w:space="0" w:color="auto"/>
              <w:right w:val="single" w:sz="4" w:space="0" w:color="000000"/>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远程异地评标试推广</w:t>
            </w:r>
          </w:p>
        </w:tc>
      </w:tr>
      <w:tr w:rsidR="0069591E" w:rsidRPr="0069591E" w:rsidTr="0069591E">
        <w:trPr>
          <w:trHeight w:val="270"/>
        </w:trPr>
        <w:tc>
          <w:tcPr>
            <w:tcW w:w="181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主管部门</w:t>
            </w:r>
          </w:p>
        </w:tc>
        <w:tc>
          <w:tcPr>
            <w:tcW w:w="6464" w:type="dxa"/>
            <w:gridSpan w:val="5"/>
            <w:tcBorders>
              <w:top w:val="single" w:sz="4" w:space="0" w:color="auto"/>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新疆维吾尔自治区建设工程招标投标监督管理办公室</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实施单位</w:t>
            </w:r>
          </w:p>
        </w:tc>
        <w:tc>
          <w:tcPr>
            <w:tcW w:w="3557" w:type="dxa"/>
            <w:gridSpan w:val="5"/>
            <w:tcBorders>
              <w:top w:val="single" w:sz="4" w:space="0" w:color="auto"/>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新疆维吾尔自治区建设工程招标投标监督管理办公室</w:t>
            </w:r>
          </w:p>
        </w:tc>
      </w:tr>
      <w:tr w:rsidR="0069591E" w:rsidRPr="0069591E" w:rsidTr="0069591E">
        <w:trPr>
          <w:trHeight w:val="480"/>
        </w:trPr>
        <w:tc>
          <w:tcPr>
            <w:tcW w:w="181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项目资金</w:t>
            </w:r>
            <w:r w:rsidRPr="0069591E">
              <w:rPr>
                <w:rFonts w:ascii="宋体" w:hAnsi="宋体" w:cs="宋体" w:hint="eastAsia"/>
                <w:color w:val="000000"/>
                <w:kern w:val="0"/>
                <w:sz w:val="20"/>
                <w:szCs w:val="20"/>
              </w:rPr>
              <w:br/>
              <w:t>（万元）</w:t>
            </w:r>
          </w:p>
        </w:tc>
        <w:tc>
          <w:tcPr>
            <w:tcW w:w="2425" w:type="dxa"/>
            <w:gridSpan w:val="2"/>
            <w:tcBorders>
              <w:top w:val="single" w:sz="4" w:space="0" w:color="auto"/>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 xml:space="preserve">　</w:t>
            </w:r>
          </w:p>
        </w:tc>
        <w:tc>
          <w:tcPr>
            <w:tcW w:w="1860" w:type="dxa"/>
            <w:tcBorders>
              <w:top w:val="nil"/>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年初预算数</w:t>
            </w:r>
          </w:p>
        </w:tc>
        <w:tc>
          <w:tcPr>
            <w:tcW w:w="2179" w:type="dxa"/>
            <w:gridSpan w:val="2"/>
            <w:tcBorders>
              <w:top w:val="single" w:sz="4" w:space="0" w:color="auto"/>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全年预算数</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全年执行数</w:t>
            </w:r>
          </w:p>
        </w:tc>
        <w:tc>
          <w:tcPr>
            <w:tcW w:w="1385" w:type="dxa"/>
            <w:gridSpan w:val="2"/>
            <w:tcBorders>
              <w:top w:val="single" w:sz="4" w:space="0" w:color="auto"/>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分值</w:t>
            </w:r>
          </w:p>
        </w:tc>
        <w:tc>
          <w:tcPr>
            <w:tcW w:w="1202" w:type="dxa"/>
            <w:gridSpan w:val="2"/>
            <w:tcBorders>
              <w:top w:val="single" w:sz="4" w:space="0" w:color="auto"/>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执行率</w:t>
            </w:r>
          </w:p>
        </w:tc>
        <w:tc>
          <w:tcPr>
            <w:tcW w:w="970" w:type="dxa"/>
            <w:tcBorders>
              <w:top w:val="nil"/>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得分</w:t>
            </w:r>
          </w:p>
        </w:tc>
      </w:tr>
      <w:tr w:rsidR="0069591E" w:rsidRPr="0069591E" w:rsidTr="0069591E">
        <w:trPr>
          <w:trHeight w:val="439"/>
        </w:trPr>
        <w:tc>
          <w:tcPr>
            <w:tcW w:w="1819" w:type="dxa"/>
            <w:gridSpan w:val="2"/>
            <w:vMerge/>
            <w:tcBorders>
              <w:top w:val="single" w:sz="4" w:space="0" w:color="auto"/>
              <w:left w:val="single" w:sz="4" w:space="0" w:color="auto"/>
              <w:bottom w:val="single" w:sz="4" w:space="0" w:color="auto"/>
              <w:right w:val="single" w:sz="4" w:space="0" w:color="auto"/>
            </w:tcBorders>
            <w:vAlign w:val="center"/>
            <w:hideMark/>
          </w:tcPr>
          <w:p w:rsidR="0069591E" w:rsidRPr="0069591E" w:rsidRDefault="0069591E" w:rsidP="0069591E">
            <w:pPr>
              <w:widowControl/>
              <w:jc w:val="left"/>
              <w:rPr>
                <w:rFonts w:ascii="宋体" w:hAnsi="宋体" w:cs="宋体"/>
                <w:color w:val="000000"/>
                <w:kern w:val="0"/>
                <w:sz w:val="20"/>
                <w:szCs w:val="20"/>
              </w:rPr>
            </w:pPr>
          </w:p>
        </w:tc>
        <w:tc>
          <w:tcPr>
            <w:tcW w:w="2425" w:type="dxa"/>
            <w:gridSpan w:val="2"/>
            <w:tcBorders>
              <w:top w:val="single" w:sz="4" w:space="0" w:color="auto"/>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年度资金总额</w:t>
            </w:r>
          </w:p>
        </w:tc>
        <w:tc>
          <w:tcPr>
            <w:tcW w:w="1860" w:type="dxa"/>
            <w:tcBorders>
              <w:top w:val="nil"/>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10.00</w:t>
            </w:r>
          </w:p>
        </w:tc>
        <w:tc>
          <w:tcPr>
            <w:tcW w:w="2179" w:type="dxa"/>
            <w:gridSpan w:val="2"/>
            <w:tcBorders>
              <w:top w:val="single" w:sz="4" w:space="0" w:color="auto"/>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10.00</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10.00</w:t>
            </w:r>
          </w:p>
        </w:tc>
        <w:tc>
          <w:tcPr>
            <w:tcW w:w="1385" w:type="dxa"/>
            <w:gridSpan w:val="2"/>
            <w:tcBorders>
              <w:top w:val="single" w:sz="4" w:space="0" w:color="auto"/>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10</w:t>
            </w:r>
          </w:p>
        </w:tc>
        <w:tc>
          <w:tcPr>
            <w:tcW w:w="1202" w:type="dxa"/>
            <w:gridSpan w:val="2"/>
            <w:tcBorders>
              <w:top w:val="single" w:sz="4" w:space="0" w:color="auto"/>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100.00%</w:t>
            </w:r>
          </w:p>
        </w:tc>
        <w:tc>
          <w:tcPr>
            <w:tcW w:w="970" w:type="dxa"/>
            <w:tcBorders>
              <w:top w:val="nil"/>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10.00分</w:t>
            </w:r>
          </w:p>
        </w:tc>
      </w:tr>
      <w:tr w:rsidR="0069591E" w:rsidRPr="0069591E" w:rsidTr="0069591E">
        <w:trPr>
          <w:trHeight w:val="439"/>
        </w:trPr>
        <w:tc>
          <w:tcPr>
            <w:tcW w:w="1819" w:type="dxa"/>
            <w:gridSpan w:val="2"/>
            <w:vMerge/>
            <w:tcBorders>
              <w:top w:val="single" w:sz="4" w:space="0" w:color="auto"/>
              <w:left w:val="single" w:sz="4" w:space="0" w:color="auto"/>
              <w:bottom w:val="single" w:sz="4" w:space="0" w:color="auto"/>
              <w:right w:val="single" w:sz="4" w:space="0" w:color="auto"/>
            </w:tcBorders>
            <w:vAlign w:val="center"/>
            <w:hideMark/>
          </w:tcPr>
          <w:p w:rsidR="0069591E" w:rsidRPr="0069591E" w:rsidRDefault="0069591E" w:rsidP="0069591E">
            <w:pPr>
              <w:widowControl/>
              <w:jc w:val="left"/>
              <w:rPr>
                <w:rFonts w:ascii="宋体" w:hAnsi="宋体" w:cs="宋体"/>
                <w:color w:val="000000"/>
                <w:kern w:val="0"/>
                <w:sz w:val="20"/>
                <w:szCs w:val="20"/>
              </w:rPr>
            </w:pPr>
          </w:p>
        </w:tc>
        <w:tc>
          <w:tcPr>
            <w:tcW w:w="2425" w:type="dxa"/>
            <w:gridSpan w:val="2"/>
            <w:tcBorders>
              <w:top w:val="single" w:sz="4" w:space="0" w:color="auto"/>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其中：当年财政拨款</w:t>
            </w:r>
          </w:p>
        </w:tc>
        <w:tc>
          <w:tcPr>
            <w:tcW w:w="1860" w:type="dxa"/>
            <w:tcBorders>
              <w:top w:val="nil"/>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10</w:t>
            </w:r>
          </w:p>
        </w:tc>
        <w:tc>
          <w:tcPr>
            <w:tcW w:w="2179" w:type="dxa"/>
            <w:gridSpan w:val="2"/>
            <w:tcBorders>
              <w:top w:val="single" w:sz="4" w:space="0" w:color="auto"/>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10</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 xml:space="preserve">　</w:t>
            </w:r>
          </w:p>
        </w:tc>
        <w:tc>
          <w:tcPr>
            <w:tcW w:w="1385" w:type="dxa"/>
            <w:gridSpan w:val="2"/>
            <w:tcBorders>
              <w:top w:val="single" w:sz="4" w:space="0" w:color="auto"/>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w:t>
            </w:r>
          </w:p>
        </w:tc>
        <w:tc>
          <w:tcPr>
            <w:tcW w:w="1202" w:type="dxa"/>
            <w:gridSpan w:val="2"/>
            <w:tcBorders>
              <w:top w:val="single" w:sz="4" w:space="0" w:color="auto"/>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w:t>
            </w:r>
          </w:p>
        </w:tc>
        <w:tc>
          <w:tcPr>
            <w:tcW w:w="970" w:type="dxa"/>
            <w:tcBorders>
              <w:top w:val="nil"/>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w:t>
            </w:r>
          </w:p>
        </w:tc>
      </w:tr>
      <w:tr w:rsidR="0069591E" w:rsidRPr="0069591E" w:rsidTr="0069591E">
        <w:trPr>
          <w:trHeight w:val="439"/>
        </w:trPr>
        <w:tc>
          <w:tcPr>
            <w:tcW w:w="1819" w:type="dxa"/>
            <w:gridSpan w:val="2"/>
            <w:vMerge/>
            <w:tcBorders>
              <w:top w:val="single" w:sz="4" w:space="0" w:color="auto"/>
              <w:left w:val="single" w:sz="4" w:space="0" w:color="auto"/>
              <w:bottom w:val="single" w:sz="4" w:space="0" w:color="auto"/>
              <w:right w:val="single" w:sz="4" w:space="0" w:color="auto"/>
            </w:tcBorders>
            <w:vAlign w:val="center"/>
            <w:hideMark/>
          </w:tcPr>
          <w:p w:rsidR="0069591E" w:rsidRPr="0069591E" w:rsidRDefault="0069591E" w:rsidP="0069591E">
            <w:pPr>
              <w:widowControl/>
              <w:jc w:val="left"/>
              <w:rPr>
                <w:rFonts w:ascii="宋体" w:hAnsi="宋体" w:cs="宋体"/>
                <w:color w:val="000000"/>
                <w:kern w:val="0"/>
                <w:sz w:val="20"/>
                <w:szCs w:val="20"/>
              </w:rPr>
            </w:pPr>
          </w:p>
        </w:tc>
        <w:tc>
          <w:tcPr>
            <w:tcW w:w="2425" w:type="dxa"/>
            <w:gridSpan w:val="2"/>
            <w:tcBorders>
              <w:top w:val="single" w:sz="4" w:space="0" w:color="auto"/>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 xml:space="preserve">      上年结转资金</w:t>
            </w:r>
          </w:p>
        </w:tc>
        <w:tc>
          <w:tcPr>
            <w:tcW w:w="1860" w:type="dxa"/>
            <w:tcBorders>
              <w:top w:val="nil"/>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0</w:t>
            </w:r>
          </w:p>
        </w:tc>
        <w:tc>
          <w:tcPr>
            <w:tcW w:w="2179" w:type="dxa"/>
            <w:gridSpan w:val="2"/>
            <w:tcBorders>
              <w:top w:val="single" w:sz="4" w:space="0" w:color="auto"/>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0</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 xml:space="preserve">　</w:t>
            </w:r>
          </w:p>
        </w:tc>
        <w:tc>
          <w:tcPr>
            <w:tcW w:w="1385" w:type="dxa"/>
            <w:gridSpan w:val="2"/>
            <w:tcBorders>
              <w:top w:val="single" w:sz="4" w:space="0" w:color="auto"/>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w:t>
            </w:r>
          </w:p>
        </w:tc>
        <w:tc>
          <w:tcPr>
            <w:tcW w:w="1202" w:type="dxa"/>
            <w:gridSpan w:val="2"/>
            <w:tcBorders>
              <w:top w:val="single" w:sz="4" w:space="0" w:color="auto"/>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w:t>
            </w:r>
          </w:p>
        </w:tc>
        <w:tc>
          <w:tcPr>
            <w:tcW w:w="970" w:type="dxa"/>
            <w:tcBorders>
              <w:top w:val="nil"/>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w:t>
            </w:r>
          </w:p>
        </w:tc>
      </w:tr>
      <w:tr w:rsidR="0069591E" w:rsidRPr="0069591E" w:rsidTr="0069591E">
        <w:trPr>
          <w:trHeight w:val="439"/>
        </w:trPr>
        <w:tc>
          <w:tcPr>
            <w:tcW w:w="1819" w:type="dxa"/>
            <w:gridSpan w:val="2"/>
            <w:vMerge/>
            <w:tcBorders>
              <w:top w:val="single" w:sz="4" w:space="0" w:color="auto"/>
              <w:left w:val="single" w:sz="4" w:space="0" w:color="auto"/>
              <w:bottom w:val="single" w:sz="4" w:space="0" w:color="auto"/>
              <w:right w:val="single" w:sz="4" w:space="0" w:color="auto"/>
            </w:tcBorders>
            <w:vAlign w:val="center"/>
            <w:hideMark/>
          </w:tcPr>
          <w:p w:rsidR="0069591E" w:rsidRPr="0069591E" w:rsidRDefault="0069591E" w:rsidP="0069591E">
            <w:pPr>
              <w:widowControl/>
              <w:jc w:val="left"/>
              <w:rPr>
                <w:rFonts w:ascii="宋体" w:hAnsi="宋体" w:cs="宋体"/>
                <w:color w:val="000000"/>
                <w:kern w:val="0"/>
                <w:sz w:val="20"/>
                <w:szCs w:val="20"/>
              </w:rPr>
            </w:pPr>
          </w:p>
        </w:tc>
        <w:tc>
          <w:tcPr>
            <w:tcW w:w="2425" w:type="dxa"/>
            <w:gridSpan w:val="2"/>
            <w:tcBorders>
              <w:top w:val="single" w:sz="4" w:space="0" w:color="auto"/>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 xml:space="preserve">  其他资金</w:t>
            </w:r>
          </w:p>
        </w:tc>
        <w:tc>
          <w:tcPr>
            <w:tcW w:w="1860" w:type="dxa"/>
            <w:tcBorders>
              <w:top w:val="nil"/>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0</w:t>
            </w:r>
          </w:p>
        </w:tc>
        <w:tc>
          <w:tcPr>
            <w:tcW w:w="2179" w:type="dxa"/>
            <w:gridSpan w:val="2"/>
            <w:tcBorders>
              <w:top w:val="single" w:sz="4" w:space="0" w:color="auto"/>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0</w:t>
            </w:r>
          </w:p>
        </w:tc>
        <w:tc>
          <w:tcPr>
            <w:tcW w:w="1900" w:type="dxa"/>
            <w:gridSpan w:val="2"/>
            <w:tcBorders>
              <w:top w:val="single" w:sz="4" w:space="0" w:color="auto"/>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 xml:space="preserve">　</w:t>
            </w:r>
          </w:p>
        </w:tc>
        <w:tc>
          <w:tcPr>
            <w:tcW w:w="1385" w:type="dxa"/>
            <w:gridSpan w:val="2"/>
            <w:tcBorders>
              <w:top w:val="single" w:sz="4" w:space="0" w:color="auto"/>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w:t>
            </w:r>
          </w:p>
        </w:tc>
        <w:tc>
          <w:tcPr>
            <w:tcW w:w="1202" w:type="dxa"/>
            <w:gridSpan w:val="2"/>
            <w:tcBorders>
              <w:top w:val="single" w:sz="4" w:space="0" w:color="auto"/>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w:t>
            </w:r>
          </w:p>
        </w:tc>
        <w:tc>
          <w:tcPr>
            <w:tcW w:w="970" w:type="dxa"/>
            <w:tcBorders>
              <w:top w:val="nil"/>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w:t>
            </w:r>
          </w:p>
        </w:tc>
      </w:tr>
      <w:tr w:rsidR="0069591E" w:rsidRPr="0069591E" w:rsidTr="0069591E">
        <w:trPr>
          <w:trHeight w:val="270"/>
        </w:trPr>
        <w:tc>
          <w:tcPr>
            <w:tcW w:w="909" w:type="dxa"/>
            <w:vMerge w:val="restart"/>
            <w:tcBorders>
              <w:top w:val="nil"/>
              <w:left w:val="single" w:sz="4" w:space="0" w:color="auto"/>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年度总体目标</w:t>
            </w:r>
          </w:p>
        </w:tc>
        <w:tc>
          <w:tcPr>
            <w:tcW w:w="7374" w:type="dxa"/>
            <w:gridSpan w:val="6"/>
            <w:tcBorders>
              <w:top w:val="single" w:sz="4" w:space="0" w:color="auto"/>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预期目标</w:t>
            </w:r>
          </w:p>
        </w:tc>
        <w:tc>
          <w:tcPr>
            <w:tcW w:w="5457" w:type="dxa"/>
            <w:gridSpan w:val="7"/>
            <w:tcBorders>
              <w:top w:val="single" w:sz="4" w:space="0" w:color="auto"/>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实际完成情况</w:t>
            </w:r>
          </w:p>
        </w:tc>
      </w:tr>
      <w:tr w:rsidR="0069591E" w:rsidRPr="0069591E" w:rsidTr="0069591E">
        <w:trPr>
          <w:trHeight w:val="540"/>
        </w:trPr>
        <w:tc>
          <w:tcPr>
            <w:tcW w:w="909" w:type="dxa"/>
            <w:vMerge/>
            <w:tcBorders>
              <w:top w:val="nil"/>
              <w:left w:val="single" w:sz="4" w:space="0" w:color="auto"/>
              <w:bottom w:val="single" w:sz="4" w:space="0" w:color="auto"/>
              <w:right w:val="single" w:sz="4" w:space="0" w:color="auto"/>
            </w:tcBorders>
            <w:vAlign w:val="center"/>
            <w:hideMark/>
          </w:tcPr>
          <w:p w:rsidR="0069591E" w:rsidRPr="0069591E" w:rsidRDefault="0069591E" w:rsidP="0069591E">
            <w:pPr>
              <w:widowControl/>
              <w:jc w:val="left"/>
              <w:rPr>
                <w:rFonts w:ascii="宋体" w:hAnsi="宋体" w:cs="宋体"/>
                <w:color w:val="000000"/>
                <w:kern w:val="0"/>
                <w:sz w:val="20"/>
                <w:szCs w:val="20"/>
              </w:rPr>
            </w:pPr>
          </w:p>
        </w:tc>
        <w:tc>
          <w:tcPr>
            <w:tcW w:w="7374" w:type="dxa"/>
            <w:gridSpan w:val="6"/>
            <w:tcBorders>
              <w:top w:val="single" w:sz="4" w:space="0" w:color="auto"/>
              <w:left w:val="nil"/>
              <w:bottom w:val="single" w:sz="4" w:space="0" w:color="auto"/>
              <w:right w:val="single" w:sz="4" w:space="0" w:color="000000"/>
            </w:tcBorders>
            <w:shd w:val="clear" w:color="auto" w:fill="auto"/>
            <w:hideMark/>
          </w:tcPr>
          <w:p w:rsidR="0069591E" w:rsidRPr="0069591E" w:rsidRDefault="0069591E" w:rsidP="0069591E">
            <w:pPr>
              <w:widowControl/>
              <w:jc w:val="left"/>
              <w:rPr>
                <w:rFonts w:ascii="宋体" w:hAnsi="宋体" w:cs="宋体"/>
                <w:color w:val="000000"/>
                <w:kern w:val="0"/>
                <w:sz w:val="20"/>
                <w:szCs w:val="20"/>
              </w:rPr>
            </w:pPr>
            <w:r w:rsidRPr="0069591E">
              <w:rPr>
                <w:rFonts w:ascii="宋体" w:hAnsi="宋体" w:cs="宋体" w:hint="eastAsia"/>
                <w:color w:val="000000"/>
                <w:kern w:val="0"/>
                <w:sz w:val="20"/>
                <w:szCs w:val="20"/>
              </w:rPr>
              <w:t>1、对新疆建设工程招标投标交易平台进行维护。 2、按照自治区规定，对全区房屋建筑和市政基础设施工程勘察、设计、施工、监理以及与工程建设有关的重要设备、材料采购招标投标相关服务工作。 3、对建设工程各方主体进行政策解读及服务咨询 。</w:t>
            </w:r>
          </w:p>
        </w:tc>
        <w:tc>
          <w:tcPr>
            <w:tcW w:w="5457" w:type="dxa"/>
            <w:gridSpan w:val="7"/>
            <w:tcBorders>
              <w:top w:val="single" w:sz="4" w:space="0" w:color="auto"/>
              <w:left w:val="nil"/>
              <w:bottom w:val="single" w:sz="4" w:space="0" w:color="auto"/>
              <w:right w:val="single" w:sz="4" w:space="0" w:color="000000"/>
            </w:tcBorders>
            <w:shd w:val="clear" w:color="auto" w:fill="auto"/>
            <w:hideMark/>
          </w:tcPr>
          <w:p w:rsidR="0069591E" w:rsidRPr="0069591E" w:rsidRDefault="0069591E" w:rsidP="0069591E">
            <w:pPr>
              <w:widowControl/>
              <w:jc w:val="left"/>
              <w:rPr>
                <w:rFonts w:ascii="宋体" w:hAnsi="宋体" w:cs="宋体"/>
                <w:color w:val="000000"/>
                <w:kern w:val="0"/>
                <w:sz w:val="20"/>
                <w:szCs w:val="20"/>
              </w:rPr>
            </w:pPr>
            <w:r w:rsidRPr="0069591E">
              <w:rPr>
                <w:rFonts w:ascii="宋体" w:hAnsi="宋体" w:cs="宋体" w:hint="eastAsia"/>
                <w:color w:val="000000"/>
                <w:kern w:val="0"/>
                <w:sz w:val="20"/>
                <w:szCs w:val="20"/>
              </w:rPr>
              <w:t>1、对新疆建设工程招标投标交易平台进行维护。 2、按照自治区规定，对全区房屋建筑和市政基础设施工程勘察、设计、施工、监理以及与工程建设有关的重要设备、材料采购招标投标相关服务工作。 3、对建设工程各方主体进行政策解读及服务咨询 。</w:t>
            </w:r>
          </w:p>
        </w:tc>
      </w:tr>
      <w:tr w:rsidR="0069591E" w:rsidRPr="0069591E" w:rsidTr="0069591E">
        <w:trPr>
          <w:trHeight w:val="312"/>
        </w:trPr>
        <w:tc>
          <w:tcPr>
            <w:tcW w:w="909" w:type="dxa"/>
            <w:vMerge w:val="restart"/>
            <w:tcBorders>
              <w:top w:val="nil"/>
              <w:left w:val="single" w:sz="4" w:space="0" w:color="auto"/>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 xml:space="preserve">　</w:t>
            </w:r>
          </w:p>
        </w:tc>
        <w:tc>
          <w:tcPr>
            <w:tcW w:w="910" w:type="dxa"/>
            <w:vMerge w:val="restart"/>
            <w:tcBorders>
              <w:top w:val="nil"/>
              <w:left w:val="single" w:sz="4" w:space="0" w:color="auto"/>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一级指标</w:t>
            </w:r>
          </w:p>
        </w:tc>
        <w:tc>
          <w:tcPr>
            <w:tcW w:w="936" w:type="dxa"/>
            <w:vMerge w:val="restart"/>
            <w:tcBorders>
              <w:top w:val="nil"/>
              <w:left w:val="single" w:sz="4" w:space="0" w:color="auto"/>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二级指标</w:t>
            </w:r>
          </w:p>
        </w:tc>
        <w:tc>
          <w:tcPr>
            <w:tcW w:w="423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三级指标</w:t>
            </w:r>
          </w:p>
        </w:tc>
        <w:tc>
          <w:tcPr>
            <w:tcW w:w="1298" w:type="dxa"/>
            <w:vMerge w:val="restart"/>
            <w:tcBorders>
              <w:top w:val="nil"/>
              <w:left w:val="single" w:sz="4" w:space="0" w:color="auto"/>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年度指标值</w:t>
            </w:r>
          </w:p>
        </w:tc>
        <w:tc>
          <w:tcPr>
            <w:tcW w:w="1168" w:type="dxa"/>
            <w:vMerge w:val="restart"/>
            <w:tcBorders>
              <w:top w:val="nil"/>
              <w:left w:val="single" w:sz="4" w:space="0" w:color="auto"/>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实际完成值</w:t>
            </w:r>
          </w:p>
        </w:tc>
        <w:tc>
          <w:tcPr>
            <w:tcW w:w="139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分值</w:t>
            </w:r>
          </w:p>
        </w:tc>
        <w:tc>
          <w:tcPr>
            <w:tcW w:w="13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得分</w:t>
            </w:r>
          </w:p>
        </w:tc>
        <w:tc>
          <w:tcPr>
            <w:tcW w:w="158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偏差原因分析及改进措施</w:t>
            </w:r>
          </w:p>
        </w:tc>
      </w:tr>
      <w:tr w:rsidR="0069591E" w:rsidRPr="0069591E" w:rsidTr="0069591E">
        <w:trPr>
          <w:trHeight w:val="312"/>
        </w:trPr>
        <w:tc>
          <w:tcPr>
            <w:tcW w:w="909" w:type="dxa"/>
            <w:vMerge/>
            <w:tcBorders>
              <w:top w:val="nil"/>
              <w:left w:val="single" w:sz="4" w:space="0" w:color="auto"/>
              <w:bottom w:val="single" w:sz="4" w:space="0" w:color="auto"/>
              <w:right w:val="single" w:sz="4" w:space="0" w:color="auto"/>
            </w:tcBorders>
            <w:vAlign w:val="center"/>
            <w:hideMark/>
          </w:tcPr>
          <w:p w:rsidR="0069591E" w:rsidRPr="0069591E" w:rsidRDefault="0069591E" w:rsidP="0069591E">
            <w:pPr>
              <w:widowControl/>
              <w:jc w:val="left"/>
              <w:rPr>
                <w:rFonts w:ascii="宋体" w:hAnsi="宋体" w:cs="宋体"/>
                <w:color w:val="000000"/>
                <w:kern w:val="0"/>
                <w:sz w:val="20"/>
                <w:szCs w:val="20"/>
              </w:rPr>
            </w:pPr>
          </w:p>
        </w:tc>
        <w:tc>
          <w:tcPr>
            <w:tcW w:w="910" w:type="dxa"/>
            <w:vMerge/>
            <w:tcBorders>
              <w:top w:val="nil"/>
              <w:left w:val="single" w:sz="4" w:space="0" w:color="auto"/>
              <w:bottom w:val="single" w:sz="4" w:space="0" w:color="auto"/>
              <w:right w:val="single" w:sz="4" w:space="0" w:color="auto"/>
            </w:tcBorders>
            <w:vAlign w:val="center"/>
            <w:hideMark/>
          </w:tcPr>
          <w:p w:rsidR="0069591E" w:rsidRPr="0069591E" w:rsidRDefault="0069591E" w:rsidP="0069591E">
            <w:pPr>
              <w:widowControl/>
              <w:jc w:val="left"/>
              <w:rPr>
                <w:rFonts w:ascii="宋体" w:hAnsi="宋体" w:cs="宋体"/>
                <w:color w:val="000000"/>
                <w:kern w:val="0"/>
                <w:sz w:val="20"/>
                <w:szCs w:val="20"/>
              </w:rPr>
            </w:pPr>
          </w:p>
        </w:tc>
        <w:tc>
          <w:tcPr>
            <w:tcW w:w="936" w:type="dxa"/>
            <w:vMerge/>
            <w:tcBorders>
              <w:top w:val="nil"/>
              <w:left w:val="single" w:sz="4" w:space="0" w:color="auto"/>
              <w:bottom w:val="single" w:sz="4" w:space="0" w:color="auto"/>
              <w:right w:val="single" w:sz="4" w:space="0" w:color="auto"/>
            </w:tcBorders>
            <w:vAlign w:val="center"/>
            <w:hideMark/>
          </w:tcPr>
          <w:p w:rsidR="0069591E" w:rsidRPr="0069591E" w:rsidRDefault="0069591E" w:rsidP="0069591E">
            <w:pPr>
              <w:widowControl/>
              <w:jc w:val="left"/>
              <w:rPr>
                <w:rFonts w:ascii="宋体" w:hAnsi="宋体" w:cs="宋体"/>
                <w:color w:val="000000"/>
                <w:kern w:val="0"/>
                <w:sz w:val="20"/>
                <w:szCs w:val="20"/>
              </w:rPr>
            </w:pPr>
          </w:p>
        </w:tc>
        <w:tc>
          <w:tcPr>
            <w:tcW w:w="4230" w:type="dxa"/>
            <w:gridSpan w:val="3"/>
            <w:vMerge/>
            <w:tcBorders>
              <w:top w:val="single" w:sz="4" w:space="0" w:color="auto"/>
              <w:left w:val="single" w:sz="4" w:space="0" w:color="auto"/>
              <w:bottom w:val="single" w:sz="4" w:space="0" w:color="auto"/>
              <w:right w:val="single" w:sz="4" w:space="0" w:color="auto"/>
            </w:tcBorders>
            <w:vAlign w:val="center"/>
            <w:hideMark/>
          </w:tcPr>
          <w:p w:rsidR="0069591E" w:rsidRPr="0069591E" w:rsidRDefault="0069591E" w:rsidP="0069591E">
            <w:pPr>
              <w:widowControl/>
              <w:jc w:val="left"/>
              <w:rPr>
                <w:rFonts w:ascii="宋体" w:hAnsi="宋体" w:cs="宋体"/>
                <w:color w:val="000000"/>
                <w:kern w:val="0"/>
                <w:sz w:val="20"/>
                <w:szCs w:val="20"/>
              </w:rPr>
            </w:pPr>
          </w:p>
        </w:tc>
        <w:tc>
          <w:tcPr>
            <w:tcW w:w="1298" w:type="dxa"/>
            <w:vMerge/>
            <w:tcBorders>
              <w:top w:val="nil"/>
              <w:left w:val="single" w:sz="4" w:space="0" w:color="auto"/>
              <w:bottom w:val="single" w:sz="4" w:space="0" w:color="auto"/>
              <w:right w:val="single" w:sz="4" w:space="0" w:color="auto"/>
            </w:tcBorders>
            <w:vAlign w:val="center"/>
            <w:hideMark/>
          </w:tcPr>
          <w:p w:rsidR="0069591E" w:rsidRPr="0069591E" w:rsidRDefault="0069591E" w:rsidP="0069591E">
            <w:pPr>
              <w:widowControl/>
              <w:jc w:val="left"/>
              <w:rPr>
                <w:rFonts w:ascii="宋体" w:hAnsi="宋体" w:cs="宋体"/>
                <w:color w:val="000000"/>
                <w:kern w:val="0"/>
                <w:sz w:val="20"/>
                <w:szCs w:val="20"/>
              </w:rPr>
            </w:pPr>
          </w:p>
        </w:tc>
        <w:tc>
          <w:tcPr>
            <w:tcW w:w="1168" w:type="dxa"/>
            <w:vMerge/>
            <w:tcBorders>
              <w:top w:val="nil"/>
              <w:left w:val="single" w:sz="4" w:space="0" w:color="auto"/>
              <w:bottom w:val="single" w:sz="4" w:space="0" w:color="auto"/>
              <w:right w:val="single" w:sz="4" w:space="0" w:color="auto"/>
            </w:tcBorders>
            <w:vAlign w:val="center"/>
            <w:hideMark/>
          </w:tcPr>
          <w:p w:rsidR="0069591E" w:rsidRPr="0069591E" w:rsidRDefault="0069591E" w:rsidP="0069591E">
            <w:pPr>
              <w:widowControl/>
              <w:jc w:val="left"/>
              <w:rPr>
                <w:rFonts w:ascii="宋体" w:hAnsi="宋体" w:cs="宋体"/>
                <w:color w:val="000000"/>
                <w:kern w:val="0"/>
                <w:sz w:val="20"/>
                <w:szCs w:val="20"/>
              </w:rPr>
            </w:pPr>
          </w:p>
        </w:tc>
        <w:tc>
          <w:tcPr>
            <w:tcW w:w="1394" w:type="dxa"/>
            <w:gridSpan w:val="2"/>
            <w:vMerge/>
            <w:tcBorders>
              <w:top w:val="single" w:sz="4" w:space="0" w:color="auto"/>
              <w:left w:val="single" w:sz="4" w:space="0" w:color="auto"/>
              <w:bottom w:val="single" w:sz="4" w:space="0" w:color="auto"/>
              <w:right w:val="single" w:sz="4" w:space="0" w:color="auto"/>
            </w:tcBorders>
            <w:vAlign w:val="center"/>
            <w:hideMark/>
          </w:tcPr>
          <w:p w:rsidR="0069591E" w:rsidRPr="0069591E" w:rsidRDefault="0069591E" w:rsidP="0069591E">
            <w:pPr>
              <w:widowControl/>
              <w:jc w:val="left"/>
              <w:rPr>
                <w:rFonts w:ascii="宋体" w:hAnsi="宋体" w:cs="宋体"/>
                <w:color w:val="000000"/>
                <w:kern w:val="0"/>
                <w:sz w:val="20"/>
                <w:szCs w:val="20"/>
              </w:rPr>
            </w:pPr>
          </w:p>
        </w:tc>
        <w:tc>
          <w:tcPr>
            <w:tcW w:w="1307" w:type="dxa"/>
            <w:gridSpan w:val="2"/>
            <w:vMerge/>
            <w:tcBorders>
              <w:top w:val="single" w:sz="4" w:space="0" w:color="auto"/>
              <w:left w:val="single" w:sz="4" w:space="0" w:color="auto"/>
              <w:bottom w:val="single" w:sz="4" w:space="0" w:color="auto"/>
              <w:right w:val="single" w:sz="4" w:space="0" w:color="auto"/>
            </w:tcBorders>
            <w:vAlign w:val="center"/>
            <w:hideMark/>
          </w:tcPr>
          <w:p w:rsidR="0069591E" w:rsidRPr="0069591E" w:rsidRDefault="0069591E" w:rsidP="0069591E">
            <w:pPr>
              <w:widowControl/>
              <w:jc w:val="left"/>
              <w:rPr>
                <w:rFonts w:ascii="宋体" w:hAnsi="宋体" w:cs="宋体"/>
                <w:color w:val="000000"/>
                <w:kern w:val="0"/>
                <w:sz w:val="20"/>
                <w:szCs w:val="20"/>
              </w:rPr>
            </w:pPr>
          </w:p>
        </w:tc>
        <w:tc>
          <w:tcPr>
            <w:tcW w:w="1588" w:type="dxa"/>
            <w:gridSpan w:val="2"/>
            <w:vMerge/>
            <w:tcBorders>
              <w:top w:val="single" w:sz="4" w:space="0" w:color="auto"/>
              <w:left w:val="single" w:sz="4" w:space="0" w:color="auto"/>
              <w:bottom w:val="single" w:sz="4" w:space="0" w:color="auto"/>
              <w:right w:val="single" w:sz="4" w:space="0" w:color="auto"/>
            </w:tcBorders>
            <w:vAlign w:val="center"/>
            <w:hideMark/>
          </w:tcPr>
          <w:p w:rsidR="0069591E" w:rsidRPr="0069591E" w:rsidRDefault="0069591E" w:rsidP="0069591E">
            <w:pPr>
              <w:widowControl/>
              <w:jc w:val="left"/>
              <w:rPr>
                <w:rFonts w:ascii="宋体" w:hAnsi="宋体" w:cs="宋体"/>
                <w:color w:val="000000"/>
                <w:kern w:val="0"/>
                <w:sz w:val="20"/>
                <w:szCs w:val="20"/>
              </w:rPr>
            </w:pPr>
          </w:p>
        </w:tc>
      </w:tr>
      <w:tr w:rsidR="0069591E" w:rsidRPr="0069591E" w:rsidTr="0069591E">
        <w:trPr>
          <w:trHeight w:val="402"/>
        </w:trPr>
        <w:tc>
          <w:tcPr>
            <w:tcW w:w="909" w:type="dxa"/>
            <w:vMerge w:val="restart"/>
            <w:tcBorders>
              <w:top w:val="nil"/>
              <w:left w:val="single" w:sz="4" w:space="0" w:color="auto"/>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年度绩效指标</w:t>
            </w:r>
            <w:r w:rsidRPr="0069591E">
              <w:rPr>
                <w:rFonts w:ascii="宋体" w:hAnsi="宋体" w:cs="宋体" w:hint="eastAsia"/>
                <w:color w:val="000000"/>
                <w:kern w:val="0"/>
                <w:sz w:val="20"/>
                <w:szCs w:val="20"/>
              </w:rPr>
              <w:lastRenderedPageBreak/>
              <w:t>完成情况</w:t>
            </w:r>
          </w:p>
        </w:tc>
        <w:tc>
          <w:tcPr>
            <w:tcW w:w="910" w:type="dxa"/>
            <w:vMerge w:val="restart"/>
            <w:tcBorders>
              <w:top w:val="nil"/>
              <w:left w:val="single" w:sz="4" w:space="0" w:color="auto"/>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lastRenderedPageBreak/>
              <w:t>产出指标</w:t>
            </w:r>
          </w:p>
        </w:tc>
        <w:tc>
          <w:tcPr>
            <w:tcW w:w="936" w:type="dxa"/>
            <w:tcBorders>
              <w:top w:val="nil"/>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数量指标</w:t>
            </w:r>
          </w:p>
        </w:tc>
        <w:tc>
          <w:tcPr>
            <w:tcW w:w="423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69591E" w:rsidRPr="0069591E" w:rsidRDefault="0069591E" w:rsidP="0069591E">
            <w:pPr>
              <w:widowControl/>
              <w:jc w:val="left"/>
              <w:rPr>
                <w:rFonts w:ascii="宋体" w:hAnsi="宋体" w:cs="宋体"/>
                <w:color w:val="000000"/>
                <w:kern w:val="0"/>
                <w:sz w:val="20"/>
                <w:szCs w:val="20"/>
              </w:rPr>
            </w:pPr>
            <w:r w:rsidRPr="0069591E">
              <w:rPr>
                <w:rFonts w:ascii="宋体" w:hAnsi="宋体" w:cs="宋体" w:hint="eastAsia"/>
                <w:color w:val="000000"/>
                <w:kern w:val="0"/>
                <w:sz w:val="20"/>
                <w:szCs w:val="20"/>
              </w:rPr>
              <w:t>招标投标交易平台系统维护次数</w:t>
            </w:r>
          </w:p>
        </w:tc>
        <w:tc>
          <w:tcPr>
            <w:tcW w:w="1298" w:type="dxa"/>
            <w:tcBorders>
              <w:top w:val="nil"/>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=12次</w:t>
            </w:r>
          </w:p>
        </w:tc>
        <w:tc>
          <w:tcPr>
            <w:tcW w:w="1168" w:type="dxa"/>
            <w:tcBorders>
              <w:top w:val="nil"/>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12次</w:t>
            </w:r>
          </w:p>
        </w:tc>
        <w:tc>
          <w:tcPr>
            <w:tcW w:w="1394" w:type="dxa"/>
            <w:gridSpan w:val="2"/>
            <w:tcBorders>
              <w:top w:val="single" w:sz="4" w:space="0" w:color="auto"/>
              <w:left w:val="nil"/>
              <w:bottom w:val="single" w:sz="4" w:space="0" w:color="auto"/>
              <w:right w:val="single" w:sz="4" w:space="0" w:color="000000"/>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20</w:t>
            </w:r>
          </w:p>
        </w:tc>
        <w:tc>
          <w:tcPr>
            <w:tcW w:w="1307" w:type="dxa"/>
            <w:gridSpan w:val="2"/>
            <w:tcBorders>
              <w:top w:val="single" w:sz="4" w:space="0" w:color="auto"/>
              <w:left w:val="nil"/>
              <w:bottom w:val="single" w:sz="4" w:space="0" w:color="auto"/>
              <w:right w:val="single" w:sz="4" w:space="0" w:color="000000"/>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20</w:t>
            </w:r>
          </w:p>
        </w:tc>
        <w:tc>
          <w:tcPr>
            <w:tcW w:w="1588" w:type="dxa"/>
            <w:gridSpan w:val="2"/>
            <w:tcBorders>
              <w:top w:val="single" w:sz="4" w:space="0" w:color="auto"/>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 xml:space="preserve">　</w:t>
            </w:r>
          </w:p>
        </w:tc>
      </w:tr>
      <w:tr w:rsidR="0069591E" w:rsidRPr="0069591E" w:rsidTr="0069591E">
        <w:trPr>
          <w:trHeight w:val="402"/>
        </w:trPr>
        <w:tc>
          <w:tcPr>
            <w:tcW w:w="909" w:type="dxa"/>
            <w:vMerge/>
            <w:tcBorders>
              <w:top w:val="nil"/>
              <w:left w:val="single" w:sz="4" w:space="0" w:color="auto"/>
              <w:bottom w:val="single" w:sz="4" w:space="0" w:color="auto"/>
              <w:right w:val="single" w:sz="4" w:space="0" w:color="auto"/>
            </w:tcBorders>
            <w:vAlign w:val="center"/>
            <w:hideMark/>
          </w:tcPr>
          <w:p w:rsidR="0069591E" w:rsidRPr="0069591E" w:rsidRDefault="0069591E" w:rsidP="0069591E">
            <w:pPr>
              <w:widowControl/>
              <w:jc w:val="left"/>
              <w:rPr>
                <w:rFonts w:ascii="宋体" w:hAnsi="宋体" w:cs="宋体"/>
                <w:color w:val="000000"/>
                <w:kern w:val="0"/>
                <w:sz w:val="20"/>
                <w:szCs w:val="20"/>
              </w:rPr>
            </w:pPr>
          </w:p>
        </w:tc>
        <w:tc>
          <w:tcPr>
            <w:tcW w:w="910" w:type="dxa"/>
            <w:vMerge/>
            <w:tcBorders>
              <w:top w:val="nil"/>
              <w:left w:val="single" w:sz="4" w:space="0" w:color="auto"/>
              <w:bottom w:val="single" w:sz="4" w:space="0" w:color="auto"/>
              <w:right w:val="single" w:sz="4" w:space="0" w:color="auto"/>
            </w:tcBorders>
            <w:vAlign w:val="center"/>
            <w:hideMark/>
          </w:tcPr>
          <w:p w:rsidR="0069591E" w:rsidRPr="0069591E" w:rsidRDefault="0069591E" w:rsidP="0069591E">
            <w:pPr>
              <w:widowControl/>
              <w:jc w:val="left"/>
              <w:rPr>
                <w:rFonts w:ascii="宋体" w:hAnsi="宋体" w:cs="宋体"/>
                <w:color w:val="000000"/>
                <w:kern w:val="0"/>
                <w:sz w:val="20"/>
                <w:szCs w:val="20"/>
              </w:rPr>
            </w:pPr>
          </w:p>
        </w:tc>
        <w:tc>
          <w:tcPr>
            <w:tcW w:w="936" w:type="dxa"/>
            <w:tcBorders>
              <w:top w:val="nil"/>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数量指标</w:t>
            </w:r>
          </w:p>
        </w:tc>
        <w:tc>
          <w:tcPr>
            <w:tcW w:w="423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69591E" w:rsidRPr="0069591E" w:rsidRDefault="0069591E" w:rsidP="0069591E">
            <w:pPr>
              <w:widowControl/>
              <w:jc w:val="left"/>
              <w:rPr>
                <w:rFonts w:ascii="宋体" w:hAnsi="宋体" w:cs="宋体"/>
                <w:color w:val="000000"/>
                <w:kern w:val="0"/>
                <w:sz w:val="20"/>
                <w:szCs w:val="20"/>
              </w:rPr>
            </w:pPr>
            <w:r w:rsidRPr="0069591E">
              <w:rPr>
                <w:rFonts w:ascii="宋体" w:hAnsi="宋体" w:cs="宋体" w:hint="eastAsia"/>
                <w:color w:val="000000"/>
                <w:kern w:val="0"/>
                <w:sz w:val="20"/>
                <w:szCs w:val="20"/>
              </w:rPr>
              <w:t>远程异地评标工作推广次数</w:t>
            </w:r>
          </w:p>
        </w:tc>
        <w:tc>
          <w:tcPr>
            <w:tcW w:w="1298" w:type="dxa"/>
            <w:tcBorders>
              <w:top w:val="nil"/>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=1次</w:t>
            </w:r>
          </w:p>
        </w:tc>
        <w:tc>
          <w:tcPr>
            <w:tcW w:w="1168" w:type="dxa"/>
            <w:tcBorders>
              <w:top w:val="nil"/>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1</w:t>
            </w:r>
          </w:p>
        </w:tc>
        <w:tc>
          <w:tcPr>
            <w:tcW w:w="1394" w:type="dxa"/>
            <w:gridSpan w:val="2"/>
            <w:tcBorders>
              <w:top w:val="single" w:sz="4" w:space="0" w:color="auto"/>
              <w:left w:val="nil"/>
              <w:bottom w:val="single" w:sz="4" w:space="0" w:color="auto"/>
              <w:right w:val="single" w:sz="4" w:space="0" w:color="000000"/>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15</w:t>
            </w:r>
          </w:p>
        </w:tc>
        <w:tc>
          <w:tcPr>
            <w:tcW w:w="1307" w:type="dxa"/>
            <w:gridSpan w:val="2"/>
            <w:tcBorders>
              <w:top w:val="single" w:sz="4" w:space="0" w:color="auto"/>
              <w:left w:val="nil"/>
              <w:bottom w:val="single" w:sz="4" w:space="0" w:color="auto"/>
              <w:right w:val="single" w:sz="4" w:space="0" w:color="000000"/>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15</w:t>
            </w:r>
          </w:p>
        </w:tc>
        <w:tc>
          <w:tcPr>
            <w:tcW w:w="1588" w:type="dxa"/>
            <w:gridSpan w:val="2"/>
            <w:tcBorders>
              <w:top w:val="single" w:sz="4" w:space="0" w:color="auto"/>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 xml:space="preserve">　</w:t>
            </w:r>
          </w:p>
        </w:tc>
      </w:tr>
      <w:tr w:rsidR="0069591E" w:rsidRPr="0069591E" w:rsidTr="0069591E">
        <w:trPr>
          <w:trHeight w:val="402"/>
        </w:trPr>
        <w:tc>
          <w:tcPr>
            <w:tcW w:w="909" w:type="dxa"/>
            <w:vMerge/>
            <w:tcBorders>
              <w:top w:val="nil"/>
              <w:left w:val="single" w:sz="4" w:space="0" w:color="auto"/>
              <w:bottom w:val="single" w:sz="4" w:space="0" w:color="auto"/>
              <w:right w:val="single" w:sz="4" w:space="0" w:color="auto"/>
            </w:tcBorders>
            <w:vAlign w:val="center"/>
            <w:hideMark/>
          </w:tcPr>
          <w:p w:rsidR="0069591E" w:rsidRPr="0069591E" w:rsidRDefault="0069591E" w:rsidP="0069591E">
            <w:pPr>
              <w:widowControl/>
              <w:jc w:val="left"/>
              <w:rPr>
                <w:rFonts w:ascii="宋体" w:hAnsi="宋体" w:cs="宋体"/>
                <w:color w:val="000000"/>
                <w:kern w:val="0"/>
                <w:sz w:val="20"/>
                <w:szCs w:val="20"/>
              </w:rPr>
            </w:pPr>
          </w:p>
        </w:tc>
        <w:tc>
          <w:tcPr>
            <w:tcW w:w="910" w:type="dxa"/>
            <w:vMerge/>
            <w:tcBorders>
              <w:top w:val="nil"/>
              <w:left w:val="single" w:sz="4" w:space="0" w:color="auto"/>
              <w:bottom w:val="single" w:sz="4" w:space="0" w:color="auto"/>
              <w:right w:val="single" w:sz="4" w:space="0" w:color="auto"/>
            </w:tcBorders>
            <w:vAlign w:val="center"/>
            <w:hideMark/>
          </w:tcPr>
          <w:p w:rsidR="0069591E" w:rsidRPr="0069591E" w:rsidRDefault="0069591E" w:rsidP="0069591E">
            <w:pPr>
              <w:widowControl/>
              <w:jc w:val="left"/>
              <w:rPr>
                <w:rFonts w:ascii="宋体" w:hAnsi="宋体" w:cs="宋体"/>
                <w:color w:val="000000"/>
                <w:kern w:val="0"/>
                <w:sz w:val="20"/>
                <w:szCs w:val="20"/>
              </w:rPr>
            </w:pPr>
          </w:p>
        </w:tc>
        <w:tc>
          <w:tcPr>
            <w:tcW w:w="936" w:type="dxa"/>
            <w:tcBorders>
              <w:top w:val="nil"/>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质量指标</w:t>
            </w:r>
          </w:p>
        </w:tc>
        <w:tc>
          <w:tcPr>
            <w:tcW w:w="423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69591E" w:rsidRPr="0069591E" w:rsidRDefault="0069591E" w:rsidP="0069591E">
            <w:pPr>
              <w:widowControl/>
              <w:jc w:val="left"/>
              <w:rPr>
                <w:rFonts w:ascii="宋体" w:hAnsi="宋体" w:cs="宋体"/>
                <w:color w:val="000000"/>
                <w:kern w:val="0"/>
                <w:sz w:val="20"/>
                <w:szCs w:val="20"/>
              </w:rPr>
            </w:pPr>
            <w:r w:rsidRPr="0069591E">
              <w:rPr>
                <w:rFonts w:ascii="宋体" w:hAnsi="宋体" w:cs="宋体" w:hint="eastAsia"/>
                <w:color w:val="000000"/>
                <w:kern w:val="0"/>
                <w:sz w:val="20"/>
                <w:szCs w:val="20"/>
              </w:rPr>
              <w:t>招标投标交易平台系统网络故障率</w:t>
            </w:r>
          </w:p>
        </w:tc>
        <w:tc>
          <w:tcPr>
            <w:tcW w:w="1298" w:type="dxa"/>
            <w:tcBorders>
              <w:top w:val="nil"/>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&lt;=5%</w:t>
            </w:r>
          </w:p>
        </w:tc>
        <w:tc>
          <w:tcPr>
            <w:tcW w:w="1168" w:type="dxa"/>
            <w:tcBorders>
              <w:top w:val="nil"/>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5%</w:t>
            </w:r>
          </w:p>
        </w:tc>
        <w:tc>
          <w:tcPr>
            <w:tcW w:w="1394" w:type="dxa"/>
            <w:gridSpan w:val="2"/>
            <w:tcBorders>
              <w:top w:val="single" w:sz="4" w:space="0" w:color="auto"/>
              <w:left w:val="nil"/>
              <w:bottom w:val="single" w:sz="4" w:space="0" w:color="auto"/>
              <w:right w:val="single" w:sz="4" w:space="0" w:color="000000"/>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5</w:t>
            </w:r>
          </w:p>
        </w:tc>
        <w:tc>
          <w:tcPr>
            <w:tcW w:w="1307" w:type="dxa"/>
            <w:gridSpan w:val="2"/>
            <w:tcBorders>
              <w:top w:val="single" w:sz="4" w:space="0" w:color="auto"/>
              <w:left w:val="nil"/>
              <w:bottom w:val="single" w:sz="4" w:space="0" w:color="auto"/>
              <w:right w:val="single" w:sz="4" w:space="0" w:color="000000"/>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4.75</w:t>
            </w:r>
          </w:p>
        </w:tc>
        <w:tc>
          <w:tcPr>
            <w:tcW w:w="1588" w:type="dxa"/>
            <w:gridSpan w:val="2"/>
            <w:tcBorders>
              <w:top w:val="single" w:sz="4" w:space="0" w:color="auto"/>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因系统新旧更换</w:t>
            </w:r>
          </w:p>
        </w:tc>
      </w:tr>
      <w:tr w:rsidR="0069591E" w:rsidRPr="0069591E" w:rsidTr="0069591E">
        <w:trPr>
          <w:trHeight w:val="402"/>
        </w:trPr>
        <w:tc>
          <w:tcPr>
            <w:tcW w:w="909" w:type="dxa"/>
            <w:vMerge/>
            <w:tcBorders>
              <w:top w:val="nil"/>
              <w:left w:val="single" w:sz="4" w:space="0" w:color="auto"/>
              <w:bottom w:val="single" w:sz="4" w:space="0" w:color="auto"/>
              <w:right w:val="single" w:sz="4" w:space="0" w:color="auto"/>
            </w:tcBorders>
            <w:vAlign w:val="center"/>
            <w:hideMark/>
          </w:tcPr>
          <w:p w:rsidR="0069591E" w:rsidRPr="0069591E" w:rsidRDefault="0069591E" w:rsidP="0069591E">
            <w:pPr>
              <w:widowControl/>
              <w:jc w:val="left"/>
              <w:rPr>
                <w:rFonts w:ascii="宋体" w:hAnsi="宋体" w:cs="宋体"/>
                <w:color w:val="000000"/>
                <w:kern w:val="0"/>
                <w:sz w:val="20"/>
                <w:szCs w:val="20"/>
              </w:rPr>
            </w:pPr>
          </w:p>
        </w:tc>
        <w:tc>
          <w:tcPr>
            <w:tcW w:w="910" w:type="dxa"/>
            <w:vMerge/>
            <w:tcBorders>
              <w:top w:val="nil"/>
              <w:left w:val="single" w:sz="4" w:space="0" w:color="auto"/>
              <w:bottom w:val="single" w:sz="4" w:space="0" w:color="auto"/>
              <w:right w:val="single" w:sz="4" w:space="0" w:color="auto"/>
            </w:tcBorders>
            <w:vAlign w:val="center"/>
            <w:hideMark/>
          </w:tcPr>
          <w:p w:rsidR="0069591E" w:rsidRPr="0069591E" w:rsidRDefault="0069591E" w:rsidP="0069591E">
            <w:pPr>
              <w:widowControl/>
              <w:jc w:val="left"/>
              <w:rPr>
                <w:rFonts w:ascii="宋体" w:hAnsi="宋体" w:cs="宋体"/>
                <w:color w:val="000000"/>
                <w:kern w:val="0"/>
                <w:sz w:val="20"/>
                <w:szCs w:val="20"/>
              </w:rPr>
            </w:pPr>
          </w:p>
        </w:tc>
        <w:tc>
          <w:tcPr>
            <w:tcW w:w="936" w:type="dxa"/>
            <w:tcBorders>
              <w:top w:val="nil"/>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质量指标</w:t>
            </w:r>
          </w:p>
        </w:tc>
        <w:tc>
          <w:tcPr>
            <w:tcW w:w="423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69591E" w:rsidRPr="0069591E" w:rsidRDefault="0069591E" w:rsidP="0069591E">
            <w:pPr>
              <w:widowControl/>
              <w:jc w:val="left"/>
              <w:rPr>
                <w:rFonts w:ascii="宋体" w:hAnsi="宋体" w:cs="宋体"/>
                <w:color w:val="000000"/>
                <w:kern w:val="0"/>
                <w:sz w:val="20"/>
                <w:szCs w:val="20"/>
              </w:rPr>
            </w:pPr>
            <w:r w:rsidRPr="0069591E">
              <w:rPr>
                <w:rFonts w:ascii="宋体" w:hAnsi="宋体" w:cs="宋体" w:hint="eastAsia"/>
                <w:color w:val="000000"/>
                <w:kern w:val="0"/>
                <w:sz w:val="20"/>
                <w:szCs w:val="20"/>
              </w:rPr>
              <w:t>远程异地评标重点推广地州进度率</w:t>
            </w:r>
          </w:p>
        </w:tc>
        <w:tc>
          <w:tcPr>
            <w:tcW w:w="1298" w:type="dxa"/>
            <w:tcBorders>
              <w:top w:val="nil"/>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=90%</w:t>
            </w:r>
          </w:p>
        </w:tc>
        <w:tc>
          <w:tcPr>
            <w:tcW w:w="1168" w:type="dxa"/>
            <w:tcBorders>
              <w:top w:val="nil"/>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94%</w:t>
            </w:r>
          </w:p>
        </w:tc>
        <w:tc>
          <w:tcPr>
            <w:tcW w:w="1394" w:type="dxa"/>
            <w:gridSpan w:val="2"/>
            <w:tcBorders>
              <w:top w:val="single" w:sz="4" w:space="0" w:color="auto"/>
              <w:left w:val="nil"/>
              <w:bottom w:val="single" w:sz="4" w:space="0" w:color="auto"/>
              <w:right w:val="single" w:sz="4" w:space="0" w:color="000000"/>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10</w:t>
            </w:r>
          </w:p>
        </w:tc>
        <w:tc>
          <w:tcPr>
            <w:tcW w:w="1307" w:type="dxa"/>
            <w:gridSpan w:val="2"/>
            <w:tcBorders>
              <w:top w:val="single" w:sz="4" w:space="0" w:color="auto"/>
              <w:left w:val="nil"/>
              <w:bottom w:val="single" w:sz="4" w:space="0" w:color="auto"/>
              <w:right w:val="single" w:sz="4" w:space="0" w:color="000000"/>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9.4</w:t>
            </w:r>
          </w:p>
        </w:tc>
        <w:tc>
          <w:tcPr>
            <w:tcW w:w="1588" w:type="dxa"/>
            <w:gridSpan w:val="2"/>
            <w:tcBorders>
              <w:top w:val="single" w:sz="4" w:space="0" w:color="auto"/>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因项目资金紧缺</w:t>
            </w:r>
          </w:p>
        </w:tc>
      </w:tr>
      <w:tr w:rsidR="0069591E" w:rsidRPr="0069591E" w:rsidTr="0069591E">
        <w:trPr>
          <w:trHeight w:val="402"/>
        </w:trPr>
        <w:tc>
          <w:tcPr>
            <w:tcW w:w="909" w:type="dxa"/>
            <w:vMerge/>
            <w:tcBorders>
              <w:top w:val="nil"/>
              <w:left w:val="single" w:sz="4" w:space="0" w:color="auto"/>
              <w:bottom w:val="single" w:sz="4" w:space="0" w:color="auto"/>
              <w:right w:val="single" w:sz="4" w:space="0" w:color="auto"/>
            </w:tcBorders>
            <w:vAlign w:val="center"/>
            <w:hideMark/>
          </w:tcPr>
          <w:p w:rsidR="0069591E" w:rsidRPr="0069591E" w:rsidRDefault="0069591E" w:rsidP="0069591E">
            <w:pPr>
              <w:widowControl/>
              <w:jc w:val="left"/>
              <w:rPr>
                <w:rFonts w:ascii="宋体" w:hAnsi="宋体" w:cs="宋体"/>
                <w:color w:val="000000"/>
                <w:kern w:val="0"/>
                <w:sz w:val="20"/>
                <w:szCs w:val="20"/>
              </w:rPr>
            </w:pPr>
          </w:p>
        </w:tc>
        <w:tc>
          <w:tcPr>
            <w:tcW w:w="910" w:type="dxa"/>
            <w:vMerge/>
            <w:tcBorders>
              <w:top w:val="nil"/>
              <w:left w:val="single" w:sz="4" w:space="0" w:color="auto"/>
              <w:bottom w:val="single" w:sz="4" w:space="0" w:color="auto"/>
              <w:right w:val="single" w:sz="4" w:space="0" w:color="auto"/>
            </w:tcBorders>
            <w:vAlign w:val="center"/>
            <w:hideMark/>
          </w:tcPr>
          <w:p w:rsidR="0069591E" w:rsidRPr="0069591E" w:rsidRDefault="0069591E" w:rsidP="0069591E">
            <w:pPr>
              <w:widowControl/>
              <w:jc w:val="left"/>
              <w:rPr>
                <w:rFonts w:ascii="宋体" w:hAnsi="宋体" w:cs="宋体"/>
                <w:color w:val="000000"/>
                <w:kern w:val="0"/>
                <w:sz w:val="20"/>
                <w:szCs w:val="20"/>
              </w:rPr>
            </w:pPr>
          </w:p>
        </w:tc>
        <w:tc>
          <w:tcPr>
            <w:tcW w:w="936" w:type="dxa"/>
            <w:tcBorders>
              <w:top w:val="nil"/>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时效指标</w:t>
            </w:r>
          </w:p>
        </w:tc>
        <w:tc>
          <w:tcPr>
            <w:tcW w:w="423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69591E" w:rsidRPr="0069591E" w:rsidRDefault="0069591E" w:rsidP="0069591E">
            <w:pPr>
              <w:widowControl/>
              <w:jc w:val="left"/>
              <w:rPr>
                <w:rFonts w:ascii="宋体" w:hAnsi="宋体" w:cs="宋体"/>
                <w:color w:val="000000"/>
                <w:kern w:val="0"/>
                <w:sz w:val="20"/>
                <w:szCs w:val="20"/>
              </w:rPr>
            </w:pPr>
            <w:r w:rsidRPr="0069591E">
              <w:rPr>
                <w:rFonts w:ascii="宋体" w:hAnsi="宋体" w:cs="宋体" w:hint="eastAsia"/>
                <w:color w:val="000000"/>
                <w:kern w:val="0"/>
                <w:sz w:val="20"/>
                <w:szCs w:val="20"/>
              </w:rPr>
              <w:t>建设工程招标投标系统运行维护响应时间</w:t>
            </w:r>
          </w:p>
        </w:tc>
        <w:tc>
          <w:tcPr>
            <w:tcW w:w="1298" w:type="dxa"/>
            <w:tcBorders>
              <w:top w:val="nil"/>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&lt;=6小时</w:t>
            </w:r>
          </w:p>
        </w:tc>
        <w:tc>
          <w:tcPr>
            <w:tcW w:w="1168" w:type="dxa"/>
            <w:tcBorders>
              <w:top w:val="nil"/>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6小时</w:t>
            </w:r>
          </w:p>
        </w:tc>
        <w:tc>
          <w:tcPr>
            <w:tcW w:w="1394" w:type="dxa"/>
            <w:gridSpan w:val="2"/>
            <w:tcBorders>
              <w:top w:val="single" w:sz="4" w:space="0" w:color="auto"/>
              <w:left w:val="nil"/>
              <w:bottom w:val="single" w:sz="4" w:space="0" w:color="auto"/>
              <w:right w:val="single" w:sz="4" w:space="0" w:color="000000"/>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5</w:t>
            </w:r>
          </w:p>
        </w:tc>
        <w:tc>
          <w:tcPr>
            <w:tcW w:w="1307" w:type="dxa"/>
            <w:gridSpan w:val="2"/>
            <w:tcBorders>
              <w:top w:val="single" w:sz="4" w:space="0" w:color="auto"/>
              <w:left w:val="nil"/>
              <w:bottom w:val="single" w:sz="4" w:space="0" w:color="auto"/>
              <w:right w:val="single" w:sz="4" w:space="0" w:color="000000"/>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4.8</w:t>
            </w:r>
          </w:p>
        </w:tc>
        <w:tc>
          <w:tcPr>
            <w:tcW w:w="1588" w:type="dxa"/>
            <w:gridSpan w:val="2"/>
            <w:tcBorders>
              <w:top w:val="single" w:sz="4" w:space="0" w:color="auto"/>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因系统新旧更换</w:t>
            </w:r>
          </w:p>
        </w:tc>
      </w:tr>
      <w:tr w:rsidR="0069591E" w:rsidRPr="0069591E" w:rsidTr="0069591E">
        <w:trPr>
          <w:trHeight w:val="402"/>
        </w:trPr>
        <w:tc>
          <w:tcPr>
            <w:tcW w:w="909" w:type="dxa"/>
            <w:vMerge/>
            <w:tcBorders>
              <w:top w:val="nil"/>
              <w:left w:val="single" w:sz="4" w:space="0" w:color="auto"/>
              <w:bottom w:val="single" w:sz="4" w:space="0" w:color="auto"/>
              <w:right w:val="single" w:sz="4" w:space="0" w:color="auto"/>
            </w:tcBorders>
            <w:vAlign w:val="center"/>
            <w:hideMark/>
          </w:tcPr>
          <w:p w:rsidR="0069591E" w:rsidRPr="0069591E" w:rsidRDefault="0069591E" w:rsidP="0069591E">
            <w:pPr>
              <w:widowControl/>
              <w:jc w:val="left"/>
              <w:rPr>
                <w:rFonts w:ascii="宋体" w:hAnsi="宋体" w:cs="宋体"/>
                <w:color w:val="000000"/>
                <w:kern w:val="0"/>
                <w:sz w:val="20"/>
                <w:szCs w:val="20"/>
              </w:rPr>
            </w:pPr>
          </w:p>
        </w:tc>
        <w:tc>
          <w:tcPr>
            <w:tcW w:w="910" w:type="dxa"/>
            <w:vMerge/>
            <w:tcBorders>
              <w:top w:val="nil"/>
              <w:left w:val="single" w:sz="4" w:space="0" w:color="auto"/>
              <w:bottom w:val="single" w:sz="4" w:space="0" w:color="auto"/>
              <w:right w:val="single" w:sz="4" w:space="0" w:color="auto"/>
            </w:tcBorders>
            <w:vAlign w:val="center"/>
            <w:hideMark/>
          </w:tcPr>
          <w:p w:rsidR="0069591E" w:rsidRPr="0069591E" w:rsidRDefault="0069591E" w:rsidP="0069591E">
            <w:pPr>
              <w:widowControl/>
              <w:jc w:val="left"/>
              <w:rPr>
                <w:rFonts w:ascii="宋体" w:hAnsi="宋体" w:cs="宋体"/>
                <w:color w:val="000000"/>
                <w:kern w:val="0"/>
                <w:sz w:val="20"/>
                <w:szCs w:val="20"/>
              </w:rPr>
            </w:pPr>
          </w:p>
        </w:tc>
        <w:tc>
          <w:tcPr>
            <w:tcW w:w="936" w:type="dxa"/>
            <w:tcBorders>
              <w:top w:val="nil"/>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时效指标</w:t>
            </w:r>
          </w:p>
        </w:tc>
        <w:tc>
          <w:tcPr>
            <w:tcW w:w="423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69591E" w:rsidRPr="0069591E" w:rsidRDefault="0069591E" w:rsidP="0069591E">
            <w:pPr>
              <w:widowControl/>
              <w:jc w:val="left"/>
              <w:rPr>
                <w:rFonts w:ascii="宋体" w:hAnsi="宋体" w:cs="宋体"/>
                <w:color w:val="000000"/>
                <w:kern w:val="0"/>
                <w:sz w:val="20"/>
                <w:szCs w:val="20"/>
              </w:rPr>
            </w:pPr>
            <w:r w:rsidRPr="0069591E">
              <w:rPr>
                <w:rFonts w:ascii="宋体" w:hAnsi="宋体" w:cs="宋体" w:hint="eastAsia"/>
                <w:color w:val="000000"/>
                <w:kern w:val="0"/>
                <w:sz w:val="20"/>
                <w:szCs w:val="20"/>
              </w:rPr>
              <w:t>建设工程招标投标系统故障修复处理时间</w:t>
            </w:r>
          </w:p>
        </w:tc>
        <w:tc>
          <w:tcPr>
            <w:tcW w:w="1298" w:type="dxa"/>
            <w:tcBorders>
              <w:top w:val="nil"/>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&lt;=12小时</w:t>
            </w:r>
          </w:p>
        </w:tc>
        <w:tc>
          <w:tcPr>
            <w:tcW w:w="1168" w:type="dxa"/>
            <w:tcBorders>
              <w:top w:val="nil"/>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12小时</w:t>
            </w:r>
          </w:p>
        </w:tc>
        <w:tc>
          <w:tcPr>
            <w:tcW w:w="1394" w:type="dxa"/>
            <w:gridSpan w:val="2"/>
            <w:tcBorders>
              <w:top w:val="single" w:sz="4" w:space="0" w:color="auto"/>
              <w:left w:val="nil"/>
              <w:bottom w:val="single" w:sz="4" w:space="0" w:color="auto"/>
              <w:right w:val="single" w:sz="4" w:space="0" w:color="000000"/>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10</w:t>
            </w:r>
          </w:p>
        </w:tc>
        <w:tc>
          <w:tcPr>
            <w:tcW w:w="1307" w:type="dxa"/>
            <w:gridSpan w:val="2"/>
            <w:tcBorders>
              <w:top w:val="single" w:sz="4" w:space="0" w:color="auto"/>
              <w:left w:val="nil"/>
              <w:bottom w:val="single" w:sz="4" w:space="0" w:color="auto"/>
              <w:right w:val="single" w:sz="4" w:space="0" w:color="000000"/>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9.5</w:t>
            </w:r>
          </w:p>
        </w:tc>
        <w:tc>
          <w:tcPr>
            <w:tcW w:w="1588" w:type="dxa"/>
            <w:gridSpan w:val="2"/>
            <w:tcBorders>
              <w:top w:val="single" w:sz="4" w:space="0" w:color="auto"/>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因系统新旧更换</w:t>
            </w:r>
          </w:p>
        </w:tc>
      </w:tr>
      <w:tr w:rsidR="0069591E" w:rsidRPr="0069591E" w:rsidTr="0069591E">
        <w:trPr>
          <w:trHeight w:val="402"/>
        </w:trPr>
        <w:tc>
          <w:tcPr>
            <w:tcW w:w="909" w:type="dxa"/>
            <w:vMerge/>
            <w:tcBorders>
              <w:top w:val="nil"/>
              <w:left w:val="single" w:sz="4" w:space="0" w:color="auto"/>
              <w:bottom w:val="single" w:sz="4" w:space="0" w:color="auto"/>
              <w:right w:val="single" w:sz="4" w:space="0" w:color="auto"/>
            </w:tcBorders>
            <w:vAlign w:val="center"/>
            <w:hideMark/>
          </w:tcPr>
          <w:p w:rsidR="0069591E" w:rsidRPr="0069591E" w:rsidRDefault="0069591E" w:rsidP="0069591E">
            <w:pPr>
              <w:widowControl/>
              <w:jc w:val="left"/>
              <w:rPr>
                <w:rFonts w:ascii="宋体" w:hAnsi="宋体" w:cs="宋体"/>
                <w:color w:val="000000"/>
                <w:kern w:val="0"/>
                <w:sz w:val="20"/>
                <w:szCs w:val="20"/>
              </w:rPr>
            </w:pPr>
          </w:p>
        </w:tc>
        <w:tc>
          <w:tcPr>
            <w:tcW w:w="910" w:type="dxa"/>
            <w:vMerge/>
            <w:tcBorders>
              <w:top w:val="nil"/>
              <w:left w:val="single" w:sz="4" w:space="0" w:color="auto"/>
              <w:bottom w:val="single" w:sz="4" w:space="0" w:color="auto"/>
              <w:right w:val="single" w:sz="4" w:space="0" w:color="auto"/>
            </w:tcBorders>
            <w:vAlign w:val="center"/>
            <w:hideMark/>
          </w:tcPr>
          <w:p w:rsidR="0069591E" w:rsidRPr="0069591E" w:rsidRDefault="0069591E" w:rsidP="0069591E">
            <w:pPr>
              <w:widowControl/>
              <w:jc w:val="left"/>
              <w:rPr>
                <w:rFonts w:ascii="宋体" w:hAnsi="宋体" w:cs="宋体"/>
                <w:color w:val="000000"/>
                <w:kern w:val="0"/>
                <w:sz w:val="20"/>
                <w:szCs w:val="20"/>
              </w:rPr>
            </w:pPr>
          </w:p>
        </w:tc>
        <w:tc>
          <w:tcPr>
            <w:tcW w:w="936" w:type="dxa"/>
            <w:tcBorders>
              <w:top w:val="nil"/>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成本指标</w:t>
            </w:r>
          </w:p>
        </w:tc>
        <w:tc>
          <w:tcPr>
            <w:tcW w:w="423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69591E" w:rsidRPr="0069591E" w:rsidRDefault="0069591E" w:rsidP="0069591E">
            <w:pPr>
              <w:widowControl/>
              <w:jc w:val="left"/>
              <w:rPr>
                <w:rFonts w:ascii="宋体" w:hAnsi="宋体" w:cs="宋体"/>
                <w:color w:val="000000"/>
                <w:kern w:val="0"/>
                <w:sz w:val="20"/>
                <w:szCs w:val="20"/>
              </w:rPr>
            </w:pPr>
            <w:r w:rsidRPr="0069591E">
              <w:rPr>
                <w:rFonts w:ascii="宋体" w:hAnsi="宋体" w:cs="宋体" w:hint="eastAsia"/>
                <w:color w:val="000000"/>
                <w:kern w:val="0"/>
                <w:sz w:val="20"/>
                <w:szCs w:val="20"/>
              </w:rPr>
              <w:t>建设工程招标投标交易平台年度维护成本增长率</w:t>
            </w:r>
          </w:p>
        </w:tc>
        <w:tc>
          <w:tcPr>
            <w:tcW w:w="1298" w:type="dxa"/>
            <w:tcBorders>
              <w:top w:val="nil"/>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&lt;=5%</w:t>
            </w:r>
          </w:p>
        </w:tc>
        <w:tc>
          <w:tcPr>
            <w:tcW w:w="1168" w:type="dxa"/>
            <w:tcBorders>
              <w:top w:val="nil"/>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95%</w:t>
            </w:r>
          </w:p>
        </w:tc>
        <w:tc>
          <w:tcPr>
            <w:tcW w:w="1394" w:type="dxa"/>
            <w:gridSpan w:val="2"/>
            <w:tcBorders>
              <w:top w:val="single" w:sz="4" w:space="0" w:color="auto"/>
              <w:left w:val="nil"/>
              <w:bottom w:val="single" w:sz="4" w:space="0" w:color="auto"/>
              <w:right w:val="single" w:sz="4" w:space="0" w:color="000000"/>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5</w:t>
            </w:r>
          </w:p>
        </w:tc>
        <w:tc>
          <w:tcPr>
            <w:tcW w:w="1307" w:type="dxa"/>
            <w:gridSpan w:val="2"/>
            <w:tcBorders>
              <w:top w:val="single" w:sz="4" w:space="0" w:color="auto"/>
              <w:left w:val="nil"/>
              <w:bottom w:val="single" w:sz="4" w:space="0" w:color="auto"/>
              <w:right w:val="single" w:sz="4" w:space="0" w:color="000000"/>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4.75</w:t>
            </w:r>
          </w:p>
        </w:tc>
        <w:tc>
          <w:tcPr>
            <w:tcW w:w="1588" w:type="dxa"/>
            <w:gridSpan w:val="2"/>
            <w:tcBorders>
              <w:top w:val="single" w:sz="4" w:space="0" w:color="auto"/>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因系统新旧更换</w:t>
            </w:r>
          </w:p>
        </w:tc>
      </w:tr>
      <w:tr w:rsidR="0069591E" w:rsidRPr="0069591E" w:rsidTr="0069591E">
        <w:trPr>
          <w:trHeight w:val="402"/>
        </w:trPr>
        <w:tc>
          <w:tcPr>
            <w:tcW w:w="909" w:type="dxa"/>
            <w:vMerge/>
            <w:tcBorders>
              <w:top w:val="nil"/>
              <w:left w:val="single" w:sz="4" w:space="0" w:color="auto"/>
              <w:bottom w:val="single" w:sz="4" w:space="0" w:color="auto"/>
              <w:right w:val="single" w:sz="4" w:space="0" w:color="auto"/>
            </w:tcBorders>
            <w:vAlign w:val="center"/>
            <w:hideMark/>
          </w:tcPr>
          <w:p w:rsidR="0069591E" w:rsidRPr="0069591E" w:rsidRDefault="0069591E" w:rsidP="0069591E">
            <w:pPr>
              <w:widowControl/>
              <w:jc w:val="left"/>
              <w:rPr>
                <w:rFonts w:ascii="宋体" w:hAnsi="宋体" w:cs="宋体"/>
                <w:color w:val="000000"/>
                <w:kern w:val="0"/>
                <w:sz w:val="20"/>
                <w:szCs w:val="20"/>
              </w:rPr>
            </w:pPr>
          </w:p>
        </w:tc>
        <w:tc>
          <w:tcPr>
            <w:tcW w:w="910" w:type="dxa"/>
            <w:vMerge w:val="restart"/>
            <w:tcBorders>
              <w:top w:val="nil"/>
              <w:left w:val="single" w:sz="4" w:space="0" w:color="auto"/>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效益指标</w:t>
            </w:r>
          </w:p>
        </w:tc>
        <w:tc>
          <w:tcPr>
            <w:tcW w:w="936" w:type="dxa"/>
            <w:tcBorders>
              <w:top w:val="nil"/>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经济效益指标</w:t>
            </w:r>
          </w:p>
        </w:tc>
        <w:tc>
          <w:tcPr>
            <w:tcW w:w="423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69591E" w:rsidRPr="0069591E" w:rsidRDefault="0069591E" w:rsidP="0069591E">
            <w:pPr>
              <w:widowControl/>
              <w:jc w:val="left"/>
              <w:rPr>
                <w:rFonts w:ascii="宋体" w:hAnsi="宋体" w:cs="宋体"/>
                <w:color w:val="000000"/>
                <w:kern w:val="0"/>
                <w:sz w:val="20"/>
                <w:szCs w:val="20"/>
              </w:rPr>
            </w:pPr>
            <w:r w:rsidRPr="0069591E">
              <w:rPr>
                <w:rFonts w:ascii="宋体" w:hAnsi="宋体" w:cs="宋体" w:hint="eastAsia"/>
                <w:color w:val="000000"/>
                <w:kern w:val="0"/>
                <w:sz w:val="20"/>
                <w:szCs w:val="20"/>
              </w:rPr>
              <w:t xml:space="preserve">　</w:t>
            </w:r>
          </w:p>
        </w:tc>
        <w:tc>
          <w:tcPr>
            <w:tcW w:w="1298" w:type="dxa"/>
            <w:tcBorders>
              <w:top w:val="nil"/>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 xml:space="preserve">　</w:t>
            </w:r>
          </w:p>
        </w:tc>
        <w:tc>
          <w:tcPr>
            <w:tcW w:w="1168" w:type="dxa"/>
            <w:tcBorders>
              <w:top w:val="nil"/>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 xml:space="preserve">　</w:t>
            </w:r>
          </w:p>
        </w:tc>
        <w:tc>
          <w:tcPr>
            <w:tcW w:w="1394" w:type="dxa"/>
            <w:gridSpan w:val="2"/>
            <w:tcBorders>
              <w:top w:val="single" w:sz="4" w:space="0" w:color="auto"/>
              <w:left w:val="nil"/>
              <w:bottom w:val="single" w:sz="4" w:space="0" w:color="auto"/>
              <w:right w:val="single" w:sz="4" w:space="0" w:color="000000"/>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 xml:space="preserve">　</w:t>
            </w:r>
          </w:p>
        </w:tc>
        <w:tc>
          <w:tcPr>
            <w:tcW w:w="1307" w:type="dxa"/>
            <w:gridSpan w:val="2"/>
            <w:tcBorders>
              <w:top w:val="single" w:sz="4" w:space="0" w:color="auto"/>
              <w:left w:val="nil"/>
              <w:bottom w:val="single" w:sz="4" w:space="0" w:color="auto"/>
              <w:right w:val="single" w:sz="4" w:space="0" w:color="000000"/>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 xml:space="preserve">　</w:t>
            </w:r>
          </w:p>
        </w:tc>
        <w:tc>
          <w:tcPr>
            <w:tcW w:w="1588" w:type="dxa"/>
            <w:gridSpan w:val="2"/>
            <w:tcBorders>
              <w:top w:val="single" w:sz="4" w:space="0" w:color="auto"/>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 xml:space="preserve">　</w:t>
            </w:r>
          </w:p>
        </w:tc>
      </w:tr>
      <w:tr w:rsidR="0069591E" w:rsidRPr="0069591E" w:rsidTr="0069591E">
        <w:trPr>
          <w:trHeight w:val="402"/>
        </w:trPr>
        <w:tc>
          <w:tcPr>
            <w:tcW w:w="909" w:type="dxa"/>
            <w:vMerge/>
            <w:tcBorders>
              <w:top w:val="nil"/>
              <w:left w:val="single" w:sz="4" w:space="0" w:color="auto"/>
              <w:bottom w:val="single" w:sz="4" w:space="0" w:color="auto"/>
              <w:right w:val="single" w:sz="4" w:space="0" w:color="auto"/>
            </w:tcBorders>
            <w:vAlign w:val="center"/>
            <w:hideMark/>
          </w:tcPr>
          <w:p w:rsidR="0069591E" w:rsidRPr="0069591E" w:rsidRDefault="0069591E" w:rsidP="0069591E">
            <w:pPr>
              <w:widowControl/>
              <w:jc w:val="left"/>
              <w:rPr>
                <w:rFonts w:ascii="宋体" w:hAnsi="宋体" w:cs="宋体"/>
                <w:color w:val="000000"/>
                <w:kern w:val="0"/>
                <w:sz w:val="20"/>
                <w:szCs w:val="20"/>
              </w:rPr>
            </w:pPr>
          </w:p>
        </w:tc>
        <w:tc>
          <w:tcPr>
            <w:tcW w:w="910" w:type="dxa"/>
            <w:vMerge/>
            <w:tcBorders>
              <w:top w:val="nil"/>
              <w:left w:val="single" w:sz="4" w:space="0" w:color="auto"/>
              <w:bottom w:val="single" w:sz="4" w:space="0" w:color="auto"/>
              <w:right w:val="single" w:sz="4" w:space="0" w:color="auto"/>
            </w:tcBorders>
            <w:vAlign w:val="center"/>
            <w:hideMark/>
          </w:tcPr>
          <w:p w:rsidR="0069591E" w:rsidRPr="0069591E" w:rsidRDefault="0069591E" w:rsidP="0069591E">
            <w:pPr>
              <w:widowControl/>
              <w:jc w:val="left"/>
              <w:rPr>
                <w:rFonts w:ascii="宋体" w:hAnsi="宋体" w:cs="宋体"/>
                <w:color w:val="000000"/>
                <w:kern w:val="0"/>
                <w:sz w:val="20"/>
                <w:szCs w:val="20"/>
              </w:rPr>
            </w:pPr>
          </w:p>
        </w:tc>
        <w:tc>
          <w:tcPr>
            <w:tcW w:w="936" w:type="dxa"/>
            <w:tcBorders>
              <w:top w:val="nil"/>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社会效益指标</w:t>
            </w:r>
          </w:p>
        </w:tc>
        <w:tc>
          <w:tcPr>
            <w:tcW w:w="423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69591E" w:rsidRPr="0069591E" w:rsidRDefault="0069591E" w:rsidP="0069591E">
            <w:pPr>
              <w:widowControl/>
              <w:jc w:val="left"/>
              <w:rPr>
                <w:rFonts w:ascii="宋体" w:hAnsi="宋体" w:cs="宋体"/>
                <w:color w:val="000000"/>
                <w:kern w:val="0"/>
                <w:sz w:val="20"/>
                <w:szCs w:val="20"/>
              </w:rPr>
            </w:pPr>
            <w:r w:rsidRPr="0069591E">
              <w:rPr>
                <w:rFonts w:ascii="宋体" w:hAnsi="宋体" w:cs="宋体" w:hint="eastAsia"/>
                <w:color w:val="000000"/>
                <w:kern w:val="0"/>
                <w:sz w:val="20"/>
                <w:szCs w:val="20"/>
              </w:rPr>
              <w:t>招标投标交易平台使用点击量增长率</w:t>
            </w:r>
          </w:p>
        </w:tc>
        <w:tc>
          <w:tcPr>
            <w:tcW w:w="1298" w:type="dxa"/>
            <w:tcBorders>
              <w:top w:val="nil"/>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=90%</w:t>
            </w:r>
          </w:p>
        </w:tc>
        <w:tc>
          <w:tcPr>
            <w:tcW w:w="1168" w:type="dxa"/>
            <w:tcBorders>
              <w:top w:val="nil"/>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95%</w:t>
            </w:r>
          </w:p>
        </w:tc>
        <w:tc>
          <w:tcPr>
            <w:tcW w:w="1394" w:type="dxa"/>
            <w:gridSpan w:val="2"/>
            <w:tcBorders>
              <w:top w:val="single" w:sz="4" w:space="0" w:color="auto"/>
              <w:left w:val="nil"/>
              <w:bottom w:val="single" w:sz="4" w:space="0" w:color="auto"/>
              <w:right w:val="single" w:sz="4" w:space="0" w:color="000000"/>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5</w:t>
            </w:r>
          </w:p>
        </w:tc>
        <w:tc>
          <w:tcPr>
            <w:tcW w:w="1307" w:type="dxa"/>
            <w:gridSpan w:val="2"/>
            <w:tcBorders>
              <w:top w:val="single" w:sz="4" w:space="0" w:color="auto"/>
              <w:left w:val="nil"/>
              <w:bottom w:val="single" w:sz="4" w:space="0" w:color="auto"/>
              <w:right w:val="single" w:sz="4" w:space="0" w:color="000000"/>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4.75</w:t>
            </w:r>
          </w:p>
        </w:tc>
        <w:tc>
          <w:tcPr>
            <w:tcW w:w="1588" w:type="dxa"/>
            <w:gridSpan w:val="2"/>
            <w:tcBorders>
              <w:top w:val="single" w:sz="4" w:space="0" w:color="auto"/>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因系统新旧更换</w:t>
            </w:r>
          </w:p>
        </w:tc>
      </w:tr>
      <w:tr w:rsidR="0069591E" w:rsidRPr="0069591E" w:rsidTr="0069591E">
        <w:trPr>
          <w:trHeight w:val="402"/>
        </w:trPr>
        <w:tc>
          <w:tcPr>
            <w:tcW w:w="909" w:type="dxa"/>
            <w:vMerge/>
            <w:tcBorders>
              <w:top w:val="nil"/>
              <w:left w:val="single" w:sz="4" w:space="0" w:color="auto"/>
              <w:bottom w:val="single" w:sz="4" w:space="0" w:color="auto"/>
              <w:right w:val="single" w:sz="4" w:space="0" w:color="auto"/>
            </w:tcBorders>
            <w:vAlign w:val="center"/>
            <w:hideMark/>
          </w:tcPr>
          <w:p w:rsidR="0069591E" w:rsidRPr="0069591E" w:rsidRDefault="0069591E" w:rsidP="0069591E">
            <w:pPr>
              <w:widowControl/>
              <w:jc w:val="left"/>
              <w:rPr>
                <w:rFonts w:ascii="宋体" w:hAnsi="宋体" w:cs="宋体"/>
                <w:color w:val="000000"/>
                <w:kern w:val="0"/>
                <w:sz w:val="20"/>
                <w:szCs w:val="20"/>
              </w:rPr>
            </w:pPr>
          </w:p>
        </w:tc>
        <w:tc>
          <w:tcPr>
            <w:tcW w:w="910" w:type="dxa"/>
            <w:vMerge/>
            <w:tcBorders>
              <w:top w:val="nil"/>
              <w:left w:val="single" w:sz="4" w:space="0" w:color="auto"/>
              <w:bottom w:val="single" w:sz="4" w:space="0" w:color="auto"/>
              <w:right w:val="single" w:sz="4" w:space="0" w:color="auto"/>
            </w:tcBorders>
            <w:vAlign w:val="center"/>
            <w:hideMark/>
          </w:tcPr>
          <w:p w:rsidR="0069591E" w:rsidRPr="0069591E" w:rsidRDefault="0069591E" w:rsidP="0069591E">
            <w:pPr>
              <w:widowControl/>
              <w:jc w:val="left"/>
              <w:rPr>
                <w:rFonts w:ascii="宋体" w:hAnsi="宋体" w:cs="宋体"/>
                <w:color w:val="000000"/>
                <w:kern w:val="0"/>
                <w:sz w:val="20"/>
                <w:szCs w:val="20"/>
              </w:rPr>
            </w:pPr>
          </w:p>
        </w:tc>
        <w:tc>
          <w:tcPr>
            <w:tcW w:w="936" w:type="dxa"/>
            <w:tcBorders>
              <w:top w:val="nil"/>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生态效益指标</w:t>
            </w:r>
          </w:p>
        </w:tc>
        <w:tc>
          <w:tcPr>
            <w:tcW w:w="423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69591E" w:rsidRPr="0069591E" w:rsidRDefault="0069591E" w:rsidP="0069591E">
            <w:pPr>
              <w:widowControl/>
              <w:jc w:val="left"/>
              <w:rPr>
                <w:rFonts w:ascii="宋体" w:hAnsi="宋体" w:cs="宋体"/>
                <w:color w:val="000000"/>
                <w:kern w:val="0"/>
                <w:sz w:val="20"/>
                <w:szCs w:val="20"/>
              </w:rPr>
            </w:pPr>
            <w:r w:rsidRPr="0069591E">
              <w:rPr>
                <w:rFonts w:ascii="宋体" w:hAnsi="宋体" w:cs="宋体" w:hint="eastAsia"/>
                <w:color w:val="000000"/>
                <w:kern w:val="0"/>
                <w:sz w:val="20"/>
                <w:szCs w:val="20"/>
              </w:rPr>
              <w:t xml:space="preserve">　</w:t>
            </w:r>
          </w:p>
        </w:tc>
        <w:tc>
          <w:tcPr>
            <w:tcW w:w="1298" w:type="dxa"/>
            <w:tcBorders>
              <w:top w:val="nil"/>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 xml:space="preserve">　</w:t>
            </w:r>
          </w:p>
        </w:tc>
        <w:tc>
          <w:tcPr>
            <w:tcW w:w="1168" w:type="dxa"/>
            <w:tcBorders>
              <w:top w:val="nil"/>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 xml:space="preserve">　</w:t>
            </w:r>
          </w:p>
        </w:tc>
        <w:tc>
          <w:tcPr>
            <w:tcW w:w="1394" w:type="dxa"/>
            <w:gridSpan w:val="2"/>
            <w:tcBorders>
              <w:top w:val="single" w:sz="4" w:space="0" w:color="auto"/>
              <w:left w:val="nil"/>
              <w:bottom w:val="single" w:sz="4" w:space="0" w:color="auto"/>
              <w:right w:val="single" w:sz="4" w:space="0" w:color="000000"/>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 xml:space="preserve">　</w:t>
            </w:r>
          </w:p>
        </w:tc>
        <w:tc>
          <w:tcPr>
            <w:tcW w:w="1307" w:type="dxa"/>
            <w:gridSpan w:val="2"/>
            <w:tcBorders>
              <w:top w:val="single" w:sz="4" w:space="0" w:color="auto"/>
              <w:left w:val="nil"/>
              <w:bottom w:val="single" w:sz="4" w:space="0" w:color="auto"/>
              <w:right w:val="single" w:sz="4" w:space="0" w:color="000000"/>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 xml:space="preserve">　</w:t>
            </w:r>
          </w:p>
        </w:tc>
        <w:tc>
          <w:tcPr>
            <w:tcW w:w="1588" w:type="dxa"/>
            <w:gridSpan w:val="2"/>
            <w:tcBorders>
              <w:top w:val="single" w:sz="4" w:space="0" w:color="auto"/>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 xml:space="preserve">　</w:t>
            </w:r>
          </w:p>
        </w:tc>
      </w:tr>
      <w:tr w:rsidR="0069591E" w:rsidRPr="0069591E" w:rsidTr="0069591E">
        <w:trPr>
          <w:trHeight w:val="402"/>
        </w:trPr>
        <w:tc>
          <w:tcPr>
            <w:tcW w:w="909" w:type="dxa"/>
            <w:vMerge/>
            <w:tcBorders>
              <w:top w:val="nil"/>
              <w:left w:val="single" w:sz="4" w:space="0" w:color="auto"/>
              <w:bottom w:val="single" w:sz="4" w:space="0" w:color="auto"/>
              <w:right w:val="single" w:sz="4" w:space="0" w:color="auto"/>
            </w:tcBorders>
            <w:vAlign w:val="center"/>
            <w:hideMark/>
          </w:tcPr>
          <w:p w:rsidR="0069591E" w:rsidRPr="0069591E" w:rsidRDefault="0069591E" w:rsidP="0069591E">
            <w:pPr>
              <w:widowControl/>
              <w:jc w:val="left"/>
              <w:rPr>
                <w:rFonts w:ascii="宋体" w:hAnsi="宋体" w:cs="宋体"/>
                <w:color w:val="000000"/>
                <w:kern w:val="0"/>
                <w:sz w:val="20"/>
                <w:szCs w:val="20"/>
              </w:rPr>
            </w:pPr>
          </w:p>
        </w:tc>
        <w:tc>
          <w:tcPr>
            <w:tcW w:w="910" w:type="dxa"/>
            <w:vMerge/>
            <w:tcBorders>
              <w:top w:val="nil"/>
              <w:left w:val="single" w:sz="4" w:space="0" w:color="auto"/>
              <w:bottom w:val="single" w:sz="4" w:space="0" w:color="auto"/>
              <w:right w:val="single" w:sz="4" w:space="0" w:color="auto"/>
            </w:tcBorders>
            <w:vAlign w:val="center"/>
            <w:hideMark/>
          </w:tcPr>
          <w:p w:rsidR="0069591E" w:rsidRPr="0069591E" w:rsidRDefault="0069591E" w:rsidP="0069591E">
            <w:pPr>
              <w:widowControl/>
              <w:jc w:val="left"/>
              <w:rPr>
                <w:rFonts w:ascii="宋体" w:hAnsi="宋体" w:cs="宋体"/>
                <w:color w:val="000000"/>
                <w:kern w:val="0"/>
                <w:sz w:val="20"/>
                <w:szCs w:val="20"/>
              </w:rPr>
            </w:pPr>
          </w:p>
        </w:tc>
        <w:tc>
          <w:tcPr>
            <w:tcW w:w="936" w:type="dxa"/>
            <w:tcBorders>
              <w:top w:val="nil"/>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可持续影响指标</w:t>
            </w:r>
          </w:p>
        </w:tc>
        <w:tc>
          <w:tcPr>
            <w:tcW w:w="423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69591E" w:rsidRPr="0069591E" w:rsidRDefault="0069591E" w:rsidP="0069591E">
            <w:pPr>
              <w:widowControl/>
              <w:jc w:val="left"/>
              <w:rPr>
                <w:rFonts w:ascii="宋体" w:hAnsi="宋体" w:cs="宋体"/>
                <w:color w:val="000000"/>
                <w:kern w:val="0"/>
                <w:sz w:val="20"/>
                <w:szCs w:val="20"/>
              </w:rPr>
            </w:pPr>
            <w:r w:rsidRPr="0069591E">
              <w:rPr>
                <w:rFonts w:ascii="宋体" w:hAnsi="宋体" w:cs="宋体" w:hint="eastAsia"/>
                <w:color w:val="000000"/>
                <w:kern w:val="0"/>
                <w:sz w:val="20"/>
                <w:szCs w:val="20"/>
              </w:rPr>
              <w:t>招标投标交易平台系统正常使用年限</w:t>
            </w:r>
          </w:p>
        </w:tc>
        <w:tc>
          <w:tcPr>
            <w:tcW w:w="1298" w:type="dxa"/>
            <w:tcBorders>
              <w:top w:val="nil"/>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长期</w:t>
            </w:r>
          </w:p>
        </w:tc>
        <w:tc>
          <w:tcPr>
            <w:tcW w:w="1168" w:type="dxa"/>
            <w:tcBorders>
              <w:top w:val="nil"/>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95%</w:t>
            </w:r>
          </w:p>
        </w:tc>
        <w:tc>
          <w:tcPr>
            <w:tcW w:w="1394" w:type="dxa"/>
            <w:gridSpan w:val="2"/>
            <w:tcBorders>
              <w:top w:val="single" w:sz="4" w:space="0" w:color="auto"/>
              <w:left w:val="nil"/>
              <w:bottom w:val="single" w:sz="4" w:space="0" w:color="auto"/>
              <w:right w:val="single" w:sz="4" w:space="0" w:color="000000"/>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5</w:t>
            </w:r>
          </w:p>
        </w:tc>
        <w:tc>
          <w:tcPr>
            <w:tcW w:w="1307" w:type="dxa"/>
            <w:gridSpan w:val="2"/>
            <w:tcBorders>
              <w:top w:val="single" w:sz="4" w:space="0" w:color="auto"/>
              <w:left w:val="nil"/>
              <w:bottom w:val="single" w:sz="4" w:space="0" w:color="auto"/>
              <w:right w:val="single" w:sz="4" w:space="0" w:color="000000"/>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4.75</w:t>
            </w:r>
          </w:p>
        </w:tc>
        <w:tc>
          <w:tcPr>
            <w:tcW w:w="1588" w:type="dxa"/>
            <w:gridSpan w:val="2"/>
            <w:tcBorders>
              <w:top w:val="single" w:sz="4" w:space="0" w:color="auto"/>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因系统新旧更换</w:t>
            </w:r>
          </w:p>
        </w:tc>
      </w:tr>
      <w:tr w:rsidR="0069591E" w:rsidRPr="0069591E" w:rsidTr="0069591E">
        <w:trPr>
          <w:trHeight w:val="402"/>
        </w:trPr>
        <w:tc>
          <w:tcPr>
            <w:tcW w:w="909" w:type="dxa"/>
            <w:vMerge/>
            <w:tcBorders>
              <w:top w:val="nil"/>
              <w:left w:val="single" w:sz="4" w:space="0" w:color="auto"/>
              <w:bottom w:val="single" w:sz="4" w:space="0" w:color="auto"/>
              <w:right w:val="single" w:sz="4" w:space="0" w:color="auto"/>
            </w:tcBorders>
            <w:vAlign w:val="center"/>
            <w:hideMark/>
          </w:tcPr>
          <w:p w:rsidR="0069591E" w:rsidRPr="0069591E" w:rsidRDefault="0069591E" w:rsidP="0069591E">
            <w:pPr>
              <w:widowControl/>
              <w:jc w:val="left"/>
              <w:rPr>
                <w:rFonts w:ascii="宋体" w:hAnsi="宋体" w:cs="宋体"/>
                <w:color w:val="000000"/>
                <w:kern w:val="0"/>
                <w:sz w:val="20"/>
                <w:szCs w:val="20"/>
              </w:rPr>
            </w:pPr>
          </w:p>
        </w:tc>
        <w:tc>
          <w:tcPr>
            <w:tcW w:w="910" w:type="dxa"/>
            <w:tcBorders>
              <w:top w:val="nil"/>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满意度指标</w:t>
            </w:r>
          </w:p>
        </w:tc>
        <w:tc>
          <w:tcPr>
            <w:tcW w:w="936" w:type="dxa"/>
            <w:tcBorders>
              <w:top w:val="nil"/>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满意度指标</w:t>
            </w:r>
          </w:p>
        </w:tc>
        <w:tc>
          <w:tcPr>
            <w:tcW w:w="4230" w:type="dxa"/>
            <w:gridSpan w:val="3"/>
            <w:tcBorders>
              <w:top w:val="single" w:sz="4" w:space="0" w:color="auto"/>
              <w:left w:val="nil"/>
              <w:bottom w:val="single" w:sz="4" w:space="0" w:color="auto"/>
              <w:right w:val="single" w:sz="4" w:space="0" w:color="000000"/>
            </w:tcBorders>
            <w:shd w:val="clear" w:color="auto" w:fill="auto"/>
            <w:noWrap/>
            <w:vAlign w:val="center"/>
            <w:hideMark/>
          </w:tcPr>
          <w:p w:rsidR="0069591E" w:rsidRPr="0069591E" w:rsidRDefault="0069591E" w:rsidP="0069591E">
            <w:pPr>
              <w:widowControl/>
              <w:jc w:val="left"/>
              <w:rPr>
                <w:rFonts w:ascii="宋体" w:hAnsi="宋体" w:cs="宋体"/>
                <w:color w:val="000000"/>
                <w:kern w:val="0"/>
                <w:sz w:val="20"/>
                <w:szCs w:val="20"/>
              </w:rPr>
            </w:pPr>
            <w:r w:rsidRPr="0069591E">
              <w:rPr>
                <w:rFonts w:ascii="宋体" w:hAnsi="宋体" w:cs="宋体" w:hint="eastAsia"/>
                <w:color w:val="000000"/>
                <w:kern w:val="0"/>
                <w:sz w:val="20"/>
                <w:szCs w:val="20"/>
              </w:rPr>
              <w:t>招标投标交易平台使用人满意度</w:t>
            </w:r>
          </w:p>
        </w:tc>
        <w:tc>
          <w:tcPr>
            <w:tcW w:w="1298" w:type="dxa"/>
            <w:tcBorders>
              <w:top w:val="nil"/>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=90%</w:t>
            </w:r>
          </w:p>
        </w:tc>
        <w:tc>
          <w:tcPr>
            <w:tcW w:w="1168" w:type="dxa"/>
            <w:tcBorders>
              <w:top w:val="nil"/>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94%</w:t>
            </w:r>
          </w:p>
        </w:tc>
        <w:tc>
          <w:tcPr>
            <w:tcW w:w="1394" w:type="dxa"/>
            <w:gridSpan w:val="2"/>
            <w:tcBorders>
              <w:top w:val="single" w:sz="4" w:space="0" w:color="auto"/>
              <w:left w:val="nil"/>
              <w:bottom w:val="single" w:sz="4" w:space="0" w:color="auto"/>
              <w:right w:val="single" w:sz="4" w:space="0" w:color="000000"/>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10</w:t>
            </w:r>
          </w:p>
        </w:tc>
        <w:tc>
          <w:tcPr>
            <w:tcW w:w="1307" w:type="dxa"/>
            <w:gridSpan w:val="2"/>
            <w:tcBorders>
              <w:top w:val="single" w:sz="4" w:space="0" w:color="auto"/>
              <w:left w:val="nil"/>
              <w:bottom w:val="single" w:sz="4" w:space="0" w:color="auto"/>
              <w:right w:val="single" w:sz="4" w:space="0" w:color="000000"/>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9.4</w:t>
            </w:r>
          </w:p>
        </w:tc>
        <w:tc>
          <w:tcPr>
            <w:tcW w:w="1588" w:type="dxa"/>
            <w:gridSpan w:val="2"/>
            <w:tcBorders>
              <w:top w:val="single" w:sz="4" w:space="0" w:color="auto"/>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因系统新旧更换</w:t>
            </w:r>
          </w:p>
        </w:tc>
      </w:tr>
      <w:tr w:rsidR="0069591E" w:rsidRPr="0069591E" w:rsidTr="0069591E">
        <w:trPr>
          <w:trHeight w:val="270"/>
        </w:trPr>
        <w:tc>
          <w:tcPr>
            <w:tcW w:w="9451"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总分</w:t>
            </w:r>
          </w:p>
        </w:tc>
        <w:tc>
          <w:tcPr>
            <w:tcW w:w="1394" w:type="dxa"/>
            <w:gridSpan w:val="2"/>
            <w:tcBorders>
              <w:top w:val="single" w:sz="4" w:space="0" w:color="auto"/>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100</w:t>
            </w:r>
          </w:p>
        </w:tc>
        <w:tc>
          <w:tcPr>
            <w:tcW w:w="1307" w:type="dxa"/>
            <w:gridSpan w:val="2"/>
            <w:tcBorders>
              <w:top w:val="single" w:sz="4" w:space="0" w:color="auto"/>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97.10分</w:t>
            </w:r>
          </w:p>
        </w:tc>
        <w:tc>
          <w:tcPr>
            <w:tcW w:w="1588" w:type="dxa"/>
            <w:gridSpan w:val="2"/>
            <w:tcBorders>
              <w:top w:val="single" w:sz="4" w:space="0" w:color="auto"/>
              <w:left w:val="nil"/>
              <w:bottom w:val="single" w:sz="4" w:space="0" w:color="auto"/>
              <w:right w:val="single" w:sz="4" w:space="0" w:color="auto"/>
            </w:tcBorders>
            <w:shd w:val="clear" w:color="auto" w:fill="auto"/>
            <w:vAlign w:val="center"/>
            <w:hideMark/>
          </w:tcPr>
          <w:p w:rsidR="0069591E" w:rsidRPr="0069591E" w:rsidRDefault="0069591E" w:rsidP="0069591E">
            <w:pPr>
              <w:widowControl/>
              <w:jc w:val="center"/>
              <w:rPr>
                <w:rFonts w:ascii="宋体" w:hAnsi="宋体" w:cs="宋体"/>
                <w:color w:val="000000"/>
                <w:kern w:val="0"/>
                <w:sz w:val="20"/>
                <w:szCs w:val="20"/>
              </w:rPr>
            </w:pPr>
            <w:r w:rsidRPr="0069591E">
              <w:rPr>
                <w:rFonts w:ascii="宋体" w:hAnsi="宋体" w:cs="宋体" w:hint="eastAsia"/>
                <w:color w:val="000000"/>
                <w:kern w:val="0"/>
                <w:sz w:val="20"/>
                <w:szCs w:val="20"/>
              </w:rPr>
              <w:t xml:space="preserve">　</w:t>
            </w:r>
          </w:p>
        </w:tc>
      </w:tr>
    </w:tbl>
    <w:p w:rsidR="00B304D2" w:rsidRDefault="00B304D2">
      <w:pPr>
        <w:rPr>
          <w:rFonts w:ascii="仿宋_GB2312" w:eastAsia="仿宋_GB2312"/>
          <w:sz w:val="32"/>
          <w:szCs w:val="32"/>
        </w:rPr>
      </w:pPr>
    </w:p>
    <w:p w:rsidR="00BF1545" w:rsidRDefault="00BF1545">
      <w:pPr>
        <w:ind w:firstLineChars="200" w:firstLine="640"/>
        <w:jc w:val="center"/>
        <w:outlineLvl w:val="0"/>
        <w:rPr>
          <w:rFonts w:ascii="仿宋_GB2312" w:eastAsia="仿宋_GB2312"/>
          <w:sz w:val="32"/>
          <w:szCs w:val="32"/>
        </w:rPr>
        <w:sectPr w:rsidR="00BF1545" w:rsidSect="00BF1545">
          <w:pgSz w:w="16838" w:h="11906" w:orient="landscape"/>
          <w:pgMar w:top="1797" w:right="1440" w:bottom="1797" w:left="1440" w:header="851" w:footer="992" w:gutter="0"/>
          <w:cols w:space="720"/>
          <w:docGrid w:type="linesAndChars" w:linePitch="312"/>
        </w:sectPr>
      </w:pPr>
      <w:bookmarkStart w:id="34" w:name="_Toc3250"/>
      <w:bookmarkStart w:id="35" w:name="_Toc24143"/>
    </w:p>
    <w:p w:rsidR="00BF1545" w:rsidRDefault="00BF1545">
      <w:pPr>
        <w:ind w:firstLineChars="200" w:firstLine="640"/>
        <w:jc w:val="center"/>
        <w:outlineLvl w:val="0"/>
        <w:rPr>
          <w:rFonts w:ascii="仿宋_GB2312" w:eastAsia="仿宋_GB2312"/>
          <w:sz w:val="32"/>
          <w:szCs w:val="32"/>
        </w:rPr>
      </w:pPr>
      <w:bookmarkStart w:id="36" w:name="_GoBack"/>
      <w:bookmarkEnd w:id="36"/>
    </w:p>
    <w:p w:rsidR="00B304D2" w:rsidRDefault="00647263">
      <w:pPr>
        <w:ind w:firstLineChars="200" w:firstLine="640"/>
        <w:jc w:val="center"/>
        <w:outlineLvl w:val="0"/>
        <w:rPr>
          <w:rFonts w:ascii="黑体" w:eastAsia="黑体" w:hAnsi="黑体"/>
          <w:sz w:val="32"/>
          <w:szCs w:val="32"/>
        </w:rPr>
      </w:pPr>
      <w:r>
        <w:rPr>
          <w:rFonts w:ascii="黑体" w:eastAsia="黑体" w:hAnsi="黑体" w:hint="eastAsia"/>
          <w:sz w:val="32"/>
          <w:szCs w:val="32"/>
        </w:rPr>
        <w:t>第三部分 专业名词解释</w:t>
      </w:r>
      <w:bookmarkEnd w:id="34"/>
      <w:bookmarkEnd w:id="35"/>
    </w:p>
    <w:p w:rsidR="00B304D2" w:rsidRDefault="00647263">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B304D2" w:rsidRDefault="00647263">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B304D2" w:rsidRDefault="00647263">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B304D2" w:rsidRDefault="00647263">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B304D2" w:rsidRDefault="00647263">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B304D2" w:rsidRDefault="00647263">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B304D2" w:rsidRDefault="00647263">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rsidR="00B304D2" w:rsidRDefault="00647263">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B304D2" w:rsidRDefault="00647263">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w:t>
      </w:r>
      <w:r>
        <w:rPr>
          <w:rFonts w:ascii="仿宋_GB2312" w:eastAsia="仿宋_GB2312" w:hint="eastAsia"/>
          <w:sz w:val="32"/>
          <w:szCs w:val="32"/>
        </w:rPr>
        <w:lastRenderedPageBreak/>
        <w:t>而发生的人员支出和公用支出。</w:t>
      </w:r>
    </w:p>
    <w:p w:rsidR="00B304D2" w:rsidRDefault="00647263">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rsidR="00B304D2" w:rsidRDefault="00647263">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B304D2" w:rsidRDefault="00647263">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B304D2" w:rsidRDefault="00647263">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rsidR="00B304D2" w:rsidRDefault="00647263">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B304D2" w:rsidRDefault="00647263" w:rsidP="00BD7EBC">
      <w:pPr>
        <w:jc w:val="center"/>
        <w:rPr>
          <w:rFonts w:ascii="黑体" w:eastAsia="黑体" w:hAnsi="黑体"/>
          <w:sz w:val="32"/>
          <w:szCs w:val="32"/>
        </w:rPr>
      </w:pPr>
      <w:bookmarkStart w:id="37" w:name="_Toc28903"/>
      <w:bookmarkStart w:id="38" w:name="_Toc22784"/>
      <w:r>
        <w:rPr>
          <w:rFonts w:ascii="黑体" w:eastAsia="黑体" w:hAnsi="黑体" w:hint="eastAsia"/>
          <w:sz w:val="32"/>
          <w:szCs w:val="32"/>
        </w:rPr>
        <w:br w:type="page"/>
      </w:r>
      <w:r>
        <w:rPr>
          <w:rFonts w:ascii="黑体" w:eastAsia="黑体" w:hAnsi="黑体" w:hint="eastAsia"/>
          <w:sz w:val="32"/>
          <w:szCs w:val="32"/>
        </w:rPr>
        <w:lastRenderedPageBreak/>
        <w:t>第四部分 部门决算报表（见附表）</w:t>
      </w:r>
      <w:bookmarkEnd w:id="37"/>
      <w:bookmarkEnd w:id="38"/>
    </w:p>
    <w:p w:rsidR="00B304D2" w:rsidRDefault="00647263">
      <w:pPr>
        <w:ind w:firstLineChars="200" w:firstLine="640"/>
        <w:outlineLvl w:val="1"/>
        <w:rPr>
          <w:rFonts w:ascii="黑体" w:eastAsia="黑体" w:hAnsi="黑体" w:cs="宋体"/>
          <w:bCs/>
          <w:kern w:val="0"/>
          <w:sz w:val="32"/>
          <w:szCs w:val="32"/>
        </w:rPr>
      </w:pPr>
      <w:bookmarkStart w:id="39" w:name="_Toc6062"/>
      <w:bookmarkStart w:id="40" w:name="_Toc2183"/>
      <w:r>
        <w:rPr>
          <w:rFonts w:ascii="黑体" w:eastAsia="黑体" w:hAnsi="黑体" w:cs="宋体" w:hint="eastAsia"/>
          <w:bCs/>
          <w:kern w:val="0"/>
          <w:sz w:val="32"/>
          <w:szCs w:val="32"/>
        </w:rPr>
        <w:t>一、《收入支出决算总表》</w:t>
      </w:r>
      <w:bookmarkEnd w:id="39"/>
      <w:bookmarkEnd w:id="40"/>
    </w:p>
    <w:p w:rsidR="00B304D2" w:rsidRDefault="00647263">
      <w:pPr>
        <w:ind w:firstLineChars="200" w:firstLine="640"/>
        <w:outlineLvl w:val="1"/>
        <w:rPr>
          <w:rFonts w:ascii="黑体" w:eastAsia="黑体" w:hAnsi="黑体" w:cs="宋体"/>
          <w:bCs/>
          <w:kern w:val="0"/>
          <w:sz w:val="32"/>
          <w:szCs w:val="32"/>
        </w:rPr>
      </w:pPr>
      <w:bookmarkStart w:id="41" w:name="_Toc30364"/>
      <w:bookmarkStart w:id="42" w:name="_Toc24532"/>
      <w:r>
        <w:rPr>
          <w:rFonts w:ascii="黑体" w:eastAsia="黑体" w:hAnsi="黑体" w:cs="宋体" w:hint="eastAsia"/>
          <w:bCs/>
          <w:kern w:val="0"/>
          <w:sz w:val="32"/>
          <w:szCs w:val="32"/>
        </w:rPr>
        <w:t>二、《收入决算表》</w:t>
      </w:r>
      <w:bookmarkEnd w:id="41"/>
      <w:bookmarkEnd w:id="42"/>
    </w:p>
    <w:p w:rsidR="00B304D2" w:rsidRDefault="00647263">
      <w:pPr>
        <w:ind w:firstLineChars="200" w:firstLine="640"/>
        <w:outlineLvl w:val="1"/>
        <w:rPr>
          <w:rFonts w:ascii="黑体" w:eastAsia="黑体" w:hAnsi="黑体" w:cs="宋体"/>
          <w:bCs/>
          <w:kern w:val="0"/>
          <w:sz w:val="32"/>
          <w:szCs w:val="32"/>
        </w:rPr>
      </w:pPr>
      <w:bookmarkStart w:id="43" w:name="_Toc32434"/>
      <w:bookmarkStart w:id="44" w:name="_Toc21304"/>
      <w:r>
        <w:rPr>
          <w:rFonts w:ascii="黑体" w:eastAsia="黑体" w:hAnsi="黑体" w:cs="宋体" w:hint="eastAsia"/>
          <w:bCs/>
          <w:kern w:val="0"/>
          <w:sz w:val="32"/>
          <w:szCs w:val="32"/>
        </w:rPr>
        <w:t>三、《支出决算表》</w:t>
      </w:r>
      <w:bookmarkEnd w:id="43"/>
      <w:bookmarkEnd w:id="44"/>
    </w:p>
    <w:p w:rsidR="00B304D2" w:rsidRDefault="00647263">
      <w:pPr>
        <w:ind w:firstLineChars="200" w:firstLine="640"/>
        <w:outlineLvl w:val="1"/>
        <w:rPr>
          <w:rFonts w:ascii="黑体" w:eastAsia="黑体" w:hAnsi="黑体" w:cs="宋体"/>
          <w:bCs/>
          <w:kern w:val="0"/>
          <w:sz w:val="32"/>
          <w:szCs w:val="32"/>
        </w:rPr>
      </w:pPr>
      <w:bookmarkStart w:id="45" w:name="_Toc14238"/>
      <w:bookmarkStart w:id="46" w:name="_Toc28786"/>
      <w:r>
        <w:rPr>
          <w:rFonts w:ascii="黑体" w:eastAsia="黑体" w:hAnsi="黑体" w:cs="宋体" w:hint="eastAsia"/>
          <w:bCs/>
          <w:kern w:val="0"/>
          <w:sz w:val="32"/>
          <w:szCs w:val="32"/>
        </w:rPr>
        <w:t>四、《财政拨款收入支出决算总表》</w:t>
      </w:r>
      <w:bookmarkEnd w:id="45"/>
      <w:bookmarkEnd w:id="46"/>
    </w:p>
    <w:p w:rsidR="00B304D2" w:rsidRDefault="00647263">
      <w:pPr>
        <w:ind w:firstLineChars="200" w:firstLine="640"/>
        <w:outlineLvl w:val="1"/>
        <w:rPr>
          <w:rFonts w:ascii="黑体" w:eastAsia="黑体" w:hAnsi="黑体" w:cs="宋体"/>
          <w:bCs/>
          <w:kern w:val="0"/>
          <w:sz w:val="32"/>
          <w:szCs w:val="32"/>
        </w:rPr>
      </w:pPr>
      <w:bookmarkStart w:id="47" w:name="_Toc10347"/>
      <w:bookmarkStart w:id="48" w:name="_Toc14869"/>
      <w:r>
        <w:rPr>
          <w:rFonts w:ascii="黑体" w:eastAsia="黑体" w:hAnsi="黑体" w:cs="宋体" w:hint="eastAsia"/>
          <w:bCs/>
          <w:kern w:val="0"/>
          <w:sz w:val="32"/>
          <w:szCs w:val="32"/>
        </w:rPr>
        <w:t>五、《一般公共预算财政拨款支出决算表》</w:t>
      </w:r>
      <w:bookmarkEnd w:id="47"/>
      <w:bookmarkEnd w:id="48"/>
    </w:p>
    <w:p w:rsidR="00B304D2" w:rsidRDefault="00647263">
      <w:pPr>
        <w:ind w:firstLineChars="200" w:firstLine="640"/>
        <w:outlineLvl w:val="1"/>
        <w:rPr>
          <w:rFonts w:ascii="黑体" w:eastAsia="黑体" w:hAnsi="黑体" w:cs="宋体"/>
          <w:bCs/>
          <w:kern w:val="0"/>
          <w:sz w:val="32"/>
          <w:szCs w:val="32"/>
        </w:rPr>
      </w:pPr>
      <w:bookmarkStart w:id="49" w:name="_Toc8884"/>
      <w:bookmarkStart w:id="50" w:name="_Toc5626"/>
      <w:r>
        <w:rPr>
          <w:rFonts w:ascii="黑体" w:eastAsia="黑体" w:hAnsi="黑体" w:cs="宋体" w:hint="eastAsia"/>
          <w:bCs/>
          <w:kern w:val="0"/>
          <w:sz w:val="32"/>
          <w:szCs w:val="32"/>
        </w:rPr>
        <w:t>六、《一般公共预算财政拨款基本支出决算表》</w:t>
      </w:r>
      <w:bookmarkEnd w:id="49"/>
      <w:bookmarkEnd w:id="50"/>
    </w:p>
    <w:p w:rsidR="00B304D2" w:rsidRDefault="00647263">
      <w:pPr>
        <w:ind w:firstLineChars="200" w:firstLine="640"/>
        <w:outlineLvl w:val="1"/>
        <w:rPr>
          <w:rFonts w:ascii="黑体" w:eastAsia="黑体" w:hAnsi="黑体" w:cs="宋体"/>
          <w:bCs/>
          <w:kern w:val="0"/>
          <w:sz w:val="32"/>
          <w:szCs w:val="32"/>
        </w:rPr>
      </w:pPr>
      <w:bookmarkStart w:id="51" w:name="_Toc32663"/>
      <w:bookmarkStart w:id="52" w:name="_Toc29106"/>
      <w:r>
        <w:rPr>
          <w:rFonts w:ascii="黑体" w:eastAsia="黑体" w:hAnsi="黑体" w:cs="宋体" w:hint="eastAsia"/>
          <w:bCs/>
          <w:kern w:val="0"/>
          <w:sz w:val="32"/>
          <w:szCs w:val="32"/>
        </w:rPr>
        <w:t>七、《一般公共预算财政拨款“三公”经费支出决算表》</w:t>
      </w:r>
      <w:bookmarkEnd w:id="51"/>
      <w:bookmarkEnd w:id="52"/>
    </w:p>
    <w:p w:rsidR="00B304D2" w:rsidRDefault="00647263">
      <w:pPr>
        <w:ind w:firstLineChars="200" w:firstLine="640"/>
        <w:outlineLvl w:val="1"/>
        <w:rPr>
          <w:rFonts w:ascii="黑体" w:eastAsia="黑体" w:hAnsi="黑体" w:cs="宋体"/>
          <w:bCs/>
          <w:kern w:val="0"/>
          <w:sz w:val="32"/>
          <w:szCs w:val="32"/>
        </w:rPr>
      </w:pPr>
      <w:bookmarkStart w:id="53" w:name="_Toc5453"/>
      <w:bookmarkStart w:id="54" w:name="_Toc7643"/>
      <w:r>
        <w:rPr>
          <w:rFonts w:ascii="黑体" w:eastAsia="黑体" w:hAnsi="黑体" w:cs="宋体" w:hint="eastAsia"/>
          <w:bCs/>
          <w:kern w:val="0"/>
          <w:sz w:val="32"/>
          <w:szCs w:val="32"/>
        </w:rPr>
        <w:t>八、《政府性基金预算财政拨款收入支出决算表》</w:t>
      </w:r>
      <w:bookmarkEnd w:id="53"/>
      <w:bookmarkEnd w:id="54"/>
    </w:p>
    <w:p w:rsidR="00B304D2" w:rsidRDefault="00647263">
      <w:pPr>
        <w:ind w:firstLineChars="200" w:firstLine="640"/>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九、《国有资本经营预算财政拨款收入支出决算表》</w:t>
      </w:r>
    </w:p>
    <w:bookmarkEnd w:id="0"/>
    <w:p w:rsidR="00B304D2" w:rsidRDefault="00B304D2">
      <w:pPr>
        <w:ind w:firstLineChars="200" w:firstLine="640"/>
        <w:outlineLvl w:val="1"/>
        <w:rPr>
          <w:rFonts w:ascii="黑体" w:eastAsia="黑体" w:hAnsi="黑体" w:cs="宋体"/>
          <w:bCs/>
          <w:kern w:val="0"/>
          <w:sz w:val="32"/>
          <w:szCs w:val="32"/>
        </w:rPr>
      </w:pPr>
    </w:p>
    <w:p w:rsidR="00B304D2" w:rsidRDefault="00B304D2"/>
    <w:p w:rsidR="00B304D2" w:rsidRDefault="00B304D2"/>
    <w:sectPr w:rsidR="00B304D2" w:rsidSect="00BF1545">
      <w:pgSz w:w="11906" w:h="16838"/>
      <w:pgMar w:top="1440" w:right="1797" w:bottom="1440" w:left="179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3F3D" w:rsidRDefault="005D3F3D">
      <w:r>
        <w:separator/>
      </w:r>
    </w:p>
  </w:endnote>
  <w:endnote w:type="continuationSeparator" w:id="0">
    <w:p w:rsidR="005D3F3D" w:rsidRDefault="005D3F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04D2" w:rsidRDefault="001616C1">
    <w:pPr>
      <w:pStyle w:val="a5"/>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" filled="f" stroked="f">
          <v:textbox style="mso-fit-shape-to-text:t" inset="0,0,0,0">
            <w:txbxContent>
              <w:p w:rsidR="00B304D2" w:rsidRDefault="001616C1">
                <w:pPr>
                  <w:pStyle w:val="a5"/>
                </w:pPr>
                <w:r>
                  <w:rPr>
                    <w:rFonts w:hint="eastAsia"/>
                  </w:rPr>
                  <w:fldChar w:fldCharType="begin"/>
                </w:r>
                <w:r w:rsidR="00647263">
                  <w:rPr>
                    <w:rFonts w:hint="eastAsia"/>
                  </w:rPr>
                  <w:instrText xml:space="preserve"> PAGE  \* MERGEFORMAT </w:instrText>
                </w:r>
                <w:r>
                  <w:rPr>
                    <w:rFonts w:hint="eastAsia"/>
                  </w:rPr>
                  <w:fldChar w:fldCharType="separate"/>
                </w:r>
                <w:r w:rsidR="00BD7EBC">
                  <w:rPr>
                    <w:noProof/>
                  </w:rPr>
                  <w:t>15</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3F3D" w:rsidRDefault="005D3F3D">
      <w:r>
        <w:separator/>
      </w:r>
    </w:p>
  </w:footnote>
  <w:footnote w:type="continuationSeparator" w:id="0">
    <w:p w:rsidR="005D3F3D" w:rsidRDefault="005D3F3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3"/>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3074"/>
    <o:shapelayout v:ext="edit">
      <o:idmap v:ext="edit" data="2"/>
    </o:shapelayout>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compat>
  <w:docVars>
    <w:docVar w:name="commondata" w:val="eyJoZGlkIjoiNmViYzk0YzA4ZjRjODNlZDgwMmQzYTBhNGFhMjA2OTkifQ=="/>
  </w:docVars>
  <w:rsids>
    <w:rsidRoot w:val="006B7B8C"/>
    <w:rsid w:val="BF5DD8AA"/>
    <w:rsid w:val="D3CF2FDB"/>
    <w:rsid w:val="FDFEE3F3"/>
    <w:rsid w:val="FFBF01E7"/>
    <w:rsid w:val="00014AAB"/>
    <w:rsid w:val="00015801"/>
    <w:rsid w:val="0002486D"/>
    <w:rsid w:val="00062388"/>
    <w:rsid w:val="000731DE"/>
    <w:rsid w:val="00082B96"/>
    <w:rsid w:val="000874C6"/>
    <w:rsid w:val="00091D32"/>
    <w:rsid w:val="000B3F65"/>
    <w:rsid w:val="000B4DF4"/>
    <w:rsid w:val="000B597A"/>
    <w:rsid w:val="000C0611"/>
    <w:rsid w:val="000C72B8"/>
    <w:rsid w:val="000F13FC"/>
    <w:rsid w:val="000F1BC6"/>
    <w:rsid w:val="000F7D1A"/>
    <w:rsid w:val="00100F46"/>
    <w:rsid w:val="001114DC"/>
    <w:rsid w:val="001221DB"/>
    <w:rsid w:val="001224FB"/>
    <w:rsid w:val="001433D9"/>
    <w:rsid w:val="00147345"/>
    <w:rsid w:val="00157386"/>
    <w:rsid w:val="001616C1"/>
    <w:rsid w:val="00176B00"/>
    <w:rsid w:val="00187078"/>
    <w:rsid w:val="001A140F"/>
    <w:rsid w:val="001A52AF"/>
    <w:rsid w:val="001C2440"/>
    <w:rsid w:val="001C44B0"/>
    <w:rsid w:val="00207BE8"/>
    <w:rsid w:val="002120BB"/>
    <w:rsid w:val="002548C8"/>
    <w:rsid w:val="00272419"/>
    <w:rsid w:val="003028E1"/>
    <w:rsid w:val="00302A04"/>
    <w:rsid w:val="00312652"/>
    <w:rsid w:val="00345A42"/>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4078AA"/>
    <w:rsid w:val="00420161"/>
    <w:rsid w:val="00464FAC"/>
    <w:rsid w:val="00480271"/>
    <w:rsid w:val="00487954"/>
    <w:rsid w:val="00495F92"/>
    <w:rsid w:val="004971F0"/>
    <w:rsid w:val="004B241A"/>
    <w:rsid w:val="004B2827"/>
    <w:rsid w:val="004B4550"/>
    <w:rsid w:val="004C036C"/>
    <w:rsid w:val="004C7698"/>
    <w:rsid w:val="004D5A4F"/>
    <w:rsid w:val="004E5240"/>
    <w:rsid w:val="004E7075"/>
    <w:rsid w:val="00511EF6"/>
    <w:rsid w:val="005266C7"/>
    <w:rsid w:val="00536589"/>
    <w:rsid w:val="005609AE"/>
    <w:rsid w:val="00565E92"/>
    <w:rsid w:val="00573DA1"/>
    <w:rsid w:val="00577003"/>
    <w:rsid w:val="00581BC9"/>
    <w:rsid w:val="0058594B"/>
    <w:rsid w:val="00597053"/>
    <w:rsid w:val="005B4B49"/>
    <w:rsid w:val="005D0449"/>
    <w:rsid w:val="005D2934"/>
    <w:rsid w:val="005D3D72"/>
    <w:rsid w:val="005D3F3D"/>
    <w:rsid w:val="005D54E8"/>
    <w:rsid w:val="005D6482"/>
    <w:rsid w:val="005F26BE"/>
    <w:rsid w:val="00610E0F"/>
    <w:rsid w:val="006113E2"/>
    <w:rsid w:val="00624982"/>
    <w:rsid w:val="00625F2E"/>
    <w:rsid w:val="00647263"/>
    <w:rsid w:val="006505E8"/>
    <w:rsid w:val="00656A89"/>
    <w:rsid w:val="006612DA"/>
    <w:rsid w:val="00677EE6"/>
    <w:rsid w:val="0069591E"/>
    <w:rsid w:val="006B25BA"/>
    <w:rsid w:val="006B5D26"/>
    <w:rsid w:val="006B7089"/>
    <w:rsid w:val="006B7147"/>
    <w:rsid w:val="006B7779"/>
    <w:rsid w:val="006B7B8C"/>
    <w:rsid w:val="006C09CD"/>
    <w:rsid w:val="006C6123"/>
    <w:rsid w:val="007002F4"/>
    <w:rsid w:val="0072647E"/>
    <w:rsid w:val="00730D0A"/>
    <w:rsid w:val="00753BF6"/>
    <w:rsid w:val="007718CB"/>
    <w:rsid w:val="0077373D"/>
    <w:rsid w:val="00773C57"/>
    <w:rsid w:val="00793611"/>
    <w:rsid w:val="007B5171"/>
    <w:rsid w:val="007E51A8"/>
    <w:rsid w:val="007F1677"/>
    <w:rsid w:val="008060FF"/>
    <w:rsid w:val="00816E3D"/>
    <w:rsid w:val="00817497"/>
    <w:rsid w:val="00820F01"/>
    <w:rsid w:val="00833A8D"/>
    <w:rsid w:val="00844A1B"/>
    <w:rsid w:val="00862C15"/>
    <w:rsid w:val="00866D2C"/>
    <w:rsid w:val="008936FD"/>
    <w:rsid w:val="008B0283"/>
    <w:rsid w:val="008B08E2"/>
    <w:rsid w:val="008C5CF1"/>
    <w:rsid w:val="008E1BC7"/>
    <w:rsid w:val="008E3821"/>
    <w:rsid w:val="008E6109"/>
    <w:rsid w:val="008E6A5A"/>
    <w:rsid w:val="00914AAA"/>
    <w:rsid w:val="00920BB9"/>
    <w:rsid w:val="00937335"/>
    <w:rsid w:val="00972E47"/>
    <w:rsid w:val="00984899"/>
    <w:rsid w:val="009848D4"/>
    <w:rsid w:val="009B30F0"/>
    <w:rsid w:val="009B32AE"/>
    <w:rsid w:val="009C6ACE"/>
    <w:rsid w:val="009E66FE"/>
    <w:rsid w:val="00A01F1F"/>
    <w:rsid w:val="00A04806"/>
    <w:rsid w:val="00A07771"/>
    <w:rsid w:val="00A337C0"/>
    <w:rsid w:val="00A45B04"/>
    <w:rsid w:val="00A830BA"/>
    <w:rsid w:val="00A851E1"/>
    <w:rsid w:val="00AD0C57"/>
    <w:rsid w:val="00AD0ECD"/>
    <w:rsid w:val="00AD3E2A"/>
    <w:rsid w:val="00AD75AE"/>
    <w:rsid w:val="00AE710B"/>
    <w:rsid w:val="00B14642"/>
    <w:rsid w:val="00B223C7"/>
    <w:rsid w:val="00B304D2"/>
    <w:rsid w:val="00B3137B"/>
    <w:rsid w:val="00B323EA"/>
    <w:rsid w:val="00B32435"/>
    <w:rsid w:val="00B55170"/>
    <w:rsid w:val="00B81749"/>
    <w:rsid w:val="00B82BD1"/>
    <w:rsid w:val="00B82F2C"/>
    <w:rsid w:val="00BC404C"/>
    <w:rsid w:val="00BD11BA"/>
    <w:rsid w:val="00BD1A9F"/>
    <w:rsid w:val="00BD7EBC"/>
    <w:rsid w:val="00BF043E"/>
    <w:rsid w:val="00BF1545"/>
    <w:rsid w:val="00BF382F"/>
    <w:rsid w:val="00BF59D3"/>
    <w:rsid w:val="00C0134C"/>
    <w:rsid w:val="00C0510A"/>
    <w:rsid w:val="00C14826"/>
    <w:rsid w:val="00C274DD"/>
    <w:rsid w:val="00C312EC"/>
    <w:rsid w:val="00C375F9"/>
    <w:rsid w:val="00C4109C"/>
    <w:rsid w:val="00C65082"/>
    <w:rsid w:val="00C67079"/>
    <w:rsid w:val="00CA4926"/>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97950"/>
    <w:rsid w:val="00DC09B1"/>
    <w:rsid w:val="00E00036"/>
    <w:rsid w:val="00E14CA4"/>
    <w:rsid w:val="00E23560"/>
    <w:rsid w:val="00E40C0B"/>
    <w:rsid w:val="00E429F1"/>
    <w:rsid w:val="00E434E9"/>
    <w:rsid w:val="00E8482F"/>
    <w:rsid w:val="00EC7E67"/>
    <w:rsid w:val="00F074B1"/>
    <w:rsid w:val="00F647BE"/>
    <w:rsid w:val="00F85377"/>
    <w:rsid w:val="00FA62CF"/>
    <w:rsid w:val="00FC2C0E"/>
    <w:rsid w:val="01D35DA3"/>
    <w:rsid w:val="02E743B6"/>
    <w:rsid w:val="02F1741B"/>
    <w:rsid w:val="04911B11"/>
    <w:rsid w:val="052035FD"/>
    <w:rsid w:val="05AF70DB"/>
    <w:rsid w:val="06792773"/>
    <w:rsid w:val="0742534E"/>
    <w:rsid w:val="08B509AF"/>
    <w:rsid w:val="08E75997"/>
    <w:rsid w:val="09E12A64"/>
    <w:rsid w:val="0AF87F94"/>
    <w:rsid w:val="0B835865"/>
    <w:rsid w:val="0BF6540F"/>
    <w:rsid w:val="0C7227A7"/>
    <w:rsid w:val="0C801B16"/>
    <w:rsid w:val="0D1E33E4"/>
    <w:rsid w:val="0DAA21EE"/>
    <w:rsid w:val="0FA7589A"/>
    <w:rsid w:val="102C6852"/>
    <w:rsid w:val="1081433D"/>
    <w:rsid w:val="12D3520E"/>
    <w:rsid w:val="1396784F"/>
    <w:rsid w:val="13EC0B8A"/>
    <w:rsid w:val="14EB6229"/>
    <w:rsid w:val="155C65A7"/>
    <w:rsid w:val="15E95753"/>
    <w:rsid w:val="16F045F9"/>
    <w:rsid w:val="176E6CF3"/>
    <w:rsid w:val="17C618A3"/>
    <w:rsid w:val="185F4F4D"/>
    <w:rsid w:val="193D4B9E"/>
    <w:rsid w:val="1B4E62E5"/>
    <w:rsid w:val="1C666C77"/>
    <w:rsid w:val="1C8B4975"/>
    <w:rsid w:val="1C98798D"/>
    <w:rsid w:val="1D2D783E"/>
    <w:rsid w:val="1D9D4C68"/>
    <w:rsid w:val="1DAF458D"/>
    <w:rsid w:val="1E150A80"/>
    <w:rsid w:val="1EAA00AC"/>
    <w:rsid w:val="1FA73C1B"/>
    <w:rsid w:val="258917FB"/>
    <w:rsid w:val="27AF63CE"/>
    <w:rsid w:val="27CF2642"/>
    <w:rsid w:val="28605A33"/>
    <w:rsid w:val="294E4805"/>
    <w:rsid w:val="29E96D83"/>
    <w:rsid w:val="29EC087F"/>
    <w:rsid w:val="2A053397"/>
    <w:rsid w:val="2ABE0B21"/>
    <w:rsid w:val="2B3A3AD8"/>
    <w:rsid w:val="2D1136DF"/>
    <w:rsid w:val="2DE716FC"/>
    <w:rsid w:val="2E59285E"/>
    <w:rsid w:val="2FD27414"/>
    <w:rsid w:val="31857BAC"/>
    <w:rsid w:val="31B5304E"/>
    <w:rsid w:val="31C63837"/>
    <w:rsid w:val="33206C0F"/>
    <w:rsid w:val="33BC32B4"/>
    <w:rsid w:val="3429669A"/>
    <w:rsid w:val="34965581"/>
    <w:rsid w:val="35C5793C"/>
    <w:rsid w:val="36325697"/>
    <w:rsid w:val="36E958BB"/>
    <w:rsid w:val="370D7281"/>
    <w:rsid w:val="38CB046A"/>
    <w:rsid w:val="3A643253"/>
    <w:rsid w:val="3B5D1933"/>
    <w:rsid w:val="3D1D5019"/>
    <w:rsid w:val="3D5275AC"/>
    <w:rsid w:val="3E1A76DD"/>
    <w:rsid w:val="3E2B7A03"/>
    <w:rsid w:val="3E9A7BA4"/>
    <w:rsid w:val="3F076061"/>
    <w:rsid w:val="3F6A08C0"/>
    <w:rsid w:val="455E1F7C"/>
    <w:rsid w:val="45897ADA"/>
    <w:rsid w:val="46901EEE"/>
    <w:rsid w:val="469C74D2"/>
    <w:rsid w:val="48A52360"/>
    <w:rsid w:val="4902047E"/>
    <w:rsid w:val="4A7D4485"/>
    <w:rsid w:val="4C2E1A9B"/>
    <w:rsid w:val="4DE45AD9"/>
    <w:rsid w:val="4E11500F"/>
    <w:rsid w:val="4EEF1380"/>
    <w:rsid w:val="4F9D7B44"/>
    <w:rsid w:val="50DB5F45"/>
    <w:rsid w:val="512709C0"/>
    <w:rsid w:val="51DB4252"/>
    <w:rsid w:val="52314E57"/>
    <w:rsid w:val="523358A5"/>
    <w:rsid w:val="53350823"/>
    <w:rsid w:val="54054866"/>
    <w:rsid w:val="54F22EA5"/>
    <w:rsid w:val="55516A31"/>
    <w:rsid w:val="59444B98"/>
    <w:rsid w:val="59996596"/>
    <w:rsid w:val="5A8B468F"/>
    <w:rsid w:val="5C386C32"/>
    <w:rsid w:val="5D286D33"/>
    <w:rsid w:val="5D630BDE"/>
    <w:rsid w:val="5E8A0BA7"/>
    <w:rsid w:val="5FFF1C5A"/>
    <w:rsid w:val="61A46A97"/>
    <w:rsid w:val="64275BB0"/>
    <w:rsid w:val="64925820"/>
    <w:rsid w:val="6627325F"/>
    <w:rsid w:val="66F72012"/>
    <w:rsid w:val="67623B14"/>
    <w:rsid w:val="68706FD2"/>
    <w:rsid w:val="69AD798C"/>
    <w:rsid w:val="69F01279"/>
    <w:rsid w:val="6B311CD9"/>
    <w:rsid w:val="6B68175F"/>
    <w:rsid w:val="6B8500AE"/>
    <w:rsid w:val="6C81696B"/>
    <w:rsid w:val="6D587ECB"/>
    <w:rsid w:val="6DE375B7"/>
    <w:rsid w:val="6F516C58"/>
    <w:rsid w:val="6FDFD92C"/>
    <w:rsid w:val="6FFF530B"/>
    <w:rsid w:val="70A609BC"/>
    <w:rsid w:val="73FB6630"/>
    <w:rsid w:val="74060C43"/>
    <w:rsid w:val="74947C20"/>
    <w:rsid w:val="761262E7"/>
    <w:rsid w:val="76416A32"/>
    <w:rsid w:val="77022DD9"/>
    <w:rsid w:val="77ED6F44"/>
    <w:rsid w:val="7E6C6E77"/>
    <w:rsid w:val="7F726A00"/>
    <w:rsid w:val="7FB31F36"/>
    <w:rsid w:val="7FC0756C"/>
    <w:rsid w:val="7FC8534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616C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1616C1"/>
    <w:pPr>
      <w:jc w:val="left"/>
    </w:pPr>
  </w:style>
  <w:style w:type="paragraph" w:styleId="3">
    <w:name w:val="toc 3"/>
    <w:basedOn w:val="a"/>
    <w:next w:val="a"/>
    <w:qFormat/>
    <w:rsid w:val="001616C1"/>
    <w:pPr>
      <w:ind w:leftChars="400" w:left="840"/>
    </w:pPr>
  </w:style>
  <w:style w:type="paragraph" w:styleId="a4">
    <w:name w:val="Balloon Text"/>
    <w:basedOn w:val="a"/>
    <w:link w:val="Char"/>
    <w:qFormat/>
    <w:rsid w:val="001616C1"/>
    <w:rPr>
      <w:sz w:val="18"/>
      <w:szCs w:val="18"/>
    </w:rPr>
  </w:style>
  <w:style w:type="paragraph" w:styleId="a5">
    <w:name w:val="footer"/>
    <w:basedOn w:val="a"/>
    <w:qFormat/>
    <w:rsid w:val="001616C1"/>
    <w:pPr>
      <w:tabs>
        <w:tab w:val="center" w:pos="4153"/>
        <w:tab w:val="right" w:pos="8306"/>
      </w:tabs>
      <w:snapToGrid w:val="0"/>
      <w:jc w:val="left"/>
    </w:pPr>
    <w:rPr>
      <w:sz w:val="18"/>
    </w:rPr>
  </w:style>
  <w:style w:type="paragraph" w:styleId="a6">
    <w:name w:val="header"/>
    <w:basedOn w:val="a"/>
    <w:qFormat/>
    <w:rsid w:val="001616C1"/>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1616C1"/>
  </w:style>
  <w:style w:type="paragraph" w:styleId="2">
    <w:name w:val="toc 2"/>
    <w:basedOn w:val="a"/>
    <w:next w:val="a"/>
    <w:qFormat/>
    <w:rsid w:val="001616C1"/>
    <w:pPr>
      <w:ind w:leftChars="200" w:left="420"/>
    </w:pPr>
  </w:style>
  <w:style w:type="paragraph" w:styleId="HTML">
    <w:name w:val="HTML Preformatted"/>
    <w:basedOn w:val="a"/>
    <w:qFormat/>
    <w:rsid w:val="001616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character" w:styleId="a7">
    <w:name w:val="annotation reference"/>
    <w:basedOn w:val="a0"/>
    <w:qFormat/>
    <w:rsid w:val="001616C1"/>
    <w:rPr>
      <w:sz w:val="21"/>
      <w:szCs w:val="21"/>
    </w:rPr>
  </w:style>
  <w:style w:type="paragraph" w:customStyle="1" w:styleId="WPSOffice2">
    <w:name w:val="WPSOffice手动目录 2"/>
    <w:qFormat/>
    <w:rsid w:val="001616C1"/>
    <w:pPr>
      <w:ind w:leftChars="200" w:left="200"/>
    </w:pPr>
    <w:rPr>
      <w:lang w:bidi="ug-CN"/>
    </w:rPr>
  </w:style>
  <w:style w:type="paragraph" w:customStyle="1" w:styleId="WPSOffice1">
    <w:name w:val="WPSOffice手动目录 1"/>
    <w:qFormat/>
    <w:rsid w:val="001616C1"/>
    <w:rPr>
      <w:lang w:bidi="ug-CN"/>
    </w:rPr>
  </w:style>
  <w:style w:type="paragraph" w:customStyle="1" w:styleId="WPSOffice3">
    <w:name w:val="WPSOffice手动目录 3"/>
    <w:qFormat/>
    <w:rsid w:val="001616C1"/>
    <w:pPr>
      <w:ind w:leftChars="400" w:left="400"/>
    </w:pPr>
    <w:rPr>
      <w:lang w:bidi="ug-CN"/>
    </w:rPr>
  </w:style>
  <w:style w:type="character" w:customStyle="1" w:styleId="Char">
    <w:name w:val="批注框文本 Char"/>
    <w:basedOn w:val="a0"/>
    <w:link w:val="a4"/>
    <w:qFormat/>
    <w:rsid w:val="001616C1"/>
    <w:rPr>
      <w:kern w:val="2"/>
      <w:sz w:val="18"/>
      <w:szCs w:val="1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3">
    <w:name w:val="toc 3"/>
    <w:basedOn w:val="a"/>
    <w:next w:val="a"/>
    <w:qFormat/>
    <w:pPr>
      <w:ind w:leftChars="400" w:left="840"/>
    </w:pPr>
  </w:style>
  <w:style w:type="paragraph" w:styleId="a4">
    <w:name w:val="Balloon Text"/>
    <w:basedOn w:val="a"/>
    <w:link w:val="Char"/>
    <w:qFormat/>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style>
  <w:style w:type="paragraph" w:styleId="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character" w:styleId="a7">
    <w:name w:val="annotation reference"/>
    <w:basedOn w:val="a0"/>
    <w:qFormat/>
    <w:rPr>
      <w:sz w:val="21"/>
      <w:szCs w:val="21"/>
    </w:rPr>
  </w:style>
  <w:style w:type="paragraph" w:customStyle="1" w:styleId="WPSOffice2">
    <w:name w:val="WPSOffice手动目录 2"/>
    <w:qFormat/>
    <w:pPr>
      <w:ind w:leftChars="200" w:left="200"/>
    </w:pPr>
    <w:rPr>
      <w:lang w:bidi="ug-CN"/>
    </w:rPr>
  </w:style>
  <w:style w:type="paragraph" w:customStyle="1" w:styleId="WPSOffice1">
    <w:name w:val="WPSOffice手动目录 1"/>
    <w:qFormat/>
    <w:rPr>
      <w:lang w:bidi="ug-CN"/>
    </w:rPr>
  </w:style>
  <w:style w:type="paragraph" w:customStyle="1" w:styleId="WPSOffice3">
    <w:name w:val="WPSOffice手动目录 3"/>
    <w:qFormat/>
    <w:pPr>
      <w:ind w:leftChars="400" w:left="400"/>
    </w:pPr>
    <w:rPr>
      <w:lang w:bidi="ug-CN"/>
    </w:rPr>
  </w:style>
  <w:style w:type="character" w:customStyle="1" w:styleId="Char">
    <w:name w:val="批注框文本 Char"/>
    <w:basedOn w:val="a0"/>
    <w:link w:val="a4"/>
    <w:qFormat/>
    <w:rPr>
      <w:kern w:val="2"/>
      <w:sz w:val="18"/>
      <w:szCs w:val="18"/>
      <w:lang w:bidi="ar-SA"/>
    </w:rPr>
  </w:style>
</w:styles>
</file>

<file path=word/webSettings.xml><?xml version="1.0" encoding="utf-8"?>
<w:webSettings xmlns:r="http://schemas.openxmlformats.org/officeDocument/2006/relationships" xmlns:w="http://schemas.openxmlformats.org/wordprocessingml/2006/main">
  <w:divs>
    <w:div w:id="19476161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52BB449-2864-44F4-A65C-B19450CE9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1002</Words>
  <Characters>5715</Characters>
  <Application>Microsoft Office Word</Application>
  <DocSecurity>0</DocSecurity>
  <Lines>47</Lines>
  <Paragraphs>13</Paragraphs>
  <ScaleCrop>false</ScaleCrop>
  <Company>微软中国</Company>
  <LinksUpToDate>false</LinksUpToDate>
  <CharactersWithSpaces>6704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Microsoft</cp:lastModifiedBy>
  <cp:revision>3</cp:revision>
  <dcterms:created xsi:type="dcterms:W3CDTF">2022-09-04T07:46:00Z</dcterms:created>
  <dcterms:modified xsi:type="dcterms:W3CDTF">2022-09-04T08:35:00Z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59D8F543E4BF4B5F9BA261246CAB409B</vt:lpwstr>
  </property>
</Properties>
</file>