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bookmarkStart w:id="54" w:name="_GoBack"/>
      <w:bookmarkEnd w:id="54"/>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新疆维吾尔自治区统计调查监测中心2021年度部门决算公开说明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1.组织实施全区县级全面小康社会进程统计监测、贫困监测、县域经济社会发展监测工作，全区城镇化进程调查工作;</w:t>
      </w:r>
      <w:r>
        <w:rPr>
          <w:rFonts w:ascii="仿宋_GB2312" w:eastAsia="仿宋_GB2312"/>
          <w:sz w:val="32"/>
          <w:szCs w:val="32"/>
        </w:rPr>
        <w:br w:type="textWrapping"/>
      </w:r>
      <w:r>
        <w:rPr>
          <w:rFonts w:ascii="仿宋_GB2312" w:eastAsia="仿宋_GB2312"/>
          <w:sz w:val="32"/>
          <w:szCs w:val="32"/>
        </w:rPr>
        <w:t>　　2.组织开展城乡居民可支配收入调查、农村人口、劳动力转移调查、城乡住户调查、规下限下抽样调查，分县（市）工业品出厂价格指数、居民消费价格指数、景气调查、经济社会重大问题等专项调查；</w:t>
      </w:r>
      <w:r>
        <w:rPr>
          <w:rFonts w:ascii="仿宋_GB2312" w:eastAsia="仿宋_GB2312"/>
          <w:sz w:val="32"/>
          <w:szCs w:val="32"/>
        </w:rPr>
        <w:br w:type="textWrapping"/>
      </w:r>
      <w:r>
        <w:rPr>
          <w:rFonts w:ascii="仿宋_GB2312" w:eastAsia="仿宋_GB2312"/>
          <w:sz w:val="32"/>
          <w:szCs w:val="32"/>
        </w:rPr>
        <w:t>　　3.建立全区统计快速反应调查机制，及时报告全区突发性经济事件和重大经济社会问题；统一指导全区基层统计调查监测和经济社会调查工作；</w:t>
      </w:r>
      <w:r>
        <w:rPr>
          <w:rFonts w:ascii="仿宋_GB2312" w:eastAsia="仿宋_GB2312"/>
          <w:sz w:val="32"/>
          <w:szCs w:val="32"/>
        </w:rPr>
        <w:br w:type="textWrapping"/>
      </w:r>
      <w:r>
        <w:rPr>
          <w:rFonts w:ascii="仿宋_GB2312" w:eastAsia="仿宋_GB2312"/>
          <w:sz w:val="32"/>
          <w:szCs w:val="32"/>
        </w:rPr>
        <w:t>　　4. 完成自治区统计局交办的其他工作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新疆维吾尔自治区统计调查监测中心</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93</w:t>
      </w:r>
      <w:r>
        <w:rPr>
          <w:rFonts w:hint="eastAsia" w:ascii="仿宋_GB2312" w:eastAsia="仿宋_GB2312"/>
          <w:sz w:val="32"/>
          <w:szCs w:val="32"/>
        </w:rPr>
        <w:t>人，其中：在职人员</w:t>
      </w:r>
      <w:r>
        <w:rPr>
          <w:rFonts w:ascii="仿宋_GB2312" w:eastAsia="仿宋_GB2312"/>
          <w:sz w:val="32"/>
          <w:szCs w:val="32"/>
        </w:rPr>
        <w:t>78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从部门决算单位构成看，新疆维吾尔自治区统计调查监测中心部门决算包括：新疆维吾尔自治区统计调查监测中心决算。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个处室，分别是：综合处、经济社会调查处、城乡住户调查处、统计监测处</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1,219.96</w:t>
      </w:r>
      <w:r>
        <w:rPr>
          <w:rFonts w:hint="eastAsia" w:ascii="仿宋_GB2312" w:eastAsia="仿宋_GB2312"/>
          <w:sz w:val="32"/>
          <w:szCs w:val="32"/>
        </w:rPr>
        <w:t>万元，与上年相比，增加199.43万元，</w:t>
      </w:r>
      <w:r>
        <w:rPr>
          <w:rFonts w:ascii="仿宋_GB2312" w:eastAsia="仿宋_GB2312"/>
          <w:sz w:val="32"/>
          <w:szCs w:val="32"/>
        </w:rPr>
        <w:t>增长19.54</w:t>
      </w:r>
      <w:r>
        <w:rPr>
          <w:rFonts w:hint="eastAsia" w:ascii="仿宋_GB2312" w:eastAsia="仿宋_GB2312"/>
          <w:sz w:val="32"/>
          <w:szCs w:val="32"/>
        </w:rPr>
        <w:t>%，主要原因是：2021年度新招录职工人员增加，同时自治区财政年中追加了2020年度绩效奖励金、职业年金、丧葬费及一次性抚恤金等经费。本年支出</w:t>
      </w:r>
      <w:r>
        <w:rPr>
          <w:rFonts w:ascii="仿宋_GB2312" w:eastAsia="仿宋_GB2312"/>
          <w:sz w:val="32"/>
          <w:szCs w:val="32"/>
        </w:rPr>
        <w:t>1,219.96</w:t>
      </w:r>
      <w:r>
        <w:rPr>
          <w:rFonts w:hint="eastAsia" w:ascii="仿宋_GB2312" w:eastAsia="仿宋_GB2312"/>
          <w:sz w:val="32"/>
          <w:szCs w:val="32"/>
        </w:rPr>
        <w:t>万元，与上年相比，</w:t>
      </w:r>
      <w:r>
        <w:rPr>
          <w:rFonts w:ascii="仿宋_GB2312" w:eastAsia="仿宋_GB2312"/>
          <w:sz w:val="32"/>
          <w:szCs w:val="32"/>
        </w:rPr>
        <w:t>增加165.65</w:t>
      </w:r>
      <w:r>
        <w:rPr>
          <w:rFonts w:hint="eastAsia" w:ascii="仿宋_GB2312" w:eastAsia="仿宋_GB2312"/>
          <w:sz w:val="32"/>
          <w:szCs w:val="32"/>
        </w:rPr>
        <w:t>万元，</w:t>
      </w:r>
      <w:r>
        <w:rPr>
          <w:rFonts w:ascii="仿宋_GB2312" w:eastAsia="仿宋_GB2312"/>
          <w:sz w:val="32"/>
          <w:szCs w:val="32"/>
        </w:rPr>
        <w:t>增长15.71</w:t>
      </w:r>
      <w:r>
        <w:rPr>
          <w:rFonts w:hint="eastAsia" w:ascii="仿宋_GB2312" w:eastAsia="仿宋_GB2312"/>
          <w:sz w:val="32"/>
          <w:szCs w:val="32"/>
        </w:rPr>
        <w:t>%，主要原因是：2021年度新招录职工、职工职级晋升人员工资调整以及社保、公积金基数上调等造成支出增加。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1,219.96</w:t>
      </w:r>
      <w:r>
        <w:rPr>
          <w:rFonts w:hint="eastAsia" w:ascii="仿宋_GB2312" w:eastAsia="仿宋_GB2312"/>
          <w:sz w:val="32"/>
          <w:szCs w:val="32"/>
        </w:rPr>
        <w:t>万元，其中：财政拨款收入</w:t>
      </w:r>
      <w:r>
        <w:rPr>
          <w:rFonts w:ascii="仿宋_GB2312" w:eastAsia="仿宋_GB2312"/>
          <w:sz w:val="32"/>
          <w:szCs w:val="32"/>
        </w:rPr>
        <w:t>1,219.96</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年度本年支出1,219.96万元，其中：基本支出</w:t>
      </w:r>
      <w:r>
        <w:rPr>
          <w:rFonts w:ascii="仿宋_GB2312" w:eastAsia="仿宋_GB2312"/>
          <w:sz w:val="32"/>
          <w:szCs w:val="32"/>
        </w:rPr>
        <w:t>1,219.96</w:t>
      </w:r>
      <w:r>
        <w:rPr>
          <w:rFonts w:hint="eastAsia" w:ascii="仿宋_GB2312" w:eastAsia="仿宋_GB2312"/>
          <w:sz w:val="32"/>
          <w:szCs w:val="32"/>
        </w:rPr>
        <w:t>万元，占100.00%；项目支出</w:t>
      </w:r>
      <w:r>
        <w:rPr>
          <w:rFonts w:ascii="仿宋_GB2312" w:eastAsia="仿宋_GB2312"/>
          <w:sz w:val="32"/>
          <w:szCs w:val="32"/>
        </w:rPr>
        <w:t>0.00</w:t>
      </w:r>
      <w:r>
        <w:rPr>
          <w:rFonts w:hint="eastAsia" w:ascii="仿宋_GB2312" w:eastAsia="仿宋_GB2312"/>
          <w:sz w:val="32"/>
          <w:szCs w:val="32"/>
        </w:rPr>
        <w:t>万元，占0.00%；上缴上级支出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1,219.96万元，与上年相比，增加199.43万元，增长19.54%，主要原因是：2021年度新招录职工人员增加，同时自治区财政年中追加了2020年度绩效奖励金、职业年金、丧葬费及一次性抚恤金等经费。财政拨款支出1,219.96万元，与上年相比，增加165.65万元，增长15.71%，主要原因是：2021年度新招录职工、职工职级晋升人员工资调整以及社保、公积金基数上调等造成支出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1,039.63</w:t>
      </w:r>
      <w:r>
        <w:rPr>
          <w:rFonts w:hint="eastAsia" w:ascii="仿宋_GB2312" w:eastAsia="仿宋_GB2312"/>
          <w:sz w:val="32"/>
          <w:szCs w:val="32"/>
        </w:rPr>
        <w:t>万元，决算数</w:t>
      </w:r>
      <w:r>
        <w:rPr>
          <w:rFonts w:ascii="仿宋_GB2312" w:eastAsia="仿宋_GB2312"/>
          <w:sz w:val="32"/>
          <w:szCs w:val="32"/>
        </w:rPr>
        <w:t>1,219.96</w:t>
      </w:r>
      <w:r>
        <w:rPr>
          <w:rFonts w:hint="eastAsia" w:ascii="仿宋_GB2312" w:eastAsia="仿宋_GB2312"/>
          <w:sz w:val="32"/>
          <w:szCs w:val="32"/>
        </w:rPr>
        <w:t>万元，预决算差异率</w:t>
      </w:r>
      <w:r>
        <w:rPr>
          <w:rFonts w:ascii="仿宋_GB2312" w:eastAsia="仿宋_GB2312"/>
          <w:sz w:val="32"/>
          <w:szCs w:val="32"/>
        </w:rPr>
        <w:t>17.35</w:t>
      </w:r>
      <w:r>
        <w:rPr>
          <w:rFonts w:hint="eastAsia" w:ascii="仿宋_GB2312" w:eastAsia="仿宋_GB2312"/>
          <w:sz w:val="32"/>
          <w:szCs w:val="32"/>
        </w:rPr>
        <w:t>%，主要原因是：2021年度新招录职工人员增加，同时自治区财政年中追加了2020年度绩效奖励金、职业年金、丧葬费及一次性抚恤金等经费。财政拨款支出年初预算数</w:t>
      </w:r>
      <w:r>
        <w:rPr>
          <w:rFonts w:ascii="仿宋_GB2312" w:eastAsia="仿宋_GB2312"/>
          <w:sz w:val="32"/>
          <w:szCs w:val="32"/>
        </w:rPr>
        <w:t>1,039.63</w:t>
      </w:r>
      <w:r>
        <w:rPr>
          <w:rFonts w:hint="eastAsia" w:ascii="仿宋_GB2312" w:eastAsia="仿宋_GB2312"/>
          <w:sz w:val="32"/>
          <w:szCs w:val="32"/>
        </w:rPr>
        <w:t>万元，决算数</w:t>
      </w:r>
      <w:r>
        <w:rPr>
          <w:rFonts w:ascii="仿宋_GB2312" w:eastAsia="仿宋_GB2312"/>
          <w:sz w:val="32"/>
          <w:szCs w:val="32"/>
        </w:rPr>
        <w:t>1,219.96</w:t>
      </w:r>
      <w:r>
        <w:rPr>
          <w:rFonts w:hint="eastAsia" w:ascii="仿宋_GB2312" w:eastAsia="仿宋_GB2312"/>
          <w:sz w:val="32"/>
          <w:szCs w:val="32"/>
        </w:rPr>
        <w:t>万元，预决算差异率17.35%，主要原因是：2021年度新招录职工、职工职级晋升人员工资调整以及社保、公积金基数上调等造成支出增加。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年度一般公共预算财政拨款支出1,219.96万元。按功能分类科目项级科目公开，其中：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2010501行政运行32.83万元；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2010550事业运行880.16万元；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2080502事业单位离退休32.70万元；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2080505机关事业单位基本养老保险缴费支出95.85万元；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2080506机关事业单位职业年金缴费支出11.66万元；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2101101行政单位医疗2.48万元；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2101102事业单位医疗50.20万元；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2101103公务员医疗补助40.97万元；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2210201住房公积金73.12万元。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1,219.96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1,133.71</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其他工资福利支出、退休费、抚恤金、医疗费补助、奖励金、其他对个人和家庭的补助</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公用经费86.25万元，包括：办公费、手续费、电费、邮电费、取暖费、物业管理费、差旅费、维修（护）费、工会经费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我单位无“三公”经费预算，故无“三公”经费支出。其中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因公出国费未发生，保持零预算零支出；公务用车购置及运行维护费支出0.00万元，占0.00%，比上年增加0.00万元，增长0.00%，主要原因是：公务用车购置及运行维护费未发生，保持零预算零支出；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因公务接待费未发生，保持零预算零支出。具体情况如下：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万元，开支内容包括我单位无因公出国（境）费开支。单位全年安排的因公出国（境）团组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万元。公务用车运行维护费开支内容包括：我单位无公务用车购置及运行维护费开支。公务用车购置数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万元，开支内容包括我单位无公务接待费内容。单位全年安排的国内公务接待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万元，预决算差异率0.00%，主要原因是：“三公”经费未发生，保持零预算零支出无预决算差异率。</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预算数0.00万元，决算数0.00万元，预决算差异率0.00%，主要原因是：因公出国（境）费未发生，保持零预算零支出无预决算差异率；</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费预算数0.00万元，决算数0.00万元，预决算差异率0.00%，主要原因是：公务用车购置费未发生，保持零预算零支出无预决算差异率；</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预算数0.00万元，决算数0.00万元，预决算差异率0.00%，主要原因是：公务用车运行费未发生，保持零预算零支出无预决算差异率；</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万元，预决算差异率0.00%，主要原因是：公务接待费未发生，保持零预算零支出无预决算差异率。</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2021年度新疆维吾尔自治区统计调查监测中心（事业单位）公用经费86.25万元，比</w:t>
      </w:r>
      <w:r>
        <w:rPr>
          <w:rFonts w:hint="eastAsia" w:ascii="仿宋_GB2312" w:eastAsia="仿宋_GB2312"/>
          <w:sz w:val="32"/>
          <w:szCs w:val="32"/>
          <w:lang w:val="en-US" w:eastAsia="zh-CN"/>
        </w:rPr>
        <w:t>上年</w:t>
      </w:r>
      <w:r>
        <w:rPr>
          <w:rFonts w:hint="eastAsia" w:ascii="仿宋_GB2312" w:eastAsia="仿宋_GB2312"/>
          <w:sz w:val="32"/>
          <w:szCs w:val="32"/>
        </w:rPr>
        <w:t>增加27.97</w:t>
      </w:r>
      <w:r>
        <w:rPr>
          <w:rFonts w:hint="eastAsia" w:ascii="仿宋_GB2312" w:eastAsia="仿宋_GB2312"/>
          <w:sz w:val="32"/>
          <w:szCs w:val="32"/>
          <w:lang w:val="en-US" w:eastAsia="zh-CN"/>
        </w:rPr>
        <w:t>万</w:t>
      </w:r>
      <w:r>
        <w:rPr>
          <w:rFonts w:hint="eastAsia" w:ascii="仿宋_GB2312" w:eastAsia="仿宋_GB2312"/>
          <w:sz w:val="32"/>
          <w:szCs w:val="32"/>
        </w:rPr>
        <w:t>元，增长47.99%，主要原因是：2021年我单位有新入职人员，增加了公用经费，同时，在职人员职务职级较上年有所调整，故公用经费较上年有所增加。</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98.5万元。预算绩效管理取得的成效：一是各处室人员的预算绩效管理意识增强，能积极参与预算绩效编制；二是预算编制时考虑问题更加全面，预算编制更加完善、精确，进一步做到支出必有效，无效必问责。发现的问题及原因：一是预算编制成本测算存在问题，担心下年有意外支出会在一定程度上夸大预算；二是评价指标体系不完善，实际操作有困难。下一步改进措施：一是继续提升预算绩效管理工作的深度和广度，加大对全局处室人员的预算绩效培训工作力度，同时加强与预算项目实施处室的沟通，确保预算执行安全有序完善评价指标体系；二是加大对预算绩效管理工作的考核力度，建立处室绩效考核制度，提升各处室参与预算绩效工作的主动性。具体项目自评情况附项目支出绩效自评表。</w:t>
      </w:r>
    </w:p>
    <w:p/>
    <w:p/>
    <w:p/>
    <w:p/>
    <w:p/>
    <w:p/>
    <w:p/>
    <w:p/>
    <w:p/>
    <w:p/>
    <w:p/>
    <w:p/>
    <w:p/>
    <w:p/>
    <w:p/>
    <w:p/>
    <w:p/>
    <w:p/>
    <w:p/>
    <w:p/>
    <w:p/>
    <w:p/>
    <w:p/>
    <w:p/>
    <w:p/>
    <w:p/>
    <w:p>
      <w:pPr>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附表一：</w:t>
      </w:r>
    </w:p>
    <w:p>
      <w:pPr>
        <w:rPr>
          <w:rFonts w:ascii="仿宋_GB2312" w:eastAsia="仿宋_GB2312"/>
          <w:sz w:val="32"/>
          <w:szCs w:val="32"/>
        </w:rPr>
      </w:pPr>
      <w:r>
        <w:drawing>
          <wp:inline distT="0" distB="0" distL="114300" distR="114300">
            <wp:extent cx="5272405" cy="6949440"/>
            <wp:effectExtent l="0" t="0" r="1079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2405" cy="6949440"/>
                    </a:xfrm>
                    <a:prstGeom prst="rect">
                      <a:avLst/>
                    </a:prstGeom>
                    <a:noFill/>
                    <a:ln>
                      <a:noFill/>
                    </a:ln>
                  </pic:spPr>
                </pic:pic>
              </a:graphicData>
            </a:graphic>
          </wp:inline>
        </w:drawing>
      </w:r>
    </w:p>
    <w:p>
      <w:pPr>
        <w:ind w:firstLine="640" w:firstLineChars="200"/>
        <w:jc w:val="center"/>
        <w:outlineLvl w:val="0"/>
        <w:rPr>
          <w:rFonts w:hint="eastAsia" w:ascii="黑体" w:hAnsi="黑体" w:eastAsia="黑体"/>
          <w:sz w:val="32"/>
          <w:szCs w:val="32"/>
        </w:rPr>
      </w:pPr>
      <w:bookmarkStart w:id="34" w:name="_Toc3250"/>
      <w:bookmarkStart w:id="35" w:name="_Toc24143"/>
    </w:p>
    <w:p>
      <w:pPr>
        <w:ind w:firstLine="640" w:firstLineChars="200"/>
        <w:jc w:val="center"/>
        <w:outlineLvl w:val="0"/>
        <w:rPr>
          <w:rFonts w:hint="eastAsia" w:ascii="黑体" w:hAnsi="黑体" w:eastAsia="黑体"/>
          <w:sz w:val="32"/>
          <w:szCs w:val="32"/>
        </w:rPr>
      </w:pPr>
    </w:p>
    <w:p>
      <w:pPr>
        <w:ind w:firstLine="640" w:firstLineChars="200"/>
        <w:jc w:val="center"/>
        <w:outlineLvl w:val="0"/>
        <w:rPr>
          <w:rFonts w:hint="eastAsia" w:ascii="黑体" w:hAnsi="黑体" w:eastAsia="黑体"/>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BOULk3gEAALsDAAAOAAAAAAAA&#10;AAEAIAAAAB4BAABkcnMvZTJvRG9jLnhtbFBLBQYAAAAABgAGAFkBAABu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jZTcxZmViNTViYTRhYTlhZWZiNDAwMGJkNjY0ZG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937C50"/>
    <w:rsid w:val="6DE375B7"/>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4821</Words>
  <Characters>5394</Characters>
  <Lines>59</Lines>
  <Paragraphs>16</Paragraphs>
  <TotalTime>11</TotalTime>
  <ScaleCrop>false</ScaleCrop>
  <LinksUpToDate>false</LinksUpToDate>
  <CharactersWithSpaces>5427</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zxy</cp:lastModifiedBy>
  <dcterms:modified xsi:type="dcterms:W3CDTF">2022-08-30T09:19:37Z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DBDF8A020F654AB0B2074B894FF18FA7</vt:lpwstr>
  </property>
</Properties>
</file>