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Default ContentType="application/vnd.openxmlformats-officedocument.oleObject" Extension="bin"/>
  <Override ContentType="application/vnd.openxmlformats-officedocument.wordprocessingml.fontTable+xml" PartName="/word/fontTable.xml"/>
  <Override ContentType="application/vnd.openxmlformats-officedocument.wordprocessingml.footer+xml" PartName="/word/footer1.xml"/>
  <Override ContentType="image/x-emf" PartName="/word/media/image1.emf"/>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ascii="方正小标宋_GBK" w:hAnsi="宋体" w:eastAsia="方正小标宋_GBK"/>
          <w:sz w:val="44"/>
          <w:szCs w:val="44"/>
        </w:rPr>
      </w:pPr>
      <w:bookmarkStart w:id="0" w:name="_Hlk97806973"/>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新疆迎宾馆2021年度部门决算公开说明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HYPERLINK  \l "_Toc32314" </w:instrText>
      </w:r>
      <w:r>
        <w:fldChar w:fldCharType="separate"/>
      </w:r>
      <w:r>
        <w:rPr>
          <w:rFonts w:hint="eastAsia" w:ascii="仿宋_GB2312" w:hAnsi="仿宋_GB2312" w:eastAsia="仿宋_GB2312" w:cs="仿宋_GB2312"/>
          <w:b/>
          <w:bCs/>
          <w:sz w:val="32"/>
          <w:szCs w:val="32"/>
        </w:rPr>
        <w:t>第一部分部门单位概况</w:t>
      </w:r>
      <w: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HYPERLINK  \l "_Toc30567" </w:instrText>
      </w:r>
      <w:r>
        <w:fldChar w:fldCharType="separate"/>
      </w:r>
      <w:r>
        <w:rPr>
          <w:rFonts w:hint="eastAsia" w:ascii="仿宋_GB2312" w:hAnsi="仿宋_GB2312" w:eastAsia="仿宋_GB2312" w:cs="仿宋_GB2312"/>
          <w:bCs/>
          <w:kern w:val="0"/>
          <w:sz w:val="32"/>
          <w:szCs w:val="32"/>
        </w:rPr>
        <w:t>一、主要职能</w:t>
      </w:r>
      <w: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HYPERLINK  \l "_Toc2151" </w:instrText>
      </w:r>
      <w:r>
        <w:fldChar w:fldCharType="separate"/>
      </w:r>
      <w:r>
        <w:rPr>
          <w:rFonts w:hint="eastAsia" w:ascii="仿宋_GB2312" w:hAnsi="仿宋_GB2312" w:eastAsia="仿宋_GB2312" w:cs="仿宋_GB2312"/>
          <w:bCs/>
          <w:kern w:val="0"/>
          <w:sz w:val="32"/>
          <w:szCs w:val="32"/>
        </w:rPr>
        <w:t>二、机构设置及人员情况</w:t>
      </w:r>
      <w: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HYPERLINK  \l "_Toc29374" </w:instrText>
      </w:r>
      <w:r>
        <w:fldChar w:fldCharType="separate"/>
      </w:r>
      <w:r>
        <w:rPr>
          <w:rFonts w:hint="eastAsia" w:ascii="仿宋_GB2312" w:hAnsi="仿宋_GB2312" w:eastAsia="仿宋_GB2312" w:cs="仿宋_GB2312"/>
          <w:b/>
          <w:bCs/>
          <w:sz w:val="32"/>
          <w:szCs w:val="32"/>
        </w:rPr>
        <w:t>第二部分部门决算情况说明</w:t>
      </w:r>
      <w: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HYPERLINK  \l "_Toc25314" </w:instrText>
      </w:r>
      <w:r>
        <w:fldChar w:fldCharType="separate"/>
      </w:r>
      <w:r>
        <w:rPr>
          <w:rFonts w:hint="eastAsia" w:ascii="仿宋_GB2312" w:hAnsi="仿宋_GB2312" w:eastAsia="仿宋_GB2312" w:cs="仿宋_GB2312"/>
          <w:bCs/>
          <w:kern w:val="0"/>
          <w:sz w:val="32"/>
          <w:szCs w:val="32"/>
        </w:rPr>
        <w:t>一、收入支出决算总体情况说明</w:t>
      </w:r>
      <w: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HYPERLINK  \l "_Toc12142" </w:instrText>
      </w:r>
      <w:r>
        <w:fldChar w:fldCharType="separate"/>
      </w:r>
      <w:r>
        <w:rPr>
          <w:rFonts w:hint="eastAsia" w:ascii="仿宋_GB2312" w:hAnsi="仿宋_GB2312" w:eastAsia="仿宋_GB2312" w:cs="仿宋_GB2312"/>
          <w:bCs/>
          <w:kern w:val="0"/>
          <w:sz w:val="32"/>
          <w:szCs w:val="32"/>
        </w:rPr>
        <w:t>二、收入决算情况说明</w:t>
      </w:r>
      <w: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HYPERLINK  \l "_Toc13201" </w:instrText>
      </w:r>
      <w:r>
        <w:fldChar w:fldCharType="separate"/>
      </w:r>
      <w:r>
        <w:rPr>
          <w:rFonts w:hint="eastAsia" w:ascii="仿宋_GB2312" w:hAnsi="仿宋_GB2312" w:eastAsia="仿宋_GB2312" w:cs="仿宋_GB2312"/>
          <w:bCs/>
          <w:kern w:val="0"/>
          <w:sz w:val="32"/>
          <w:szCs w:val="32"/>
        </w:rPr>
        <w:t>三、支出决算情况说明</w:t>
      </w:r>
      <w: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fldChar w:fldCharType="end"/>
      </w:r>
    </w:p>
    <w:p>
      <w:r>
        <w:fldChar w:fldCharType="begin"/>
      </w:r>
      <w:r>
        <w:instrText xml:space="preserve">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HYPERLINK  \l "_Toc14519" </w:instrText>
      </w:r>
      <w:r>
        <w:fldChar w:fldCharType="separate"/>
      </w:r>
      <w:r>
        <w:rPr>
          <w:rFonts w:hint="eastAsia" w:ascii="仿宋_GB2312" w:hAnsi="仿宋_GB2312" w:eastAsia="仿宋_GB2312" w:cs="仿宋_GB2312"/>
          <w:sz w:val="32"/>
          <w:szCs w:val="32"/>
        </w:rPr>
        <w:t>（一）机关运行经费支出情况</w:t>
      </w:r>
      <w: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HYPERLINK  \l "_Toc227" </w:instrText>
      </w:r>
      <w:r>
        <w:fldChar w:fldCharType="separate"/>
      </w:r>
      <w:r>
        <w:rPr>
          <w:rFonts w:hint="eastAsia" w:ascii="仿宋_GB2312" w:hAnsi="仿宋_GB2312" w:eastAsia="仿宋_GB2312" w:cs="仿宋_GB2312"/>
          <w:sz w:val="32"/>
          <w:szCs w:val="32"/>
        </w:rPr>
        <w:t>（二）政府采购情况</w:t>
      </w:r>
      <w: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HYPERLINK  \l "_Toc8391" </w:instrText>
      </w:r>
      <w:r>
        <w:fldChar w:fldCharType="separate"/>
      </w:r>
      <w:r>
        <w:rPr>
          <w:rFonts w:hint="eastAsia" w:ascii="仿宋_GB2312" w:hAnsi="仿宋_GB2312" w:eastAsia="仿宋_GB2312" w:cs="仿宋_GB2312"/>
          <w:sz w:val="32"/>
          <w:szCs w:val="32"/>
        </w:rPr>
        <w:t>（三）国有资产占用情况说明</w:t>
      </w:r>
      <w: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HYPERLINK  \l "_Toc11283" </w:instrText>
      </w:r>
      <w:r>
        <w:fldChar w:fldCharType="separate"/>
      </w:r>
      <w:r>
        <w:rPr>
          <w:rFonts w:hint="eastAsia" w:ascii="仿宋_GB2312" w:hAnsi="仿宋_GB2312" w:eastAsia="仿宋_GB2312" w:cs="仿宋_GB2312"/>
          <w:bCs/>
          <w:kern w:val="0"/>
          <w:sz w:val="32"/>
          <w:szCs w:val="32"/>
        </w:rPr>
        <w:t>十一、预算绩效的情况说明</w:t>
      </w:r>
      <w: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HYPERLINK  \l "_Toc3250" </w:instrText>
      </w:r>
      <w:r>
        <w:fldChar w:fldCharType="separate"/>
      </w:r>
      <w:r>
        <w:rPr>
          <w:rFonts w:hint="eastAsia" w:ascii="仿宋_GB2312" w:hAnsi="仿宋_GB2312" w:eastAsia="仿宋_GB2312" w:cs="仿宋_GB2312"/>
          <w:b/>
          <w:bCs/>
          <w:sz w:val="32"/>
          <w:szCs w:val="32"/>
        </w:rPr>
        <w:t>第三部分专业名词解释</w:t>
      </w:r>
      <w: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HYPERLINK  \l "_Toc22784" </w:instrText>
      </w:r>
      <w:r>
        <w:fldChar w:fldCharType="separate"/>
      </w:r>
      <w:r>
        <w:rPr>
          <w:rFonts w:hint="eastAsia" w:ascii="仿宋_GB2312" w:hAnsi="仿宋_GB2312" w:eastAsia="仿宋_GB2312" w:cs="仿宋_GB2312"/>
          <w:b/>
          <w:bCs/>
          <w:sz w:val="32"/>
          <w:szCs w:val="32"/>
        </w:rPr>
        <w:t>第四部分部门决算报表（见附表）</w:t>
      </w:r>
      <w: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HYPERLINK  \l "_Toc2183" </w:instrText>
      </w:r>
      <w:r>
        <w:fldChar w:fldCharType="separate"/>
      </w:r>
      <w:r>
        <w:rPr>
          <w:rFonts w:hint="eastAsia" w:ascii="仿宋_GB2312" w:hAnsi="仿宋_GB2312" w:eastAsia="仿宋_GB2312" w:cs="仿宋_GB2312"/>
          <w:bCs/>
          <w:kern w:val="0"/>
          <w:sz w:val="32"/>
          <w:szCs w:val="32"/>
        </w:rPr>
        <w:t>一、《收入支出决算总表》</w:t>
      </w:r>
      <w: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HYPERLINK  \l "_Toc24532" </w:instrText>
      </w:r>
      <w:r>
        <w:fldChar w:fldCharType="separate"/>
      </w:r>
      <w:r>
        <w:rPr>
          <w:rFonts w:hint="eastAsia" w:ascii="仿宋_GB2312" w:hAnsi="仿宋_GB2312" w:eastAsia="仿宋_GB2312" w:cs="仿宋_GB2312"/>
          <w:bCs/>
          <w:kern w:val="0"/>
          <w:sz w:val="32"/>
          <w:szCs w:val="32"/>
        </w:rPr>
        <w:t>二、《收入决算表》</w:t>
      </w:r>
      <w: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HYPERLINK  \l "_Toc32434" </w:instrText>
      </w:r>
      <w:r>
        <w:fldChar w:fldCharType="separate"/>
      </w:r>
      <w:r>
        <w:rPr>
          <w:rFonts w:hint="eastAsia" w:ascii="仿宋_GB2312" w:hAnsi="仿宋_GB2312" w:eastAsia="仿宋_GB2312" w:cs="仿宋_GB2312"/>
          <w:bCs/>
          <w:kern w:val="0"/>
          <w:sz w:val="32"/>
          <w:szCs w:val="32"/>
        </w:rPr>
        <w:t>三、《支出决算表》</w:t>
      </w:r>
      <w: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HYPERLINK  \l "_Toc28786" </w:instrText>
      </w:r>
      <w:r>
        <w:fldChar w:fldCharType="separate"/>
      </w:r>
      <w:r>
        <w:rPr>
          <w:rFonts w:hint="eastAsia" w:ascii="仿宋_GB2312" w:hAnsi="仿宋_GB2312" w:eastAsia="仿宋_GB2312" w:cs="仿宋_GB2312"/>
          <w:bCs/>
          <w:kern w:val="0"/>
          <w:sz w:val="32"/>
          <w:szCs w:val="32"/>
        </w:rPr>
        <w:t>四、《财政拨款收入支出决算总表》</w:t>
      </w:r>
      <w: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24028"/>
      <w:bookmarkStart w:id="2" w:name="_Toc32314"/>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567"/>
      <w:bookmarkStart w:id="4" w:name="_Toc30738"/>
      <w:r>
        <w:rPr>
          <w:rFonts w:hint="eastAsia" w:ascii="黑体" w:hAnsi="黑体" w:eastAsia="黑体" w:cs="宋体"/>
          <w:bCs/>
          <w:kern w:val="0"/>
          <w:sz w:val="32"/>
          <w:szCs w:val="32"/>
        </w:rPr>
        <w:t>一、主要职能</w:t>
      </w:r>
      <w:bookmarkEnd w:id="3"/>
      <w:bookmarkEnd w:id="4"/>
    </w:p>
    <w:p>
      <w:pPr>
        <w:rPr>
          <w:rFonts w:ascii="仿宋_GB2312" w:eastAsia="仿宋_GB2312"/>
          <w:sz w:val="32"/>
          <w:szCs w:val="32"/>
        </w:rPr>
      </w:pPr>
      <w:r>
        <w:rPr>
          <w:rFonts w:ascii="仿宋_GB2312" w:eastAsia="仿宋_GB2312"/>
          <w:sz w:val="32"/>
          <w:szCs w:val="32"/>
        </w:rPr>
        <w:t>新疆迎宾馆是新疆维吾尔自治区政务接待宾馆,是自治区党委政府的工作活动场所，负责一类会议的接待</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5" w:name="_Toc31238"/>
      <w:bookmarkStart w:id="6" w:name="_Toc2151"/>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ind w:firstLine="640" w:firstLineChars="200"/>
        <w:rPr>
          <w:rFonts w:ascii="仿宋_GB2312" w:eastAsia="仿宋_GB2312"/>
          <w:sz w:val="32"/>
          <w:szCs w:val="32"/>
        </w:rPr>
      </w:pPr>
      <w:r>
        <w:rPr>
          <w:rFonts w:hint="eastAsia" w:ascii="仿宋_GB2312" w:eastAsia="仿宋_GB2312"/>
          <w:sz w:val="32"/>
          <w:szCs w:val="32"/>
        </w:rPr>
        <w:t>新疆迎宾馆</w:t>
      </w:r>
      <w:r>
        <w:rPr>
          <w:rFonts w:ascii="仿宋_GB2312" w:eastAsia="仿宋_GB2312"/>
          <w:sz w:val="32"/>
          <w:szCs w:val="32"/>
        </w:rPr>
        <w:t>2021</w:t>
      </w:r>
      <w:r>
        <w:rPr>
          <w:rFonts w:hint="eastAsia" w:ascii="仿宋_GB2312" w:eastAsia="仿宋_GB2312"/>
          <w:sz w:val="32"/>
          <w:szCs w:val="32"/>
        </w:rPr>
        <w:t>年度，实有人数</w:t>
      </w:r>
      <w:r>
        <w:rPr>
          <w:rFonts w:ascii="仿宋_GB2312" w:eastAsia="仿宋_GB2312"/>
          <w:sz w:val="32"/>
          <w:szCs w:val="32"/>
        </w:rPr>
        <w:t>263</w:t>
      </w:r>
      <w:r>
        <w:rPr>
          <w:rFonts w:hint="eastAsia" w:ascii="仿宋_GB2312" w:eastAsia="仿宋_GB2312"/>
          <w:sz w:val="32"/>
          <w:szCs w:val="32"/>
        </w:rPr>
        <w:t>人，其中：在职人员</w:t>
      </w:r>
      <w:r>
        <w:rPr>
          <w:rFonts w:ascii="仿宋_GB2312" w:eastAsia="仿宋_GB2312"/>
          <w:sz w:val="32"/>
          <w:szCs w:val="32"/>
        </w:rPr>
        <w:t>107</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156</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从部门决算单位构成看，新疆迎宾馆部门决算包括：新疆迎宾馆决算。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10</w:t>
      </w:r>
      <w:r>
        <w:rPr>
          <w:rFonts w:hint="eastAsia" w:ascii="仿宋_GB2312" w:hAnsi="黑体" w:eastAsia="仿宋_GB2312" w:cs="宋体"/>
          <w:bCs/>
          <w:kern w:val="0"/>
          <w:sz w:val="32"/>
          <w:szCs w:val="32"/>
        </w:rPr>
        <w:t>个处室，分别是：办公室、财务审计部、人事部、工程部、园林部、安全保卫部、工会、餐饮部、客务部、营销部</w:t>
      </w:r>
      <w:r>
        <w:rPr>
          <w:rFonts w:hint="eastAsia" w:ascii="仿宋_GB2312" w:hAnsi="宋体" w:eastAsia="仿宋_GB2312" w:cs="宋体"/>
          <w:kern w:val="0"/>
          <w:sz w:val="32"/>
          <w:szCs w:val="32"/>
        </w:rPr>
        <w:t>。</w:t>
      </w:r>
    </w:p>
    <w:p>
      <w:pPr>
        <w:ind w:firstLine="1920" w:firstLineChars="600"/>
        <w:rPr>
          <w:rFonts w:ascii="Arial" w:hAnsi="Arial" w:cs="Arial"/>
          <w:color w:val="4D4D4D"/>
          <w:shd w:val="clear" w:color="auto" w:fill="FFFFFF"/>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25314"/>
      <w:bookmarkStart w:id="8" w:name="_Toc12566"/>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21,144.26</w:t>
      </w:r>
      <w:r>
        <w:rPr>
          <w:rFonts w:hint="eastAsia" w:ascii="仿宋_GB2312" w:eastAsia="仿宋_GB2312"/>
          <w:sz w:val="32"/>
          <w:szCs w:val="32"/>
        </w:rPr>
        <w:t>万元，与上年相比，增加</w:t>
      </w:r>
      <w:r>
        <w:rPr>
          <w:rFonts w:ascii="仿宋_GB2312" w:eastAsia="仿宋_GB2312"/>
          <w:color w:val="000000"/>
          <w:sz w:val="32"/>
          <w:szCs w:val="32"/>
        </w:rPr>
        <w:t>12770.74</w:t>
      </w:r>
      <w:r>
        <w:rPr>
          <w:rFonts w:hint="eastAsia" w:ascii="仿宋_GB2312" w:eastAsia="仿宋_GB2312"/>
          <w:sz w:val="32"/>
          <w:szCs w:val="32"/>
        </w:rPr>
        <w:t>万元，</w:t>
      </w:r>
      <w:r>
        <w:rPr>
          <w:rFonts w:ascii="仿宋_GB2312" w:eastAsia="仿宋_GB2312"/>
          <w:sz w:val="32"/>
          <w:szCs w:val="32"/>
        </w:rPr>
        <w:t>增长152.51</w:t>
      </w:r>
      <w:r>
        <w:rPr>
          <w:rFonts w:hint="eastAsia" w:ascii="仿宋_GB2312" w:eastAsia="仿宋_GB2312"/>
          <w:sz w:val="32"/>
          <w:szCs w:val="32"/>
        </w:rPr>
        <w:t>%，主要原因是：2021年度根据单位特定的接待任务和事业发展目标安排追加春节团拜会等六个专项资金。本年支出</w:t>
      </w:r>
      <w:r>
        <w:rPr>
          <w:rFonts w:ascii="仿宋_GB2312" w:eastAsia="仿宋_GB2312"/>
          <w:sz w:val="32"/>
          <w:szCs w:val="32"/>
        </w:rPr>
        <w:t>21,144.26</w:t>
      </w:r>
      <w:r>
        <w:rPr>
          <w:rFonts w:hint="eastAsia" w:ascii="仿宋_GB2312" w:eastAsia="仿宋_GB2312"/>
          <w:sz w:val="32"/>
          <w:szCs w:val="32"/>
        </w:rPr>
        <w:t>万元，与上年相比，</w:t>
      </w:r>
      <w:r>
        <w:rPr>
          <w:rFonts w:ascii="仿宋_GB2312" w:eastAsia="仿宋_GB2312"/>
          <w:sz w:val="32"/>
          <w:szCs w:val="32"/>
        </w:rPr>
        <w:t>增加10,549.85</w:t>
      </w:r>
      <w:r>
        <w:rPr>
          <w:rFonts w:hint="eastAsia" w:ascii="仿宋_GB2312" w:eastAsia="仿宋_GB2312"/>
          <w:sz w:val="32"/>
          <w:szCs w:val="32"/>
        </w:rPr>
        <w:t>万元，</w:t>
      </w:r>
      <w:r>
        <w:rPr>
          <w:rFonts w:ascii="仿宋_GB2312" w:eastAsia="仿宋_GB2312"/>
          <w:sz w:val="32"/>
          <w:szCs w:val="32"/>
        </w:rPr>
        <w:t>增长99.58</w:t>
      </w:r>
      <w:r>
        <w:rPr>
          <w:rFonts w:hint="eastAsia" w:ascii="仿宋_GB2312" w:eastAsia="仿宋_GB2312"/>
          <w:sz w:val="32"/>
          <w:szCs w:val="32"/>
        </w:rPr>
        <w:t>%，主要原因是：2021年度根据单位特定的接待任务和事业发展目标安排追加春节团拜会等六个专项资金支出。</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21,144.26</w:t>
      </w:r>
      <w:r>
        <w:rPr>
          <w:rFonts w:hint="eastAsia" w:ascii="仿宋_GB2312" w:eastAsia="仿宋_GB2312"/>
          <w:sz w:val="32"/>
          <w:szCs w:val="32"/>
        </w:rPr>
        <w:t>万元，其中：财政拨款收入</w:t>
      </w:r>
      <w:r>
        <w:rPr>
          <w:rFonts w:ascii="仿宋_GB2312" w:eastAsia="仿宋_GB2312"/>
          <w:sz w:val="32"/>
          <w:szCs w:val="32"/>
        </w:rPr>
        <w:t>18,241.06</w:t>
      </w:r>
      <w:r>
        <w:rPr>
          <w:rFonts w:hint="eastAsia" w:ascii="仿宋_GB2312" w:eastAsia="仿宋_GB2312"/>
          <w:sz w:val="32"/>
          <w:szCs w:val="32"/>
        </w:rPr>
        <w:t>万元，占86.27%；上级补助收入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2,892.50</w:t>
      </w:r>
      <w:r>
        <w:rPr>
          <w:rFonts w:hint="eastAsia" w:ascii="仿宋_GB2312" w:eastAsia="仿宋_GB2312"/>
          <w:sz w:val="32"/>
          <w:szCs w:val="32"/>
        </w:rPr>
        <w:t>万元，占13.68%；附属单位上缴收入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10.70</w:t>
      </w:r>
      <w:r>
        <w:rPr>
          <w:rFonts w:hint="eastAsia" w:ascii="仿宋_GB2312" w:eastAsia="仿宋_GB2312"/>
          <w:sz w:val="32"/>
          <w:szCs w:val="32"/>
        </w:rPr>
        <w:t>万元，占0.05%。</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年度本年支出21,144.26万元，其中：基本支出</w:t>
      </w:r>
      <w:r>
        <w:rPr>
          <w:rFonts w:ascii="仿宋_GB2312" w:eastAsia="仿宋_GB2312"/>
          <w:sz w:val="32"/>
          <w:szCs w:val="32"/>
        </w:rPr>
        <w:t>2,022.82</w:t>
      </w:r>
      <w:r>
        <w:rPr>
          <w:rFonts w:hint="eastAsia" w:ascii="仿宋_GB2312" w:eastAsia="仿宋_GB2312"/>
          <w:sz w:val="32"/>
          <w:szCs w:val="32"/>
        </w:rPr>
        <w:t>万元，占9.57%；项目支出</w:t>
      </w:r>
      <w:r>
        <w:rPr>
          <w:rFonts w:ascii="仿宋_GB2312" w:eastAsia="仿宋_GB2312"/>
          <w:sz w:val="32"/>
          <w:szCs w:val="32"/>
        </w:rPr>
        <w:t>16,228.94</w:t>
      </w:r>
      <w:r>
        <w:rPr>
          <w:rFonts w:hint="eastAsia" w:ascii="仿宋_GB2312" w:eastAsia="仿宋_GB2312"/>
          <w:sz w:val="32"/>
          <w:szCs w:val="32"/>
        </w:rPr>
        <w:t>万元，占76.75%；上缴上级支出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2,892.50</w:t>
      </w:r>
      <w:r>
        <w:rPr>
          <w:rFonts w:hint="eastAsia" w:ascii="仿宋_GB2312" w:eastAsia="仿宋_GB2312"/>
          <w:sz w:val="32"/>
          <w:szCs w:val="32"/>
        </w:rPr>
        <w:t>万元，占</w:t>
      </w:r>
      <w:r>
        <w:rPr>
          <w:rFonts w:ascii="仿宋_GB2312" w:eastAsia="仿宋_GB2312"/>
          <w:sz w:val="32"/>
          <w:szCs w:val="32"/>
        </w:rPr>
        <w:t>13.68</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18,241.06万元，与上年相比，增加11,786.54万元，增长182.61%，主要原因是：2021年度根据单位特定的接待任务和事业发展目标安排追加春节团拜会等六个专项资金。财政拨款支出18,241.06万元，与上年相比，增加9,554.03万元，增长109.98%，主要原因是：2021年度根据单位特定的接待任务和事业发展目标安排追加春节团拜会等六个专项资金支出。</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2,012.12</w:t>
      </w:r>
      <w:r>
        <w:rPr>
          <w:rFonts w:hint="eastAsia" w:ascii="仿宋_GB2312" w:eastAsia="仿宋_GB2312"/>
          <w:sz w:val="32"/>
          <w:szCs w:val="32"/>
        </w:rPr>
        <w:t>万元，决算数</w:t>
      </w:r>
      <w:r>
        <w:rPr>
          <w:rFonts w:ascii="仿宋_GB2312" w:eastAsia="仿宋_GB2312"/>
          <w:sz w:val="32"/>
          <w:szCs w:val="32"/>
        </w:rPr>
        <w:t>18,241.06</w:t>
      </w:r>
      <w:r>
        <w:rPr>
          <w:rFonts w:hint="eastAsia" w:ascii="仿宋_GB2312" w:eastAsia="仿宋_GB2312"/>
          <w:sz w:val="32"/>
          <w:szCs w:val="32"/>
        </w:rPr>
        <w:t>万元，预决算差异率</w:t>
      </w:r>
      <w:r>
        <w:rPr>
          <w:rFonts w:ascii="仿宋_GB2312" w:eastAsia="仿宋_GB2312"/>
          <w:sz w:val="32"/>
          <w:szCs w:val="32"/>
        </w:rPr>
        <w:t>806.56</w:t>
      </w:r>
      <w:r>
        <w:rPr>
          <w:rFonts w:hint="eastAsia" w:ascii="仿宋_GB2312" w:eastAsia="仿宋_GB2312"/>
          <w:sz w:val="32"/>
          <w:szCs w:val="32"/>
        </w:rPr>
        <w:t>%，主要原因是：2021年度根据单位特定的接待任务和事业发展目标安排追加春节团拜会等六个专项资金。财政拨款支出年初预算数</w:t>
      </w:r>
      <w:r>
        <w:rPr>
          <w:rFonts w:ascii="仿宋_GB2312" w:eastAsia="仿宋_GB2312"/>
          <w:sz w:val="32"/>
          <w:szCs w:val="32"/>
        </w:rPr>
        <w:t>2,012.12</w:t>
      </w:r>
      <w:r>
        <w:rPr>
          <w:rFonts w:hint="eastAsia" w:ascii="仿宋_GB2312" w:eastAsia="仿宋_GB2312"/>
          <w:sz w:val="32"/>
          <w:szCs w:val="32"/>
        </w:rPr>
        <w:t>万元，决算数</w:t>
      </w:r>
      <w:r>
        <w:rPr>
          <w:rFonts w:ascii="仿宋_GB2312" w:eastAsia="仿宋_GB2312"/>
          <w:sz w:val="32"/>
          <w:szCs w:val="32"/>
        </w:rPr>
        <w:t>18,241.06</w:t>
      </w:r>
      <w:r>
        <w:rPr>
          <w:rFonts w:hint="eastAsia" w:ascii="仿宋_GB2312" w:eastAsia="仿宋_GB2312"/>
          <w:sz w:val="32"/>
          <w:szCs w:val="32"/>
        </w:rPr>
        <w:t>万元，预决算差异率806.56%，主要原因是：2021年度根据单位特定的接待任务和事业发展目标安排追加春节团拜会等六个专项资金支出。</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年度一般公共预算财政拨款支出18,241.06万元。按功能分类科目项级科目公开，其中：</w:t>
      </w:r>
    </w:p>
    <w:p>
      <w:pPr>
        <w:jc w:val="left"/>
        <w:rPr>
          <w:rFonts w:ascii="仿宋_GB2312" w:eastAsia="仿宋_GB2312"/>
          <w:sz w:val="32"/>
          <w:szCs w:val="32"/>
        </w:rPr>
      </w:pPr>
      <w:bookmarkStart w:id="18" w:name="_Toc11146"/>
      <w:bookmarkStart w:id="19" w:name="_Toc30870"/>
      <w:r>
        <w:rPr>
          <w:rFonts w:ascii="仿宋_GB2312" w:eastAsia="仿宋_GB2312"/>
          <w:sz w:val="32"/>
          <w:szCs w:val="32"/>
        </w:rPr>
        <w:tab/>
      </w:r>
      <w:r>
        <w:rPr>
          <w:rFonts w:ascii="仿宋_GB2312" w:eastAsia="仿宋_GB2312"/>
          <w:sz w:val="32"/>
          <w:szCs w:val="32"/>
        </w:rPr>
        <w:t xml:space="preserve"> 2010303机关服务1,616.96万元；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2010399其他政府办公厅（室）及相关机构事务支出16,228.94万元；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2080505机关事业单位基本养老保险缴费支出124.03万元；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2080506机关事业单位职业年金缴费支出59.37万元；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2101102事业单位医疗66.79万元；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2101103公务员医疗补助51.95万元；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2210201住房公积金93.02万元。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2,012.12</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2,012.12</w:t>
      </w:r>
      <w:r>
        <w:rPr>
          <w:rFonts w:hint="eastAsia" w:ascii="仿宋_GB2312" w:eastAsia="仿宋_GB2312"/>
          <w:sz w:val="32"/>
          <w:szCs w:val="32"/>
        </w:rPr>
        <w:t>万元，包括：基本工资、津贴补贴、奖金、绩效工资、机关事业单位基本养老保险缴费、职业年金缴费、职工基本医疗保险缴费、公务员医疗补助缴费、其他社会保障缴费、住房公积金、其他工资福利支出、退休费</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公用经费0.00万元，包括：无此项支出</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0.00万元，比上年增加0.00万元，增长0.00%，主要原因是：我单位无“三公”经费支出。其中：因公出国（境）费支出0.00万元，占0.00%，比上年增加0.00万元，增长0.00%，主要原因是：我单位无因公出国（境）费；公务用车购置及运行维护费支出0.00万元，占0.00%，比上年增加0.00万元，增长0.00%，主要原因是：我单位无公务用车购置及运行维护费；公务接待费支出0.00万元，占0.00%，比上年增加0.00万元，增长0.00%，主要原因是：我单位无公务接待费。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万元，开支内容包括无此项支出。单位全年安排的因公出国（境）团组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万元，开支内容包括无此项支出。单位全年安排的国内公务接待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万元，预决算差异率0.00%，主要原因是：我单位无一般公共预算“三公”经费支出。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预算数0.00万元，决算数0.00万元，预决算差异率0.00%，主要原因是：无此项支出；</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费预算数0.00万元，决算数0.00万元，预决算差异率0.00%，主要原因是：无此项支出；</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预算数0.00万元，决算数0.00万元，预决算差异率0.00%，主要原因是：无此项支出；</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万元，预决算差异率0.00%，主要原因是：无此项支出。</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我单位本年度无政府性基金预算财政拨款收入支出，政府性基金预算财政拨款收入支出决算表为空表。</w:t>
      </w:r>
    </w:p>
    <w:p>
      <w:pPr>
        <w:ind w:firstLine="640" w:firstLineChars="200"/>
        <w:rPr>
          <w:rFonts w:ascii="仿宋_GB2312" w:eastAsia="仿宋_GB2312"/>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ascii="黑体" w:hAnsi="黑体" w:eastAsia="黑体"/>
          <w:sz w:val="32"/>
          <w:szCs w:val="32"/>
        </w:rPr>
      </w:pPr>
      <w:bookmarkStart w:id="26" w:name="_Toc14519"/>
      <w:bookmarkStart w:id="27" w:name="_Toc13105"/>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2021年度新疆迎宾馆（事业单位）公用经费0.00万元，比上年增加0.00万元，增长0.00%，主要原因是：2021年度未安排机关运行经费。</w:t>
      </w:r>
    </w:p>
    <w:p>
      <w:pPr>
        <w:ind w:firstLine="640" w:firstLineChars="200"/>
        <w:outlineLvl w:val="2"/>
        <w:rPr>
          <w:rFonts w:ascii="黑体" w:hAnsi="黑体" w:eastAsia="黑体"/>
          <w:sz w:val="32"/>
          <w:szCs w:val="32"/>
        </w:rPr>
      </w:pPr>
      <w:bookmarkStart w:id="28" w:name="_Toc227"/>
      <w:bookmarkStart w:id="29" w:name="_Toc26704"/>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0.00</w:t>
      </w:r>
      <w:r>
        <w:rPr>
          <w:rFonts w:hint="eastAsia" w:ascii="仿宋_GB2312" w:eastAsia="仿宋_GB2312"/>
          <w:sz w:val="32"/>
          <w:szCs w:val="32"/>
        </w:rPr>
        <w:t>万元，其中：政府采购货物支出</w:t>
      </w:r>
      <w:r>
        <w:rPr>
          <w:rFonts w:ascii="仿宋_GB2312" w:eastAsia="仿宋_GB2312"/>
          <w:sz w:val="32"/>
          <w:szCs w:val="32"/>
        </w:rPr>
        <w:t>0.00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102,013.09</w:t>
      </w:r>
      <w:r>
        <w:rPr>
          <w:rFonts w:hint="eastAsia" w:ascii="仿宋_GB2312" w:eastAsia="仿宋_GB2312"/>
          <w:sz w:val="32"/>
          <w:szCs w:val="32"/>
        </w:rPr>
        <w:t>（平方米），价值</w:t>
      </w:r>
      <w:r>
        <w:rPr>
          <w:rFonts w:ascii="仿宋_GB2312" w:eastAsia="仿宋_GB2312"/>
          <w:sz w:val="32"/>
          <w:szCs w:val="32"/>
        </w:rPr>
        <w:t>83,710.17</w:t>
      </w:r>
      <w:r>
        <w:rPr>
          <w:rFonts w:hint="eastAsia" w:ascii="仿宋_GB2312" w:eastAsia="仿宋_GB2312"/>
          <w:sz w:val="32"/>
          <w:szCs w:val="32"/>
        </w:rPr>
        <w:t>万元。车辆</w:t>
      </w:r>
      <w:r>
        <w:rPr>
          <w:rFonts w:ascii="仿宋_GB2312" w:eastAsia="仿宋_GB2312"/>
          <w:sz w:val="32"/>
          <w:szCs w:val="32"/>
        </w:rPr>
        <w:t>9</w:t>
      </w:r>
      <w:r>
        <w:rPr>
          <w:rFonts w:hint="eastAsia" w:ascii="仿宋_GB2312" w:eastAsia="仿宋_GB2312"/>
          <w:sz w:val="32"/>
          <w:szCs w:val="32"/>
        </w:rPr>
        <w:t>辆，价值</w:t>
      </w:r>
      <w:r>
        <w:rPr>
          <w:rFonts w:ascii="仿宋_GB2312" w:eastAsia="仿宋_GB2312"/>
          <w:sz w:val="32"/>
          <w:szCs w:val="32"/>
        </w:rPr>
        <w:t>338.42</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9</w:t>
      </w:r>
      <w:r>
        <w:rPr>
          <w:rFonts w:hint="eastAsia" w:ascii="仿宋_GB2312" w:eastAsia="仿宋_GB2312"/>
          <w:sz w:val="32"/>
          <w:szCs w:val="32"/>
        </w:rPr>
        <w:t>辆，其他用车主要是：单位班车、日常采购用车及扫雪车；单位价值50万元以上通用设备</w:t>
      </w:r>
      <w:r>
        <w:rPr>
          <w:rFonts w:ascii="仿宋_GB2312" w:eastAsia="仿宋_GB2312"/>
          <w:sz w:val="32"/>
          <w:szCs w:val="32"/>
        </w:rPr>
        <w:t>17</w:t>
      </w:r>
      <w:r>
        <w:rPr>
          <w:rFonts w:hint="eastAsia" w:ascii="仿宋_GB2312" w:eastAsia="仿宋_GB2312"/>
          <w:sz w:val="32"/>
          <w:szCs w:val="32"/>
        </w:rPr>
        <w:t>台（套）、单位价值100万元以上专用设备</w:t>
      </w:r>
      <w:r>
        <w:rPr>
          <w:rFonts w:ascii="仿宋_GB2312" w:eastAsia="仿宋_GB2312"/>
          <w:sz w:val="32"/>
          <w:szCs w:val="32"/>
        </w:rPr>
        <w:t>2</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2" w:name="_Toc11283"/>
      <w:bookmarkStart w:id="33" w:name="_Toc435"/>
      <w:r>
        <w:rPr>
          <w:rFonts w:hint="eastAsia" w:ascii="黑体" w:hAnsi="黑体" w:eastAsia="黑体" w:cs="宋体"/>
          <w:bCs/>
          <w:kern w:val="0"/>
          <w:sz w:val="32"/>
          <w:szCs w:val="32"/>
        </w:rPr>
        <w:t>十一、预算绩效的情况说明</w:t>
      </w:r>
      <w:bookmarkEnd w:id="32"/>
      <w:bookmarkEnd w:id="33"/>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根据预算绩效管理要求，我单位2021年度开展预算绩效评价项目</w:t>
      </w:r>
      <w:r>
        <w:rPr>
          <w:rFonts w:hint="eastAsia" w:ascii="仿宋_GB2312" w:eastAsia="仿宋_GB2312"/>
          <w:sz w:val="32"/>
          <w:szCs w:val="32"/>
          <w:lang w:val="en-US" w:eastAsia="zh-CN"/>
        </w:rPr>
        <w:t>1</w:t>
      </w:r>
      <w:r>
        <w:rPr>
          <w:rFonts w:ascii="仿宋_GB2312" w:eastAsia="仿宋_GB2312"/>
          <w:sz w:val="32"/>
          <w:szCs w:val="32"/>
        </w:rPr>
        <w:t>个，共涉及资金</w:t>
      </w:r>
      <w:r>
        <w:rPr>
          <w:rFonts w:hint="eastAsia" w:ascii="仿宋_GB2312" w:eastAsia="仿宋_GB2312"/>
          <w:sz w:val="32"/>
          <w:szCs w:val="32"/>
          <w:lang w:val="en-US" w:eastAsia="zh-CN"/>
        </w:rPr>
        <w:t>9.74</w:t>
      </w:r>
      <w:bookmarkStart w:id="54" w:name="_GoBack"/>
      <w:bookmarkEnd w:id="54"/>
      <w:r>
        <w:rPr>
          <w:rFonts w:ascii="仿宋_GB2312" w:eastAsia="仿宋_GB2312"/>
          <w:sz w:val="32"/>
          <w:szCs w:val="32"/>
        </w:rPr>
        <w:t>万元。预算绩效管理取得的成效：一是服务接待水平持续提高；二是软硬件设施提升。发现的问题及原因：一是绩效评价方面还有待加强；二是对项目的绩效评价报告质量还有待提高。下一步改进措施：对财政绩效评价系统加强学习。</w:t>
      </w:r>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具体项目自评情况附项目支出绩效自评表。</w:t>
      </w:r>
    </w:p>
    <w:p>
      <w:pPr>
        <w:rPr>
          <w:rFonts w:ascii="仿宋_GB2312" w:eastAsia="仿宋_GB2312"/>
          <w:sz w:val="32"/>
          <w:szCs w:val="32"/>
        </w:rPr>
      </w:pPr>
      <w:r>
        <w:rPr>
          <w:rFonts w:ascii="仿宋_GB2312" w:hAnsi="Times New Roman" w:eastAsia="仿宋_GB2312" w:cs="Times New Roman"/>
          <w:kern w:val="2"/>
          <w:sz w:val="32"/>
          <w:szCs w:val="32"/>
          <w:lang w:val="en-US" w:eastAsia="zh-CN" w:bidi="ar-SA"/>
        </w:rPr>
        <w:object>
          <v:shape id="Picture 1" type="#_x0000_t75" style="height:535.65pt;width:449.8pt;rotation:0f;" o:ole="t" fillcolor="#FFFFFF" filled="f" o:preferrelative="t" stroked="f" coordorigin="0,0" coordsize="21600,21600">
            <v:fill on="f" color2="#FFFFFF" focus="0%"/>
            <v:imagedata gain="65536f" blacklevel="0f" gamma="0" o:title="" r:id="rId7"/>
            <o:lock v:ext="edit" position="f" selection="f" grouping="f" rotation="f" cropping="f" text="f" aspectratio="t"/>
            <w10:wrap type="none"/>
            <w10:anchorlock/>
          </v:shape>
          <o:OLEObject Type="Embed" ProgID="Excel.Sheet.12" ShapeID="Picture 1" DrawAspect="Content" ObjectID="_2" r:id="rId6"/>
        </w:object>
      </w:r>
    </w:p>
    <w:p>
      <w:pPr>
        <w:ind w:firstLine="640" w:firstLineChars="200"/>
        <w:jc w:val="center"/>
        <w:outlineLvl w:val="0"/>
        <w:rPr>
          <w:rFonts w:ascii="黑体" w:hAnsi="黑体" w:eastAsia="黑体"/>
          <w:sz w:val="32"/>
          <w:szCs w:val="32"/>
        </w:rPr>
      </w:pPr>
      <w:bookmarkStart w:id="34" w:name="_Toc3250"/>
      <w:bookmarkStart w:id="35" w:name="_Toc24143"/>
    </w:p>
    <w:p>
      <w:pPr>
        <w:ind w:firstLine="640" w:firstLineChars="200"/>
        <w:jc w:val="center"/>
        <w:outlineLvl w:val="0"/>
        <w:rPr>
          <w:rFonts w:ascii="黑体" w:hAnsi="黑体" w:eastAsia="黑体"/>
          <w:sz w:val="32"/>
          <w:szCs w:val="32"/>
        </w:rPr>
      </w:pP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6" w:name="_Toc28903"/>
      <w:bookmarkStart w:id="37" w:name="_Toc22784"/>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30364"/>
      <w:bookmarkStart w:id="41" w:name="_Toc24532"/>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方正小标宋_GBK">
    <w:altName w:val="微软雅黑"/>
    <w:panose1 w:val="00000000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auto"/>
    <w:pitch w:val="default"/>
    <w:sig w:usb0="E00002FF" w:usb1="400004FF" w:usb2="00000000" w:usb3="00000000" w:csb0="2000019F" w:csb1="00000000"/>
  </w:font>
  <w:font w:name="Calibri">
    <w:panose1 w:val="020F0502020204030204"/>
    <w:charset w:val="00"/>
    <w:family w:val="auto"/>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pPr>
    <w:r>
      <w:rPr>
        <w:rFonts w:ascii="Times New Roman" w:hAnsi="Times New Roman" w:eastAsia="宋体" w:cs="Times New Roman"/>
        <w:kern w:val="2"/>
        <w:sz w:val="18"/>
        <w:szCs w:val="24"/>
        <w:lang w:val="en-US" w:eastAsia="zh-CN"/>
      </w:rPr>
      <w:pict>
        <v:rect id="文本框 1" o:spid="_x0000_s1025" style="position:absolute;left:0;margin-top:0pt;height:144pt;width:144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rect>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qFormat="1" w:unhideWhenUsed="0" w:uiPriority="0" w:semiHidden="0" w:name="Balloon Text"/>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5"/>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link w:val="16"/>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1">
    <w:name w:val="annotation reference"/>
    <w:basedOn w:val="10"/>
    <w:qFormat/>
    <w:uiPriority w:val="0"/>
    <w:rPr>
      <w:sz w:val="21"/>
      <w:szCs w:val="21"/>
    </w:rPr>
  </w:style>
  <w:style w:type="paragraph" w:customStyle="1" w:styleId="12">
    <w:name w:val="WPSOffice手动目录 2"/>
    <w:qFormat/>
    <w:uiPriority w:val="0"/>
    <w:pPr>
      <w:ind w:left="200" w:leftChars="200"/>
    </w:pPr>
    <w:rPr>
      <w:lang/>
    </w:rPr>
  </w:style>
  <w:style w:type="paragraph" w:customStyle="1" w:styleId="13">
    <w:name w:val="WPSOffice手动目录 1"/>
    <w:qFormat/>
    <w:uiPriority w:val="0"/>
    <w:rPr>
      <w:lang/>
    </w:rPr>
  </w:style>
  <w:style w:type="paragraph" w:customStyle="1" w:styleId="14">
    <w:name w:val="WPSOffice手动目录 3"/>
    <w:qFormat/>
    <w:uiPriority w:val="0"/>
    <w:pPr>
      <w:ind w:left="400" w:leftChars="400"/>
    </w:pPr>
    <w:rPr>
      <w:lang/>
    </w:rPr>
  </w:style>
  <w:style w:type="character" w:customStyle="1" w:styleId="15">
    <w:name w:val="批注框文本 字符"/>
    <w:basedOn w:val="10"/>
    <w:link w:val="4"/>
    <w:qFormat/>
    <w:uiPriority w:val="0"/>
    <w:rPr>
      <w:kern w:val="2"/>
      <w:sz w:val="18"/>
      <w:szCs w:val="18"/>
      <w:lang w:bidi="ar-SA"/>
    </w:rPr>
  </w:style>
  <w:style w:type="character" w:customStyle="1" w:styleId="16">
    <w:name w:val="HTML 预设格式 字符"/>
    <w:basedOn w:val="10"/>
    <w:link w:val="9"/>
    <w:uiPriority w:val="0"/>
    <w:rPr>
      <w:rFonts w:ascii="宋体" w:hAnsi="宋体"/>
      <w:sz w:val="24"/>
      <w:szCs w:val="24"/>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oleObject" Target="embeddings/oleObject1.bin"/><Relationship Id="rId7" Type="http://schemas.openxmlformats.org/officeDocument/2006/relationships/image" Target="media/image1.emf"/><Relationship Id="rId8"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855</Words>
  <Characters>4874</Characters>
  <Lines>40</Lines>
  <Paragraphs>11</Paragraphs>
  <TotalTime>0</TotalTime>
  <ScaleCrop>false</ScaleCrop>
  <LinksUpToDate>false</LinksUpToDate>
  <CharactersWithSpaces>0</CharactersWithSpaces>
  <Application>WPS Office 专业版_9.1.0.4569_{F1E327BC-269C-435d-A152-05C5408002CA}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2022-08-29T13:21:00Z</dcterms:created>
  <dc:creator>GXR</dc:creator>
  <cp:lastModifiedBy>郭沁沁</cp:lastModifiedBy>
  <dcterms:modified xsi:type="dcterms:W3CDTF">2023-07-06T12:14:16Z</dcterms:modified>
  <dc:title>新疆迎宾馆2021年度部门决算公开说明</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2052-9.1.0.4569</vt:lpwstr>
  </property>
  <property fmtid="{D5CDD505-2E9C-101B-9397-08002B2CF9AE}" pid="3" name="ICV">
    <vt:lpwstr>59D8F543E4BF4B5F9BA261246CAB409B</vt:lpwstr>
  </property>
</Properties>
</file>