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新疆维吾尔自治区法学会</w:t>
      </w:r>
    </w:p>
    <w:p>
      <w:pPr>
        <w:jc w:val="center"/>
        <w:rPr>
          <w:rFonts w:ascii="方正小标宋_GBK" w:hAnsi="宋体" w:eastAsia="方正小标宋_GBK"/>
          <w:sz w:val="44"/>
          <w:szCs w:val="44"/>
        </w:rPr>
      </w:pPr>
      <w:r>
        <w:rPr>
          <w:rFonts w:hint="eastAsia" w:ascii="方正小标宋_GBK" w:hAnsi="宋体" w:eastAsia="方正小标宋_GBK"/>
          <w:sz w:val="44"/>
          <w:szCs w:val="44"/>
        </w:rPr>
        <w:t>2021年度部门决算公开说明</w:t>
      </w:r>
    </w:p>
    <w:p>
      <w:pPr>
        <w:jc w:val="center"/>
        <w:rPr>
          <w:rFonts w:hint="eastAsia" w:ascii="方正小标宋_GBK" w:hAnsi="仿宋_GB2312" w:eastAsia="方正小标宋_GBK" w:cs="仿宋_GB2312"/>
          <w:b/>
          <w:kern w:val="0"/>
          <w:sz w:val="44"/>
          <w:szCs w:val="44"/>
        </w:rPr>
      </w:pPr>
      <w:r>
        <w:rPr>
          <w:rFonts w:hint="eastAsia" w:ascii="方正小标宋_GBK" w:hAnsi="宋体" w:eastAsia="方正小标宋_GBK"/>
          <w:sz w:val="44"/>
          <w:szCs w:val="44"/>
        </w:rPr>
        <w:br w:type="page"/>
      </w:r>
      <w:r>
        <w:rPr>
          <w:rFonts w:hint="eastAsia" w:ascii="方正小标宋_GBK" w:hAnsi="仿宋_GB2312" w:eastAsia="方正小标宋_GBK" w:cs="仿宋_GB2312"/>
          <w:b/>
          <w:kern w:val="0"/>
          <w:sz w:val="44"/>
          <w:szCs w:val="44"/>
        </w:rPr>
        <w:t>目  录</w:t>
      </w:r>
    </w:p>
    <w:p>
      <w:pPr>
        <w:jc w:val="center"/>
        <w:rPr>
          <w:rFonts w:ascii="仿宋_GB2312" w:hAnsi="仿宋_GB2312" w:eastAsia="仿宋_GB2312" w:cs="仿宋_GB2312"/>
          <w:bCs/>
          <w:kern w:val="0"/>
          <w:sz w:val="32"/>
          <w:szCs w:val="32"/>
        </w:rPr>
      </w:pPr>
    </w:p>
    <w:p>
      <w:pPr>
        <w:pStyle w:val="7"/>
        <w:tabs>
          <w:tab w:val="right" w:pos="8306"/>
        </w:tabs>
        <w:rPr>
          <w:rFonts w:ascii="黑体" w:hAnsi="黑体" w:eastAsia="黑体"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黑体" w:hAnsi="黑体" w:eastAsia="黑体" w:cs="仿宋_GB2312"/>
          <w:b/>
          <w:bCs/>
          <w:sz w:val="32"/>
          <w:szCs w:val="32"/>
        </w:rPr>
        <w:t>第一部分  部门单位概况</w:t>
      </w:r>
      <w:r>
        <w:rPr>
          <w:rFonts w:hint="eastAsia" w:ascii="黑体" w:hAnsi="黑体" w:eastAsia="黑体"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黑体" w:hAnsi="黑体" w:eastAsia="黑体"/>
          <w:sz w:val="32"/>
          <w:szCs w:val="32"/>
        </w:rPr>
      </w:pPr>
      <w:r>
        <w:fldChar w:fldCharType="begin"/>
      </w:r>
      <w:r>
        <w:instrText xml:space="preserve"> HYPERLINK \l "_Toc29374" </w:instrText>
      </w:r>
      <w:r>
        <w:fldChar w:fldCharType="separate"/>
      </w:r>
      <w:r>
        <w:rPr>
          <w:rFonts w:hint="eastAsia" w:ascii="黑体" w:hAnsi="黑体" w:eastAsia="黑体"/>
          <w:sz w:val="32"/>
          <w:szCs w:val="32"/>
        </w:rPr>
        <w:t>第二部分  部门决算情况说明</w:t>
      </w:r>
      <w:r>
        <w:rPr>
          <w:rFonts w:hint="eastAsia" w:ascii="黑体" w:hAnsi="黑体" w:eastAsia="黑体"/>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黑体" w:hAnsi="黑体" w:eastAsia="黑体"/>
          <w:sz w:val="32"/>
          <w:szCs w:val="32"/>
        </w:rPr>
      </w:pPr>
      <w:r>
        <w:fldChar w:fldCharType="begin"/>
      </w:r>
      <w:r>
        <w:instrText xml:space="preserve"> HYPERLINK \l "_Toc3250" </w:instrText>
      </w:r>
      <w:r>
        <w:fldChar w:fldCharType="separate"/>
      </w:r>
      <w:r>
        <w:rPr>
          <w:rFonts w:hint="eastAsia" w:ascii="黑体" w:hAnsi="黑体" w:eastAsia="黑体"/>
          <w:sz w:val="32"/>
          <w:szCs w:val="32"/>
        </w:rPr>
        <w:t>第三部分  专业名词解释</w:t>
      </w:r>
      <w:r>
        <w:rPr>
          <w:rFonts w:hint="eastAsia" w:ascii="黑体" w:hAnsi="黑体" w:eastAsia="黑体"/>
          <w:sz w:val="32"/>
          <w:szCs w:val="32"/>
        </w:rPr>
        <w:fldChar w:fldCharType="end"/>
      </w:r>
    </w:p>
    <w:p>
      <w:pPr>
        <w:pStyle w:val="7"/>
        <w:tabs>
          <w:tab w:val="right" w:pos="8306"/>
        </w:tabs>
        <w:rPr>
          <w:rFonts w:ascii="黑体" w:hAnsi="黑体" w:eastAsia="黑体"/>
          <w:sz w:val="32"/>
          <w:szCs w:val="32"/>
        </w:rPr>
      </w:pPr>
      <w:r>
        <w:fldChar w:fldCharType="begin"/>
      </w:r>
      <w:r>
        <w:instrText xml:space="preserve"> HYPERLINK \l "_Toc22784" </w:instrText>
      </w:r>
      <w:r>
        <w:fldChar w:fldCharType="separate"/>
      </w:r>
      <w:r>
        <w:rPr>
          <w:rFonts w:hint="eastAsia" w:ascii="黑体" w:hAnsi="黑体" w:eastAsia="黑体"/>
          <w:sz w:val="32"/>
          <w:szCs w:val="32"/>
        </w:rPr>
        <w:t>第四部分  部门决算报表（见附表）</w:t>
      </w:r>
      <w:r>
        <w:rPr>
          <w:rFonts w:hint="eastAsia" w:ascii="黑体" w:hAnsi="黑体" w:eastAsia="黑体"/>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jc w:val="center"/>
        <w:outlineLvl w:val="0"/>
        <w:rPr>
          <w:rFonts w:ascii="黑体" w:hAnsi="黑体" w:eastAsia="黑体"/>
          <w:sz w:val="32"/>
          <w:szCs w:val="32"/>
        </w:rPr>
      </w:pPr>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ascii="仿宋_GB2312" w:eastAsia="仿宋_GB2312"/>
          <w:sz w:val="32"/>
          <w:szCs w:val="32"/>
        </w:rPr>
      </w:pPr>
      <w:r>
        <w:rPr>
          <w:rFonts w:ascii="仿宋_GB2312" w:eastAsia="仿宋_GB2312"/>
          <w:sz w:val="32"/>
          <w:szCs w:val="32"/>
        </w:rPr>
        <w:t>新疆维吾尔自治区法学会（以下简称</w:t>
      </w:r>
      <w:r>
        <w:rPr>
          <w:rFonts w:hint="eastAsia" w:ascii="仿宋_GB2312" w:eastAsia="仿宋_GB2312"/>
          <w:sz w:val="32"/>
          <w:szCs w:val="32"/>
        </w:rPr>
        <w:t>自治区法学会</w:t>
      </w:r>
      <w:r>
        <w:rPr>
          <w:rFonts w:ascii="仿宋_GB2312" w:eastAsia="仿宋_GB2312"/>
          <w:sz w:val="32"/>
          <w:szCs w:val="32"/>
        </w:rPr>
        <w:t>）是自治区党委领导下由法学界、法律界工作者组成的自治区人民团体，由自治区党委政法委代管。主要职责</w:t>
      </w:r>
      <w:r>
        <w:rPr>
          <w:rFonts w:hint="eastAsia" w:ascii="仿宋_GB2312" w:eastAsia="仿宋_GB2312"/>
          <w:sz w:val="32"/>
          <w:szCs w:val="32"/>
        </w:rPr>
        <w:t>是</w:t>
      </w:r>
      <w:r>
        <w:rPr>
          <w:rFonts w:ascii="仿宋_GB2312" w:eastAsia="仿宋_GB2312"/>
          <w:sz w:val="32"/>
          <w:szCs w:val="32"/>
        </w:rPr>
        <w:t>：</w:t>
      </w:r>
    </w:p>
    <w:p>
      <w:pPr>
        <w:numPr>
          <w:ilvl w:val="0"/>
          <w:numId w:val="1"/>
        </w:numPr>
        <w:ind w:firstLine="640" w:firstLineChars="200"/>
        <w:rPr>
          <w:rFonts w:ascii="仿宋_GB2312" w:eastAsia="仿宋_GB2312"/>
          <w:sz w:val="32"/>
          <w:szCs w:val="32"/>
        </w:rPr>
      </w:pPr>
      <w:r>
        <w:rPr>
          <w:rFonts w:ascii="仿宋_GB2312" w:eastAsia="仿宋_GB2312"/>
          <w:sz w:val="32"/>
          <w:szCs w:val="32"/>
        </w:rPr>
        <w:t>拟订法学会工作规划并督促落实，开展调查研究。组织法学法律工作者学习贯彻党的基本理论、基本路线、基本方略，深入贯彻落实新时代党的治疆方略特别是社会稳定和长治久安总目标。</w:t>
      </w:r>
    </w:p>
    <w:p>
      <w:pPr>
        <w:ind w:firstLine="640" w:firstLineChars="200"/>
        <w:rPr>
          <w:rFonts w:ascii="仿宋_GB2312" w:eastAsia="仿宋_GB2312"/>
          <w:sz w:val="32"/>
          <w:szCs w:val="32"/>
        </w:rPr>
      </w:pPr>
      <w:r>
        <w:rPr>
          <w:rFonts w:ascii="仿宋_GB2312" w:eastAsia="仿宋_GB2312"/>
          <w:sz w:val="32"/>
          <w:szCs w:val="32"/>
        </w:rPr>
        <w:t>（二）引领、繁荣法学研究，推进法学理论创新、法律制度创新和法治文化创新，促进法学研究成果的推广和应用转化，为推进社会主义民主法治建设、维护新疆社会稳定和长治久安总目标提供理论支持和智力服务。</w:t>
      </w:r>
    </w:p>
    <w:p>
      <w:pPr>
        <w:ind w:firstLine="640" w:firstLineChars="200"/>
        <w:rPr>
          <w:rFonts w:ascii="仿宋_GB2312" w:eastAsia="仿宋_GB2312"/>
          <w:sz w:val="32"/>
          <w:szCs w:val="32"/>
        </w:rPr>
      </w:pPr>
      <w:r>
        <w:rPr>
          <w:rFonts w:ascii="仿宋_GB2312" w:eastAsia="仿宋_GB2312"/>
          <w:sz w:val="32"/>
          <w:szCs w:val="32"/>
        </w:rPr>
        <w:t>（三）参与法律服务，组织法学法律工作者参与党内法规和法律、法规、规章的咨询、论证、草拟、修改等工作。参与党委政府决策咨询、法治评估以及平安新疆、法治新疆建设工作。参与法律服务公共体系建设。</w:t>
      </w:r>
    </w:p>
    <w:p>
      <w:pPr>
        <w:ind w:firstLine="640" w:firstLineChars="200"/>
        <w:rPr>
          <w:rFonts w:ascii="仿宋_GB2312" w:eastAsia="仿宋_GB2312"/>
          <w:sz w:val="32"/>
          <w:szCs w:val="32"/>
        </w:rPr>
      </w:pPr>
      <w:r>
        <w:rPr>
          <w:rFonts w:ascii="仿宋_GB2312" w:eastAsia="仿宋_GB2312"/>
          <w:sz w:val="32"/>
          <w:szCs w:val="32"/>
        </w:rPr>
        <w:t>（四）参与法治宣传，组织法学法律工作者参加法治宣传教育活动，开展法律咨询和培训服务，培育和发展中国特色社会主义法治文化。</w:t>
      </w:r>
    </w:p>
    <w:p>
      <w:pPr>
        <w:ind w:firstLine="640" w:firstLineChars="200"/>
        <w:rPr>
          <w:rFonts w:ascii="仿宋_GB2312" w:eastAsia="仿宋_GB2312"/>
          <w:sz w:val="32"/>
          <w:szCs w:val="32"/>
        </w:rPr>
      </w:pPr>
      <w:r>
        <w:rPr>
          <w:rFonts w:ascii="仿宋_GB2312" w:eastAsia="仿宋_GB2312"/>
          <w:sz w:val="32"/>
          <w:szCs w:val="32"/>
        </w:rPr>
        <w:t>（五）开展法学交流，组织优秀法学法律人才和法学研究成果评选，培养和凝聚优秀法学法律人才队伍。</w:t>
      </w:r>
    </w:p>
    <w:p>
      <w:pPr>
        <w:ind w:firstLine="640" w:firstLineChars="200"/>
        <w:rPr>
          <w:rFonts w:ascii="仿宋_GB2312" w:eastAsia="仿宋_GB2312"/>
          <w:sz w:val="32"/>
          <w:szCs w:val="32"/>
        </w:rPr>
      </w:pPr>
      <w:r>
        <w:rPr>
          <w:rFonts w:ascii="仿宋_GB2312" w:eastAsia="仿宋_GB2312"/>
          <w:sz w:val="32"/>
          <w:szCs w:val="32"/>
        </w:rPr>
        <w:t>（六）加强法学社会团体的管理、监督、服务和业务指导工作。</w:t>
      </w:r>
    </w:p>
    <w:p>
      <w:pPr>
        <w:ind w:firstLine="640" w:firstLineChars="200"/>
        <w:rPr>
          <w:rFonts w:ascii="仿宋_GB2312" w:eastAsia="仿宋_GB2312"/>
          <w:sz w:val="32"/>
          <w:szCs w:val="32"/>
        </w:rPr>
      </w:pPr>
      <w:r>
        <w:rPr>
          <w:rFonts w:ascii="仿宋_GB2312" w:eastAsia="仿宋_GB2312"/>
          <w:sz w:val="32"/>
          <w:szCs w:val="32"/>
        </w:rPr>
        <w:t>（七）管理、发展、服务会员，反映会员和法学界、法律界的意见和建议，维护会员的合法权益。</w:t>
      </w:r>
    </w:p>
    <w:p>
      <w:pPr>
        <w:ind w:firstLine="640" w:firstLineChars="200"/>
        <w:rPr>
          <w:rFonts w:ascii="仿宋_GB2312" w:eastAsia="仿宋_GB2312"/>
          <w:sz w:val="32"/>
          <w:szCs w:val="32"/>
        </w:rPr>
      </w:pPr>
      <w:r>
        <w:rPr>
          <w:rFonts w:ascii="仿宋_GB2312" w:eastAsia="仿宋_GB2312"/>
          <w:sz w:val="32"/>
          <w:szCs w:val="32"/>
        </w:rPr>
        <w:t>（八）依法依章程指导下级法学会业务工作。</w:t>
      </w:r>
    </w:p>
    <w:p>
      <w:pPr>
        <w:ind w:firstLine="640" w:firstLineChars="200"/>
        <w:rPr>
          <w:rFonts w:ascii="仿宋_GB2312" w:eastAsia="仿宋_GB2312"/>
          <w:sz w:val="32"/>
          <w:szCs w:val="32"/>
        </w:rPr>
      </w:pPr>
      <w:r>
        <w:rPr>
          <w:rFonts w:ascii="仿宋_GB2312" w:eastAsia="仿宋_GB2312"/>
          <w:sz w:val="32"/>
          <w:szCs w:val="32"/>
        </w:rPr>
        <w:t>（九）承担自治区党委</w:t>
      </w:r>
      <w:r>
        <w:rPr>
          <w:rFonts w:hint="eastAsia" w:ascii="仿宋_GB2312" w:eastAsia="仿宋_GB2312"/>
          <w:sz w:val="32"/>
          <w:szCs w:val="32"/>
        </w:rPr>
        <w:t>、</w:t>
      </w:r>
      <w:r>
        <w:rPr>
          <w:rFonts w:ascii="仿宋_GB2312" w:eastAsia="仿宋_GB2312"/>
          <w:sz w:val="32"/>
          <w:szCs w:val="32"/>
        </w:rPr>
        <w:t>自治区人民政府</w:t>
      </w:r>
      <w:r>
        <w:rPr>
          <w:rFonts w:hint="eastAsia" w:ascii="仿宋_GB2312" w:eastAsia="仿宋_GB2312"/>
          <w:sz w:val="32"/>
          <w:szCs w:val="32"/>
        </w:rPr>
        <w:t>和中国法学会</w:t>
      </w:r>
      <w:r>
        <w:rPr>
          <w:rFonts w:ascii="仿宋_GB2312" w:eastAsia="仿宋_GB2312"/>
          <w:sz w:val="32"/>
          <w:szCs w:val="32"/>
        </w:rPr>
        <w:t>交办的其他任务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自治区法学会</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15</w:t>
      </w:r>
      <w:r>
        <w:rPr>
          <w:rFonts w:hint="eastAsia" w:ascii="仿宋_GB2312" w:eastAsia="仿宋_GB2312"/>
          <w:sz w:val="32"/>
          <w:szCs w:val="32"/>
        </w:rPr>
        <w:t>人，其中：在职人员</w:t>
      </w:r>
      <w:r>
        <w:rPr>
          <w:rFonts w:ascii="仿宋_GB2312" w:eastAsia="仿宋_GB2312"/>
          <w:sz w:val="32"/>
          <w:szCs w:val="32"/>
        </w:rPr>
        <w:t>11</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4</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从部门决算单位构成看，自治区法学会部门决算包括：自治区法学会决算。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个处室，分别是：办公室、研究部、会员部</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p>
    <w:p>
      <w:pPr>
        <w:ind w:firstLine="640" w:firstLineChars="200"/>
        <w:jc w:val="center"/>
        <w:outlineLvl w:val="0"/>
        <w:rPr>
          <w:rFonts w:ascii="黑体" w:hAnsi="黑体" w:eastAsia="黑体"/>
          <w:sz w:val="32"/>
          <w:szCs w:val="32"/>
        </w:rPr>
      </w:pP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586.35</w:t>
      </w:r>
      <w:r>
        <w:rPr>
          <w:rFonts w:hint="eastAsia" w:ascii="仿宋_GB2312" w:eastAsia="仿宋_GB2312"/>
          <w:sz w:val="32"/>
          <w:szCs w:val="32"/>
        </w:rPr>
        <w:t>万元，与上年相比，增加280.71万元，</w:t>
      </w:r>
      <w:r>
        <w:rPr>
          <w:rFonts w:ascii="仿宋_GB2312" w:eastAsia="仿宋_GB2312"/>
          <w:sz w:val="32"/>
          <w:szCs w:val="32"/>
        </w:rPr>
        <w:t>增长91.84</w:t>
      </w:r>
      <w:r>
        <w:rPr>
          <w:rFonts w:hint="eastAsia" w:ascii="仿宋_GB2312" w:eastAsia="仿宋_GB2312"/>
          <w:sz w:val="32"/>
          <w:szCs w:val="32"/>
        </w:rPr>
        <w:t>%，主要原因是：为更好的辅助依法治疆，2021年度增加了项目经费。本年支出</w:t>
      </w:r>
      <w:r>
        <w:rPr>
          <w:rFonts w:ascii="仿宋_GB2312" w:eastAsia="仿宋_GB2312"/>
          <w:sz w:val="32"/>
          <w:szCs w:val="32"/>
        </w:rPr>
        <w:t>599.90</w:t>
      </w:r>
      <w:r>
        <w:rPr>
          <w:rFonts w:hint="eastAsia" w:ascii="仿宋_GB2312" w:eastAsia="仿宋_GB2312"/>
          <w:sz w:val="32"/>
          <w:szCs w:val="32"/>
        </w:rPr>
        <w:t>万元，与上年相比，</w:t>
      </w:r>
      <w:r>
        <w:rPr>
          <w:rFonts w:ascii="仿宋_GB2312" w:eastAsia="仿宋_GB2312"/>
          <w:sz w:val="32"/>
          <w:szCs w:val="32"/>
        </w:rPr>
        <w:t>增加279.94</w:t>
      </w:r>
      <w:r>
        <w:rPr>
          <w:rFonts w:hint="eastAsia" w:ascii="仿宋_GB2312" w:eastAsia="仿宋_GB2312"/>
          <w:sz w:val="32"/>
          <w:szCs w:val="32"/>
        </w:rPr>
        <w:t>万元，</w:t>
      </w:r>
      <w:r>
        <w:rPr>
          <w:rFonts w:ascii="仿宋_GB2312" w:eastAsia="仿宋_GB2312"/>
          <w:sz w:val="32"/>
          <w:szCs w:val="32"/>
        </w:rPr>
        <w:t>增长87.49</w:t>
      </w:r>
      <w:r>
        <w:rPr>
          <w:rFonts w:hint="eastAsia" w:ascii="仿宋_GB2312" w:eastAsia="仿宋_GB2312"/>
          <w:sz w:val="32"/>
          <w:szCs w:val="32"/>
        </w:rPr>
        <w:t>%，主要原因是：为更好的辅助依法治疆，2021年度增加了项目经费。</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586.35</w:t>
      </w:r>
      <w:r>
        <w:rPr>
          <w:rFonts w:hint="eastAsia" w:ascii="仿宋_GB2312" w:eastAsia="仿宋_GB2312"/>
          <w:sz w:val="32"/>
          <w:szCs w:val="32"/>
        </w:rPr>
        <w:t>万元，其中：财政拨款收入</w:t>
      </w:r>
      <w:r>
        <w:rPr>
          <w:rFonts w:ascii="仿宋_GB2312" w:eastAsia="仿宋_GB2312"/>
          <w:sz w:val="32"/>
          <w:szCs w:val="32"/>
        </w:rPr>
        <w:t>581.27</w:t>
      </w:r>
      <w:r>
        <w:rPr>
          <w:rFonts w:hint="eastAsia" w:ascii="仿宋_GB2312" w:eastAsia="仿宋_GB2312"/>
          <w:sz w:val="32"/>
          <w:szCs w:val="32"/>
        </w:rPr>
        <w:t>万元，占99.13%；上级补助收入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5.08</w:t>
      </w:r>
      <w:r>
        <w:rPr>
          <w:rFonts w:hint="eastAsia" w:ascii="仿宋_GB2312" w:eastAsia="仿宋_GB2312"/>
          <w:sz w:val="32"/>
          <w:szCs w:val="32"/>
        </w:rPr>
        <w:t>万元，占0.87%。</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年度本年支出599.90万元，其中：基本支出</w:t>
      </w:r>
      <w:r>
        <w:rPr>
          <w:rFonts w:ascii="仿宋_GB2312" w:eastAsia="仿宋_GB2312"/>
          <w:sz w:val="32"/>
          <w:szCs w:val="32"/>
        </w:rPr>
        <w:t>217.47</w:t>
      </w:r>
      <w:r>
        <w:rPr>
          <w:rFonts w:hint="eastAsia" w:ascii="仿宋_GB2312" w:eastAsia="仿宋_GB2312"/>
          <w:sz w:val="32"/>
          <w:szCs w:val="32"/>
        </w:rPr>
        <w:t>万元，占36.25%；项目支出</w:t>
      </w:r>
      <w:r>
        <w:rPr>
          <w:rFonts w:ascii="仿宋_GB2312" w:eastAsia="仿宋_GB2312"/>
          <w:sz w:val="32"/>
          <w:szCs w:val="32"/>
        </w:rPr>
        <w:t>382.43</w:t>
      </w:r>
      <w:r>
        <w:rPr>
          <w:rFonts w:hint="eastAsia" w:ascii="仿宋_GB2312" w:eastAsia="仿宋_GB2312"/>
          <w:sz w:val="32"/>
          <w:szCs w:val="32"/>
        </w:rPr>
        <w:t>万元，占63.75%；上缴上级支出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581.27万元，与上年相比，增加275.69万元，增长90.22%，主要原因是：为更好的辅助依法治疆，2021年度增加了项目经费。财政拨款支出599.90万元，与上年相比，增加279.94万元，增长87.49%，主要原因是：为更好的辅助依法治疆，2021年度增加了项目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574.66</w:t>
      </w:r>
      <w:r>
        <w:rPr>
          <w:rFonts w:hint="eastAsia" w:ascii="仿宋_GB2312" w:eastAsia="仿宋_GB2312"/>
          <w:sz w:val="32"/>
          <w:szCs w:val="32"/>
        </w:rPr>
        <w:t>万元，决算数</w:t>
      </w:r>
      <w:r>
        <w:rPr>
          <w:rFonts w:ascii="仿宋_GB2312" w:eastAsia="仿宋_GB2312"/>
          <w:sz w:val="32"/>
          <w:szCs w:val="32"/>
        </w:rPr>
        <w:t>581.27</w:t>
      </w:r>
      <w:r>
        <w:rPr>
          <w:rFonts w:hint="eastAsia" w:ascii="仿宋_GB2312" w:eastAsia="仿宋_GB2312"/>
          <w:sz w:val="32"/>
          <w:szCs w:val="32"/>
        </w:rPr>
        <w:t>万元，预决算差异率</w:t>
      </w:r>
      <w:r>
        <w:rPr>
          <w:rFonts w:ascii="仿宋_GB2312" w:eastAsia="仿宋_GB2312"/>
          <w:sz w:val="32"/>
          <w:szCs w:val="32"/>
        </w:rPr>
        <w:t>1.15</w:t>
      </w:r>
      <w:r>
        <w:rPr>
          <w:rFonts w:hint="eastAsia" w:ascii="仿宋_GB2312" w:eastAsia="仿宋_GB2312"/>
          <w:sz w:val="32"/>
          <w:szCs w:val="32"/>
        </w:rPr>
        <w:t>%，主要原因是：2021年度新增1人，故工资福利支出收入增加。财政拨款支出年初预算数</w:t>
      </w:r>
      <w:r>
        <w:rPr>
          <w:rFonts w:ascii="仿宋_GB2312" w:eastAsia="仿宋_GB2312"/>
          <w:sz w:val="32"/>
          <w:szCs w:val="32"/>
        </w:rPr>
        <w:t>574.66</w:t>
      </w:r>
      <w:r>
        <w:rPr>
          <w:rFonts w:hint="eastAsia" w:ascii="仿宋_GB2312" w:eastAsia="仿宋_GB2312"/>
          <w:sz w:val="32"/>
          <w:szCs w:val="32"/>
        </w:rPr>
        <w:t>万元，决算数</w:t>
      </w:r>
      <w:r>
        <w:rPr>
          <w:rFonts w:ascii="仿宋_GB2312" w:eastAsia="仿宋_GB2312"/>
          <w:sz w:val="32"/>
          <w:szCs w:val="32"/>
        </w:rPr>
        <w:t>599.90</w:t>
      </w:r>
      <w:r>
        <w:rPr>
          <w:rFonts w:hint="eastAsia" w:ascii="仿宋_GB2312" w:eastAsia="仿宋_GB2312"/>
          <w:sz w:val="32"/>
          <w:szCs w:val="32"/>
        </w:rPr>
        <w:t>万元，预决算差异率4.39%，主要原因是：2021年度新增1人，故工资福利支出增加，年中追加绩效奖励金支出。</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年度一般公共预算财政拨款支出599.90万元。按功能分类科目项级科目公开，其中：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2013601行政运行159.97万元；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2013699其他共产党事务支出82.43万元；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2040699其他司法支出300.00万元；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2080501行政单位离退休7.45万元；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2080505机关事业单位基本养老保险缴费支出15.45万元；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2080506机关事业单位职业年金缴费支出8.22万元；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2101101行政单位医疗8.32万元；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2101103公务员医疗补助6.47万元；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2210201住房公积金11.59万元。</w:t>
      </w:r>
    </w:p>
    <w:p>
      <w:pPr>
        <w:rPr>
          <w:rFonts w:ascii="仿宋_GB2312" w:eastAsia="仿宋_GB2312"/>
          <w:sz w:val="32"/>
          <w:szCs w:val="32"/>
        </w:rPr>
      </w:pPr>
      <w:r>
        <w:rPr>
          <w:rFonts w:ascii="仿宋_GB2312" w:eastAsia="仿宋_GB2312"/>
          <w:sz w:val="32"/>
          <w:szCs w:val="32"/>
        </w:rPr>
        <w:tab/>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217.47</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204.78</w:t>
      </w:r>
      <w:r>
        <w:rPr>
          <w:rFonts w:hint="eastAsia" w:ascii="仿宋_GB2312" w:eastAsia="仿宋_GB2312"/>
          <w:sz w:val="32"/>
          <w:szCs w:val="32"/>
        </w:rPr>
        <w:t>万元，包括：基本工资、津贴补贴、奖金、伙食补助费、机关事业单位基本养老保险缴费、职业年金缴费、职工基本医疗保险缴费、公务员医疗补助缴费、住房公积金、其他工资福利支出、退休费、医疗费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公用经费12.69万元，包括：办公费、电费、工会经费、公务用车运行维护费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2.94万元，比上年增加0.17万元，增长6.14%，主要原因是：2020年因疫情原因，车辆运行减少，2021年恢复正常。其中：因公出国（境）费支出0.00万元，占0.00%，比上年增加0.00万元，增长0.00%，主要原因是：我单位无因公出国（境）费；公务用车购置及运行维护费支出2.94万元，占100.00%，比上年增加0.19万元，增长6.91%，主要原因是：2020年因疫情原因，车辆运行减少，2021年恢复正常；公务接待费支出0.00万元，占0.00%，比上年减少0.02万元，降低100.00%，主要原因是：2021年未发生公务接待活动，故较2020年下降。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2.94</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2.94</w:t>
      </w:r>
      <w:r>
        <w:rPr>
          <w:rFonts w:hint="eastAsia" w:ascii="仿宋_GB2312" w:eastAsia="仿宋_GB2312"/>
          <w:sz w:val="32"/>
          <w:szCs w:val="32"/>
        </w:rPr>
        <w:t>万元。公务用车运行维护费开支内容包括：公务用车油料费、维修（护）费、保险费等。公务用车购置数</w:t>
      </w:r>
      <w:r>
        <w:rPr>
          <w:rFonts w:ascii="仿宋_GB2312" w:eastAsia="仿宋_GB2312"/>
          <w:sz w:val="32"/>
          <w:szCs w:val="32"/>
        </w:rPr>
        <w:t>0</w:t>
      </w:r>
      <w:r>
        <w:rPr>
          <w:rFonts w:hint="eastAsia" w:ascii="仿宋_GB2312" w:eastAsia="仿宋_GB2312"/>
          <w:sz w:val="32"/>
          <w:szCs w:val="32"/>
        </w:rPr>
        <w:t>辆，公务用车保有量1辆。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与年初预算数相比情况：一般公共预算“三公”经费支出年初预算数5.72万元，决算数</w:t>
      </w:r>
      <w:r>
        <w:rPr>
          <w:rFonts w:ascii="仿宋_GB2312" w:eastAsia="仿宋_GB2312"/>
          <w:sz w:val="32"/>
          <w:szCs w:val="32"/>
        </w:rPr>
        <w:t>2.94</w:t>
      </w:r>
      <w:r>
        <w:rPr>
          <w:rFonts w:hint="eastAsia" w:ascii="仿宋_GB2312" w:eastAsia="仿宋_GB2312"/>
          <w:sz w:val="32"/>
          <w:szCs w:val="32"/>
        </w:rPr>
        <w:t>万元，预决算差异率-48.60%，主要原因是：严格“三公”经费管理，减少一般性支出。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预算数5.72万元，决算数2.94万元，预决算差异率-48.60%，主要原因是：因疫情影响，取消了部分公务用车活动；</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我单位本年度无政府性基金预算财政拨款收入支出，政府性基金预算财政拨款收入支出决算表为空表。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2021年度自治区法学会（参照公务员法管理事业单位）机关运行经费支出</w:t>
      </w:r>
      <w:r>
        <w:rPr>
          <w:rFonts w:ascii="仿宋_GB2312" w:eastAsia="仿宋_GB2312"/>
          <w:sz w:val="32"/>
          <w:szCs w:val="32"/>
        </w:rPr>
        <w:t>12.69</w:t>
      </w:r>
      <w:r>
        <w:rPr>
          <w:rFonts w:hint="eastAsia" w:ascii="仿宋_GB2312" w:eastAsia="仿宋_GB2312"/>
          <w:sz w:val="32"/>
          <w:szCs w:val="32"/>
        </w:rPr>
        <w:t>万元，比上年增加1.55万元，增长13.91%，主要原因是：低值易耗品采购，特别是公共防疫物品采购增加。</w:t>
      </w:r>
    </w:p>
    <w:p>
      <w:pPr>
        <w:ind w:firstLine="640" w:firstLineChars="200"/>
        <w:rPr>
          <w:rFonts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4591"/>
      <w:bookmarkStart w:id="29" w:name="_Toc83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21.98</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0" w:name="_Toc11283"/>
      <w:bookmarkStart w:id="31" w:name="_Toc435"/>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2个，共涉及资金400万元。预算绩效管理取得的成效：一是通过加强预算绩效管理各个环节的制度建设，进一步牢固树立“花钱必问效，无效必问责”的绩效管理理念，进一步明确绩效管理职责分工。二是通过加强绩效管理内部控制工作，规范权利运行、降低资金效益风险。三是通过加强绩效评价成果应用，压减项目支出，进一步促进各部门履职效果和资源配置正向关联。发现的问题及原因：一是预算管理制度流程尚需优化；二是绩效理念有待进一步提高。下一步改进措施：一是加强预算管理的业务学习，不断完善预算绩效管理内部控制制度，优化流程管理，梳理风险点，规范权力、职责运行；二是加强宣传培训，提升机关文化，进一步树立“讲绩效、重绩效、用绩效”的绩效管理理念。具体项目自评情况附项目支出绩效自评表。</w:t>
      </w:r>
    </w:p>
    <w:p>
      <w:pPr>
        <w:widowControl/>
        <w:jc w:val="left"/>
        <w:rPr>
          <w:rFonts w:ascii="仿宋_GB2312" w:hAnsi="宋体" w:eastAsia="仿宋_GB2312"/>
          <w:kern w:val="0"/>
          <w:sz w:val="32"/>
          <w:szCs w:val="32"/>
        </w:rPr>
      </w:pPr>
      <w:r>
        <w:rPr>
          <w:rFonts w:ascii="仿宋_GB2312" w:eastAsia="仿宋_GB2312"/>
          <w:sz w:val="32"/>
          <w:szCs w:val="32"/>
        </w:rPr>
        <w:br w:type="page"/>
      </w:r>
    </w:p>
    <w:tbl>
      <w:tblPr>
        <w:tblStyle w:val="10"/>
        <w:tblW w:w="8931" w:type="dxa"/>
        <w:tblInd w:w="108" w:type="dxa"/>
        <w:tblLayout w:type="fixed"/>
        <w:tblCellMar>
          <w:top w:w="0" w:type="dxa"/>
          <w:left w:w="108" w:type="dxa"/>
          <w:bottom w:w="0" w:type="dxa"/>
          <w:right w:w="108" w:type="dxa"/>
        </w:tblCellMar>
      </w:tblPr>
      <w:tblGrid>
        <w:gridCol w:w="567"/>
        <w:gridCol w:w="265"/>
        <w:gridCol w:w="27"/>
        <w:gridCol w:w="559"/>
        <w:gridCol w:w="320"/>
        <w:gridCol w:w="27"/>
        <w:gridCol w:w="362"/>
        <w:gridCol w:w="283"/>
        <w:gridCol w:w="213"/>
        <w:gridCol w:w="496"/>
        <w:gridCol w:w="91"/>
        <w:gridCol w:w="75"/>
        <w:gridCol w:w="498"/>
        <w:gridCol w:w="45"/>
        <w:gridCol w:w="141"/>
        <w:gridCol w:w="672"/>
        <w:gridCol w:w="179"/>
        <w:gridCol w:w="850"/>
        <w:gridCol w:w="195"/>
        <w:gridCol w:w="100"/>
        <w:gridCol w:w="237"/>
        <w:gridCol w:w="35"/>
        <w:gridCol w:w="472"/>
        <w:gridCol w:w="114"/>
        <w:gridCol w:w="123"/>
        <w:gridCol w:w="624"/>
        <w:gridCol w:w="114"/>
        <w:gridCol w:w="1247"/>
      </w:tblGrid>
      <w:tr>
        <w:tblPrEx>
          <w:tblCellMar>
            <w:top w:w="0" w:type="dxa"/>
            <w:left w:w="108" w:type="dxa"/>
            <w:bottom w:w="0" w:type="dxa"/>
            <w:right w:w="108" w:type="dxa"/>
          </w:tblCellMar>
        </w:tblPrEx>
        <w:trPr>
          <w:trHeight w:val="20" w:hRule="atLeast"/>
        </w:trPr>
        <w:tc>
          <w:tcPr>
            <w:tcW w:w="8931" w:type="dxa"/>
            <w:gridSpan w:val="28"/>
            <w:tcBorders>
              <w:top w:val="nil"/>
              <w:left w:val="nil"/>
              <w:bottom w:val="nil"/>
              <w:right w:val="nil"/>
            </w:tcBorders>
            <w:shd w:val="clear" w:color="auto" w:fill="auto"/>
            <w:vAlign w:val="center"/>
          </w:tcPr>
          <w:p>
            <w:pPr>
              <w:widowControl/>
              <w:jc w:val="center"/>
              <w:rPr>
                <w:b/>
                <w:bCs/>
                <w:color w:val="000000"/>
                <w:kern w:val="0"/>
                <w:sz w:val="32"/>
                <w:szCs w:val="32"/>
              </w:rPr>
            </w:pPr>
            <w:r>
              <w:rPr>
                <w:b/>
                <w:bCs/>
                <w:color w:val="000000"/>
                <w:kern w:val="0"/>
                <w:sz w:val="32"/>
                <w:szCs w:val="32"/>
              </w:rPr>
              <w:t>项目支出绩效自评表</w:t>
            </w:r>
          </w:p>
        </w:tc>
      </w:tr>
      <w:tr>
        <w:tblPrEx>
          <w:tblCellMar>
            <w:top w:w="0" w:type="dxa"/>
            <w:left w:w="108" w:type="dxa"/>
            <w:bottom w:w="0" w:type="dxa"/>
            <w:right w:w="108" w:type="dxa"/>
          </w:tblCellMar>
        </w:tblPrEx>
        <w:trPr>
          <w:trHeight w:val="20" w:hRule="atLeast"/>
        </w:trPr>
        <w:tc>
          <w:tcPr>
            <w:tcW w:w="8931" w:type="dxa"/>
            <w:gridSpan w:val="28"/>
            <w:tcBorders>
              <w:top w:val="nil"/>
              <w:left w:val="nil"/>
              <w:bottom w:val="nil"/>
              <w:right w:val="nil"/>
            </w:tcBorders>
            <w:shd w:val="clear" w:color="auto" w:fill="auto"/>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r>
              <w:rPr>
                <w:color w:val="000000"/>
                <w:kern w:val="0"/>
                <w:sz w:val="22"/>
                <w:szCs w:val="22"/>
              </w:rPr>
              <w:t>2021</w:t>
            </w:r>
            <w:r>
              <w:rPr>
                <w:rFonts w:hint="eastAsia" w:ascii="宋体" w:hAnsi="宋体" w:cs="宋体"/>
                <w:color w:val="000000"/>
                <w:kern w:val="0"/>
                <w:sz w:val="22"/>
                <w:szCs w:val="22"/>
              </w:rPr>
              <w:t>年度）</w:t>
            </w:r>
          </w:p>
        </w:tc>
      </w:tr>
      <w:tr>
        <w:tblPrEx>
          <w:tblCellMar>
            <w:top w:w="0" w:type="dxa"/>
            <w:left w:w="108" w:type="dxa"/>
            <w:bottom w:w="0" w:type="dxa"/>
            <w:right w:w="108" w:type="dxa"/>
          </w:tblCellMar>
        </w:tblPrEx>
        <w:trPr>
          <w:trHeight w:val="20" w:hRule="atLeast"/>
        </w:trPr>
        <w:tc>
          <w:tcPr>
            <w:tcW w:w="176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项目名称</w:t>
            </w:r>
          </w:p>
        </w:tc>
        <w:tc>
          <w:tcPr>
            <w:tcW w:w="7166" w:type="dxa"/>
            <w:gridSpan w:val="2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法学会工作经费</w:t>
            </w:r>
          </w:p>
        </w:tc>
      </w:tr>
      <w:tr>
        <w:tblPrEx>
          <w:tblCellMar>
            <w:top w:w="0" w:type="dxa"/>
            <w:left w:w="108" w:type="dxa"/>
            <w:bottom w:w="0" w:type="dxa"/>
            <w:right w:w="108" w:type="dxa"/>
          </w:tblCellMar>
        </w:tblPrEx>
        <w:trPr>
          <w:trHeight w:val="20" w:hRule="atLeast"/>
        </w:trPr>
        <w:tc>
          <w:tcPr>
            <w:tcW w:w="176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主管部门</w:t>
            </w:r>
          </w:p>
        </w:tc>
        <w:tc>
          <w:tcPr>
            <w:tcW w:w="3055"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新疆维吾尔自治区法学会</w:t>
            </w:r>
          </w:p>
        </w:tc>
        <w:tc>
          <w:tcPr>
            <w:tcW w:w="114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实施单位</w:t>
            </w:r>
          </w:p>
        </w:tc>
        <w:tc>
          <w:tcPr>
            <w:tcW w:w="2966"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1765" w:type="dxa"/>
            <w:gridSpan w:val="6"/>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项目资金</w:t>
            </w:r>
            <w:r>
              <w:rPr>
                <w:rFonts w:hint="eastAsia" w:ascii="宋体" w:hAnsi="宋体"/>
                <w:color w:val="000000"/>
                <w:kern w:val="0"/>
                <w:sz w:val="18"/>
                <w:szCs w:val="18"/>
              </w:rPr>
              <w:br w:type="textWrapping"/>
            </w:r>
            <w:r>
              <w:rPr>
                <w:rFonts w:hint="eastAsia" w:ascii="宋体" w:hAnsi="宋体"/>
                <w:color w:val="000000"/>
                <w:kern w:val="0"/>
                <w:sz w:val="18"/>
                <w:szCs w:val="18"/>
              </w:rPr>
              <w:t>（万元）</w:t>
            </w:r>
          </w:p>
        </w:tc>
        <w:tc>
          <w:tcPr>
            <w:tcW w:w="135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50" w:type="dxa"/>
            <w:gridSpan w:val="5"/>
            <w:tcBorders>
              <w:top w:val="nil"/>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年初预算数</w:t>
            </w:r>
          </w:p>
        </w:tc>
        <w:tc>
          <w:tcPr>
            <w:tcW w:w="851"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rFonts w:hint="eastAsia" w:ascii="宋体" w:hAnsi="宋体"/>
                <w:color w:val="000000"/>
                <w:kern w:val="0"/>
                <w:sz w:val="18"/>
                <w:szCs w:val="18"/>
              </w:rPr>
              <w:t>全年预算数</w:t>
            </w:r>
          </w:p>
        </w:tc>
        <w:tc>
          <w:tcPr>
            <w:tcW w:w="114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全年执行数</w:t>
            </w:r>
          </w:p>
        </w:tc>
        <w:tc>
          <w:tcPr>
            <w:tcW w:w="858"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分值</w:t>
            </w:r>
          </w:p>
        </w:tc>
        <w:tc>
          <w:tcPr>
            <w:tcW w:w="861" w:type="dxa"/>
            <w:gridSpan w:val="3"/>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执行率</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得分</w:t>
            </w:r>
          </w:p>
        </w:tc>
      </w:tr>
      <w:tr>
        <w:tblPrEx>
          <w:tblCellMar>
            <w:top w:w="0" w:type="dxa"/>
            <w:left w:w="108" w:type="dxa"/>
            <w:bottom w:w="0" w:type="dxa"/>
            <w:right w:w="108" w:type="dxa"/>
          </w:tblCellMar>
        </w:tblPrEx>
        <w:trPr>
          <w:trHeight w:val="20" w:hRule="atLeast"/>
        </w:trPr>
        <w:tc>
          <w:tcPr>
            <w:tcW w:w="1765" w:type="dxa"/>
            <w:gridSpan w:val="6"/>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354" w:type="dxa"/>
            <w:gridSpan w:val="4"/>
            <w:tcBorders>
              <w:top w:val="single" w:color="auto" w:sz="4" w:space="0"/>
              <w:left w:val="nil"/>
              <w:bottom w:val="single" w:color="auto" w:sz="4" w:space="0"/>
              <w:right w:val="single" w:color="auto" w:sz="4" w:space="0"/>
            </w:tcBorders>
            <w:shd w:val="clear" w:color="auto" w:fill="auto"/>
            <w:vAlign w:val="center"/>
          </w:tcPr>
          <w:p>
            <w:pPr>
              <w:widowControl/>
              <w:rPr>
                <w:color w:val="000000"/>
                <w:kern w:val="0"/>
                <w:sz w:val="18"/>
                <w:szCs w:val="18"/>
              </w:rPr>
            </w:pPr>
            <w:r>
              <w:rPr>
                <w:color w:val="000000"/>
                <w:kern w:val="0"/>
                <w:sz w:val="18"/>
                <w:szCs w:val="18"/>
              </w:rPr>
              <w:t>年度资金总额</w:t>
            </w:r>
          </w:p>
        </w:tc>
        <w:tc>
          <w:tcPr>
            <w:tcW w:w="850" w:type="dxa"/>
            <w:gridSpan w:val="5"/>
            <w:tcBorders>
              <w:top w:val="nil"/>
              <w:left w:val="nil"/>
              <w:bottom w:val="single" w:color="auto" w:sz="4" w:space="0"/>
              <w:right w:val="single" w:color="auto" w:sz="4" w:space="0"/>
            </w:tcBorders>
            <w:shd w:val="clear" w:color="auto" w:fill="auto"/>
            <w:vAlign w:val="center"/>
          </w:tcPr>
          <w:p>
            <w:pPr>
              <w:widowControl/>
              <w:jc w:val="right"/>
              <w:rPr>
                <w:color w:val="000000"/>
                <w:kern w:val="0"/>
                <w:sz w:val="16"/>
                <w:szCs w:val="16"/>
              </w:rPr>
            </w:pPr>
            <w:r>
              <w:rPr>
                <w:color w:val="000000"/>
                <w:kern w:val="0"/>
                <w:sz w:val="16"/>
                <w:szCs w:val="16"/>
              </w:rPr>
              <w:t>100</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color w:val="000000"/>
                <w:kern w:val="0"/>
                <w:sz w:val="16"/>
                <w:szCs w:val="16"/>
              </w:rPr>
            </w:pPr>
            <w:r>
              <w:rPr>
                <w:color w:val="000000"/>
                <w:kern w:val="0"/>
                <w:sz w:val="16"/>
                <w:szCs w:val="16"/>
              </w:rPr>
              <w:t>100</w:t>
            </w:r>
          </w:p>
        </w:tc>
        <w:tc>
          <w:tcPr>
            <w:tcW w:w="1145" w:type="dxa"/>
            <w:gridSpan w:val="3"/>
            <w:tcBorders>
              <w:top w:val="single" w:color="auto" w:sz="4" w:space="0"/>
              <w:left w:val="nil"/>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82.43</w:t>
            </w:r>
          </w:p>
        </w:tc>
        <w:tc>
          <w:tcPr>
            <w:tcW w:w="858"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861"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82.43%</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8.24 </w:t>
            </w:r>
          </w:p>
        </w:tc>
      </w:tr>
      <w:tr>
        <w:tblPrEx>
          <w:tblCellMar>
            <w:top w:w="0" w:type="dxa"/>
            <w:left w:w="108" w:type="dxa"/>
            <w:bottom w:w="0" w:type="dxa"/>
            <w:right w:w="108" w:type="dxa"/>
          </w:tblCellMar>
        </w:tblPrEx>
        <w:trPr>
          <w:trHeight w:val="20" w:hRule="atLeast"/>
        </w:trPr>
        <w:tc>
          <w:tcPr>
            <w:tcW w:w="1765" w:type="dxa"/>
            <w:gridSpan w:val="6"/>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354"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其中：当年财政拨款</w:t>
            </w:r>
          </w:p>
        </w:tc>
        <w:tc>
          <w:tcPr>
            <w:tcW w:w="850" w:type="dxa"/>
            <w:gridSpan w:val="5"/>
            <w:tcBorders>
              <w:top w:val="nil"/>
              <w:left w:val="nil"/>
              <w:bottom w:val="single" w:color="auto" w:sz="4" w:space="0"/>
              <w:right w:val="single" w:color="auto" w:sz="4" w:space="0"/>
            </w:tcBorders>
            <w:shd w:val="clear" w:color="auto" w:fill="auto"/>
            <w:vAlign w:val="center"/>
          </w:tcPr>
          <w:p>
            <w:pPr>
              <w:widowControl/>
              <w:jc w:val="right"/>
              <w:rPr>
                <w:color w:val="000000"/>
                <w:kern w:val="0"/>
                <w:sz w:val="16"/>
                <w:szCs w:val="16"/>
              </w:rPr>
            </w:pPr>
            <w:r>
              <w:rPr>
                <w:color w:val="000000"/>
                <w:kern w:val="0"/>
                <w:sz w:val="16"/>
                <w:szCs w:val="16"/>
              </w:rPr>
              <w:t>100</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color w:val="000000"/>
                <w:kern w:val="0"/>
                <w:sz w:val="16"/>
                <w:szCs w:val="16"/>
              </w:rPr>
            </w:pPr>
            <w:r>
              <w:rPr>
                <w:color w:val="000000"/>
                <w:kern w:val="0"/>
                <w:sz w:val="16"/>
                <w:szCs w:val="16"/>
              </w:rPr>
              <w:t>100</w:t>
            </w:r>
          </w:p>
        </w:tc>
        <w:tc>
          <w:tcPr>
            <w:tcW w:w="1145" w:type="dxa"/>
            <w:gridSpan w:val="3"/>
            <w:tcBorders>
              <w:top w:val="single" w:color="auto" w:sz="4" w:space="0"/>
              <w:left w:val="nil"/>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82.43</w:t>
            </w:r>
          </w:p>
        </w:tc>
        <w:tc>
          <w:tcPr>
            <w:tcW w:w="858"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w:t>
            </w:r>
          </w:p>
        </w:tc>
        <w:tc>
          <w:tcPr>
            <w:tcW w:w="861"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100.00%</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CellMar>
            <w:top w:w="0" w:type="dxa"/>
            <w:left w:w="108" w:type="dxa"/>
            <w:bottom w:w="0" w:type="dxa"/>
            <w:right w:w="108" w:type="dxa"/>
          </w:tblCellMar>
        </w:tblPrEx>
        <w:trPr>
          <w:trHeight w:val="20" w:hRule="atLeast"/>
        </w:trPr>
        <w:tc>
          <w:tcPr>
            <w:tcW w:w="1765" w:type="dxa"/>
            <w:gridSpan w:val="6"/>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35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上年结转资金</w:t>
            </w:r>
          </w:p>
        </w:tc>
        <w:tc>
          <w:tcPr>
            <w:tcW w:w="850" w:type="dxa"/>
            <w:gridSpan w:val="5"/>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w:t>
            </w:r>
          </w:p>
        </w:tc>
        <w:tc>
          <w:tcPr>
            <w:tcW w:w="114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58"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w:t>
            </w:r>
          </w:p>
        </w:tc>
        <w:tc>
          <w:tcPr>
            <w:tcW w:w="861"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CellMar>
            <w:top w:w="0" w:type="dxa"/>
            <w:left w:w="108" w:type="dxa"/>
            <w:bottom w:w="0" w:type="dxa"/>
            <w:right w:w="108" w:type="dxa"/>
          </w:tblCellMar>
        </w:tblPrEx>
        <w:trPr>
          <w:trHeight w:val="20" w:hRule="atLeast"/>
        </w:trPr>
        <w:tc>
          <w:tcPr>
            <w:tcW w:w="1765" w:type="dxa"/>
            <w:gridSpan w:val="6"/>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35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其他资金</w:t>
            </w:r>
          </w:p>
        </w:tc>
        <w:tc>
          <w:tcPr>
            <w:tcW w:w="850" w:type="dxa"/>
            <w:gridSpan w:val="5"/>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w:t>
            </w:r>
          </w:p>
        </w:tc>
        <w:tc>
          <w:tcPr>
            <w:tcW w:w="114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58"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w:t>
            </w:r>
          </w:p>
        </w:tc>
        <w:tc>
          <w:tcPr>
            <w:tcW w:w="861"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247"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CellMar>
            <w:top w:w="0" w:type="dxa"/>
            <w:left w:w="108" w:type="dxa"/>
            <w:bottom w:w="0" w:type="dxa"/>
            <w:right w:w="108" w:type="dxa"/>
          </w:tblCellMar>
        </w:tblPrEx>
        <w:trPr>
          <w:trHeight w:val="20" w:hRule="atLeast"/>
        </w:trPr>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年度总体目标</w:t>
            </w:r>
          </w:p>
        </w:tc>
        <w:tc>
          <w:tcPr>
            <w:tcW w:w="4253" w:type="dxa"/>
            <w:gridSpan w:val="16"/>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预期目标</w:t>
            </w:r>
          </w:p>
        </w:tc>
        <w:tc>
          <w:tcPr>
            <w:tcW w:w="4111"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实际完成情况</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253" w:type="dxa"/>
            <w:gridSpan w:val="1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团结凝聚广大法学、法律工作者紧紧围绕全区中心工作，围绕社会稳定和长治久安总目标，积极投身新疆法治建设实践，加强对法学法律工作者的政治引领，深入开展法治理论研究、法治问题调研、法治宣传教育、法治人才培养、组织法律服务、履行对法学社团的管理。项目主要用于2020年开展的双百活动、法治文化基层行、法学研究课题、新研究会成立、《新疆法学》报刊出版。</w:t>
            </w:r>
          </w:p>
        </w:tc>
        <w:tc>
          <w:tcPr>
            <w:tcW w:w="4111" w:type="dxa"/>
            <w:gridSpan w:val="11"/>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整准确贯彻新时代党的治疆方略，牢牢扭住新疆工作总目标，扎实开展党史学习教育和第二批政法队伍教育整顿工作，成功召开了第十六届西部法治论坛并取得丰硕成果，法学会政治引领、法学研究、法治宣传、法律服务等各项工作取得新进步、新成效。</w:t>
            </w:r>
          </w:p>
        </w:tc>
      </w:tr>
      <w:tr>
        <w:tblPrEx>
          <w:tblCellMar>
            <w:top w:w="0" w:type="dxa"/>
            <w:left w:w="108" w:type="dxa"/>
            <w:bottom w:w="0" w:type="dxa"/>
            <w:right w:w="108" w:type="dxa"/>
          </w:tblCellMar>
        </w:tblPrEx>
        <w:trPr>
          <w:trHeight w:val="20" w:hRule="atLeast"/>
        </w:trPr>
        <w:tc>
          <w:tcPr>
            <w:tcW w:w="567" w:type="dxa"/>
            <w:vMerge w:val="restart"/>
            <w:tcBorders>
              <w:top w:val="nil"/>
              <w:left w:val="single" w:color="auto" w:sz="4" w:space="0"/>
              <w:bottom w:val="nil"/>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绩效指标</w:t>
            </w:r>
          </w:p>
        </w:tc>
        <w:tc>
          <w:tcPr>
            <w:tcW w:w="851" w:type="dxa"/>
            <w:gridSpan w:val="3"/>
            <w:tcBorders>
              <w:top w:val="nil"/>
              <w:left w:val="nil"/>
              <w:bottom w:val="nil"/>
              <w:right w:val="single" w:color="auto"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一级指标</w:t>
            </w:r>
          </w:p>
        </w:tc>
        <w:tc>
          <w:tcPr>
            <w:tcW w:w="709" w:type="dxa"/>
            <w:gridSpan w:val="3"/>
            <w:tcBorders>
              <w:top w:val="nil"/>
              <w:left w:val="nil"/>
              <w:bottom w:val="nil"/>
              <w:right w:val="single" w:color="auto"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二级指标</w:t>
            </w: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三级指标</w:t>
            </w:r>
          </w:p>
        </w:tc>
        <w:tc>
          <w:tcPr>
            <w:tcW w:w="851" w:type="dxa"/>
            <w:gridSpan w:val="2"/>
            <w:tcBorders>
              <w:top w:val="nil"/>
              <w:left w:val="nil"/>
              <w:bottom w:val="nil"/>
              <w:right w:val="single" w:color="auto" w:sz="4" w:space="0"/>
            </w:tcBorders>
            <w:shd w:val="clear" w:color="auto" w:fill="auto"/>
            <w:vAlign w:val="center"/>
          </w:tcPr>
          <w:p>
            <w:pPr>
              <w:widowControl/>
              <w:spacing w:line="240" w:lineRule="exact"/>
              <w:jc w:val="center"/>
              <w:rPr>
                <w:color w:val="000000"/>
                <w:kern w:val="0"/>
                <w:sz w:val="18"/>
                <w:szCs w:val="18"/>
              </w:rPr>
            </w:pPr>
            <w:r>
              <w:rPr>
                <w:rFonts w:hint="eastAsia" w:ascii="宋体" w:hAnsi="宋体"/>
                <w:color w:val="000000"/>
                <w:kern w:val="0"/>
                <w:sz w:val="18"/>
                <w:szCs w:val="18"/>
              </w:rPr>
              <w:t>年度指标值</w:t>
            </w:r>
          </w:p>
        </w:tc>
        <w:tc>
          <w:tcPr>
            <w:tcW w:w="85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rFonts w:hint="eastAsia" w:ascii="宋体" w:hAnsi="宋体"/>
                <w:color w:val="000000"/>
                <w:kern w:val="0"/>
                <w:sz w:val="18"/>
                <w:szCs w:val="18"/>
              </w:rPr>
              <w:t>实际完成值</w:t>
            </w:r>
          </w:p>
        </w:tc>
        <w:tc>
          <w:tcPr>
            <w:tcW w:w="532" w:type="dxa"/>
            <w:gridSpan w:val="3"/>
            <w:tcBorders>
              <w:top w:val="nil"/>
              <w:left w:val="nil"/>
              <w:bottom w:val="nil"/>
              <w:right w:val="nil"/>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分值</w:t>
            </w:r>
          </w:p>
        </w:tc>
        <w:tc>
          <w:tcPr>
            <w:tcW w:w="621" w:type="dxa"/>
            <w:gridSpan w:val="3"/>
            <w:tcBorders>
              <w:top w:val="nil"/>
              <w:left w:val="single" w:color="auto" w:sz="4" w:space="0"/>
              <w:bottom w:val="nil"/>
              <w:right w:val="nil"/>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得分</w:t>
            </w:r>
          </w:p>
        </w:tc>
        <w:tc>
          <w:tcPr>
            <w:tcW w:w="2108"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偏差原因分析及改进措施</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产出指标</w:t>
            </w:r>
            <w:r>
              <w:rPr>
                <w:rFonts w:hint="eastAsia" w:ascii="宋体" w:hAnsi="宋体"/>
                <w:color w:val="000000"/>
                <w:kern w:val="0"/>
                <w:sz w:val="18"/>
                <w:szCs w:val="18"/>
                <w:u w:val="single"/>
              </w:rPr>
              <w:t>（</w:t>
            </w:r>
            <w:r>
              <w:rPr>
                <w:color w:val="000000"/>
                <w:kern w:val="0"/>
                <w:sz w:val="18"/>
                <w:szCs w:val="18"/>
                <w:u w:val="single"/>
              </w:rPr>
              <w:t>50%</w:t>
            </w:r>
            <w:r>
              <w:rPr>
                <w:rFonts w:hint="eastAsia" w:ascii="宋体" w:hAnsi="宋体"/>
                <w:color w:val="000000"/>
                <w:kern w:val="0"/>
                <w:sz w:val="18"/>
                <w:szCs w:val="18"/>
                <w:u w:val="single"/>
              </w:rPr>
              <w:t>）</w:t>
            </w:r>
          </w:p>
        </w:tc>
        <w:tc>
          <w:tcPr>
            <w:tcW w:w="709" w:type="dxa"/>
            <w:gridSpan w:val="3"/>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kern w:val="0"/>
                <w:sz w:val="18"/>
                <w:szCs w:val="18"/>
              </w:rPr>
            </w:pPr>
            <w:r>
              <w:rPr>
                <w:rFonts w:hint="eastAsia" w:ascii="宋体" w:hAnsi="宋体"/>
                <w:kern w:val="0"/>
                <w:sz w:val="18"/>
                <w:szCs w:val="18"/>
              </w:rPr>
              <w:t>数量指标</w:t>
            </w: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法学研究课题</w:t>
            </w:r>
          </w:p>
        </w:tc>
        <w:tc>
          <w:tcPr>
            <w:tcW w:w="851"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≥15场</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16</w:t>
            </w:r>
          </w:p>
        </w:tc>
        <w:tc>
          <w:tcPr>
            <w:tcW w:w="532" w:type="dxa"/>
            <w:gridSpan w:val="3"/>
            <w:tcBorders>
              <w:top w:val="single" w:color="auto" w:sz="4" w:space="0"/>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9" w:type="dxa"/>
            <w:gridSpan w:val="3"/>
            <w:vMerge w:val="continue"/>
            <w:tcBorders>
              <w:top w:val="single" w:color="auto" w:sz="4" w:space="0"/>
              <w:left w:val="single" w:color="auto" w:sz="4" w:space="0"/>
              <w:bottom w:val="single" w:color="000000" w:sz="4" w:space="0"/>
              <w:right w:val="single" w:color="auto" w:sz="4" w:space="0"/>
            </w:tcBorders>
            <w:vAlign w:val="center"/>
          </w:tcPr>
          <w:p>
            <w:pPr>
              <w:widowControl/>
              <w:jc w:val="left"/>
              <w:rPr>
                <w:kern w:val="0"/>
                <w:sz w:val="18"/>
                <w:szCs w:val="18"/>
              </w:rPr>
            </w:pP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双百法学宣讲</w:t>
            </w:r>
          </w:p>
        </w:tc>
        <w:tc>
          <w:tcPr>
            <w:tcW w:w="851" w:type="dxa"/>
            <w:gridSpan w:val="2"/>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≥15场</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15</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9" w:type="dxa"/>
            <w:gridSpan w:val="3"/>
            <w:vMerge w:val="continue"/>
            <w:tcBorders>
              <w:top w:val="single" w:color="auto" w:sz="4" w:space="0"/>
              <w:left w:val="single" w:color="auto" w:sz="4" w:space="0"/>
              <w:bottom w:val="single" w:color="000000" w:sz="4" w:space="0"/>
              <w:right w:val="single" w:color="auto" w:sz="4" w:space="0"/>
            </w:tcBorders>
            <w:vAlign w:val="center"/>
          </w:tcPr>
          <w:p>
            <w:pPr>
              <w:widowControl/>
              <w:jc w:val="left"/>
              <w:rPr>
                <w:kern w:val="0"/>
                <w:sz w:val="18"/>
                <w:szCs w:val="18"/>
              </w:rPr>
            </w:pP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法治文化基层行</w:t>
            </w:r>
          </w:p>
        </w:tc>
        <w:tc>
          <w:tcPr>
            <w:tcW w:w="851" w:type="dxa"/>
            <w:gridSpan w:val="2"/>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≥15场</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17</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9" w:type="dxa"/>
            <w:gridSpan w:val="3"/>
            <w:vMerge w:val="continue"/>
            <w:tcBorders>
              <w:top w:val="single" w:color="auto" w:sz="4" w:space="0"/>
              <w:left w:val="single" w:color="auto" w:sz="4" w:space="0"/>
              <w:bottom w:val="single" w:color="000000" w:sz="4" w:space="0"/>
              <w:right w:val="single" w:color="auto" w:sz="4" w:space="0"/>
            </w:tcBorders>
            <w:vAlign w:val="center"/>
          </w:tcPr>
          <w:p>
            <w:pPr>
              <w:widowControl/>
              <w:jc w:val="left"/>
              <w:rPr>
                <w:kern w:val="0"/>
                <w:sz w:val="18"/>
                <w:szCs w:val="18"/>
              </w:rPr>
            </w:pP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支持法学研究会</w:t>
            </w:r>
          </w:p>
        </w:tc>
        <w:tc>
          <w:tcPr>
            <w:tcW w:w="851" w:type="dxa"/>
            <w:gridSpan w:val="2"/>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≥6个</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2.50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因疫情原因，影响研究会正常开展活动。</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9" w:type="dxa"/>
            <w:gridSpan w:val="3"/>
            <w:vMerge w:val="continue"/>
            <w:tcBorders>
              <w:top w:val="single" w:color="auto" w:sz="4" w:space="0"/>
              <w:left w:val="single" w:color="auto" w:sz="4" w:space="0"/>
              <w:bottom w:val="single" w:color="000000" w:sz="4" w:space="0"/>
              <w:right w:val="single" w:color="auto" w:sz="4" w:space="0"/>
            </w:tcBorders>
            <w:vAlign w:val="center"/>
          </w:tcPr>
          <w:p>
            <w:pPr>
              <w:widowControl/>
              <w:jc w:val="left"/>
              <w:rPr>
                <w:kern w:val="0"/>
                <w:sz w:val="18"/>
                <w:szCs w:val="18"/>
              </w:rPr>
            </w:pP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指导服务基层法学会</w:t>
            </w:r>
          </w:p>
        </w:tc>
        <w:tc>
          <w:tcPr>
            <w:tcW w:w="851" w:type="dxa"/>
            <w:gridSpan w:val="2"/>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≥14个</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14</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9" w:type="dxa"/>
            <w:gridSpan w:val="3"/>
            <w:tcBorders>
              <w:top w:val="nil"/>
              <w:left w:val="nil"/>
              <w:bottom w:val="single" w:color="auto" w:sz="4" w:space="0"/>
              <w:right w:val="single" w:color="auto" w:sz="4" w:space="0"/>
            </w:tcBorders>
            <w:shd w:val="clear" w:color="auto" w:fill="auto"/>
            <w:vAlign w:val="center"/>
          </w:tcPr>
          <w:p>
            <w:pPr>
              <w:widowControl/>
              <w:spacing w:line="240" w:lineRule="exact"/>
              <w:jc w:val="center"/>
              <w:rPr>
                <w:kern w:val="0"/>
                <w:sz w:val="18"/>
                <w:szCs w:val="18"/>
              </w:rPr>
            </w:pPr>
            <w:r>
              <w:rPr>
                <w:rFonts w:hint="eastAsia" w:ascii="宋体" w:hAnsi="宋体"/>
                <w:kern w:val="0"/>
                <w:sz w:val="18"/>
                <w:szCs w:val="18"/>
              </w:rPr>
              <w:t>质量指标</w:t>
            </w: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课题成果应用率（%）</w:t>
            </w:r>
          </w:p>
        </w:tc>
        <w:tc>
          <w:tcPr>
            <w:tcW w:w="851" w:type="dxa"/>
            <w:gridSpan w:val="2"/>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≥10%</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9" w:type="dxa"/>
            <w:gridSpan w:val="3"/>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kern w:val="0"/>
                <w:sz w:val="18"/>
                <w:szCs w:val="18"/>
              </w:rPr>
            </w:pPr>
            <w:r>
              <w:rPr>
                <w:rFonts w:hint="eastAsia" w:ascii="宋体" w:hAnsi="宋体"/>
                <w:kern w:val="0"/>
                <w:sz w:val="18"/>
                <w:szCs w:val="18"/>
              </w:rPr>
              <w:t>成本指标</w:t>
            </w: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20项课题费用支出</w:t>
            </w:r>
          </w:p>
        </w:tc>
        <w:tc>
          <w:tcPr>
            <w:tcW w:w="851" w:type="dxa"/>
            <w:gridSpan w:val="2"/>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40万元</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40</w:t>
            </w:r>
            <w:r>
              <w:rPr>
                <w:rFonts w:hint="eastAsia" w:ascii="宋体" w:hAnsi="宋体"/>
                <w:color w:val="000000"/>
                <w:kern w:val="0"/>
                <w:sz w:val="18"/>
                <w:szCs w:val="18"/>
              </w:rPr>
              <w:t>万元</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9" w:type="dxa"/>
            <w:gridSpan w:val="3"/>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双百活动支出</w:t>
            </w:r>
          </w:p>
        </w:tc>
        <w:tc>
          <w:tcPr>
            <w:tcW w:w="851" w:type="dxa"/>
            <w:gridSpan w:val="2"/>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28万元</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10.43</w:t>
            </w:r>
            <w:r>
              <w:rPr>
                <w:rFonts w:hint="eastAsia" w:ascii="宋体" w:hAnsi="宋体"/>
                <w:color w:val="000000"/>
                <w:kern w:val="0"/>
                <w:sz w:val="18"/>
                <w:szCs w:val="18"/>
              </w:rPr>
              <w:t>万元</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1.86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因疫情原因，采取线上线下相结合方式开展宣讲，未组织专家赴地州宣讲。</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9" w:type="dxa"/>
            <w:gridSpan w:val="3"/>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其他业务支出</w:t>
            </w:r>
          </w:p>
        </w:tc>
        <w:tc>
          <w:tcPr>
            <w:tcW w:w="851" w:type="dxa"/>
            <w:gridSpan w:val="2"/>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32万元</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32</w:t>
            </w:r>
            <w:r>
              <w:rPr>
                <w:rFonts w:hint="eastAsia" w:ascii="宋体" w:hAnsi="宋体"/>
                <w:color w:val="000000"/>
                <w:kern w:val="0"/>
                <w:sz w:val="18"/>
                <w:szCs w:val="18"/>
              </w:rPr>
              <w:t>万元</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9" w:type="dxa"/>
            <w:gridSpan w:val="3"/>
            <w:tcBorders>
              <w:top w:val="nil"/>
              <w:left w:val="nil"/>
              <w:bottom w:val="single" w:color="auto" w:sz="4" w:space="0"/>
              <w:right w:val="single" w:color="auto" w:sz="4" w:space="0"/>
            </w:tcBorders>
            <w:shd w:val="clear" w:color="auto" w:fill="auto"/>
            <w:vAlign w:val="center"/>
          </w:tcPr>
          <w:p>
            <w:pPr>
              <w:widowControl/>
              <w:spacing w:line="240" w:lineRule="exact"/>
              <w:jc w:val="center"/>
              <w:rPr>
                <w:kern w:val="0"/>
                <w:sz w:val="18"/>
                <w:szCs w:val="18"/>
              </w:rPr>
            </w:pPr>
            <w:r>
              <w:rPr>
                <w:rFonts w:hint="eastAsia" w:ascii="宋体" w:hAnsi="宋体"/>
                <w:kern w:val="0"/>
                <w:sz w:val="18"/>
                <w:szCs w:val="18"/>
              </w:rPr>
              <w:t>时效指标</w:t>
            </w: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年度任务按时完成率</w:t>
            </w:r>
          </w:p>
        </w:tc>
        <w:tc>
          <w:tcPr>
            <w:tcW w:w="851" w:type="dxa"/>
            <w:gridSpan w:val="2"/>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≥99%</w:t>
            </w:r>
          </w:p>
        </w:tc>
        <w:tc>
          <w:tcPr>
            <w:tcW w:w="850" w:type="dxa"/>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100%</w:t>
            </w:r>
          </w:p>
        </w:tc>
        <w:tc>
          <w:tcPr>
            <w:tcW w:w="532"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r>
              <w:rPr>
                <w:rFonts w:hint="eastAsia" w:ascii="宋体" w:hAnsi="宋体" w:cs="宋体"/>
                <w:color w:val="000000"/>
                <w:kern w:val="0"/>
                <w:sz w:val="18"/>
                <w:szCs w:val="18"/>
                <w:u w:val="single"/>
              </w:rPr>
              <w:t>（</w:t>
            </w:r>
            <w:r>
              <w:rPr>
                <w:color w:val="000000"/>
                <w:kern w:val="0"/>
                <w:sz w:val="18"/>
                <w:szCs w:val="18"/>
                <w:u w:val="single"/>
              </w:rPr>
              <w:t>30%</w:t>
            </w:r>
            <w:r>
              <w:rPr>
                <w:rFonts w:hint="eastAsia" w:ascii="宋体" w:hAnsi="宋体" w:cs="宋体"/>
                <w:color w:val="000000"/>
                <w:kern w:val="0"/>
                <w:sz w:val="18"/>
                <w:szCs w:val="18"/>
                <w:u w:val="single"/>
              </w:rPr>
              <w:t>）</w:t>
            </w:r>
          </w:p>
        </w:tc>
        <w:tc>
          <w:tcPr>
            <w:tcW w:w="709" w:type="dxa"/>
            <w:gridSpan w:val="3"/>
            <w:tcBorders>
              <w:top w:val="nil"/>
              <w:left w:val="nil"/>
              <w:bottom w:val="single" w:color="auto" w:sz="4" w:space="0"/>
              <w:right w:val="single" w:color="auto" w:sz="4" w:space="0"/>
            </w:tcBorders>
            <w:shd w:val="clear" w:color="auto" w:fill="auto"/>
            <w:vAlign w:val="center"/>
          </w:tcPr>
          <w:p>
            <w:pPr>
              <w:widowControl/>
              <w:spacing w:line="240" w:lineRule="exact"/>
              <w:jc w:val="center"/>
              <w:rPr>
                <w:kern w:val="0"/>
                <w:sz w:val="18"/>
                <w:szCs w:val="18"/>
              </w:rPr>
            </w:pPr>
            <w:r>
              <w:rPr>
                <w:rFonts w:hint="eastAsia" w:ascii="宋体" w:hAnsi="宋体"/>
                <w:kern w:val="0"/>
                <w:sz w:val="18"/>
                <w:szCs w:val="18"/>
              </w:rPr>
              <w:t>社会效益指标</w:t>
            </w: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法治研究成果对自治区法治工作决策起到良好作用</w:t>
            </w:r>
          </w:p>
        </w:tc>
        <w:tc>
          <w:tcPr>
            <w:tcW w:w="851" w:type="dxa"/>
            <w:gridSpan w:val="2"/>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良好</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良好</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30</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28.00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693" w:hRule="atLeast"/>
        </w:trPr>
        <w:tc>
          <w:tcPr>
            <w:tcW w:w="567" w:type="dxa"/>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851" w:type="dxa"/>
            <w:gridSpan w:val="3"/>
            <w:tcBorders>
              <w:top w:val="nil"/>
              <w:left w:val="nil"/>
              <w:bottom w:val="nil"/>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满意度指标</w:t>
            </w:r>
            <w:r>
              <w:rPr>
                <w:rFonts w:hint="eastAsia" w:ascii="宋体" w:hAnsi="宋体"/>
                <w:color w:val="000000"/>
                <w:kern w:val="0"/>
                <w:sz w:val="18"/>
                <w:szCs w:val="18"/>
                <w:u w:val="single"/>
              </w:rPr>
              <w:t>（</w:t>
            </w:r>
            <w:r>
              <w:rPr>
                <w:color w:val="000000"/>
                <w:kern w:val="0"/>
                <w:sz w:val="18"/>
                <w:szCs w:val="18"/>
                <w:u w:val="single"/>
              </w:rPr>
              <w:t>10%</w:t>
            </w:r>
            <w:r>
              <w:rPr>
                <w:rFonts w:hint="eastAsia" w:ascii="宋体" w:hAnsi="宋体"/>
                <w:color w:val="000000"/>
                <w:kern w:val="0"/>
                <w:sz w:val="18"/>
                <w:szCs w:val="18"/>
                <w:u w:val="single"/>
              </w:rPr>
              <w:t>）</w:t>
            </w:r>
          </w:p>
        </w:tc>
        <w:tc>
          <w:tcPr>
            <w:tcW w:w="709" w:type="dxa"/>
            <w:gridSpan w:val="3"/>
            <w:tcBorders>
              <w:top w:val="nil"/>
              <w:left w:val="nil"/>
              <w:bottom w:val="single" w:color="auto" w:sz="4" w:space="0"/>
              <w:right w:val="single" w:color="auto" w:sz="4" w:space="0"/>
            </w:tcBorders>
            <w:shd w:val="clear" w:color="auto" w:fill="auto"/>
            <w:vAlign w:val="center"/>
          </w:tcPr>
          <w:p>
            <w:pPr>
              <w:widowControl/>
              <w:spacing w:line="240" w:lineRule="exact"/>
              <w:jc w:val="center"/>
              <w:rPr>
                <w:kern w:val="0"/>
                <w:sz w:val="18"/>
                <w:szCs w:val="18"/>
              </w:rPr>
            </w:pPr>
            <w:r>
              <w:rPr>
                <w:rFonts w:hint="eastAsia" w:ascii="宋体" w:hAnsi="宋体"/>
                <w:kern w:val="0"/>
                <w:sz w:val="18"/>
                <w:szCs w:val="18"/>
              </w:rPr>
              <w:t>满意度指标</w:t>
            </w:r>
          </w:p>
        </w:tc>
        <w:tc>
          <w:tcPr>
            <w:tcW w:w="1842" w:type="dxa"/>
            <w:gridSpan w:val="8"/>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法治宣讲对象满意度（%）</w:t>
            </w:r>
          </w:p>
        </w:tc>
        <w:tc>
          <w:tcPr>
            <w:tcW w:w="851" w:type="dxa"/>
            <w:gridSpan w:val="2"/>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≥90%</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95%</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10</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9.00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5670" w:type="dxa"/>
            <w:gridSpan w:val="1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总分</w:t>
            </w:r>
          </w:p>
        </w:tc>
        <w:tc>
          <w:tcPr>
            <w:tcW w:w="532" w:type="dxa"/>
            <w:gridSpan w:val="3"/>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90</w:t>
            </w:r>
          </w:p>
        </w:tc>
        <w:tc>
          <w:tcPr>
            <w:tcW w:w="621"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89.60 </w:t>
            </w:r>
          </w:p>
        </w:tc>
        <w:tc>
          <w:tcPr>
            <w:tcW w:w="210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59" w:type="dxa"/>
            <w:gridSpan w:val="3"/>
            <w:tcBorders>
              <w:top w:val="nil"/>
              <w:left w:val="nil"/>
              <w:bottom w:val="nil"/>
              <w:right w:val="nil"/>
            </w:tcBorders>
            <w:shd w:val="clear" w:color="auto" w:fill="auto"/>
            <w:noWrap/>
            <w:vAlign w:val="center"/>
          </w:tcPr>
          <w:p>
            <w:pPr>
              <w:widowControl/>
              <w:jc w:val="center"/>
              <w:rPr>
                <w:color w:val="000000"/>
                <w:kern w:val="0"/>
                <w:sz w:val="18"/>
                <w:szCs w:val="18"/>
              </w:rPr>
            </w:pPr>
          </w:p>
        </w:tc>
        <w:tc>
          <w:tcPr>
            <w:tcW w:w="906"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858"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662"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498" w:type="dxa"/>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858"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1029" w:type="dxa"/>
            <w:gridSpan w:val="2"/>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532"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621"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861"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1247" w:type="dxa"/>
            <w:tcBorders>
              <w:top w:val="nil"/>
              <w:left w:val="nil"/>
              <w:bottom w:val="nil"/>
              <w:right w:val="nil"/>
            </w:tcBorders>
            <w:shd w:val="clear" w:color="auto" w:fill="auto"/>
            <w:noWrap/>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0" w:hRule="atLeast"/>
        </w:trPr>
        <w:tc>
          <w:tcPr>
            <w:tcW w:w="859"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906"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858"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662"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498" w:type="dxa"/>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858"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1029" w:type="dxa"/>
            <w:gridSpan w:val="2"/>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532"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621"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861" w:type="dxa"/>
            <w:gridSpan w:val="3"/>
            <w:tcBorders>
              <w:top w:val="nil"/>
              <w:left w:val="nil"/>
              <w:bottom w:val="nil"/>
              <w:right w:val="nil"/>
            </w:tcBorders>
            <w:shd w:val="clear" w:color="auto" w:fill="auto"/>
            <w:noWrap/>
            <w:vAlign w:val="center"/>
          </w:tcPr>
          <w:p>
            <w:pPr>
              <w:widowControl/>
              <w:jc w:val="left"/>
              <w:rPr>
                <w:rFonts w:eastAsia="Times New Roman"/>
                <w:kern w:val="0"/>
                <w:sz w:val="20"/>
                <w:szCs w:val="20"/>
              </w:rPr>
            </w:pPr>
          </w:p>
        </w:tc>
        <w:tc>
          <w:tcPr>
            <w:tcW w:w="1247" w:type="dxa"/>
            <w:tcBorders>
              <w:top w:val="nil"/>
              <w:left w:val="nil"/>
              <w:bottom w:val="nil"/>
              <w:right w:val="nil"/>
            </w:tcBorders>
            <w:shd w:val="clear" w:color="auto" w:fill="auto"/>
            <w:noWrap/>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612" w:hRule="atLeast"/>
        </w:trPr>
        <w:tc>
          <w:tcPr>
            <w:tcW w:w="8931" w:type="dxa"/>
            <w:gridSpan w:val="28"/>
            <w:tcBorders>
              <w:top w:val="nil"/>
              <w:left w:val="nil"/>
              <w:bottom w:val="nil"/>
              <w:right w:val="nil"/>
            </w:tcBorders>
            <w:shd w:val="clear" w:color="auto" w:fill="auto"/>
            <w:vAlign w:val="center"/>
          </w:tcPr>
          <w:p>
            <w:pPr>
              <w:widowControl/>
              <w:jc w:val="center"/>
              <w:rPr>
                <w:b/>
                <w:bCs/>
                <w:color w:val="000000"/>
                <w:kern w:val="0"/>
                <w:sz w:val="32"/>
                <w:szCs w:val="32"/>
              </w:rPr>
            </w:pPr>
            <w:r>
              <w:br w:type="page"/>
            </w:r>
            <w:r>
              <w:rPr>
                <w:b/>
                <w:bCs/>
                <w:color w:val="000000"/>
                <w:kern w:val="0"/>
                <w:sz w:val="32"/>
                <w:szCs w:val="32"/>
              </w:rPr>
              <w:t>项目支出绩效自评表</w:t>
            </w:r>
          </w:p>
        </w:tc>
      </w:tr>
      <w:tr>
        <w:tblPrEx>
          <w:tblCellMar>
            <w:top w:w="0" w:type="dxa"/>
            <w:left w:w="108" w:type="dxa"/>
            <w:bottom w:w="0" w:type="dxa"/>
            <w:right w:w="108" w:type="dxa"/>
          </w:tblCellMar>
        </w:tblPrEx>
        <w:trPr>
          <w:trHeight w:val="20" w:hRule="atLeast"/>
        </w:trPr>
        <w:tc>
          <w:tcPr>
            <w:tcW w:w="8931" w:type="dxa"/>
            <w:gridSpan w:val="28"/>
            <w:tcBorders>
              <w:top w:val="nil"/>
              <w:left w:val="nil"/>
              <w:bottom w:val="nil"/>
              <w:right w:val="nil"/>
            </w:tcBorders>
            <w:shd w:val="clear" w:color="auto" w:fill="auto"/>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r>
              <w:rPr>
                <w:color w:val="000000"/>
                <w:kern w:val="0"/>
                <w:sz w:val="22"/>
                <w:szCs w:val="22"/>
              </w:rPr>
              <w:t>2021</w:t>
            </w:r>
            <w:r>
              <w:rPr>
                <w:rFonts w:hint="eastAsia" w:ascii="宋体" w:hAnsi="宋体" w:cs="宋体"/>
                <w:color w:val="000000"/>
                <w:kern w:val="0"/>
                <w:sz w:val="22"/>
                <w:szCs w:val="22"/>
              </w:rPr>
              <w:t>年度）</w:t>
            </w:r>
          </w:p>
        </w:tc>
      </w:tr>
      <w:tr>
        <w:tblPrEx>
          <w:tblCellMar>
            <w:top w:w="0" w:type="dxa"/>
            <w:left w:w="108" w:type="dxa"/>
            <w:bottom w:w="0" w:type="dxa"/>
            <w:right w:w="108" w:type="dxa"/>
          </w:tblCellMar>
        </w:tblPrEx>
        <w:trPr>
          <w:trHeight w:val="20" w:hRule="atLeast"/>
        </w:trPr>
        <w:tc>
          <w:tcPr>
            <w:tcW w:w="173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项目名称</w:t>
            </w:r>
          </w:p>
        </w:tc>
        <w:tc>
          <w:tcPr>
            <w:tcW w:w="7193" w:type="dxa"/>
            <w:gridSpan w:val="2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法治基金工作专项经费</w:t>
            </w:r>
          </w:p>
        </w:tc>
      </w:tr>
      <w:tr>
        <w:tblPrEx>
          <w:tblCellMar>
            <w:top w:w="0" w:type="dxa"/>
            <w:left w:w="108" w:type="dxa"/>
            <w:bottom w:w="0" w:type="dxa"/>
            <w:right w:w="108" w:type="dxa"/>
          </w:tblCellMar>
        </w:tblPrEx>
        <w:trPr>
          <w:trHeight w:val="20" w:hRule="atLeast"/>
        </w:trPr>
        <w:tc>
          <w:tcPr>
            <w:tcW w:w="173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主管部门</w:t>
            </w:r>
          </w:p>
        </w:tc>
        <w:tc>
          <w:tcPr>
            <w:tcW w:w="3082"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新疆维吾尔自治区法学会</w:t>
            </w:r>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实施单位</w:t>
            </w:r>
          </w:p>
        </w:tc>
        <w:tc>
          <w:tcPr>
            <w:tcW w:w="3066" w:type="dxa"/>
            <w:gridSpan w:val="9"/>
            <w:tcBorders>
              <w:top w:val="single" w:color="auto" w:sz="4" w:space="0"/>
              <w:left w:val="nil"/>
              <w:bottom w:val="single" w:color="auto" w:sz="4" w:space="0"/>
              <w:right w:val="single" w:color="000000"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1738" w:type="dxa"/>
            <w:gridSpan w:val="5"/>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项目资金</w:t>
            </w:r>
            <w:r>
              <w:rPr>
                <w:rFonts w:hint="eastAsia" w:ascii="宋体" w:hAnsi="宋体"/>
                <w:color w:val="000000"/>
                <w:kern w:val="0"/>
                <w:sz w:val="18"/>
                <w:szCs w:val="18"/>
              </w:rPr>
              <w:br w:type="textWrapping"/>
            </w:r>
            <w:r>
              <w:rPr>
                <w:rFonts w:hint="eastAsia" w:ascii="宋体" w:hAnsi="宋体"/>
                <w:color w:val="000000"/>
                <w:kern w:val="0"/>
                <w:sz w:val="18"/>
                <w:szCs w:val="18"/>
              </w:rPr>
              <w:t>（万元）</w:t>
            </w:r>
          </w:p>
        </w:tc>
        <w:tc>
          <w:tcPr>
            <w:tcW w:w="147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759"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年初预算数</w:t>
            </w:r>
          </w:p>
        </w:tc>
        <w:tc>
          <w:tcPr>
            <w:tcW w:w="851"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rFonts w:hint="eastAsia" w:ascii="宋体" w:hAnsi="宋体"/>
                <w:color w:val="000000"/>
                <w:kern w:val="0"/>
                <w:sz w:val="18"/>
                <w:szCs w:val="18"/>
              </w:rPr>
              <w:t>全年预算数</w:t>
            </w:r>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全年执行数</w:t>
            </w:r>
          </w:p>
        </w:tc>
        <w:tc>
          <w:tcPr>
            <w:tcW w:w="844"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分值</w:t>
            </w:r>
          </w:p>
        </w:tc>
        <w:tc>
          <w:tcPr>
            <w:tcW w:w="861" w:type="dxa"/>
            <w:gridSpan w:val="3"/>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执行率</w:t>
            </w:r>
          </w:p>
        </w:tc>
        <w:tc>
          <w:tcPr>
            <w:tcW w:w="1361"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得分</w:t>
            </w:r>
          </w:p>
        </w:tc>
      </w:tr>
      <w:tr>
        <w:tblPrEx>
          <w:tblCellMar>
            <w:top w:w="0" w:type="dxa"/>
            <w:left w:w="108" w:type="dxa"/>
            <w:bottom w:w="0" w:type="dxa"/>
            <w:right w:w="108" w:type="dxa"/>
          </w:tblCellMar>
        </w:tblPrEx>
        <w:trPr>
          <w:trHeight w:val="20" w:hRule="atLeast"/>
        </w:trPr>
        <w:tc>
          <w:tcPr>
            <w:tcW w:w="1738" w:type="dxa"/>
            <w:gridSpan w:val="5"/>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472" w:type="dxa"/>
            <w:gridSpan w:val="6"/>
            <w:tcBorders>
              <w:top w:val="single" w:color="auto" w:sz="4" w:space="0"/>
              <w:left w:val="nil"/>
              <w:bottom w:val="single" w:color="auto" w:sz="4" w:space="0"/>
              <w:right w:val="single" w:color="auto" w:sz="4" w:space="0"/>
            </w:tcBorders>
            <w:shd w:val="clear" w:color="auto" w:fill="auto"/>
            <w:vAlign w:val="center"/>
          </w:tcPr>
          <w:p>
            <w:pPr>
              <w:widowControl/>
              <w:rPr>
                <w:color w:val="000000"/>
                <w:kern w:val="0"/>
                <w:sz w:val="18"/>
                <w:szCs w:val="18"/>
              </w:rPr>
            </w:pPr>
            <w:r>
              <w:rPr>
                <w:color w:val="000000"/>
                <w:kern w:val="0"/>
                <w:sz w:val="18"/>
                <w:szCs w:val="18"/>
              </w:rPr>
              <w:t>年度资金总额</w:t>
            </w:r>
          </w:p>
        </w:tc>
        <w:tc>
          <w:tcPr>
            <w:tcW w:w="759" w:type="dxa"/>
            <w:gridSpan w:val="4"/>
            <w:tcBorders>
              <w:top w:val="nil"/>
              <w:left w:val="nil"/>
              <w:bottom w:val="single" w:color="auto" w:sz="4" w:space="0"/>
              <w:right w:val="single" w:color="auto" w:sz="4" w:space="0"/>
            </w:tcBorders>
            <w:shd w:val="clear" w:color="auto" w:fill="auto"/>
            <w:vAlign w:val="center"/>
          </w:tcPr>
          <w:p>
            <w:pPr>
              <w:widowControl/>
              <w:jc w:val="right"/>
              <w:rPr>
                <w:color w:val="000000"/>
                <w:kern w:val="0"/>
                <w:sz w:val="16"/>
                <w:szCs w:val="16"/>
              </w:rPr>
            </w:pPr>
            <w:r>
              <w:rPr>
                <w:color w:val="000000"/>
                <w:kern w:val="0"/>
                <w:sz w:val="16"/>
                <w:szCs w:val="16"/>
              </w:rPr>
              <w:t>300</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color w:val="000000"/>
                <w:kern w:val="0"/>
                <w:sz w:val="16"/>
                <w:szCs w:val="16"/>
              </w:rPr>
            </w:pPr>
            <w:r>
              <w:rPr>
                <w:color w:val="000000"/>
                <w:kern w:val="0"/>
                <w:sz w:val="16"/>
                <w:szCs w:val="16"/>
              </w:rPr>
              <w:t>300</w:t>
            </w:r>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300</w:t>
            </w:r>
          </w:p>
        </w:tc>
        <w:tc>
          <w:tcPr>
            <w:tcW w:w="844"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861"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100.00%</w:t>
            </w:r>
          </w:p>
        </w:tc>
        <w:tc>
          <w:tcPr>
            <w:tcW w:w="1361"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xml:space="preserve">10.00 </w:t>
            </w:r>
          </w:p>
        </w:tc>
      </w:tr>
      <w:tr>
        <w:tblPrEx>
          <w:tblCellMar>
            <w:top w:w="0" w:type="dxa"/>
            <w:left w:w="108" w:type="dxa"/>
            <w:bottom w:w="0" w:type="dxa"/>
            <w:right w:w="108" w:type="dxa"/>
          </w:tblCellMar>
        </w:tblPrEx>
        <w:trPr>
          <w:trHeight w:val="20" w:hRule="atLeast"/>
        </w:trPr>
        <w:tc>
          <w:tcPr>
            <w:tcW w:w="1738" w:type="dxa"/>
            <w:gridSpan w:val="5"/>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472"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其中：当年财政拨款</w:t>
            </w:r>
          </w:p>
        </w:tc>
        <w:tc>
          <w:tcPr>
            <w:tcW w:w="759" w:type="dxa"/>
            <w:gridSpan w:val="4"/>
            <w:tcBorders>
              <w:top w:val="nil"/>
              <w:left w:val="nil"/>
              <w:bottom w:val="single" w:color="auto" w:sz="4" w:space="0"/>
              <w:right w:val="single" w:color="auto" w:sz="4" w:space="0"/>
            </w:tcBorders>
            <w:shd w:val="clear" w:color="auto" w:fill="auto"/>
            <w:vAlign w:val="center"/>
          </w:tcPr>
          <w:p>
            <w:pPr>
              <w:widowControl/>
              <w:jc w:val="right"/>
              <w:rPr>
                <w:color w:val="000000"/>
                <w:kern w:val="0"/>
                <w:sz w:val="16"/>
                <w:szCs w:val="16"/>
              </w:rPr>
            </w:pPr>
            <w:r>
              <w:rPr>
                <w:color w:val="000000"/>
                <w:kern w:val="0"/>
                <w:sz w:val="16"/>
                <w:szCs w:val="16"/>
              </w:rPr>
              <w:t>300</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color w:val="000000"/>
                <w:kern w:val="0"/>
                <w:sz w:val="16"/>
                <w:szCs w:val="16"/>
              </w:rPr>
            </w:pPr>
            <w:r>
              <w:rPr>
                <w:color w:val="000000"/>
                <w:kern w:val="0"/>
                <w:sz w:val="16"/>
                <w:szCs w:val="16"/>
              </w:rPr>
              <w:t>300</w:t>
            </w:r>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300</w:t>
            </w:r>
          </w:p>
        </w:tc>
        <w:tc>
          <w:tcPr>
            <w:tcW w:w="844"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w:t>
            </w:r>
          </w:p>
        </w:tc>
        <w:tc>
          <w:tcPr>
            <w:tcW w:w="861"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100.00%</w:t>
            </w:r>
          </w:p>
        </w:tc>
        <w:tc>
          <w:tcPr>
            <w:tcW w:w="1361"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CellMar>
            <w:top w:w="0" w:type="dxa"/>
            <w:left w:w="108" w:type="dxa"/>
            <w:bottom w:w="0" w:type="dxa"/>
            <w:right w:w="108" w:type="dxa"/>
          </w:tblCellMar>
        </w:tblPrEx>
        <w:trPr>
          <w:trHeight w:val="20" w:hRule="atLeast"/>
        </w:trPr>
        <w:tc>
          <w:tcPr>
            <w:tcW w:w="1738" w:type="dxa"/>
            <w:gridSpan w:val="5"/>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47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上年结转资金</w:t>
            </w:r>
          </w:p>
        </w:tc>
        <w:tc>
          <w:tcPr>
            <w:tcW w:w="759" w:type="dxa"/>
            <w:gridSpan w:val="4"/>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w:t>
            </w:r>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44"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w:t>
            </w:r>
          </w:p>
        </w:tc>
        <w:tc>
          <w:tcPr>
            <w:tcW w:w="861"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361"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CellMar>
            <w:top w:w="0" w:type="dxa"/>
            <w:left w:w="108" w:type="dxa"/>
            <w:bottom w:w="0" w:type="dxa"/>
            <w:right w:w="108" w:type="dxa"/>
          </w:tblCellMar>
        </w:tblPrEx>
        <w:trPr>
          <w:trHeight w:val="20" w:hRule="atLeast"/>
        </w:trPr>
        <w:tc>
          <w:tcPr>
            <w:tcW w:w="1738" w:type="dxa"/>
            <w:gridSpan w:val="5"/>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color w:val="000000"/>
                <w:kern w:val="0"/>
                <w:sz w:val="18"/>
                <w:szCs w:val="18"/>
              </w:rPr>
            </w:pPr>
          </w:p>
        </w:tc>
        <w:tc>
          <w:tcPr>
            <w:tcW w:w="147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其他资金</w:t>
            </w:r>
          </w:p>
        </w:tc>
        <w:tc>
          <w:tcPr>
            <w:tcW w:w="759" w:type="dxa"/>
            <w:gridSpan w:val="4"/>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w:t>
            </w:r>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44" w:type="dxa"/>
            <w:gridSpan w:val="4"/>
            <w:tcBorders>
              <w:top w:val="nil"/>
              <w:left w:val="nil"/>
              <w:bottom w:val="single" w:color="auto" w:sz="4" w:space="0"/>
              <w:right w:val="nil"/>
            </w:tcBorders>
            <w:shd w:val="clear" w:color="auto" w:fill="auto"/>
            <w:vAlign w:val="center"/>
          </w:tcPr>
          <w:p>
            <w:pPr>
              <w:widowControl/>
              <w:jc w:val="center"/>
              <w:rPr>
                <w:color w:val="000000"/>
                <w:kern w:val="0"/>
                <w:sz w:val="18"/>
                <w:szCs w:val="18"/>
              </w:rPr>
            </w:pPr>
            <w:r>
              <w:rPr>
                <w:color w:val="000000"/>
                <w:kern w:val="0"/>
                <w:sz w:val="18"/>
                <w:szCs w:val="18"/>
              </w:rPr>
              <w:t>—</w:t>
            </w:r>
          </w:p>
        </w:tc>
        <w:tc>
          <w:tcPr>
            <w:tcW w:w="861"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361"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CellMar>
            <w:top w:w="0" w:type="dxa"/>
            <w:left w:w="108" w:type="dxa"/>
            <w:bottom w:w="0" w:type="dxa"/>
            <w:right w:w="108" w:type="dxa"/>
          </w:tblCellMar>
        </w:tblPrEx>
        <w:trPr>
          <w:trHeight w:val="20" w:hRule="atLeast"/>
        </w:trPr>
        <w:tc>
          <w:tcPr>
            <w:tcW w:w="832"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年度总体目标</w:t>
            </w:r>
          </w:p>
        </w:tc>
        <w:tc>
          <w:tcPr>
            <w:tcW w:w="3988" w:type="dxa"/>
            <w:gridSpan w:val="15"/>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预期目标</w:t>
            </w:r>
          </w:p>
        </w:tc>
        <w:tc>
          <w:tcPr>
            <w:tcW w:w="4111"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实际完成情况</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3988" w:type="dxa"/>
            <w:gridSpan w:val="15"/>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围绕社会稳定和长治久安总目标，积极投身新疆法治建设实践，引领各学科研讨会对法治改革热点、难点问题专项研究；引领法学专家对社会突发事件进行法治点评和舆论引导；深入开展法治理论研究、法治问题调研、法治宣传教育、法治人才培养、组织法律援助服务。</w:t>
            </w:r>
          </w:p>
        </w:tc>
        <w:tc>
          <w:tcPr>
            <w:tcW w:w="4111" w:type="dxa"/>
            <w:gridSpan w:val="11"/>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法治基金顺应了完整准确贯彻新时代党的治疆方略的要求，充分发挥了法学会“智囊团”和“参谋库”作用，为依法治疆、建设法治新疆积极建言献策，立足当前，着眼长远，对制约法治新疆建设的深层次矛盾和问题进行深入研究，开展行之有效的法治宣传。</w:t>
            </w:r>
          </w:p>
        </w:tc>
      </w:tr>
      <w:tr>
        <w:tblPrEx>
          <w:tblCellMar>
            <w:top w:w="0" w:type="dxa"/>
            <w:left w:w="108" w:type="dxa"/>
            <w:bottom w:w="0" w:type="dxa"/>
            <w:right w:w="108" w:type="dxa"/>
          </w:tblCellMar>
        </w:tblPrEx>
        <w:trPr>
          <w:trHeight w:val="20" w:hRule="atLeast"/>
        </w:trPr>
        <w:tc>
          <w:tcPr>
            <w:tcW w:w="832" w:type="dxa"/>
            <w:gridSpan w:val="2"/>
            <w:vMerge w:val="restart"/>
            <w:tcBorders>
              <w:top w:val="nil"/>
              <w:left w:val="single" w:color="auto" w:sz="4" w:space="0"/>
              <w:bottom w:val="nil"/>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绩效指标</w:t>
            </w:r>
          </w:p>
        </w:tc>
        <w:tc>
          <w:tcPr>
            <w:tcW w:w="906" w:type="dxa"/>
            <w:gridSpan w:val="3"/>
            <w:tcBorders>
              <w:top w:val="nil"/>
              <w:left w:val="nil"/>
              <w:bottom w:val="nil"/>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一级指标</w:t>
            </w:r>
          </w:p>
        </w:tc>
        <w:tc>
          <w:tcPr>
            <w:tcW w:w="672" w:type="dxa"/>
            <w:gridSpan w:val="3"/>
            <w:tcBorders>
              <w:top w:val="nil"/>
              <w:left w:val="nil"/>
              <w:bottom w:val="nil"/>
              <w:right w:val="single" w:color="auto"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二级指标</w:t>
            </w: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三级指标</w:t>
            </w:r>
          </w:p>
        </w:tc>
        <w:tc>
          <w:tcPr>
            <w:tcW w:w="992" w:type="dxa"/>
            <w:gridSpan w:val="3"/>
            <w:tcBorders>
              <w:top w:val="nil"/>
              <w:left w:val="nil"/>
              <w:bottom w:val="nil"/>
              <w:right w:val="single" w:color="auto" w:sz="4" w:space="0"/>
            </w:tcBorders>
            <w:shd w:val="clear" w:color="auto" w:fill="auto"/>
            <w:vAlign w:val="center"/>
          </w:tcPr>
          <w:p>
            <w:pPr>
              <w:widowControl/>
              <w:spacing w:line="240" w:lineRule="exact"/>
              <w:jc w:val="center"/>
              <w:rPr>
                <w:color w:val="000000"/>
                <w:kern w:val="0"/>
                <w:sz w:val="18"/>
                <w:szCs w:val="18"/>
              </w:rPr>
            </w:pPr>
            <w:r>
              <w:rPr>
                <w:rFonts w:hint="eastAsia" w:ascii="宋体" w:hAnsi="宋体"/>
                <w:color w:val="000000"/>
                <w:kern w:val="0"/>
                <w:sz w:val="18"/>
                <w:szCs w:val="18"/>
              </w:rPr>
              <w:t>年度指标值</w:t>
            </w:r>
          </w:p>
        </w:tc>
        <w:tc>
          <w:tcPr>
            <w:tcW w:w="85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color w:val="000000"/>
                <w:kern w:val="0"/>
                <w:sz w:val="18"/>
                <w:szCs w:val="18"/>
              </w:rPr>
            </w:pPr>
            <w:r>
              <w:rPr>
                <w:rFonts w:hint="eastAsia" w:ascii="宋体" w:hAnsi="宋体"/>
                <w:color w:val="000000"/>
                <w:kern w:val="0"/>
                <w:sz w:val="18"/>
                <w:szCs w:val="18"/>
              </w:rPr>
              <w:t>实际完成值</w:t>
            </w:r>
          </w:p>
        </w:tc>
        <w:tc>
          <w:tcPr>
            <w:tcW w:w="567" w:type="dxa"/>
            <w:gridSpan w:val="4"/>
            <w:tcBorders>
              <w:top w:val="nil"/>
              <w:left w:val="nil"/>
              <w:bottom w:val="nil"/>
              <w:right w:val="nil"/>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分值</w:t>
            </w:r>
          </w:p>
        </w:tc>
        <w:tc>
          <w:tcPr>
            <w:tcW w:w="709" w:type="dxa"/>
            <w:gridSpan w:val="3"/>
            <w:tcBorders>
              <w:top w:val="nil"/>
              <w:left w:val="single" w:color="auto" w:sz="4" w:space="0"/>
              <w:bottom w:val="nil"/>
              <w:right w:val="nil"/>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得分</w:t>
            </w:r>
          </w:p>
        </w:tc>
        <w:tc>
          <w:tcPr>
            <w:tcW w:w="198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exact"/>
              <w:jc w:val="center"/>
              <w:rPr>
                <w:color w:val="000000"/>
                <w:kern w:val="0"/>
                <w:sz w:val="18"/>
                <w:szCs w:val="18"/>
              </w:rPr>
            </w:pPr>
            <w:r>
              <w:rPr>
                <w:color w:val="000000"/>
                <w:kern w:val="0"/>
                <w:sz w:val="18"/>
                <w:szCs w:val="18"/>
              </w:rPr>
              <w:t>偏差原因分析及改进措施</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ascii="宋体" w:hAnsi="宋体"/>
                <w:color w:val="000000"/>
                <w:kern w:val="0"/>
                <w:sz w:val="18"/>
                <w:szCs w:val="18"/>
              </w:rPr>
              <w:t>产出指标</w:t>
            </w:r>
            <w:r>
              <w:rPr>
                <w:rFonts w:hint="eastAsia" w:ascii="宋体" w:hAnsi="宋体"/>
                <w:color w:val="000000"/>
                <w:kern w:val="0"/>
                <w:sz w:val="18"/>
                <w:szCs w:val="18"/>
                <w:u w:val="single"/>
              </w:rPr>
              <w:t>（</w:t>
            </w:r>
            <w:r>
              <w:rPr>
                <w:color w:val="000000"/>
                <w:kern w:val="0"/>
                <w:sz w:val="18"/>
                <w:szCs w:val="18"/>
                <w:u w:val="single"/>
              </w:rPr>
              <w:t>50%</w:t>
            </w:r>
            <w:r>
              <w:rPr>
                <w:rFonts w:hint="eastAsia" w:ascii="宋体" w:hAnsi="宋体"/>
                <w:color w:val="000000"/>
                <w:kern w:val="0"/>
                <w:sz w:val="18"/>
                <w:szCs w:val="18"/>
                <w:u w:val="single"/>
              </w:rPr>
              <w:t>）</w:t>
            </w:r>
          </w:p>
        </w:tc>
        <w:tc>
          <w:tcPr>
            <w:tcW w:w="672" w:type="dxa"/>
            <w:gridSpan w:val="3"/>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kern w:val="0"/>
                <w:sz w:val="18"/>
                <w:szCs w:val="18"/>
              </w:rPr>
            </w:pPr>
            <w:r>
              <w:rPr>
                <w:rFonts w:hint="eastAsia" w:ascii="宋体" w:hAnsi="宋体"/>
                <w:kern w:val="0"/>
                <w:sz w:val="18"/>
                <w:szCs w:val="18"/>
              </w:rPr>
              <w:t>数量指标</w:t>
            </w: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法学研究课题</w:t>
            </w:r>
          </w:p>
        </w:tc>
        <w:tc>
          <w:tcPr>
            <w:tcW w:w="992"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≥10个</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567" w:type="dxa"/>
            <w:gridSpan w:val="4"/>
            <w:tcBorders>
              <w:top w:val="single" w:color="auto" w:sz="4" w:space="0"/>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single" w:color="auto" w:sz="4" w:space="0"/>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continue"/>
            <w:tcBorders>
              <w:top w:val="single" w:color="auto" w:sz="4" w:space="0"/>
              <w:left w:val="single" w:color="auto" w:sz="4" w:space="0"/>
              <w:bottom w:val="single" w:color="000000" w:sz="4" w:space="0"/>
              <w:right w:val="single" w:color="auto" w:sz="4" w:space="0"/>
            </w:tcBorders>
            <w:vAlign w:val="center"/>
          </w:tcPr>
          <w:p>
            <w:pPr>
              <w:widowControl/>
              <w:jc w:val="left"/>
              <w:rPr>
                <w:kern w:val="0"/>
                <w:sz w:val="18"/>
                <w:szCs w:val="18"/>
              </w:rPr>
            </w:pP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指导、服务基层法学会</w:t>
            </w:r>
          </w:p>
        </w:tc>
        <w:tc>
          <w:tcPr>
            <w:tcW w:w="992" w:type="dxa"/>
            <w:gridSpan w:val="3"/>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≥14个</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14</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continue"/>
            <w:tcBorders>
              <w:top w:val="single" w:color="auto" w:sz="4" w:space="0"/>
              <w:left w:val="single" w:color="auto" w:sz="4" w:space="0"/>
              <w:bottom w:val="single" w:color="000000" w:sz="4" w:space="0"/>
              <w:right w:val="single" w:color="auto" w:sz="4" w:space="0"/>
            </w:tcBorders>
            <w:vAlign w:val="center"/>
          </w:tcPr>
          <w:p>
            <w:pPr>
              <w:widowControl/>
              <w:jc w:val="left"/>
              <w:rPr>
                <w:kern w:val="0"/>
                <w:sz w:val="18"/>
                <w:szCs w:val="18"/>
              </w:rPr>
            </w:pP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法律人才培养项目</w:t>
            </w:r>
          </w:p>
        </w:tc>
        <w:tc>
          <w:tcPr>
            <w:tcW w:w="992" w:type="dxa"/>
            <w:gridSpan w:val="3"/>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≥4项</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continue"/>
            <w:tcBorders>
              <w:top w:val="single" w:color="auto" w:sz="4" w:space="0"/>
              <w:left w:val="single" w:color="auto" w:sz="4" w:space="0"/>
              <w:bottom w:val="single" w:color="000000" w:sz="4" w:space="0"/>
              <w:right w:val="single" w:color="auto" w:sz="4" w:space="0"/>
            </w:tcBorders>
            <w:vAlign w:val="center"/>
          </w:tcPr>
          <w:p>
            <w:pPr>
              <w:widowControl/>
              <w:jc w:val="left"/>
              <w:rPr>
                <w:kern w:val="0"/>
                <w:sz w:val="18"/>
                <w:szCs w:val="18"/>
              </w:rPr>
            </w:pP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法律援助项目</w:t>
            </w:r>
          </w:p>
        </w:tc>
        <w:tc>
          <w:tcPr>
            <w:tcW w:w="992" w:type="dxa"/>
            <w:gridSpan w:val="3"/>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≥5项</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kern w:val="0"/>
                <w:sz w:val="18"/>
                <w:szCs w:val="18"/>
              </w:rPr>
            </w:pPr>
            <w:r>
              <w:rPr>
                <w:kern w:val="0"/>
                <w:sz w:val="18"/>
                <w:szCs w:val="18"/>
              </w:rPr>
              <w:t>质量指标</w:t>
            </w: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项目结项率</w:t>
            </w:r>
          </w:p>
        </w:tc>
        <w:tc>
          <w:tcPr>
            <w:tcW w:w="992" w:type="dxa"/>
            <w:gridSpan w:val="3"/>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≥99%</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0</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0</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课题结项日为2022年9月，故现为研究阶段。</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课题成果应用率（%）</w:t>
            </w:r>
          </w:p>
        </w:tc>
        <w:tc>
          <w:tcPr>
            <w:tcW w:w="992" w:type="dxa"/>
            <w:gridSpan w:val="3"/>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≥10%</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0</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0</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课题结项日为2022年9月，故现为研究阶段。</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kern w:val="0"/>
                <w:sz w:val="18"/>
                <w:szCs w:val="18"/>
              </w:rPr>
            </w:pPr>
            <w:r>
              <w:rPr>
                <w:rFonts w:hint="eastAsia" w:ascii="宋体" w:hAnsi="宋体"/>
                <w:kern w:val="0"/>
                <w:sz w:val="18"/>
                <w:szCs w:val="18"/>
              </w:rPr>
              <w:t>成本指标</w:t>
            </w: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10项课题费用支出</w:t>
            </w:r>
          </w:p>
        </w:tc>
        <w:tc>
          <w:tcPr>
            <w:tcW w:w="992" w:type="dxa"/>
            <w:gridSpan w:val="3"/>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100万元</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法律人才培养支出</w:t>
            </w:r>
          </w:p>
        </w:tc>
        <w:tc>
          <w:tcPr>
            <w:tcW w:w="992" w:type="dxa"/>
            <w:gridSpan w:val="3"/>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40万元</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40%</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普法活动支出</w:t>
            </w:r>
          </w:p>
        </w:tc>
        <w:tc>
          <w:tcPr>
            <w:tcW w:w="992" w:type="dxa"/>
            <w:gridSpan w:val="3"/>
            <w:tcBorders>
              <w:top w:val="nil"/>
              <w:left w:val="nil"/>
              <w:bottom w:val="single" w:color="auto"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40万元</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40%</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法律援助支出</w:t>
            </w:r>
          </w:p>
        </w:tc>
        <w:tc>
          <w:tcPr>
            <w:tcW w:w="992" w:type="dxa"/>
            <w:gridSpan w:val="3"/>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40万元</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40%</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其他业务支出</w:t>
            </w:r>
          </w:p>
        </w:tc>
        <w:tc>
          <w:tcPr>
            <w:tcW w:w="992" w:type="dxa"/>
            <w:gridSpan w:val="3"/>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80万元</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80%</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2" w:type="dxa"/>
            <w:gridSpan w:val="3"/>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rFonts w:hint="eastAsia" w:ascii="宋体" w:hAnsi="宋体"/>
                <w:kern w:val="0"/>
                <w:sz w:val="18"/>
                <w:szCs w:val="18"/>
              </w:rPr>
              <w:t>时效指标</w:t>
            </w: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年度任务按时完成率</w:t>
            </w:r>
          </w:p>
        </w:tc>
        <w:tc>
          <w:tcPr>
            <w:tcW w:w="992" w:type="dxa"/>
            <w:gridSpan w:val="3"/>
            <w:tcBorders>
              <w:top w:val="nil"/>
              <w:left w:val="nil"/>
              <w:bottom w:val="single" w:color="auto" w:sz="4" w:space="0"/>
              <w:right w:val="nil"/>
            </w:tcBorders>
            <w:shd w:val="clear" w:color="auto" w:fill="auto"/>
            <w:vAlign w:val="center"/>
          </w:tcPr>
          <w:p>
            <w:pPr>
              <w:widowControl/>
              <w:jc w:val="center"/>
              <w:rPr>
                <w:kern w:val="0"/>
                <w:sz w:val="18"/>
                <w:szCs w:val="18"/>
              </w:rPr>
            </w:pPr>
            <w:r>
              <w:rPr>
                <w:kern w:val="0"/>
                <w:sz w:val="18"/>
                <w:szCs w:val="18"/>
              </w:rPr>
              <w:t>≥99%</w:t>
            </w:r>
          </w:p>
        </w:tc>
        <w:tc>
          <w:tcPr>
            <w:tcW w:w="850" w:type="dxa"/>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99</w:t>
            </w:r>
          </w:p>
        </w:tc>
        <w:tc>
          <w:tcPr>
            <w:tcW w:w="567" w:type="dxa"/>
            <w:gridSpan w:val="4"/>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19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r>
              <w:rPr>
                <w:rFonts w:hint="eastAsia" w:ascii="宋体" w:hAnsi="宋体" w:cs="宋体"/>
                <w:color w:val="000000"/>
                <w:kern w:val="0"/>
                <w:sz w:val="18"/>
                <w:szCs w:val="18"/>
                <w:u w:val="single"/>
              </w:rPr>
              <w:t>（</w:t>
            </w:r>
            <w:r>
              <w:rPr>
                <w:color w:val="000000"/>
                <w:kern w:val="0"/>
                <w:sz w:val="18"/>
                <w:szCs w:val="18"/>
                <w:u w:val="single"/>
              </w:rPr>
              <w:t>30%</w:t>
            </w:r>
            <w:r>
              <w:rPr>
                <w:rFonts w:hint="eastAsia" w:ascii="宋体" w:hAnsi="宋体" w:cs="宋体"/>
                <w:color w:val="000000"/>
                <w:kern w:val="0"/>
                <w:sz w:val="18"/>
                <w:szCs w:val="18"/>
                <w:u w:val="single"/>
              </w:rPr>
              <w:t>）</w:t>
            </w:r>
          </w:p>
        </w:tc>
        <w:tc>
          <w:tcPr>
            <w:tcW w:w="672" w:type="dxa"/>
            <w:gridSpan w:val="3"/>
            <w:tcBorders>
              <w:top w:val="nil"/>
              <w:left w:val="nil"/>
              <w:bottom w:val="single" w:color="auto" w:sz="4" w:space="0"/>
              <w:right w:val="single" w:color="auto" w:sz="4" w:space="0"/>
            </w:tcBorders>
            <w:shd w:val="clear" w:color="auto" w:fill="auto"/>
            <w:vAlign w:val="center"/>
          </w:tcPr>
          <w:p>
            <w:pPr>
              <w:widowControl/>
              <w:jc w:val="center"/>
              <w:rPr>
                <w:kern w:val="0"/>
                <w:sz w:val="18"/>
                <w:szCs w:val="18"/>
              </w:rPr>
            </w:pPr>
            <w:r>
              <w:rPr>
                <w:rFonts w:hint="eastAsia" w:ascii="宋体" w:hAnsi="宋体"/>
                <w:kern w:val="0"/>
                <w:sz w:val="18"/>
                <w:szCs w:val="18"/>
              </w:rPr>
              <w:t>社会效益指标</w:t>
            </w: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法治研究成果对自治区法治工作决策起到良好作用</w:t>
            </w:r>
          </w:p>
        </w:tc>
        <w:tc>
          <w:tcPr>
            <w:tcW w:w="992" w:type="dxa"/>
            <w:gridSpan w:val="3"/>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良好</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良好</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20</w:t>
            </w:r>
          </w:p>
        </w:tc>
        <w:tc>
          <w:tcPr>
            <w:tcW w:w="709"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20.00 </w:t>
            </w:r>
          </w:p>
        </w:tc>
        <w:tc>
          <w:tcPr>
            <w:tcW w:w="198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r>
              <w:rPr>
                <w:rFonts w:hint="eastAsia" w:ascii="宋体" w:hAnsi="宋体" w:cs="宋体"/>
                <w:color w:val="000000"/>
                <w:kern w:val="0"/>
                <w:sz w:val="18"/>
                <w:szCs w:val="18"/>
                <w:u w:val="single"/>
              </w:rPr>
              <w:t>（</w:t>
            </w:r>
            <w:r>
              <w:rPr>
                <w:color w:val="000000"/>
                <w:kern w:val="0"/>
                <w:sz w:val="18"/>
                <w:szCs w:val="18"/>
                <w:u w:val="single"/>
              </w:rPr>
              <w:t>10%</w:t>
            </w:r>
            <w:r>
              <w:rPr>
                <w:rFonts w:hint="eastAsia" w:ascii="宋体" w:hAnsi="宋体" w:cs="宋体"/>
                <w:color w:val="000000"/>
                <w:kern w:val="0"/>
                <w:sz w:val="18"/>
                <w:szCs w:val="18"/>
                <w:u w:val="single"/>
              </w:rPr>
              <w:t>）</w:t>
            </w:r>
          </w:p>
        </w:tc>
        <w:tc>
          <w:tcPr>
            <w:tcW w:w="672" w:type="dxa"/>
            <w:gridSpan w:val="3"/>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kern w:val="0"/>
                <w:sz w:val="18"/>
                <w:szCs w:val="18"/>
              </w:rPr>
            </w:pPr>
            <w:r>
              <w:rPr>
                <w:kern w:val="0"/>
                <w:sz w:val="18"/>
                <w:szCs w:val="18"/>
              </w:rPr>
              <w:t>满意度指标</w:t>
            </w: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法律受援对象满意度</w:t>
            </w:r>
          </w:p>
        </w:tc>
        <w:tc>
          <w:tcPr>
            <w:tcW w:w="992" w:type="dxa"/>
            <w:gridSpan w:val="3"/>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≥99%</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198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832" w:type="dxa"/>
            <w:gridSpan w:val="2"/>
            <w:vMerge w:val="continue"/>
            <w:tcBorders>
              <w:top w:val="nil"/>
              <w:left w:val="single" w:color="auto" w:sz="4" w:space="0"/>
              <w:bottom w:val="nil"/>
              <w:right w:val="single" w:color="auto" w:sz="4" w:space="0"/>
            </w:tcBorders>
            <w:vAlign w:val="center"/>
          </w:tcPr>
          <w:p>
            <w:pPr>
              <w:widowControl/>
              <w:jc w:val="left"/>
              <w:rPr>
                <w:color w:val="000000"/>
                <w:kern w:val="0"/>
                <w:sz w:val="18"/>
                <w:szCs w:val="18"/>
              </w:rPr>
            </w:pPr>
          </w:p>
        </w:tc>
        <w:tc>
          <w:tcPr>
            <w:tcW w:w="906" w:type="dxa"/>
            <w:gridSpan w:val="3"/>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18"/>
                <w:szCs w:val="18"/>
              </w:rPr>
            </w:pPr>
          </w:p>
        </w:tc>
        <w:tc>
          <w:tcPr>
            <w:tcW w:w="672" w:type="dxa"/>
            <w:gridSpan w:val="3"/>
            <w:vMerge w:val="continue"/>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1418" w:type="dxa"/>
            <w:gridSpan w:val="6"/>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法治宣讲对象满意度（%）</w:t>
            </w:r>
          </w:p>
        </w:tc>
        <w:tc>
          <w:tcPr>
            <w:tcW w:w="992" w:type="dxa"/>
            <w:gridSpan w:val="3"/>
            <w:tcBorders>
              <w:top w:val="nil"/>
              <w:left w:val="single" w:color="auto" w:sz="4" w:space="0"/>
              <w:bottom w:val="single" w:color="auto" w:sz="4" w:space="0"/>
              <w:right w:val="nil"/>
            </w:tcBorders>
            <w:shd w:val="clear" w:color="auto" w:fill="auto"/>
            <w:vAlign w:val="center"/>
          </w:tcPr>
          <w:p>
            <w:pPr>
              <w:widowControl/>
              <w:jc w:val="center"/>
              <w:rPr>
                <w:kern w:val="0"/>
                <w:sz w:val="18"/>
                <w:szCs w:val="18"/>
              </w:rPr>
            </w:pPr>
            <w:r>
              <w:rPr>
                <w:kern w:val="0"/>
                <w:sz w:val="18"/>
                <w:szCs w:val="18"/>
              </w:rPr>
              <w:t>≥90%</w:t>
            </w:r>
          </w:p>
        </w:tc>
        <w:tc>
          <w:tcPr>
            <w:tcW w:w="85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5</w:t>
            </w:r>
          </w:p>
        </w:tc>
        <w:tc>
          <w:tcPr>
            <w:tcW w:w="709"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5.00 </w:t>
            </w:r>
          </w:p>
        </w:tc>
        <w:tc>
          <w:tcPr>
            <w:tcW w:w="198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CellMar>
            <w:top w:w="0" w:type="dxa"/>
            <w:left w:w="108" w:type="dxa"/>
            <w:bottom w:w="0" w:type="dxa"/>
            <w:right w:w="108" w:type="dxa"/>
          </w:tblCellMar>
        </w:tblPrEx>
        <w:trPr>
          <w:trHeight w:val="20" w:hRule="atLeast"/>
        </w:trPr>
        <w:tc>
          <w:tcPr>
            <w:tcW w:w="5670" w:type="dxa"/>
            <w:gridSpan w:val="1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总分</w:t>
            </w:r>
          </w:p>
        </w:tc>
        <w:tc>
          <w:tcPr>
            <w:tcW w:w="567" w:type="dxa"/>
            <w:gridSpan w:val="4"/>
            <w:tcBorders>
              <w:top w:val="nil"/>
              <w:left w:val="nil"/>
              <w:bottom w:val="single" w:color="auto" w:sz="4" w:space="0"/>
              <w:right w:val="nil"/>
            </w:tcBorders>
            <w:shd w:val="clear" w:color="auto" w:fill="auto"/>
            <w:vAlign w:val="center"/>
          </w:tcPr>
          <w:p>
            <w:pPr>
              <w:widowControl/>
              <w:jc w:val="right"/>
              <w:rPr>
                <w:color w:val="000000"/>
                <w:kern w:val="0"/>
                <w:sz w:val="18"/>
                <w:szCs w:val="18"/>
              </w:rPr>
            </w:pPr>
            <w:r>
              <w:rPr>
                <w:color w:val="000000"/>
                <w:kern w:val="0"/>
                <w:sz w:val="18"/>
                <w:szCs w:val="18"/>
              </w:rPr>
              <w:t>100</w:t>
            </w:r>
          </w:p>
        </w:tc>
        <w:tc>
          <w:tcPr>
            <w:tcW w:w="709" w:type="dxa"/>
            <w:gridSpan w:val="3"/>
            <w:tcBorders>
              <w:top w:val="nil"/>
              <w:left w:val="single" w:color="auto" w:sz="4" w:space="0"/>
              <w:bottom w:val="single" w:color="auto" w:sz="4" w:space="0"/>
              <w:right w:val="single" w:color="auto" w:sz="4" w:space="0"/>
            </w:tcBorders>
            <w:shd w:val="clear" w:color="auto" w:fill="auto"/>
            <w:vAlign w:val="center"/>
          </w:tcPr>
          <w:p>
            <w:pPr>
              <w:widowControl/>
              <w:jc w:val="right"/>
              <w:rPr>
                <w:color w:val="000000"/>
                <w:kern w:val="0"/>
                <w:sz w:val="18"/>
                <w:szCs w:val="18"/>
              </w:rPr>
            </w:pPr>
            <w:r>
              <w:rPr>
                <w:color w:val="000000"/>
                <w:kern w:val="0"/>
                <w:sz w:val="18"/>
                <w:szCs w:val="18"/>
              </w:rPr>
              <w:t xml:space="preserve">90.00 </w:t>
            </w:r>
          </w:p>
        </w:tc>
        <w:tc>
          <w:tcPr>
            <w:tcW w:w="198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bl>
    <w:p>
      <w:pPr>
        <w:jc w:val="center"/>
        <w:outlineLvl w:val="0"/>
        <w:rPr>
          <w:rFonts w:hint="eastAsia" w:ascii="黑体" w:hAnsi="黑体" w:eastAsia="黑体"/>
          <w:sz w:val="32"/>
          <w:szCs w:val="32"/>
        </w:rPr>
      </w:pPr>
      <w:bookmarkStart w:id="52" w:name="_GoBack"/>
      <w:bookmarkEnd w:id="52"/>
      <w:bookmarkStart w:id="32" w:name="_Toc24143"/>
      <w:bookmarkStart w:id="33" w:name="_Toc3250"/>
      <w:r>
        <w:rPr>
          <w:rFonts w:hint="eastAsia" w:ascii="黑体" w:hAnsi="黑体" w:eastAsia="黑体"/>
          <w:sz w:val="32"/>
          <w:szCs w:val="32"/>
        </w:rPr>
        <w:t>第三部分 专业名词解释</w:t>
      </w:r>
      <w:bookmarkEnd w:id="32"/>
      <w:bookmarkEnd w:id="33"/>
    </w:p>
    <w:p>
      <w:pPr>
        <w:jc w:val="center"/>
        <w:outlineLvl w:val="0"/>
        <w:rPr>
          <w:rFonts w:ascii="黑体" w:hAnsi="黑体" w:eastAsia="黑体"/>
          <w:sz w:val="32"/>
          <w:szCs w:val="32"/>
        </w:rPr>
      </w:pP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黑体" w:hAnsi="黑体" w:eastAsia="黑体"/>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34" w:name="_Toc22784"/>
      <w:bookmarkStart w:id="35" w:name="_Toc28903"/>
      <w:r>
        <w:rPr>
          <w:rFonts w:hint="eastAsia" w:ascii="黑体" w:hAnsi="黑体" w:eastAsia="黑体"/>
          <w:sz w:val="32"/>
          <w:szCs w:val="32"/>
        </w:rPr>
        <w:br w:type="page"/>
      </w:r>
    </w:p>
    <w:p>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jc w:val="center"/>
        <w:outlineLvl w:val="0"/>
        <w:rPr>
          <w:rFonts w:ascii="黑体" w:hAnsi="黑体" w:eastAsia="黑体"/>
          <w:sz w:val="32"/>
          <w:szCs w:val="32"/>
        </w:rPr>
      </w:pPr>
    </w:p>
    <w:p>
      <w:pPr>
        <w:ind w:firstLine="640" w:firstLineChars="200"/>
        <w:outlineLvl w:val="1"/>
        <w:rPr>
          <w:rFonts w:ascii="黑体" w:hAnsi="黑体" w:eastAsia="黑体" w:cs="宋体"/>
          <w:bCs/>
          <w:kern w:val="0"/>
          <w:sz w:val="32"/>
          <w:szCs w:val="32"/>
        </w:rPr>
      </w:pPr>
      <w:bookmarkStart w:id="36" w:name="_Toc2183"/>
      <w:bookmarkStart w:id="37" w:name="_Toc6062"/>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24532"/>
      <w:bookmarkStart w:id="39" w:name="_Toc30364"/>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21304"/>
      <w:bookmarkStart w:id="41" w:name="_Toc3243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28786"/>
      <w:bookmarkStart w:id="43" w:name="_Toc14238"/>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0347"/>
      <w:bookmarkStart w:id="45" w:name="_Toc14869"/>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5626"/>
      <w:bookmarkStart w:id="47" w:name="_Toc8884"/>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29106"/>
      <w:bookmarkStart w:id="49" w:name="_Toc32663"/>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7643"/>
      <w:bookmarkStart w:id="51" w:name="_Toc545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sectPr>
      <w:footerReference r:id="rId3" w:type="default"/>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lVdowEAAEcDAAAOAAAAZHJzL2Uyb0RvYy54bWysUlGP0zAMfkfiP0R5Z+1NOjSqZSfQ6RAS&#10;AqSDH5ClyVopiSM7t3b8epxs3RC8IV5Su7Y/f5/t7cMcvDhapBGiknerVgobDfRjPCj54/vTm40U&#10;lHXstYdolTxZkg+716+2U+rsGgbwvUXBIJG6KSk55Jy6piEz2KBpBclGDjrAoDO7eGh61BOjB9+s&#10;2/ZtMwH2CcFYIv77eA7KXcV3zpr81TmyWXglmVuuL9Z3X95mt9XdAXUaRnOhof+BRdBj5KZXqEed&#10;tXjB8S+oMBoEApdXBkIDzo3GVg2s5q79Q83zoJOtWng4lK5jov8Ha74cn9M3FHn+ADMvsAxkStQR&#10;/yx6ZoehfJmp4DiP8HQdm52zMKVos95sWg4Zji0O4zS38oSUP1oIohhKIu+ljksfP1M+py4ppVuE&#10;p9H7uhsfxaTku/v1fS24Rhjcx5Jr65YvMDfqxcrzfr7o2UN/Ypl8qdx+APwpxcRbVzLyWUrhP0Ue&#10;ajmQxcDF2C+GjoYLlTwzp/T+JTPNyr40O3dg1cXhbVX9l8sq5/C7X7Nu97/7BQAA//8DAFBLAwQU&#10;AAYACAAAACEADErw7tYAAAAFAQAADwAAAGRycy9kb3ducmV2LnhtbEyPQWvDMAyF74P+B6PCbqvT&#10;HraQxSml0Etv68ZgNzdW4zBbDrabJv9+2hhsF6HHE0/fq7eTd2LEmPpACtarAgRSG0xPnYK318ND&#10;CSJlTUa7QKhgxgTbZnFX68qEG73geMqd4BBKlVZgcx4qKVNr0eu0CgMSe5cQvc4sYydN1DcO905u&#10;iuJRet0Tf7B6wL3F9vN09QqepveAQ8I9flzGNtp+Lt1xVup+Oe2eQWSc8t8xfOMzOjTMdA5XMkk4&#10;BVwk/0z2NmXJ8vy7yKaW/+mbLwAAAP//AwBQSwECLQAUAAYACAAAACEAtoM4kv4AAADhAQAAEwAA&#10;AAAAAAAAAAAAAAAAAAAAW0NvbnRlbnRfVHlwZXNdLnhtbFBLAQItABQABgAIAAAAIQA4/SH/1gAA&#10;AJQBAAALAAAAAAAAAAAAAAAAAC8BAABfcmVscy8ucmVsc1BLAQItABQABgAIAAAAIQDv6lVdowEA&#10;AEcDAAAOAAAAAAAAAAAAAAAAAC4CAABkcnMvZTJvRG9jLnhtbFBLAQItABQABgAIAAAAIQAMSvDu&#10;1gAAAAUBAAAPAAAAAAAAAAAAAAAAAP0DAABkcnMvZG93bnJldi54bWxQSwUGAAAAAAQABADzAAAA&#10;AAUAAAAA&#1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AEF13A"/>
    <w:multiLevelType w:val="singleLevel"/>
    <w:tmpl w:val="77AEF13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GZmMGQzYzkzZGE4YzJhYWNmOWE1ZTMzMjM5Njc1MD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059BA"/>
    <w:rsid w:val="00312652"/>
    <w:rsid w:val="00344CE3"/>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3D56B5"/>
    <w:rsid w:val="004078AA"/>
    <w:rsid w:val="00420161"/>
    <w:rsid w:val="00464FAC"/>
    <w:rsid w:val="00480271"/>
    <w:rsid w:val="00487954"/>
    <w:rsid w:val="00495F92"/>
    <w:rsid w:val="004971F0"/>
    <w:rsid w:val="004A3766"/>
    <w:rsid w:val="004B241A"/>
    <w:rsid w:val="004B2827"/>
    <w:rsid w:val="004B4550"/>
    <w:rsid w:val="004C036C"/>
    <w:rsid w:val="004C7698"/>
    <w:rsid w:val="004D5A4F"/>
    <w:rsid w:val="004E5240"/>
    <w:rsid w:val="004E7075"/>
    <w:rsid w:val="00511EF6"/>
    <w:rsid w:val="005266C7"/>
    <w:rsid w:val="00536589"/>
    <w:rsid w:val="005609AE"/>
    <w:rsid w:val="00564114"/>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D4603"/>
    <w:rsid w:val="007E51A8"/>
    <w:rsid w:val="007F1677"/>
    <w:rsid w:val="008060FF"/>
    <w:rsid w:val="00817497"/>
    <w:rsid w:val="00817BE3"/>
    <w:rsid w:val="00820F01"/>
    <w:rsid w:val="00833A8D"/>
    <w:rsid w:val="00844A1B"/>
    <w:rsid w:val="00862C15"/>
    <w:rsid w:val="00866D2C"/>
    <w:rsid w:val="008928E8"/>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0C10"/>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2295"/>
    <w:rsid w:val="00C14826"/>
    <w:rsid w:val="00C274DD"/>
    <w:rsid w:val="00C312EC"/>
    <w:rsid w:val="00C4109C"/>
    <w:rsid w:val="00C65082"/>
    <w:rsid w:val="00C67079"/>
    <w:rsid w:val="00CA4926"/>
    <w:rsid w:val="00CB467D"/>
    <w:rsid w:val="00CC4A46"/>
    <w:rsid w:val="00CD75DB"/>
    <w:rsid w:val="00CF2197"/>
    <w:rsid w:val="00D00715"/>
    <w:rsid w:val="00D014ED"/>
    <w:rsid w:val="00D060F1"/>
    <w:rsid w:val="00D13254"/>
    <w:rsid w:val="00D20143"/>
    <w:rsid w:val="00D218B2"/>
    <w:rsid w:val="00D26864"/>
    <w:rsid w:val="00D26E58"/>
    <w:rsid w:val="00D27269"/>
    <w:rsid w:val="00D44942"/>
    <w:rsid w:val="00D548CB"/>
    <w:rsid w:val="00D57937"/>
    <w:rsid w:val="00D65A9C"/>
    <w:rsid w:val="00D706DB"/>
    <w:rsid w:val="00D8490F"/>
    <w:rsid w:val="00D97950"/>
    <w:rsid w:val="00DC09B1"/>
    <w:rsid w:val="00E00036"/>
    <w:rsid w:val="00E14CA4"/>
    <w:rsid w:val="00E23560"/>
    <w:rsid w:val="00E40C0B"/>
    <w:rsid w:val="00E429F1"/>
    <w:rsid w:val="00E434E9"/>
    <w:rsid w:val="00E8482F"/>
    <w:rsid w:val="00EA609A"/>
    <w:rsid w:val="00EC7E67"/>
    <w:rsid w:val="00F074B1"/>
    <w:rsid w:val="00F349B0"/>
    <w:rsid w:val="00F647BE"/>
    <w:rsid w:val="00F85377"/>
    <w:rsid w:val="00F94010"/>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CA63180"/>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278029A"/>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BA5752A"/>
    <w:rsid w:val="4C2E1A9B"/>
    <w:rsid w:val="4DE45AD9"/>
    <w:rsid w:val="4E11500F"/>
    <w:rsid w:val="4E616E3A"/>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E6C6E77"/>
    <w:rsid w:val="7EAA5A24"/>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Char"/>
    <w:basedOn w:val="11"/>
    <w:link w:val="4"/>
    <w:qFormat/>
    <w:uiPriority w:val="0"/>
    <w:rPr>
      <w:kern w:val="2"/>
      <w:sz w:val="18"/>
      <w:szCs w:val="18"/>
      <w:lang w:bidi="ar-SA"/>
    </w:rPr>
  </w:style>
  <w:style w:type="character" w:customStyle="1" w:styleId="17">
    <w:name w:val="font01"/>
    <w:basedOn w:val="11"/>
    <w:uiPriority w:val="0"/>
    <w:rPr>
      <w:rFonts w:hint="eastAsia" w:ascii="宋体" w:hAnsi="宋体" w:eastAsia="宋体" w:cs="宋体"/>
      <w:color w:val="000000"/>
      <w:sz w:val="22"/>
      <w:szCs w:val="22"/>
      <w:u w:val="none"/>
    </w:rPr>
  </w:style>
  <w:style w:type="character" w:customStyle="1" w:styleId="18">
    <w:name w:val="font21"/>
    <w:basedOn w:val="11"/>
    <w:uiPriority w:val="0"/>
    <w:rPr>
      <w:rFonts w:hint="default" w:ascii="Times New Roman" w:hAnsi="Times New Roman" w:cs="Times New Roman"/>
      <w:color w:val="000000"/>
      <w:sz w:val="22"/>
      <w:szCs w:val="22"/>
      <w:u w:val="none"/>
    </w:rPr>
  </w:style>
  <w:style w:type="character" w:customStyle="1" w:styleId="19">
    <w:name w:val="font41"/>
    <w:basedOn w:val="11"/>
    <w:uiPriority w:val="0"/>
    <w:rPr>
      <w:rFonts w:hint="eastAsia" w:ascii="宋体" w:hAnsi="宋体" w:eastAsia="宋体" w:cs="宋体"/>
      <w:color w:val="000000"/>
      <w:sz w:val="18"/>
      <w:szCs w:val="18"/>
      <w:u w:val="none"/>
    </w:rPr>
  </w:style>
  <w:style w:type="character" w:customStyle="1" w:styleId="20">
    <w:name w:val="font51"/>
    <w:basedOn w:val="11"/>
    <w:uiPriority w:val="0"/>
    <w:rPr>
      <w:rFonts w:hint="default" w:ascii="Times New Roman" w:hAnsi="Times New Roman" w:cs="Times New Roman"/>
      <w:color w:val="000000"/>
      <w:sz w:val="18"/>
      <w:szCs w:val="18"/>
      <w:u w:val="none"/>
    </w:rPr>
  </w:style>
  <w:style w:type="character" w:customStyle="1" w:styleId="21">
    <w:name w:val="font112"/>
    <w:basedOn w:val="11"/>
    <w:uiPriority w:val="0"/>
    <w:rPr>
      <w:rFonts w:hint="eastAsia" w:ascii="宋体" w:hAnsi="宋体" w:eastAsia="宋体" w:cs="宋体"/>
      <w:color w:val="000000"/>
      <w:sz w:val="18"/>
      <w:szCs w:val="18"/>
      <w:u w:val="single"/>
    </w:rPr>
  </w:style>
  <w:style w:type="character" w:customStyle="1" w:styleId="22">
    <w:name w:val="font121"/>
    <w:basedOn w:val="11"/>
    <w:uiPriority w:val="0"/>
    <w:rPr>
      <w:rFonts w:hint="default" w:ascii="Times New Roman" w:hAnsi="Times New Roman" w:cs="Times New Roman"/>
      <w:color w:val="000000"/>
      <w:sz w:val="18"/>
      <w:szCs w:val="18"/>
      <w:u w:val="single"/>
    </w:rPr>
  </w:style>
  <w:style w:type="character" w:customStyle="1" w:styleId="23">
    <w:name w:val="font101"/>
    <w:basedOn w:val="11"/>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6318</Words>
  <Characters>7095</Characters>
  <Lines>651</Lines>
  <Paragraphs>503</Paragraphs>
  <TotalTime>31</TotalTime>
  <ScaleCrop>false</ScaleCrop>
  <LinksUpToDate>false</LinksUpToDate>
  <CharactersWithSpaces>7192</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2022-08-29T11:34:00Z</dcterms:created>
  <dc:creator>GXR</dc:creator>
  <cp:lastModifiedBy>Administrator</cp:lastModifiedBy>
  <cp:lastPrinted>2022-08-30T11:39:00Z</cp:lastPrinted>
  <dcterms:modified xsi:type="dcterms:W3CDTF">2022-08-31T02:31:41Z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0F96B95EDC5748628D125BC2BE6A4274</vt:lpwstr>
  </property>
</Properties>
</file>