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新疆平安网信息中心</w:t>
      </w:r>
    </w:p>
    <w:p>
      <w:pPr>
        <w:jc w:val="center"/>
        <w:rPr>
          <w:rFonts w:ascii="方正小标宋_GBK" w:hAnsi="宋体" w:eastAsia="方正小标宋_GBK"/>
          <w:sz w:val="44"/>
          <w:szCs w:val="44"/>
        </w:rPr>
      </w:pPr>
      <w:r>
        <w:rPr>
          <w:rFonts w:hint="eastAsia" w:ascii="方正小标宋_GBK" w:hAnsi="宋体" w:eastAsia="方正小标宋_GBK"/>
          <w:sz w:val="44"/>
          <w:szCs w:val="44"/>
        </w:rPr>
        <w:t>2021年度部门决算公开说明</w:t>
      </w:r>
    </w:p>
    <w:p>
      <w:pPr>
        <w:jc w:val="center"/>
        <w:rPr>
          <w:rFonts w:hint="eastAsia" w:ascii="方正小标宋_GBK" w:hAnsi="仿宋_GB2312" w:eastAsia="方正小标宋_GBK" w:cs="仿宋_GB2312"/>
          <w:b/>
          <w:kern w:val="0"/>
          <w:sz w:val="44"/>
          <w:szCs w:val="44"/>
        </w:rPr>
      </w:pPr>
      <w:r>
        <w:rPr>
          <w:rFonts w:hint="eastAsia" w:ascii="方正小标宋_GBK" w:hAnsi="宋体" w:eastAsia="方正小标宋_GBK"/>
          <w:sz w:val="44"/>
          <w:szCs w:val="44"/>
        </w:rPr>
        <w:br w:type="page"/>
      </w:r>
      <w:r>
        <w:rPr>
          <w:rFonts w:hint="eastAsia" w:ascii="方正小标宋_GBK" w:hAnsi="仿宋_GB2312" w:eastAsia="方正小标宋_GBK" w:cs="仿宋_GB2312"/>
          <w:b/>
          <w:kern w:val="0"/>
          <w:sz w:val="44"/>
          <w:szCs w:val="44"/>
        </w:rPr>
        <w:t>目  录</w:t>
      </w:r>
    </w:p>
    <w:p>
      <w:pPr>
        <w:jc w:val="center"/>
        <w:rPr>
          <w:rFonts w:ascii="仿宋_GB2312" w:hAnsi="仿宋_GB2312" w:eastAsia="仿宋_GB2312" w:cs="仿宋_GB2312"/>
          <w:bCs/>
          <w:kern w:val="0"/>
          <w:sz w:val="32"/>
          <w:szCs w:val="32"/>
        </w:rPr>
      </w:pPr>
    </w:p>
    <w:p>
      <w:pPr>
        <w:pStyle w:val="7"/>
        <w:tabs>
          <w:tab w:val="right" w:pos="8306"/>
        </w:tabs>
        <w:rPr>
          <w:rFonts w:ascii="黑体" w:hAnsi="黑体" w:eastAsia="黑体"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黑体" w:hAnsi="黑体" w:eastAsia="黑体" w:cs="仿宋_GB2312"/>
          <w:b/>
          <w:bCs/>
          <w:sz w:val="32"/>
          <w:szCs w:val="32"/>
        </w:rPr>
        <w:t>第一部分  部门单位概况</w:t>
      </w:r>
      <w:r>
        <w:rPr>
          <w:rFonts w:hint="eastAsia" w:ascii="黑体" w:hAnsi="黑体" w:eastAsia="黑体"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黑体" w:hAnsi="黑体" w:eastAsia="黑体" w:cs="仿宋_GB2312"/>
          <w:b/>
          <w:bCs/>
          <w:sz w:val="32"/>
          <w:szCs w:val="32"/>
        </w:rPr>
      </w:pPr>
      <w:r>
        <w:fldChar w:fldCharType="begin"/>
      </w:r>
      <w:r>
        <w:instrText xml:space="preserve"> HYPERLINK \l "_Toc29374" </w:instrText>
      </w:r>
      <w:r>
        <w:fldChar w:fldCharType="separate"/>
      </w:r>
      <w:r>
        <w:rPr>
          <w:rFonts w:hint="eastAsia" w:ascii="黑体" w:hAnsi="黑体" w:eastAsia="黑体" w:cs="仿宋_GB2312"/>
          <w:b/>
          <w:bCs/>
          <w:sz w:val="32"/>
          <w:szCs w:val="32"/>
        </w:rPr>
        <w:t>第二部分  部门决算情况说明</w:t>
      </w:r>
      <w:r>
        <w:rPr>
          <w:rFonts w:hint="eastAsia" w:ascii="黑体" w:hAnsi="黑体" w:eastAsia="黑体"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黑体" w:hAnsi="黑体" w:eastAsia="黑体" w:cs="仿宋_GB2312"/>
          <w:b/>
          <w:bCs/>
          <w:sz w:val="32"/>
          <w:szCs w:val="32"/>
        </w:rPr>
      </w:pPr>
      <w:r>
        <w:fldChar w:fldCharType="begin"/>
      </w:r>
      <w:r>
        <w:instrText xml:space="preserve"> HYPERLINK \l "_Toc3250" </w:instrText>
      </w:r>
      <w:r>
        <w:fldChar w:fldCharType="separate"/>
      </w:r>
      <w:r>
        <w:rPr>
          <w:rFonts w:hint="eastAsia" w:ascii="黑体" w:hAnsi="黑体" w:eastAsia="黑体" w:cs="仿宋_GB2312"/>
          <w:b/>
          <w:bCs/>
          <w:sz w:val="32"/>
          <w:szCs w:val="32"/>
        </w:rPr>
        <w:t>第三部分  专业名词解释</w:t>
      </w:r>
      <w:r>
        <w:rPr>
          <w:rFonts w:hint="eastAsia" w:ascii="黑体" w:hAnsi="黑体" w:eastAsia="黑体" w:cs="仿宋_GB2312"/>
          <w:b/>
          <w:bCs/>
          <w:sz w:val="32"/>
          <w:szCs w:val="32"/>
        </w:rPr>
        <w:fldChar w:fldCharType="end"/>
      </w:r>
    </w:p>
    <w:p>
      <w:pPr>
        <w:pStyle w:val="7"/>
        <w:tabs>
          <w:tab w:val="right" w:pos="8306"/>
        </w:tabs>
        <w:rPr>
          <w:rFonts w:ascii="黑体" w:hAnsi="黑体" w:eastAsia="黑体" w:cs="仿宋_GB2312"/>
          <w:b/>
          <w:bCs/>
          <w:sz w:val="32"/>
          <w:szCs w:val="32"/>
        </w:rPr>
      </w:pPr>
      <w:r>
        <w:fldChar w:fldCharType="begin"/>
      </w:r>
      <w:r>
        <w:instrText xml:space="preserve"> HYPERLINK \l "_Toc22784" </w:instrText>
      </w:r>
      <w:r>
        <w:fldChar w:fldCharType="separate"/>
      </w:r>
      <w:r>
        <w:rPr>
          <w:rFonts w:hint="eastAsia" w:ascii="黑体" w:hAnsi="黑体" w:eastAsia="黑体" w:cs="仿宋_GB2312"/>
          <w:b/>
          <w:bCs/>
          <w:sz w:val="32"/>
          <w:szCs w:val="32"/>
        </w:rPr>
        <w:t>第四部分  部门决算报表（见附表）</w:t>
      </w:r>
      <w:r>
        <w:rPr>
          <w:rFonts w:hint="eastAsia" w:ascii="黑体" w:hAnsi="黑体" w:eastAsia="黑体"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bookmarkStart w:id="1" w:name="_Toc32314"/>
      <w:bookmarkStart w:id="2" w:name="_Toc24028"/>
      <w:r>
        <w:rPr>
          <w:rFonts w:hint="eastAsia" w:ascii="黑体" w:hAnsi="黑体" w:eastAsia="黑体"/>
          <w:sz w:val="32"/>
          <w:szCs w:val="32"/>
        </w:rPr>
        <w:t>第一部分 部门单位概况</w:t>
      </w:r>
      <w:bookmarkEnd w:id="1"/>
      <w:bookmarkEnd w:id="2"/>
    </w:p>
    <w:p>
      <w:pPr>
        <w:ind w:firstLine="640" w:firstLineChars="200"/>
        <w:jc w:val="center"/>
        <w:outlineLvl w:val="0"/>
        <w:rPr>
          <w:rFonts w:ascii="黑体" w:hAnsi="黑体" w:eastAsia="黑体"/>
          <w:sz w:val="32"/>
          <w:szCs w:val="32"/>
        </w:rPr>
      </w:pPr>
    </w:p>
    <w:p>
      <w:pPr>
        <w:ind w:firstLine="640" w:firstLineChars="200"/>
        <w:outlineLvl w:val="1"/>
        <w:rPr>
          <w:rFonts w:ascii="黑体" w:hAnsi="黑体" w:eastAsia="黑体" w:cs="宋体"/>
          <w:bCs/>
          <w:kern w:val="0"/>
          <w:sz w:val="32"/>
          <w:szCs w:val="32"/>
        </w:rPr>
      </w:pPr>
      <w:bookmarkStart w:id="3" w:name="_Toc30567"/>
      <w:bookmarkStart w:id="4" w:name="_Toc30738"/>
      <w:r>
        <w:rPr>
          <w:rFonts w:hint="eastAsia" w:ascii="黑体" w:hAnsi="黑体" w:eastAsia="黑体" w:cs="宋体"/>
          <w:bCs/>
          <w:kern w:val="0"/>
          <w:sz w:val="32"/>
          <w:szCs w:val="32"/>
        </w:rPr>
        <w:t>一、主要职能</w:t>
      </w:r>
      <w:bookmarkEnd w:id="3"/>
      <w:bookmarkEnd w:id="4"/>
    </w:p>
    <w:p>
      <w:pPr>
        <w:ind w:firstLine="640" w:firstLineChars="200"/>
        <w:rPr>
          <w:rFonts w:ascii="仿宋_GB2312" w:eastAsia="仿宋_GB2312"/>
          <w:sz w:val="32"/>
          <w:szCs w:val="32"/>
        </w:rPr>
      </w:pPr>
      <w:r>
        <w:rPr>
          <w:rFonts w:ascii="仿宋_GB2312" w:eastAsia="仿宋_GB2312"/>
          <w:sz w:val="32"/>
          <w:szCs w:val="32"/>
        </w:rPr>
        <w:t>新疆平安网是自治区党委政法委主管的官方网站，对上是中国平安网群的新疆频道；对下作为自治区政法、综治门户网站，是一个由可独立运行的15个网站、新疆平安网微博、长安新疆公众号及快手、抖音账号等构成的平安网群。“新疆平安网”承担着自治区政法、综治系统新闻宣传、舆论引导、舆论监督、信息发布、上情下达、下情上传、解疑释惑、社会舆论收集等重要职责</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新疆平安网信息中心</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15</w:t>
      </w:r>
      <w:r>
        <w:rPr>
          <w:rFonts w:hint="eastAsia" w:ascii="仿宋_GB2312" w:eastAsia="仿宋_GB2312"/>
          <w:sz w:val="32"/>
          <w:szCs w:val="32"/>
        </w:rPr>
        <w:t>人，其中：在职人员</w:t>
      </w:r>
      <w:r>
        <w:rPr>
          <w:rFonts w:ascii="仿宋_GB2312" w:eastAsia="仿宋_GB2312"/>
          <w:sz w:val="32"/>
          <w:szCs w:val="32"/>
        </w:rPr>
        <w:t>15</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从部门决算单位构成看，新疆平安网信息中心部门决算包括：新疆平安网信息中心决算。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个处室，分别是：办公室、编辑部、技术组、视频组</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hint="eastAsia" w:ascii="黑体" w:hAnsi="黑体" w:eastAsia="黑体"/>
          <w:sz w:val="32"/>
          <w:szCs w:val="32"/>
        </w:rPr>
      </w:pPr>
      <w:r>
        <w:rPr>
          <w:rFonts w:hint="eastAsia" w:ascii="黑体" w:hAnsi="黑体" w:eastAsia="黑体"/>
          <w:sz w:val="32"/>
          <w:szCs w:val="32"/>
        </w:rPr>
        <w:t>第二部分 部门决算情况说明</w:t>
      </w:r>
    </w:p>
    <w:p>
      <w:pPr>
        <w:ind w:firstLine="640" w:firstLineChars="200"/>
        <w:jc w:val="center"/>
        <w:outlineLvl w:val="0"/>
        <w:rPr>
          <w:rFonts w:ascii="黑体" w:hAnsi="黑体" w:eastAsia="黑体"/>
          <w:sz w:val="32"/>
          <w:szCs w:val="32"/>
        </w:rPr>
      </w:pP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305.50</w:t>
      </w:r>
      <w:r>
        <w:rPr>
          <w:rFonts w:hint="eastAsia" w:ascii="仿宋_GB2312" w:eastAsia="仿宋_GB2312"/>
          <w:sz w:val="32"/>
          <w:szCs w:val="32"/>
        </w:rPr>
        <w:t>万元，与上年相比，减少1.44万元，</w:t>
      </w:r>
      <w:r>
        <w:rPr>
          <w:rFonts w:ascii="仿宋_GB2312" w:eastAsia="仿宋_GB2312"/>
          <w:sz w:val="32"/>
          <w:szCs w:val="32"/>
        </w:rPr>
        <w:t>降低0.47</w:t>
      </w:r>
      <w:r>
        <w:rPr>
          <w:rFonts w:hint="eastAsia" w:ascii="仿宋_GB2312" w:eastAsia="仿宋_GB2312"/>
          <w:sz w:val="32"/>
          <w:szCs w:val="32"/>
        </w:rPr>
        <w:t>%，主要原因是：2021年项目经费减少。本年支出</w:t>
      </w:r>
      <w:r>
        <w:rPr>
          <w:rFonts w:ascii="仿宋_GB2312" w:eastAsia="仿宋_GB2312"/>
          <w:sz w:val="32"/>
          <w:szCs w:val="32"/>
        </w:rPr>
        <w:t>313.56</w:t>
      </w:r>
      <w:r>
        <w:rPr>
          <w:rFonts w:hint="eastAsia" w:ascii="仿宋_GB2312" w:eastAsia="仿宋_GB2312"/>
          <w:sz w:val="32"/>
          <w:szCs w:val="32"/>
        </w:rPr>
        <w:t>万元，与上年相比，</w:t>
      </w:r>
      <w:r>
        <w:rPr>
          <w:rFonts w:ascii="仿宋_GB2312" w:eastAsia="仿宋_GB2312"/>
          <w:sz w:val="32"/>
          <w:szCs w:val="32"/>
        </w:rPr>
        <w:t>减少32.42</w:t>
      </w:r>
      <w:r>
        <w:rPr>
          <w:rFonts w:hint="eastAsia" w:ascii="仿宋_GB2312" w:eastAsia="仿宋_GB2312"/>
          <w:sz w:val="32"/>
          <w:szCs w:val="32"/>
        </w:rPr>
        <w:t>万元，</w:t>
      </w:r>
      <w:r>
        <w:rPr>
          <w:rFonts w:ascii="仿宋_GB2312" w:eastAsia="仿宋_GB2312"/>
          <w:sz w:val="32"/>
          <w:szCs w:val="32"/>
        </w:rPr>
        <w:t>降低9.37</w:t>
      </w:r>
      <w:r>
        <w:rPr>
          <w:rFonts w:hint="eastAsia" w:ascii="仿宋_GB2312" w:eastAsia="仿宋_GB2312"/>
          <w:sz w:val="32"/>
          <w:szCs w:val="32"/>
        </w:rPr>
        <w:t>%，主要原因是：严格控制支出，压减一般性支出。</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305.50</w:t>
      </w:r>
      <w:r>
        <w:rPr>
          <w:rFonts w:hint="eastAsia" w:ascii="仿宋_GB2312" w:eastAsia="仿宋_GB2312"/>
          <w:sz w:val="32"/>
          <w:szCs w:val="32"/>
        </w:rPr>
        <w:t>万元，其中：财政拨款收入</w:t>
      </w:r>
      <w:r>
        <w:rPr>
          <w:rFonts w:ascii="仿宋_GB2312" w:eastAsia="仿宋_GB2312"/>
          <w:sz w:val="32"/>
          <w:szCs w:val="32"/>
        </w:rPr>
        <w:t>304.75</w:t>
      </w:r>
      <w:r>
        <w:rPr>
          <w:rFonts w:hint="eastAsia" w:ascii="仿宋_GB2312" w:eastAsia="仿宋_GB2312"/>
          <w:sz w:val="32"/>
          <w:szCs w:val="32"/>
        </w:rPr>
        <w:t>万元，占99.75%；上级补助收入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0.75</w:t>
      </w:r>
      <w:r>
        <w:rPr>
          <w:rFonts w:hint="eastAsia" w:ascii="仿宋_GB2312" w:eastAsia="仿宋_GB2312"/>
          <w:sz w:val="32"/>
          <w:szCs w:val="32"/>
        </w:rPr>
        <w:t>万元，占0.25%。</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年度本年支出313.56万元，其中：基本支出</w:t>
      </w:r>
      <w:r>
        <w:rPr>
          <w:rFonts w:ascii="仿宋_GB2312" w:eastAsia="仿宋_GB2312"/>
          <w:sz w:val="32"/>
          <w:szCs w:val="32"/>
        </w:rPr>
        <w:t>211.29</w:t>
      </w:r>
      <w:r>
        <w:rPr>
          <w:rFonts w:hint="eastAsia" w:ascii="仿宋_GB2312" w:eastAsia="仿宋_GB2312"/>
          <w:sz w:val="32"/>
          <w:szCs w:val="32"/>
        </w:rPr>
        <w:t>万元，占67.38%；项目支出</w:t>
      </w:r>
      <w:r>
        <w:rPr>
          <w:rFonts w:ascii="仿宋_GB2312" w:eastAsia="仿宋_GB2312"/>
          <w:sz w:val="32"/>
          <w:szCs w:val="32"/>
        </w:rPr>
        <w:t>102.27</w:t>
      </w:r>
      <w:r>
        <w:rPr>
          <w:rFonts w:hint="eastAsia" w:ascii="仿宋_GB2312" w:eastAsia="仿宋_GB2312"/>
          <w:sz w:val="32"/>
          <w:szCs w:val="32"/>
        </w:rPr>
        <w:t>万元，占32.62%；上缴上级支出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304.75万元，与上年相比，减少1.45万元，降低0.47%，主要原因是：2021年项目经费减少。财政拨款支出313.56万元，与上年相比，减少32.42万元，降低9.37%，主要原因是：严格控制支出，压减一般性支出。</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283.40</w:t>
      </w:r>
      <w:r>
        <w:rPr>
          <w:rFonts w:hint="eastAsia" w:ascii="仿宋_GB2312" w:eastAsia="仿宋_GB2312"/>
          <w:sz w:val="32"/>
          <w:szCs w:val="32"/>
        </w:rPr>
        <w:t>万元，决算数</w:t>
      </w:r>
      <w:r>
        <w:rPr>
          <w:rFonts w:ascii="仿宋_GB2312" w:eastAsia="仿宋_GB2312"/>
          <w:sz w:val="32"/>
          <w:szCs w:val="32"/>
        </w:rPr>
        <w:t>304.75</w:t>
      </w:r>
      <w:r>
        <w:rPr>
          <w:rFonts w:hint="eastAsia" w:ascii="仿宋_GB2312" w:eastAsia="仿宋_GB2312"/>
          <w:sz w:val="32"/>
          <w:szCs w:val="32"/>
        </w:rPr>
        <w:t>万元，预决算差异率</w:t>
      </w:r>
      <w:r>
        <w:rPr>
          <w:rFonts w:ascii="仿宋_GB2312" w:eastAsia="仿宋_GB2312"/>
          <w:sz w:val="32"/>
          <w:szCs w:val="32"/>
        </w:rPr>
        <w:t>7.53</w:t>
      </w:r>
      <w:r>
        <w:rPr>
          <w:rFonts w:hint="eastAsia" w:ascii="仿宋_GB2312" w:eastAsia="仿宋_GB2312"/>
          <w:sz w:val="32"/>
          <w:szCs w:val="32"/>
        </w:rPr>
        <w:t>%，主要原因是：年中追加绩效奖励金。财政拨款支出年初预算数</w:t>
      </w:r>
      <w:r>
        <w:rPr>
          <w:rFonts w:ascii="仿宋_GB2312" w:eastAsia="仿宋_GB2312"/>
          <w:sz w:val="32"/>
          <w:szCs w:val="32"/>
        </w:rPr>
        <w:t>283.40</w:t>
      </w:r>
      <w:r>
        <w:rPr>
          <w:rFonts w:hint="eastAsia" w:ascii="仿宋_GB2312" w:eastAsia="仿宋_GB2312"/>
          <w:sz w:val="32"/>
          <w:szCs w:val="32"/>
        </w:rPr>
        <w:t>万元，决算数</w:t>
      </w:r>
      <w:r>
        <w:rPr>
          <w:rFonts w:ascii="仿宋_GB2312" w:eastAsia="仿宋_GB2312"/>
          <w:sz w:val="32"/>
          <w:szCs w:val="32"/>
        </w:rPr>
        <w:t>313.56</w:t>
      </w:r>
      <w:r>
        <w:rPr>
          <w:rFonts w:hint="eastAsia" w:ascii="仿宋_GB2312" w:eastAsia="仿宋_GB2312"/>
          <w:sz w:val="32"/>
          <w:szCs w:val="32"/>
        </w:rPr>
        <w:t>万元，预决算差异率10.64%，主要原因是：年中追加绩效奖励金。</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年度一般公共预算财政拨款支出313.56万元。按功能分类科目项级科目公开，其中：</w:t>
      </w:r>
    </w:p>
    <w:p>
      <w:pPr>
        <w:jc w:val="left"/>
        <w:rPr>
          <w:rFonts w:ascii="仿宋_GB2312" w:eastAsia="仿宋_GB2312"/>
          <w:sz w:val="32"/>
          <w:szCs w:val="32"/>
        </w:rPr>
      </w:pPr>
      <w:bookmarkStart w:id="18" w:name="_Toc11146"/>
      <w:bookmarkStart w:id="19" w:name="_Toc30870"/>
      <w:r>
        <w:rPr>
          <w:rFonts w:ascii="仿宋_GB2312" w:eastAsia="仿宋_GB2312"/>
          <w:sz w:val="32"/>
          <w:szCs w:val="32"/>
        </w:rPr>
        <w:tab/>
      </w:r>
      <w:r>
        <w:rPr>
          <w:rFonts w:ascii="仿宋_GB2312" w:eastAsia="仿宋_GB2312"/>
          <w:sz w:val="32"/>
          <w:szCs w:val="32"/>
        </w:rPr>
        <w:t xml:space="preserve"> 2013650事业运行161.44万元；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2013699其他共产党事务支出102.27万元；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2080505机关事业单位基本养老保险缴费支出18.40万元；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2101102事业单位医疗9.93万元；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2101103公务员医疗补助7.72万元；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2210201住房公积金13.80万元。</w:t>
      </w:r>
    </w:p>
    <w:p>
      <w:pPr>
        <w:rPr>
          <w:rFonts w:ascii="仿宋_GB2312" w:eastAsia="仿宋_GB2312"/>
          <w:sz w:val="32"/>
          <w:szCs w:val="32"/>
        </w:rPr>
      </w:pPr>
      <w:r>
        <w:rPr>
          <w:rFonts w:ascii="仿宋_GB2312" w:eastAsia="仿宋_GB2312"/>
          <w:sz w:val="32"/>
          <w:szCs w:val="32"/>
        </w:rPr>
        <w:tab/>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211.29</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205.83</w:t>
      </w:r>
      <w:r>
        <w:rPr>
          <w:rFonts w:hint="eastAsia" w:ascii="仿宋_GB2312" w:eastAsia="仿宋_GB2312"/>
          <w:sz w:val="32"/>
          <w:szCs w:val="32"/>
        </w:rPr>
        <w:t>万元，包括：基本工资、津贴补贴、奖金、伙食补助费、绩效工资、机关事业单位基本养老保险缴费、职工基本医疗保险缴费、公务员医疗补助缴费、其他社会保障缴费、住房公积金、其他工资福利支出</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公用经费5.46万元，包括：办公费、邮电费、工会经费、福利费、公务用车运行维护费、其他商品和服务支出</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1.35万元，比上年增加1.07万元，增长382.14%，主要原因是：2020年因疫情原因，车辆运行减少，2021年恢复正常。其中：因公出国（境）费支出0.00万元，占0.00%，比上年增加0.00万元，增长0.00%，主要原因是：我单位无因公出国（境）费；公务用车购置及运行维护费支出1.35万元，占100.00%，比上年增加1.07万元，增长382.14%，主要原因是：2020年因疫情原因，车辆运行减少，2021年恢复正常；公务接待费支出0.00万元，占0.00%，比上年增加0.00万元，增长0.00%，主要原因是：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1.35</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1.35</w:t>
      </w:r>
      <w:r>
        <w:rPr>
          <w:rFonts w:hint="eastAsia" w:ascii="仿宋_GB2312" w:eastAsia="仿宋_GB2312"/>
          <w:sz w:val="32"/>
          <w:szCs w:val="32"/>
        </w:rPr>
        <w:t>万元。公务用车运行维护费开支内容包括：公务用车油料费、维修（护）费、保险费等。公务用车购置数</w:t>
      </w:r>
      <w:r>
        <w:rPr>
          <w:rFonts w:ascii="仿宋_GB2312" w:eastAsia="仿宋_GB2312"/>
          <w:sz w:val="32"/>
          <w:szCs w:val="32"/>
        </w:rPr>
        <w:t>0</w:t>
      </w:r>
      <w:r>
        <w:rPr>
          <w:rFonts w:hint="eastAsia" w:ascii="仿宋_GB2312" w:eastAsia="仿宋_GB2312"/>
          <w:sz w:val="32"/>
          <w:szCs w:val="32"/>
        </w:rPr>
        <w:t>辆，公务用车保有量</w:t>
      </w:r>
      <w:bookmarkStart w:id="54" w:name="_GoBack"/>
      <w:r>
        <w:rPr>
          <w:rFonts w:hint="eastAsia" w:ascii="仿宋_GB2312" w:eastAsia="仿宋_GB2312"/>
          <w:sz w:val="32"/>
          <w:szCs w:val="32"/>
        </w:rPr>
        <w:t>1</w:t>
      </w:r>
      <w:bookmarkEnd w:id="54"/>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与年初预算数相比情况：一般公共预算“三公”经费支出年初预算数1.43万元，决算数</w:t>
      </w:r>
      <w:r>
        <w:rPr>
          <w:rFonts w:ascii="仿宋_GB2312" w:eastAsia="仿宋_GB2312"/>
          <w:sz w:val="32"/>
          <w:szCs w:val="32"/>
        </w:rPr>
        <w:t>1.35</w:t>
      </w:r>
      <w:r>
        <w:rPr>
          <w:rFonts w:hint="eastAsia" w:ascii="仿宋_GB2312" w:eastAsia="仿宋_GB2312"/>
          <w:sz w:val="32"/>
          <w:szCs w:val="32"/>
        </w:rPr>
        <w:t>万元，预决算差异率-5.59%，主要原因是：严格“三公”经费管理，减少一般性支出。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预算数1.43万元，决算数1.35万元，预决算差异率-5.59%，主要原因是：因疫情影响，取消了部分公务用车活动；</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我单位本年度无政府性基金预算财政拨款收入支出，政府性基金预算财政拨款收入支出决算表为空表。</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2021年度新疆平安网信息中心（事业单位）公用经费支出5.46万元，比上年减少0.05万元，降低0.91%，主要原因是：严格控制支出，压减一般性支出。</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0.00</w:t>
      </w:r>
      <w:r>
        <w:rPr>
          <w:rFonts w:hint="eastAsia" w:ascii="仿宋_GB2312" w:eastAsia="仿宋_GB2312"/>
          <w:sz w:val="32"/>
          <w:szCs w:val="32"/>
        </w:rPr>
        <w:t>（平方米），价值</w:t>
      </w:r>
      <w:r>
        <w:rPr>
          <w:rFonts w:ascii="仿宋_GB2312" w:eastAsia="仿宋_GB2312"/>
          <w:sz w:val="32"/>
          <w:szCs w:val="32"/>
        </w:rPr>
        <w:t>0.00</w:t>
      </w:r>
      <w:r>
        <w:rPr>
          <w:rFonts w:hint="eastAsia" w:ascii="仿宋_GB2312" w:eastAsia="仿宋_GB2312"/>
          <w:sz w:val="32"/>
          <w:szCs w:val="32"/>
        </w:rPr>
        <w:t>万元。车辆</w:t>
      </w:r>
      <w:r>
        <w:rPr>
          <w:rFonts w:ascii="仿宋_GB2312" w:eastAsia="仿宋_GB2312"/>
          <w:sz w:val="32"/>
          <w:szCs w:val="32"/>
        </w:rPr>
        <w:t>0</w:t>
      </w:r>
      <w:r>
        <w:rPr>
          <w:rFonts w:hint="eastAsia" w:ascii="仿宋_GB2312" w:eastAsia="仿宋_GB2312"/>
          <w:sz w:val="32"/>
          <w:szCs w:val="32"/>
        </w:rPr>
        <w:t>辆，价值</w:t>
      </w:r>
      <w:r>
        <w:rPr>
          <w:rFonts w:ascii="仿宋_GB2312" w:eastAsia="仿宋_GB2312"/>
          <w:sz w:val="32"/>
          <w:szCs w:val="32"/>
        </w:rPr>
        <w:t>0.00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辆，其他用车主要是：我单位无其他用车；单位价值50万元以上通用设备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1个，共涉及资金100万元。预算绩效管理取得的成效：一是通过加强预算绩效管理各个环节的制度建设，进一步牢固树立“花钱必问效，无效必问责”的绩效管理理念，进一步明确绩效管理职责分工。二是通过加强绩效管理内部控制工作，规范权利运行、降低资金效益风险。三是通过加强绩效评价成果应用，压减项目支出，进一步促进各部门履职效果和资源配置正向关联。发现的问题及原因：一是预算管理制度流程尚需优化；二是绩效理念有待进一步提高。下一步改进措施：一是加强预算管理的业务学习，不断完善预算绩效管理内部控制制度，优化流程管理，梳理风险点，规范权力、职责运行；二是加强宣传培训，提升机关文化，进一步树立“讲绩效、重绩效、用绩效”的绩效管理理念。具体项目自评情况附项目支出绩效自评表。具体项目自评情况附项目支出绩效自评表。</w:t>
      </w:r>
    </w:p>
    <w:p>
      <w:pPr>
        <w:widowControl/>
        <w:jc w:val="left"/>
        <w:rPr>
          <w:rFonts w:ascii="仿宋_GB2312" w:hAnsi="宋体" w:eastAsia="仿宋_GB2312"/>
          <w:kern w:val="0"/>
          <w:sz w:val="32"/>
          <w:szCs w:val="32"/>
        </w:rPr>
      </w:pPr>
      <w:r>
        <w:rPr>
          <w:rFonts w:ascii="仿宋_GB2312" w:eastAsia="仿宋_GB2312"/>
          <w:sz w:val="32"/>
          <w:szCs w:val="32"/>
        </w:rPr>
        <w:br w:type="page"/>
      </w:r>
    </w:p>
    <w:tbl>
      <w:tblPr>
        <w:tblStyle w:val="10"/>
        <w:tblW w:w="9214" w:type="dxa"/>
        <w:tblInd w:w="108" w:type="dxa"/>
        <w:tblLayout w:type="autofit"/>
        <w:tblCellMar>
          <w:top w:w="0" w:type="dxa"/>
          <w:left w:w="108" w:type="dxa"/>
          <w:bottom w:w="0" w:type="dxa"/>
          <w:right w:w="108" w:type="dxa"/>
        </w:tblCellMar>
      </w:tblPr>
      <w:tblGrid>
        <w:gridCol w:w="426"/>
        <w:gridCol w:w="187"/>
        <w:gridCol w:w="380"/>
        <w:gridCol w:w="425"/>
        <w:gridCol w:w="850"/>
        <w:gridCol w:w="524"/>
        <w:gridCol w:w="1117"/>
        <w:gridCol w:w="202"/>
        <w:gridCol w:w="712"/>
        <w:gridCol w:w="282"/>
        <w:gridCol w:w="424"/>
        <w:gridCol w:w="486"/>
        <w:gridCol w:w="231"/>
        <w:gridCol w:w="417"/>
        <w:gridCol w:w="241"/>
        <w:gridCol w:w="771"/>
        <w:gridCol w:w="1539"/>
      </w:tblGrid>
      <w:tr>
        <w:tblPrEx>
          <w:tblCellMar>
            <w:top w:w="0" w:type="dxa"/>
            <w:left w:w="108" w:type="dxa"/>
            <w:bottom w:w="0" w:type="dxa"/>
            <w:right w:w="108" w:type="dxa"/>
          </w:tblCellMar>
        </w:tblPrEx>
        <w:trPr>
          <w:trHeight w:val="400" w:hRule="atLeast"/>
        </w:trPr>
        <w:tc>
          <w:tcPr>
            <w:tcW w:w="9214" w:type="dxa"/>
            <w:gridSpan w:val="17"/>
            <w:tcBorders>
              <w:top w:val="nil"/>
              <w:left w:val="nil"/>
              <w:bottom w:val="nil"/>
              <w:right w:val="nil"/>
            </w:tcBorders>
            <w:shd w:val="clear" w:color="auto" w:fill="auto"/>
            <w:vAlign w:val="center"/>
          </w:tcPr>
          <w:p>
            <w:pPr>
              <w:widowControl/>
              <w:jc w:val="center"/>
              <w:rPr>
                <w:b/>
                <w:bCs/>
                <w:color w:val="000000"/>
                <w:kern w:val="0"/>
                <w:sz w:val="32"/>
                <w:szCs w:val="32"/>
              </w:rPr>
            </w:pPr>
            <w:r>
              <w:rPr>
                <w:b/>
                <w:bCs/>
                <w:color w:val="000000"/>
                <w:kern w:val="0"/>
                <w:sz w:val="32"/>
                <w:szCs w:val="32"/>
              </w:rPr>
              <w:t>项目支出绩效自评表</w:t>
            </w:r>
          </w:p>
        </w:tc>
      </w:tr>
      <w:tr>
        <w:tblPrEx>
          <w:tblCellMar>
            <w:top w:w="0" w:type="dxa"/>
            <w:left w:w="108" w:type="dxa"/>
            <w:bottom w:w="0" w:type="dxa"/>
            <w:right w:w="108" w:type="dxa"/>
          </w:tblCellMar>
        </w:tblPrEx>
        <w:trPr>
          <w:trHeight w:val="403" w:hRule="atLeast"/>
        </w:trPr>
        <w:tc>
          <w:tcPr>
            <w:tcW w:w="9214" w:type="dxa"/>
            <w:gridSpan w:val="17"/>
            <w:tcBorders>
              <w:top w:val="nil"/>
              <w:left w:val="nil"/>
              <w:bottom w:val="nil"/>
              <w:right w:val="nil"/>
            </w:tcBorders>
            <w:shd w:val="clear" w:color="auto" w:fill="auto"/>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r>
              <w:rPr>
                <w:color w:val="000000"/>
                <w:kern w:val="0"/>
                <w:sz w:val="22"/>
                <w:szCs w:val="22"/>
              </w:rPr>
              <w:t>2021</w:t>
            </w:r>
            <w:r>
              <w:rPr>
                <w:rFonts w:hint="eastAsia" w:ascii="宋体" w:hAnsi="宋体" w:cs="宋体"/>
                <w:color w:val="000000"/>
                <w:kern w:val="0"/>
                <w:sz w:val="22"/>
                <w:szCs w:val="22"/>
              </w:rPr>
              <w:t>年度）</w:t>
            </w:r>
          </w:p>
        </w:tc>
      </w:tr>
      <w:tr>
        <w:tblPrEx>
          <w:tblCellMar>
            <w:top w:w="0" w:type="dxa"/>
            <w:left w:w="108" w:type="dxa"/>
            <w:bottom w:w="0" w:type="dxa"/>
            <w:right w:w="108" w:type="dxa"/>
          </w:tblCellMar>
        </w:tblPrEx>
        <w:trPr>
          <w:trHeight w:val="378" w:hRule="atLeast"/>
        </w:trPr>
        <w:tc>
          <w:tcPr>
            <w:tcW w:w="99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项目名称</w:t>
            </w:r>
          </w:p>
        </w:tc>
        <w:tc>
          <w:tcPr>
            <w:tcW w:w="8221" w:type="dxa"/>
            <w:gridSpan w:val="1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新疆平安网运行经费</w:t>
            </w:r>
          </w:p>
        </w:tc>
      </w:tr>
      <w:tr>
        <w:tblPrEx>
          <w:tblCellMar>
            <w:top w:w="0" w:type="dxa"/>
            <w:left w:w="108" w:type="dxa"/>
            <w:bottom w:w="0" w:type="dxa"/>
            <w:right w:w="108" w:type="dxa"/>
          </w:tblCellMar>
        </w:tblPrEx>
        <w:trPr>
          <w:trHeight w:val="270" w:hRule="atLeast"/>
        </w:trPr>
        <w:tc>
          <w:tcPr>
            <w:tcW w:w="99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主管部门</w:t>
            </w:r>
          </w:p>
        </w:tc>
        <w:tc>
          <w:tcPr>
            <w:tcW w:w="383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新疆维吾尔自治区党委政法委</w:t>
            </w:r>
          </w:p>
        </w:tc>
        <w:tc>
          <w:tcPr>
            <w:tcW w:w="1423"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实施单位</w:t>
            </w:r>
          </w:p>
        </w:tc>
        <w:tc>
          <w:tcPr>
            <w:tcW w:w="2968"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新疆平安网信息中心</w:t>
            </w:r>
          </w:p>
        </w:tc>
      </w:tr>
      <w:tr>
        <w:trPr>
          <w:trHeight w:val="403" w:hRule="atLeast"/>
        </w:trPr>
        <w:tc>
          <w:tcPr>
            <w:tcW w:w="993"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项目资金</w:t>
            </w:r>
            <w:r>
              <w:rPr>
                <w:rFonts w:hint="eastAsia" w:ascii="宋体" w:hAnsi="宋体"/>
                <w:color w:val="000000"/>
                <w:kern w:val="0"/>
                <w:sz w:val="18"/>
                <w:szCs w:val="18"/>
              </w:rPr>
              <w:br w:type="textWrapping"/>
            </w:r>
            <w:r>
              <w:rPr>
                <w:rFonts w:hint="eastAsia" w:ascii="宋体" w:hAnsi="宋体"/>
                <w:color w:val="000000"/>
                <w:kern w:val="0"/>
                <w:sz w:val="18"/>
                <w:szCs w:val="18"/>
              </w:rPr>
              <w:t>（万元）</w:t>
            </w:r>
          </w:p>
        </w:tc>
        <w:tc>
          <w:tcPr>
            <w:tcW w:w="1799"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1117"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年初预算数</w:t>
            </w:r>
          </w:p>
        </w:tc>
        <w:tc>
          <w:tcPr>
            <w:tcW w:w="91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color w:val="000000"/>
                <w:kern w:val="0"/>
                <w:sz w:val="18"/>
                <w:szCs w:val="18"/>
              </w:rPr>
            </w:pPr>
            <w:r>
              <w:rPr>
                <w:rFonts w:hint="eastAsia" w:ascii="宋体" w:hAnsi="宋体"/>
                <w:color w:val="000000"/>
                <w:kern w:val="0"/>
                <w:sz w:val="18"/>
                <w:szCs w:val="18"/>
              </w:rPr>
              <w:t>全年预算数</w:t>
            </w:r>
          </w:p>
        </w:tc>
        <w:tc>
          <w:tcPr>
            <w:tcW w:w="1423"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color w:val="000000"/>
                <w:kern w:val="0"/>
                <w:sz w:val="18"/>
                <w:szCs w:val="18"/>
              </w:rPr>
            </w:pPr>
            <w:r>
              <w:rPr>
                <w:color w:val="000000"/>
                <w:kern w:val="0"/>
                <w:sz w:val="18"/>
                <w:szCs w:val="18"/>
              </w:rPr>
              <w:t>全年执行数</w:t>
            </w:r>
          </w:p>
        </w:tc>
        <w:tc>
          <w:tcPr>
            <w:tcW w:w="658" w:type="dxa"/>
            <w:gridSpan w:val="2"/>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分值</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执行率</w:t>
            </w:r>
          </w:p>
        </w:tc>
        <w:tc>
          <w:tcPr>
            <w:tcW w:w="1539"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得分</w:t>
            </w:r>
          </w:p>
        </w:tc>
      </w:tr>
      <w:tr>
        <w:trPr>
          <w:trHeight w:val="403" w:hRule="atLeast"/>
        </w:trPr>
        <w:tc>
          <w:tcPr>
            <w:tcW w:w="993"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color w:val="000000"/>
                <w:kern w:val="0"/>
                <w:sz w:val="18"/>
                <w:szCs w:val="18"/>
              </w:rPr>
            </w:pPr>
          </w:p>
        </w:tc>
        <w:tc>
          <w:tcPr>
            <w:tcW w:w="1799"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年度资金总额</w:t>
            </w:r>
          </w:p>
        </w:tc>
        <w:tc>
          <w:tcPr>
            <w:tcW w:w="1117"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6"/>
                <w:szCs w:val="16"/>
              </w:rPr>
            </w:pPr>
            <w:r>
              <w:rPr>
                <w:color w:val="000000"/>
                <w:kern w:val="0"/>
                <w:sz w:val="16"/>
                <w:szCs w:val="16"/>
              </w:rPr>
              <w:t>100</w:t>
            </w:r>
          </w:p>
        </w:tc>
        <w:tc>
          <w:tcPr>
            <w:tcW w:w="914"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6"/>
                <w:szCs w:val="16"/>
              </w:rPr>
            </w:pPr>
            <w:r>
              <w:rPr>
                <w:color w:val="000000"/>
                <w:kern w:val="0"/>
                <w:sz w:val="16"/>
                <w:szCs w:val="16"/>
              </w:rPr>
              <w:t>100</w:t>
            </w:r>
          </w:p>
        </w:tc>
        <w:tc>
          <w:tcPr>
            <w:tcW w:w="1423"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93.46</w:t>
            </w:r>
          </w:p>
        </w:tc>
        <w:tc>
          <w:tcPr>
            <w:tcW w:w="658" w:type="dxa"/>
            <w:gridSpan w:val="2"/>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10</w:t>
            </w:r>
          </w:p>
        </w:tc>
        <w:tc>
          <w:tcPr>
            <w:tcW w:w="771"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93.46%</w:t>
            </w:r>
          </w:p>
        </w:tc>
        <w:tc>
          <w:tcPr>
            <w:tcW w:w="1539"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xml:space="preserve">9.35 </w:t>
            </w:r>
          </w:p>
        </w:tc>
      </w:tr>
      <w:tr>
        <w:trPr>
          <w:trHeight w:val="403" w:hRule="atLeast"/>
        </w:trPr>
        <w:tc>
          <w:tcPr>
            <w:tcW w:w="993"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color w:val="000000"/>
                <w:kern w:val="0"/>
                <w:sz w:val="18"/>
                <w:szCs w:val="18"/>
              </w:rPr>
            </w:pPr>
          </w:p>
        </w:tc>
        <w:tc>
          <w:tcPr>
            <w:tcW w:w="1799"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其中：当年财政拨款</w:t>
            </w:r>
          </w:p>
        </w:tc>
        <w:tc>
          <w:tcPr>
            <w:tcW w:w="1117"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6"/>
                <w:szCs w:val="16"/>
              </w:rPr>
            </w:pPr>
            <w:r>
              <w:rPr>
                <w:color w:val="000000"/>
                <w:kern w:val="0"/>
                <w:sz w:val="16"/>
                <w:szCs w:val="16"/>
              </w:rPr>
              <w:t>100</w:t>
            </w:r>
          </w:p>
        </w:tc>
        <w:tc>
          <w:tcPr>
            <w:tcW w:w="914"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6"/>
                <w:szCs w:val="16"/>
              </w:rPr>
            </w:pPr>
            <w:r>
              <w:rPr>
                <w:color w:val="000000"/>
                <w:kern w:val="0"/>
                <w:sz w:val="16"/>
                <w:szCs w:val="16"/>
              </w:rPr>
              <w:t>100</w:t>
            </w:r>
          </w:p>
        </w:tc>
        <w:tc>
          <w:tcPr>
            <w:tcW w:w="1423"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93.46</w:t>
            </w:r>
          </w:p>
        </w:tc>
        <w:tc>
          <w:tcPr>
            <w:tcW w:w="658" w:type="dxa"/>
            <w:gridSpan w:val="2"/>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w:t>
            </w:r>
          </w:p>
        </w:tc>
        <w:tc>
          <w:tcPr>
            <w:tcW w:w="771"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93.46%</w:t>
            </w:r>
          </w:p>
        </w:tc>
        <w:tc>
          <w:tcPr>
            <w:tcW w:w="1539"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w:t>
            </w:r>
          </w:p>
        </w:tc>
      </w:tr>
      <w:tr>
        <w:tblPrEx>
          <w:tblCellMar>
            <w:top w:w="0" w:type="dxa"/>
            <w:left w:w="108" w:type="dxa"/>
            <w:bottom w:w="0" w:type="dxa"/>
            <w:right w:w="108" w:type="dxa"/>
          </w:tblCellMar>
        </w:tblPrEx>
        <w:trPr>
          <w:trHeight w:val="336" w:hRule="atLeast"/>
        </w:trPr>
        <w:tc>
          <w:tcPr>
            <w:tcW w:w="993"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color w:val="000000"/>
                <w:kern w:val="0"/>
                <w:sz w:val="18"/>
                <w:szCs w:val="18"/>
              </w:rPr>
            </w:pPr>
          </w:p>
        </w:tc>
        <w:tc>
          <w:tcPr>
            <w:tcW w:w="1799"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上年结转资金</w:t>
            </w:r>
          </w:p>
        </w:tc>
        <w:tc>
          <w:tcPr>
            <w:tcW w:w="1117"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914"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1423"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658" w:type="dxa"/>
            <w:gridSpan w:val="2"/>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w:t>
            </w:r>
          </w:p>
        </w:tc>
        <w:tc>
          <w:tcPr>
            <w:tcW w:w="771"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1539"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w:t>
            </w:r>
          </w:p>
        </w:tc>
      </w:tr>
      <w:tr>
        <w:trPr>
          <w:trHeight w:val="283" w:hRule="atLeast"/>
        </w:trPr>
        <w:tc>
          <w:tcPr>
            <w:tcW w:w="993"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color w:val="000000"/>
                <w:kern w:val="0"/>
                <w:sz w:val="18"/>
                <w:szCs w:val="18"/>
              </w:rPr>
            </w:pPr>
          </w:p>
        </w:tc>
        <w:tc>
          <w:tcPr>
            <w:tcW w:w="1799"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其他资金</w:t>
            </w:r>
          </w:p>
        </w:tc>
        <w:tc>
          <w:tcPr>
            <w:tcW w:w="1117"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914"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1423"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658" w:type="dxa"/>
            <w:gridSpan w:val="2"/>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w:t>
            </w:r>
          </w:p>
        </w:tc>
        <w:tc>
          <w:tcPr>
            <w:tcW w:w="771"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1539"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w:t>
            </w:r>
          </w:p>
        </w:tc>
      </w:tr>
      <w:tr>
        <w:trPr>
          <w:trHeight w:val="375" w:hRule="atLeast"/>
        </w:trPr>
        <w:tc>
          <w:tcPr>
            <w:tcW w:w="613"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年度总体目标</w:t>
            </w:r>
          </w:p>
        </w:tc>
        <w:tc>
          <w:tcPr>
            <w:tcW w:w="4492"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预期目标</w:t>
            </w:r>
          </w:p>
        </w:tc>
        <w:tc>
          <w:tcPr>
            <w:tcW w:w="410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实际完成情况</w:t>
            </w:r>
          </w:p>
        </w:tc>
      </w:tr>
      <w:tr>
        <w:trPr>
          <w:trHeight w:val="1230" w:hRule="atLeast"/>
        </w:trPr>
        <w:tc>
          <w:tcPr>
            <w:tcW w:w="613" w:type="dxa"/>
            <w:gridSpan w:val="2"/>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2" w:type="dxa"/>
            <w:gridSpan w:val="8"/>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加强全疆政法信息宣传，扎实开展意识形态领域反分裂斗争教育。强化新闻纪律学习，加大培训教育力度，确保政法舆论阵地安全；不断增强政法宣传的传播力、引导力、影响力、公信力；加强队伍建设，建立健全员工绩效考核激励机制，确保政法宣传队伍人才辈出。</w:t>
            </w:r>
          </w:p>
        </w:tc>
        <w:tc>
          <w:tcPr>
            <w:tcW w:w="4109" w:type="dxa"/>
            <w:gridSpan w:val="7"/>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紧紧围绕《2021年全区政法宣传工作要点》，完成预期目标，持续深入抓好政法综治宣传，讲好政法故事，助力新疆法治与平安建设。同时，把握时代发展变化脉搏，守正创新，强化宣传阵地建设，做好政法工作宣传报道和舆论引导工作。</w:t>
            </w:r>
          </w:p>
        </w:tc>
      </w:tr>
      <w:tr>
        <w:tblPrEx>
          <w:tblCellMar>
            <w:top w:w="0" w:type="dxa"/>
            <w:left w:w="108" w:type="dxa"/>
            <w:bottom w:w="0" w:type="dxa"/>
            <w:right w:w="108" w:type="dxa"/>
          </w:tblCellMar>
        </w:tblPrEx>
        <w:trPr>
          <w:trHeight w:val="583" w:hRule="atLeast"/>
        </w:trPr>
        <w:tc>
          <w:tcPr>
            <w:tcW w:w="426"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绩效指标</w:t>
            </w:r>
          </w:p>
        </w:tc>
        <w:tc>
          <w:tcPr>
            <w:tcW w:w="992" w:type="dxa"/>
            <w:gridSpan w:val="3"/>
            <w:tcBorders>
              <w:top w:val="single" w:color="auto" w:sz="4" w:space="0"/>
              <w:left w:val="nil"/>
              <w:bottom w:val="nil"/>
              <w:right w:val="single" w:color="auto" w:sz="4" w:space="0"/>
            </w:tcBorders>
            <w:shd w:val="clear" w:color="auto" w:fill="auto"/>
            <w:vAlign w:val="center"/>
          </w:tcPr>
          <w:p>
            <w:pPr>
              <w:widowControl/>
              <w:jc w:val="center"/>
              <w:rPr>
                <w:rFonts w:hint="eastAsia"/>
                <w:color w:val="000000"/>
                <w:kern w:val="0"/>
                <w:sz w:val="18"/>
                <w:szCs w:val="18"/>
              </w:rPr>
            </w:pPr>
            <w:r>
              <w:rPr>
                <w:color w:val="000000"/>
                <w:kern w:val="0"/>
                <w:sz w:val="18"/>
                <w:szCs w:val="18"/>
              </w:rPr>
              <w:t>一级</w:t>
            </w:r>
          </w:p>
          <w:p>
            <w:pPr>
              <w:widowControl/>
              <w:jc w:val="center"/>
              <w:rPr>
                <w:color w:val="000000"/>
                <w:kern w:val="0"/>
                <w:sz w:val="18"/>
                <w:szCs w:val="18"/>
              </w:rPr>
            </w:pPr>
            <w:r>
              <w:rPr>
                <w:color w:val="000000"/>
                <w:kern w:val="0"/>
                <w:sz w:val="18"/>
                <w:szCs w:val="18"/>
              </w:rPr>
              <w:t>指标</w:t>
            </w:r>
          </w:p>
        </w:tc>
        <w:tc>
          <w:tcPr>
            <w:tcW w:w="850" w:type="dxa"/>
            <w:tcBorders>
              <w:top w:val="single" w:color="auto" w:sz="4" w:space="0"/>
              <w:left w:val="nil"/>
              <w:bottom w:val="nil"/>
              <w:right w:val="single" w:color="auto" w:sz="4" w:space="0"/>
            </w:tcBorders>
            <w:shd w:val="clear" w:color="auto" w:fill="auto"/>
            <w:vAlign w:val="center"/>
          </w:tcPr>
          <w:p>
            <w:pPr>
              <w:widowControl/>
              <w:spacing w:line="240" w:lineRule="exact"/>
              <w:jc w:val="center"/>
              <w:rPr>
                <w:rFonts w:hint="eastAsia"/>
                <w:color w:val="000000"/>
                <w:kern w:val="0"/>
                <w:sz w:val="18"/>
                <w:szCs w:val="18"/>
              </w:rPr>
            </w:pPr>
            <w:r>
              <w:rPr>
                <w:color w:val="000000"/>
                <w:kern w:val="0"/>
                <w:sz w:val="18"/>
                <w:szCs w:val="18"/>
              </w:rPr>
              <w:t>二级</w:t>
            </w:r>
          </w:p>
          <w:p>
            <w:pPr>
              <w:widowControl/>
              <w:spacing w:line="240" w:lineRule="exact"/>
              <w:jc w:val="center"/>
              <w:rPr>
                <w:color w:val="000000"/>
                <w:kern w:val="0"/>
                <w:sz w:val="18"/>
                <w:szCs w:val="18"/>
              </w:rPr>
            </w:pPr>
            <w:r>
              <w:rPr>
                <w:color w:val="000000"/>
                <w:kern w:val="0"/>
                <w:sz w:val="18"/>
                <w:szCs w:val="18"/>
              </w:rPr>
              <w:t>指标</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center"/>
              <w:rPr>
                <w:color w:val="000000"/>
                <w:kern w:val="0"/>
                <w:sz w:val="18"/>
                <w:szCs w:val="18"/>
              </w:rPr>
            </w:pPr>
            <w:r>
              <w:rPr>
                <w:color w:val="000000"/>
                <w:kern w:val="0"/>
                <w:sz w:val="18"/>
                <w:szCs w:val="18"/>
              </w:rPr>
              <w:t>三级指标</w:t>
            </w:r>
          </w:p>
        </w:tc>
        <w:tc>
          <w:tcPr>
            <w:tcW w:w="712" w:type="dxa"/>
            <w:tcBorders>
              <w:top w:val="nil"/>
              <w:left w:val="nil"/>
              <w:bottom w:val="nil"/>
              <w:right w:val="single" w:color="auto" w:sz="4" w:space="0"/>
            </w:tcBorders>
            <w:shd w:val="clear" w:color="auto" w:fill="auto"/>
            <w:vAlign w:val="center"/>
          </w:tcPr>
          <w:p>
            <w:pPr>
              <w:widowControl/>
              <w:spacing w:line="240" w:lineRule="exact"/>
              <w:jc w:val="center"/>
              <w:rPr>
                <w:rFonts w:hint="eastAsia" w:ascii="宋体" w:hAnsi="宋体"/>
                <w:color w:val="000000"/>
                <w:spacing w:val="-10"/>
                <w:kern w:val="0"/>
                <w:sz w:val="18"/>
                <w:szCs w:val="18"/>
              </w:rPr>
            </w:pPr>
            <w:r>
              <w:rPr>
                <w:rFonts w:hint="eastAsia" w:ascii="宋体" w:hAnsi="宋体"/>
                <w:color w:val="000000"/>
                <w:spacing w:val="-10"/>
                <w:kern w:val="0"/>
                <w:sz w:val="18"/>
                <w:szCs w:val="18"/>
              </w:rPr>
              <w:t>年度</w:t>
            </w:r>
          </w:p>
          <w:p>
            <w:pPr>
              <w:widowControl/>
              <w:spacing w:line="240" w:lineRule="exact"/>
              <w:jc w:val="center"/>
              <w:rPr>
                <w:color w:val="000000"/>
                <w:kern w:val="0"/>
                <w:sz w:val="18"/>
                <w:szCs w:val="18"/>
              </w:rPr>
            </w:pPr>
            <w:r>
              <w:rPr>
                <w:rFonts w:hint="eastAsia" w:ascii="宋体" w:hAnsi="宋体"/>
                <w:color w:val="000000"/>
                <w:spacing w:val="-10"/>
                <w:kern w:val="0"/>
                <w:sz w:val="18"/>
                <w:szCs w:val="18"/>
              </w:rPr>
              <w:t>指标值</w:t>
            </w:r>
          </w:p>
        </w:tc>
        <w:tc>
          <w:tcPr>
            <w:tcW w:w="706"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olor w:val="000000"/>
                <w:spacing w:val="-10"/>
                <w:kern w:val="0"/>
                <w:sz w:val="18"/>
                <w:szCs w:val="18"/>
              </w:rPr>
            </w:pPr>
            <w:r>
              <w:rPr>
                <w:rFonts w:hint="eastAsia" w:ascii="宋体" w:hAnsi="宋体"/>
                <w:color w:val="000000"/>
                <w:spacing w:val="-10"/>
                <w:kern w:val="0"/>
                <w:sz w:val="18"/>
                <w:szCs w:val="18"/>
              </w:rPr>
              <w:t>实际</w:t>
            </w:r>
          </w:p>
          <w:p>
            <w:pPr>
              <w:widowControl/>
              <w:spacing w:line="240" w:lineRule="exact"/>
              <w:jc w:val="center"/>
              <w:rPr>
                <w:color w:val="000000"/>
                <w:kern w:val="0"/>
                <w:sz w:val="18"/>
                <w:szCs w:val="18"/>
              </w:rPr>
            </w:pPr>
            <w:r>
              <w:rPr>
                <w:rFonts w:hint="eastAsia" w:ascii="宋体" w:hAnsi="宋体"/>
                <w:color w:val="000000"/>
                <w:spacing w:val="-10"/>
                <w:kern w:val="0"/>
                <w:sz w:val="18"/>
                <w:szCs w:val="18"/>
              </w:rPr>
              <w:t>完成值</w:t>
            </w:r>
          </w:p>
        </w:tc>
        <w:tc>
          <w:tcPr>
            <w:tcW w:w="486" w:type="dxa"/>
            <w:tcBorders>
              <w:top w:val="single" w:color="auto" w:sz="4" w:space="0"/>
              <w:left w:val="nil"/>
              <w:bottom w:val="nil"/>
              <w:right w:val="nil"/>
            </w:tcBorders>
            <w:shd w:val="clear" w:color="auto" w:fill="auto"/>
            <w:vAlign w:val="center"/>
          </w:tcPr>
          <w:p>
            <w:pPr>
              <w:widowControl/>
              <w:spacing w:line="240" w:lineRule="exact"/>
              <w:jc w:val="center"/>
              <w:rPr>
                <w:color w:val="000000"/>
                <w:kern w:val="0"/>
                <w:sz w:val="18"/>
                <w:szCs w:val="18"/>
              </w:rPr>
            </w:pPr>
            <w:r>
              <w:rPr>
                <w:color w:val="000000"/>
                <w:kern w:val="0"/>
                <w:sz w:val="18"/>
                <w:szCs w:val="18"/>
              </w:rPr>
              <w:t>分值</w:t>
            </w:r>
          </w:p>
        </w:tc>
        <w:tc>
          <w:tcPr>
            <w:tcW w:w="648" w:type="dxa"/>
            <w:gridSpan w:val="2"/>
            <w:tcBorders>
              <w:top w:val="single" w:color="auto" w:sz="4" w:space="0"/>
              <w:left w:val="single" w:color="auto" w:sz="4" w:space="0"/>
              <w:bottom w:val="nil"/>
              <w:right w:val="nil"/>
            </w:tcBorders>
            <w:shd w:val="clear" w:color="auto" w:fill="auto"/>
            <w:vAlign w:val="center"/>
          </w:tcPr>
          <w:p>
            <w:pPr>
              <w:widowControl/>
              <w:spacing w:line="240" w:lineRule="exact"/>
              <w:jc w:val="center"/>
              <w:rPr>
                <w:color w:val="000000"/>
                <w:kern w:val="0"/>
                <w:sz w:val="18"/>
                <w:szCs w:val="18"/>
              </w:rPr>
            </w:pPr>
            <w:r>
              <w:rPr>
                <w:color w:val="000000"/>
                <w:kern w:val="0"/>
                <w:sz w:val="18"/>
                <w:szCs w:val="18"/>
              </w:rPr>
              <w:t>得分</w:t>
            </w:r>
          </w:p>
        </w:tc>
        <w:tc>
          <w:tcPr>
            <w:tcW w:w="2551"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40" w:lineRule="exact"/>
              <w:jc w:val="center"/>
              <w:rPr>
                <w:rFonts w:hint="eastAsia"/>
                <w:color w:val="000000"/>
                <w:kern w:val="0"/>
                <w:sz w:val="18"/>
                <w:szCs w:val="18"/>
              </w:rPr>
            </w:pPr>
            <w:r>
              <w:rPr>
                <w:color w:val="000000"/>
                <w:kern w:val="0"/>
                <w:sz w:val="18"/>
                <w:szCs w:val="18"/>
              </w:rPr>
              <w:t>偏差原因分析及</w:t>
            </w:r>
          </w:p>
          <w:p>
            <w:pPr>
              <w:widowControl/>
              <w:spacing w:line="240" w:lineRule="exact"/>
              <w:jc w:val="center"/>
              <w:rPr>
                <w:color w:val="000000"/>
                <w:kern w:val="0"/>
                <w:sz w:val="18"/>
                <w:szCs w:val="18"/>
              </w:rPr>
            </w:pPr>
            <w:r>
              <w:rPr>
                <w:color w:val="000000"/>
                <w:kern w:val="0"/>
                <w:sz w:val="18"/>
                <w:szCs w:val="18"/>
              </w:rPr>
              <w:t>改进措施</w:t>
            </w:r>
          </w:p>
        </w:tc>
      </w:tr>
      <w:tr>
        <w:trPr>
          <w:trHeight w:val="403" w:hRule="atLeast"/>
        </w:trPr>
        <w:tc>
          <w:tcPr>
            <w:tcW w:w="426"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9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产出指标</w:t>
            </w:r>
            <w:r>
              <w:rPr>
                <w:rFonts w:hint="eastAsia" w:ascii="宋体" w:hAnsi="宋体"/>
                <w:color w:val="000000"/>
                <w:kern w:val="0"/>
                <w:sz w:val="18"/>
                <w:szCs w:val="18"/>
                <w:u w:val="single"/>
              </w:rPr>
              <w:t>（</w:t>
            </w:r>
            <w:r>
              <w:rPr>
                <w:color w:val="000000"/>
                <w:kern w:val="0"/>
                <w:sz w:val="18"/>
                <w:szCs w:val="18"/>
                <w:u w:val="single"/>
              </w:rPr>
              <w:t>50%</w:t>
            </w:r>
            <w:r>
              <w:rPr>
                <w:rFonts w:hint="eastAsia" w:ascii="宋体" w:hAnsi="宋体"/>
                <w:color w:val="000000"/>
                <w:kern w:val="0"/>
                <w:sz w:val="18"/>
                <w:szCs w:val="18"/>
                <w:u w:val="single"/>
              </w:rPr>
              <w:t>）</w:t>
            </w:r>
          </w:p>
        </w:tc>
        <w:tc>
          <w:tcPr>
            <w:tcW w:w="85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kern w:val="0"/>
                <w:sz w:val="18"/>
                <w:szCs w:val="18"/>
              </w:rPr>
            </w:pPr>
            <w:r>
              <w:rPr>
                <w:rFonts w:hint="eastAsia" w:ascii="宋体" w:hAnsi="宋体"/>
                <w:kern w:val="0"/>
                <w:sz w:val="18"/>
                <w:szCs w:val="18"/>
              </w:rPr>
              <w:t>数量</w:t>
            </w:r>
          </w:p>
          <w:p>
            <w:pPr>
              <w:widowControl/>
              <w:jc w:val="center"/>
              <w:rPr>
                <w:kern w:val="0"/>
                <w:sz w:val="18"/>
                <w:szCs w:val="18"/>
              </w:rPr>
            </w:pPr>
            <w:r>
              <w:rPr>
                <w:rFonts w:hint="eastAsia" w:ascii="宋体" w:hAnsi="宋体"/>
                <w:kern w:val="0"/>
                <w:sz w:val="18"/>
                <w:szCs w:val="18"/>
              </w:rPr>
              <w:t>指标</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微信、微博关注度（万人）</w:t>
            </w:r>
          </w:p>
        </w:tc>
        <w:tc>
          <w:tcPr>
            <w:tcW w:w="712" w:type="dxa"/>
            <w:tcBorders>
              <w:top w:val="single" w:color="auto" w:sz="4" w:space="0"/>
              <w:left w:val="nil"/>
              <w:bottom w:val="single" w:color="auto" w:sz="4" w:space="0"/>
              <w:right w:val="nil"/>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≥22万人</w:t>
            </w:r>
          </w:p>
        </w:tc>
        <w:tc>
          <w:tcPr>
            <w:tcW w:w="706"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26</w:t>
            </w:r>
          </w:p>
        </w:tc>
        <w:tc>
          <w:tcPr>
            <w:tcW w:w="486" w:type="dxa"/>
            <w:tcBorders>
              <w:top w:val="single" w:color="auto" w:sz="4" w:space="0"/>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5</w:t>
            </w:r>
          </w:p>
        </w:tc>
        <w:tc>
          <w:tcPr>
            <w:tcW w:w="6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xml:space="preserve">5.00 </w:t>
            </w:r>
          </w:p>
        </w:tc>
        <w:tc>
          <w:tcPr>
            <w:tcW w:w="2551"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rPr>
          <w:trHeight w:val="403" w:hRule="atLeast"/>
        </w:trPr>
        <w:tc>
          <w:tcPr>
            <w:tcW w:w="426"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9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85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kern w:val="0"/>
                <w:sz w:val="18"/>
                <w:szCs w:val="18"/>
              </w:rPr>
            </w:pP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视频点击量过百万作品（部）</w:t>
            </w:r>
          </w:p>
        </w:tc>
        <w:tc>
          <w:tcPr>
            <w:tcW w:w="712" w:type="dxa"/>
            <w:tcBorders>
              <w:top w:val="nil"/>
              <w:left w:val="nil"/>
              <w:bottom w:val="single" w:color="auto" w:sz="4" w:space="0"/>
              <w:right w:val="nil"/>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2部</w:t>
            </w:r>
          </w:p>
        </w:tc>
        <w:tc>
          <w:tcPr>
            <w:tcW w:w="706"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11</w:t>
            </w:r>
          </w:p>
        </w:tc>
        <w:tc>
          <w:tcPr>
            <w:tcW w:w="486" w:type="dxa"/>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5</w:t>
            </w:r>
          </w:p>
        </w:tc>
        <w:tc>
          <w:tcPr>
            <w:tcW w:w="648"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xml:space="preserve">5.00 </w:t>
            </w:r>
          </w:p>
        </w:tc>
        <w:tc>
          <w:tcPr>
            <w:tcW w:w="2551"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rPr>
          <w:trHeight w:val="1004" w:hRule="atLeast"/>
        </w:trPr>
        <w:tc>
          <w:tcPr>
            <w:tcW w:w="426"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9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85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kern w:val="0"/>
                <w:sz w:val="18"/>
                <w:szCs w:val="18"/>
              </w:rPr>
            </w:pP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编发稿件数量（条）</w:t>
            </w:r>
          </w:p>
        </w:tc>
        <w:tc>
          <w:tcPr>
            <w:tcW w:w="712" w:type="dxa"/>
            <w:tcBorders>
              <w:top w:val="nil"/>
              <w:left w:val="nil"/>
              <w:bottom w:val="single" w:color="auto" w:sz="4" w:space="0"/>
              <w:right w:val="nil"/>
            </w:tcBorders>
            <w:shd w:val="clear" w:color="auto" w:fill="auto"/>
            <w:vAlign w:val="center"/>
          </w:tcPr>
          <w:p>
            <w:pPr>
              <w:widowControl/>
              <w:jc w:val="center"/>
              <w:rPr>
                <w:kern w:val="0"/>
                <w:sz w:val="18"/>
                <w:szCs w:val="18"/>
              </w:rPr>
            </w:pPr>
            <w:r>
              <w:rPr>
                <w:kern w:val="0"/>
                <w:sz w:val="18"/>
                <w:szCs w:val="18"/>
              </w:rPr>
              <w:t>≥2</w:t>
            </w:r>
            <w:r>
              <w:rPr>
                <w:rFonts w:hint="eastAsia"/>
                <w:kern w:val="0"/>
                <w:sz w:val="18"/>
                <w:szCs w:val="18"/>
              </w:rPr>
              <w:t>万</w:t>
            </w:r>
            <w:r>
              <w:rPr>
                <w:kern w:val="0"/>
                <w:sz w:val="18"/>
                <w:szCs w:val="18"/>
              </w:rPr>
              <w:t>条</w:t>
            </w:r>
          </w:p>
        </w:tc>
        <w:tc>
          <w:tcPr>
            <w:tcW w:w="706"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16000</w:t>
            </w:r>
          </w:p>
        </w:tc>
        <w:tc>
          <w:tcPr>
            <w:tcW w:w="486" w:type="dxa"/>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5</w:t>
            </w:r>
          </w:p>
        </w:tc>
        <w:tc>
          <w:tcPr>
            <w:tcW w:w="648"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xml:space="preserve">4.00 </w:t>
            </w:r>
          </w:p>
        </w:tc>
        <w:tc>
          <w:tcPr>
            <w:tcW w:w="2551"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color w:val="000000"/>
                <w:kern w:val="0"/>
                <w:sz w:val="18"/>
                <w:szCs w:val="18"/>
              </w:rPr>
            </w:pPr>
            <w:r>
              <w:rPr>
                <w:rFonts w:hint="eastAsia" w:ascii="宋体" w:hAnsi="宋体"/>
                <w:color w:val="000000"/>
                <w:kern w:val="0"/>
                <w:sz w:val="18"/>
                <w:szCs w:val="18"/>
              </w:rPr>
              <w:t>年初</w:t>
            </w:r>
            <w:r>
              <w:rPr>
                <w:color w:val="000000"/>
                <w:kern w:val="0"/>
                <w:sz w:val="18"/>
                <w:szCs w:val="18"/>
              </w:rPr>
              <w:t>3</w:t>
            </w:r>
            <w:r>
              <w:rPr>
                <w:rFonts w:hint="eastAsia" w:ascii="宋体" w:hAnsi="宋体"/>
                <w:color w:val="000000"/>
                <w:kern w:val="0"/>
                <w:sz w:val="18"/>
                <w:szCs w:val="18"/>
              </w:rPr>
              <w:t>名聘用采编人员离职，造成编发稿件数下降。加强采编人员管理，科学、合理制定工作量及考核办法。</w:t>
            </w:r>
          </w:p>
        </w:tc>
      </w:tr>
      <w:tr>
        <w:trPr>
          <w:trHeight w:val="365" w:hRule="atLeast"/>
        </w:trPr>
        <w:tc>
          <w:tcPr>
            <w:tcW w:w="426"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9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85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成本</w:t>
            </w:r>
          </w:p>
          <w:p>
            <w:pPr>
              <w:widowControl/>
              <w:jc w:val="center"/>
              <w:rPr>
                <w:rFonts w:ascii="宋体" w:hAnsi="宋体" w:cs="宋体"/>
                <w:kern w:val="0"/>
                <w:sz w:val="18"/>
                <w:szCs w:val="18"/>
              </w:rPr>
            </w:pPr>
            <w:r>
              <w:rPr>
                <w:rFonts w:hint="eastAsia" w:ascii="宋体" w:hAnsi="宋体" w:cs="宋体"/>
                <w:kern w:val="0"/>
                <w:sz w:val="18"/>
                <w:szCs w:val="18"/>
              </w:rPr>
              <w:t>指标</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网站运行支出</w:t>
            </w:r>
          </w:p>
        </w:tc>
        <w:tc>
          <w:tcPr>
            <w:tcW w:w="712" w:type="dxa"/>
            <w:tcBorders>
              <w:top w:val="nil"/>
              <w:left w:val="nil"/>
              <w:bottom w:val="single" w:color="auto" w:sz="4" w:space="0"/>
              <w:right w:val="nil"/>
            </w:tcBorders>
            <w:shd w:val="clear" w:color="auto" w:fill="auto"/>
            <w:vAlign w:val="center"/>
          </w:tcPr>
          <w:p>
            <w:pPr>
              <w:widowControl/>
              <w:jc w:val="center"/>
              <w:rPr>
                <w:kern w:val="0"/>
                <w:sz w:val="18"/>
                <w:szCs w:val="18"/>
              </w:rPr>
            </w:pPr>
            <w:r>
              <w:rPr>
                <w:kern w:val="0"/>
                <w:sz w:val="18"/>
                <w:szCs w:val="18"/>
              </w:rPr>
              <w:t>25万元</w:t>
            </w:r>
          </w:p>
        </w:tc>
        <w:tc>
          <w:tcPr>
            <w:tcW w:w="706"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24.6</w:t>
            </w:r>
          </w:p>
        </w:tc>
        <w:tc>
          <w:tcPr>
            <w:tcW w:w="486" w:type="dxa"/>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7</w:t>
            </w:r>
          </w:p>
        </w:tc>
        <w:tc>
          <w:tcPr>
            <w:tcW w:w="648"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xml:space="preserve">6.89 </w:t>
            </w:r>
          </w:p>
        </w:tc>
        <w:tc>
          <w:tcPr>
            <w:tcW w:w="2551"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实际发生额低于预算。加强市场调研，做好精准预算。</w:t>
            </w:r>
          </w:p>
        </w:tc>
      </w:tr>
      <w:tr>
        <w:trPr>
          <w:trHeight w:val="1030" w:hRule="atLeast"/>
        </w:trPr>
        <w:tc>
          <w:tcPr>
            <w:tcW w:w="426"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9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人员劳务支出</w:t>
            </w:r>
          </w:p>
        </w:tc>
        <w:tc>
          <w:tcPr>
            <w:tcW w:w="712"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60万元</w:t>
            </w:r>
          </w:p>
        </w:tc>
        <w:tc>
          <w:tcPr>
            <w:tcW w:w="706"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53.4</w:t>
            </w:r>
          </w:p>
        </w:tc>
        <w:tc>
          <w:tcPr>
            <w:tcW w:w="486" w:type="dxa"/>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7</w:t>
            </w:r>
          </w:p>
        </w:tc>
        <w:tc>
          <w:tcPr>
            <w:tcW w:w="648"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xml:space="preserve">6.23 </w:t>
            </w:r>
          </w:p>
        </w:tc>
        <w:tc>
          <w:tcPr>
            <w:tcW w:w="2551"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3名聘用人员年初离职。加强制度建设，逐步建立人员绩效奖励办法，为新疆平安网信息中心创造干事创业的环境。</w:t>
            </w:r>
          </w:p>
        </w:tc>
      </w:tr>
      <w:tr>
        <w:trPr>
          <w:trHeight w:val="575" w:hRule="atLeast"/>
        </w:trPr>
        <w:tc>
          <w:tcPr>
            <w:tcW w:w="426"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9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其他业务支出</w:t>
            </w:r>
          </w:p>
        </w:tc>
        <w:tc>
          <w:tcPr>
            <w:tcW w:w="712" w:type="dxa"/>
            <w:tcBorders>
              <w:top w:val="nil"/>
              <w:left w:val="nil"/>
              <w:bottom w:val="single" w:color="auto" w:sz="4" w:space="0"/>
              <w:right w:val="nil"/>
            </w:tcBorders>
            <w:shd w:val="clear" w:color="auto" w:fill="auto"/>
            <w:vAlign w:val="center"/>
          </w:tcPr>
          <w:p>
            <w:pPr>
              <w:widowControl/>
              <w:jc w:val="center"/>
              <w:rPr>
                <w:kern w:val="0"/>
                <w:sz w:val="18"/>
                <w:szCs w:val="18"/>
              </w:rPr>
            </w:pPr>
            <w:r>
              <w:rPr>
                <w:kern w:val="0"/>
                <w:sz w:val="18"/>
                <w:szCs w:val="18"/>
              </w:rPr>
              <w:t>15万元</w:t>
            </w:r>
          </w:p>
        </w:tc>
        <w:tc>
          <w:tcPr>
            <w:tcW w:w="706"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14.56</w:t>
            </w:r>
          </w:p>
        </w:tc>
        <w:tc>
          <w:tcPr>
            <w:tcW w:w="486" w:type="dxa"/>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7</w:t>
            </w:r>
          </w:p>
        </w:tc>
        <w:tc>
          <w:tcPr>
            <w:tcW w:w="648"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xml:space="preserve">6.79 </w:t>
            </w:r>
          </w:p>
        </w:tc>
        <w:tc>
          <w:tcPr>
            <w:tcW w:w="2551"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实际发生额低于预算。加强市场调研，做好精准预算。</w:t>
            </w:r>
          </w:p>
        </w:tc>
      </w:tr>
      <w:tr>
        <w:trPr>
          <w:trHeight w:val="480" w:hRule="atLeast"/>
        </w:trPr>
        <w:tc>
          <w:tcPr>
            <w:tcW w:w="426"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9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85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质量</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原创稿件占全部发表稿件的比率（%）</w:t>
            </w:r>
          </w:p>
        </w:tc>
        <w:tc>
          <w:tcPr>
            <w:tcW w:w="712"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706"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50%</w:t>
            </w:r>
          </w:p>
        </w:tc>
        <w:tc>
          <w:tcPr>
            <w:tcW w:w="486" w:type="dxa"/>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5</w:t>
            </w:r>
          </w:p>
        </w:tc>
        <w:tc>
          <w:tcPr>
            <w:tcW w:w="648"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xml:space="preserve">5.00 </w:t>
            </w:r>
          </w:p>
        </w:tc>
        <w:tc>
          <w:tcPr>
            <w:tcW w:w="2551"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rPr>
          <w:trHeight w:val="480" w:hRule="atLeast"/>
        </w:trPr>
        <w:tc>
          <w:tcPr>
            <w:tcW w:w="426"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9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85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采编稿件优秀作品增长率（%）</w:t>
            </w:r>
          </w:p>
        </w:tc>
        <w:tc>
          <w:tcPr>
            <w:tcW w:w="712" w:type="dxa"/>
            <w:tcBorders>
              <w:top w:val="nil"/>
              <w:left w:val="nil"/>
              <w:bottom w:val="single" w:color="auto" w:sz="4" w:space="0"/>
              <w:right w:val="nil"/>
            </w:tcBorders>
            <w:shd w:val="clear" w:color="auto" w:fill="auto"/>
            <w:vAlign w:val="center"/>
          </w:tcPr>
          <w:p>
            <w:pPr>
              <w:widowControl/>
              <w:jc w:val="center"/>
              <w:rPr>
                <w:kern w:val="0"/>
                <w:sz w:val="18"/>
                <w:szCs w:val="18"/>
              </w:rPr>
            </w:pPr>
            <w:r>
              <w:rPr>
                <w:kern w:val="0"/>
                <w:sz w:val="18"/>
                <w:szCs w:val="18"/>
              </w:rPr>
              <w:t>≥10%</w:t>
            </w:r>
          </w:p>
        </w:tc>
        <w:tc>
          <w:tcPr>
            <w:tcW w:w="706"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15%</w:t>
            </w:r>
          </w:p>
        </w:tc>
        <w:tc>
          <w:tcPr>
            <w:tcW w:w="486" w:type="dxa"/>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4</w:t>
            </w:r>
          </w:p>
        </w:tc>
        <w:tc>
          <w:tcPr>
            <w:tcW w:w="648"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xml:space="preserve">4.00 </w:t>
            </w:r>
          </w:p>
        </w:tc>
        <w:tc>
          <w:tcPr>
            <w:tcW w:w="2551"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rPr>
          <w:trHeight w:val="403" w:hRule="atLeast"/>
        </w:trPr>
        <w:tc>
          <w:tcPr>
            <w:tcW w:w="426"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9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kern w:val="0"/>
                <w:sz w:val="18"/>
                <w:szCs w:val="18"/>
              </w:rPr>
            </w:pPr>
            <w:r>
              <w:rPr>
                <w:rFonts w:hint="eastAsia" w:ascii="宋体" w:hAnsi="宋体"/>
                <w:kern w:val="0"/>
                <w:sz w:val="18"/>
                <w:szCs w:val="18"/>
              </w:rPr>
              <w:t>时效</w:t>
            </w:r>
          </w:p>
          <w:p>
            <w:pPr>
              <w:widowControl/>
              <w:spacing w:line="240" w:lineRule="exact"/>
              <w:jc w:val="center"/>
              <w:rPr>
                <w:kern w:val="0"/>
                <w:sz w:val="18"/>
                <w:szCs w:val="18"/>
              </w:rPr>
            </w:pPr>
            <w:r>
              <w:rPr>
                <w:rFonts w:hint="eastAsia" w:ascii="宋体" w:hAnsi="宋体"/>
                <w:kern w:val="0"/>
                <w:sz w:val="18"/>
                <w:szCs w:val="18"/>
              </w:rPr>
              <w:t>指标</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年度任务按时完成率</w:t>
            </w:r>
          </w:p>
        </w:tc>
        <w:tc>
          <w:tcPr>
            <w:tcW w:w="712" w:type="dxa"/>
            <w:tcBorders>
              <w:top w:val="nil"/>
              <w:left w:val="nil"/>
              <w:bottom w:val="single" w:color="auto" w:sz="4" w:space="0"/>
              <w:right w:val="nil"/>
            </w:tcBorders>
            <w:shd w:val="clear" w:color="auto" w:fill="auto"/>
            <w:vAlign w:val="center"/>
          </w:tcPr>
          <w:p>
            <w:pPr>
              <w:widowControl/>
              <w:jc w:val="center"/>
              <w:rPr>
                <w:kern w:val="0"/>
                <w:sz w:val="18"/>
                <w:szCs w:val="18"/>
              </w:rPr>
            </w:pPr>
            <w:r>
              <w:rPr>
                <w:kern w:val="0"/>
                <w:sz w:val="18"/>
                <w:szCs w:val="18"/>
              </w:rPr>
              <w:t>≥99%</w:t>
            </w:r>
          </w:p>
        </w:tc>
        <w:tc>
          <w:tcPr>
            <w:tcW w:w="706" w:type="dxa"/>
            <w:gridSpan w:val="2"/>
            <w:tcBorders>
              <w:top w:val="nil"/>
              <w:left w:val="single" w:color="auto" w:sz="4" w:space="0"/>
              <w:bottom w:val="single" w:color="auto" w:sz="4" w:space="0"/>
              <w:right w:val="nil"/>
            </w:tcBorders>
            <w:shd w:val="clear" w:color="auto" w:fill="auto"/>
            <w:vAlign w:val="center"/>
          </w:tcPr>
          <w:p>
            <w:pPr>
              <w:widowControl/>
              <w:jc w:val="center"/>
              <w:rPr>
                <w:kern w:val="0"/>
                <w:sz w:val="18"/>
                <w:szCs w:val="18"/>
              </w:rPr>
            </w:pPr>
            <w:r>
              <w:rPr>
                <w:kern w:val="0"/>
                <w:sz w:val="18"/>
                <w:szCs w:val="18"/>
              </w:rPr>
              <w:t>100%</w:t>
            </w:r>
          </w:p>
        </w:tc>
        <w:tc>
          <w:tcPr>
            <w:tcW w:w="486" w:type="dxa"/>
            <w:tcBorders>
              <w:top w:val="nil"/>
              <w:left w:val="single" w:color="auto" w:sz="4" w:space="0"/>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5</w:t>
            </w:r>
          </w:p>
        </w:tc>
        <w:tc>
          <w:tcPr>
            <w:tcW w:w="648"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xml:space="preserve">5.00 </w:t>
            </w:r>
          </w:p>
        </w:tc>
        <w:tc>
          <w:tcPr>
            <w:tcW w:w="2551"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rPr>
          <w:trHeight w:val="279" w:hRule="atLeast"/>
        </w:trPr>
        <w:tc>
          <w:tcPr>
            <w:tcW w:w="426"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92"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r>
              <w:rPr>
                <w:rFonts w:hint="eastAsia" w:ascii="宋体" w:hAnsi="宋体" w:cs="宋体"/>
                <w:color w:val="000000"/>
                <w:kern w:val="0"/>
                <w:sz w:val="18"/>
                <w:szCs w:val="18"/>
                <w:u w:val="single"/>
              </w:rPr>
              <w:t>（</w:t>
            </w:r>
            <w:r>
              <w:rPr>
                <w:color w:val="000000"/>
                <w:kern w:val="0"/>
                <w:sz w:val="18"/>
                <w:szCs w:val="18"/>
                <w:u w:val="single"/>
              </w:rPr>
              <w:t>30%</w:t>
            </w:r>
            <w:r>
              <w:rPr>
                <w:rFonts w:hint="eastAsia" w:ascii="宋体" w:hAnsi="宋体" w:cs="宋体"/>
                <w:color w:val="000000"/>
                <w:kern w:val="0"/>
                <w:sz w:val="18"/>
                <w:szCs w:val="18"/>
                <w:u w:val="single"/>
              </w:rPr>
              <w:t>）</w:t>
            </w:r>
          </w:p>
        </w:tc>
        <w:tc>
          <w:tcPr>
            <w:tcW w:w="85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kern w:val="0"/>
                <w:sz w:val="18"/>
                <w:szCs w:val="18"/>
              </w:rPr>
            </w:pPr>
            <w:r>
              <w:rPr>
                <w:rFonts w:hint="eastAsia" w:ascii="宋体" w:hAnsi="宋体"/>
                <w:kern w:val="0"/>
                <w:sz w:val="18"/>
                <w:szCs w:val="18"/>
              </w:rPr>
              <w:t>社会效益指标</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重大舆情监测覆盖率（%）</w:t>
            </w:r>
          </w:p>
        </w:tc>
        <w:tc>
          <w:tcPr>
            <w:tcW w:w="712" w:type="dxa"/>
            <w:tcBorders>
              <w:top w:val="nil"/>
              <w:left w:val="single" w:color="auto" w:sz="4" w:space="0"/>
              <w:bottom w:val="single" w:color="auto" w:sz="4" w:space="0"/>
              <w:right w:val="nil"/>
            </w:tcBorders>
            <w:shd w:val="clear" w:color="auto" w:fill="auto"/>
            <w:vAlign w:val="center"/>
          </w:tcPr>
          <w:p>
            <w:pPr>
              <w:widowControl/>
              <w:jc w:val="center"/>
              <w:rPr>
                <w:kern w:val="0"/>
                <w:sz w:val="18"/>
                <w:szCs w:val="18"/>
              </w:rPr>
            </w:pPr>
            <w:r>
              <w:rPr>
                <w:kern w:val="0"/>
                <w:sz w:val="18"/>
                <w:szCs w:val="18"/>
              </w:rPr>
              <w:t>100%</w:t>
            </w:r>
          </w:p>
        </w:tc>
        <w:tc>
          <w:tcPr>
            <w:tcW w:w="706"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w:t>
            </w:r>
          </w:p>
        </w:tc>
        <w:tc>
          <w:tcPr>
            <w:tcW w:w="486" w:type="dxa"/>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30</w:t>
            </w:r>
          </w:p>
        </w:tc>
        <w:tc>
          <w:tcPr>
            <w:tcW w:w="648"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xml:space="preserve">30.00 </w:t>
            </w:r>
          </w:p>
        </w:tc>
        <w:tc>
          <w:tcPr>
            <w:tcW w:w="2551"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rPr>
          <w:trHeight w:val="485" w:hRule="atLeast"/>
        </w:trPr>
        <w:tc>
          <w:tcPr>
            <w:tcW w:w="426"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92" w:type="dxa"/>
            <w:gridSpan w:val="3"/>
            <w:tcBorders>
              <w:top w:val="nil"/>
              <w:left w:val="nil"/>
              <w:bottom w:val="nil"/>
              <w:right w:val="single" w:color="auto" w:sz="4" w:space="0"/>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满意度指标</w:t>
            </w:r>
            <w:r>
              <w:rPr>
                <w:rFonts w:hint="eastAsia" w:ascii="宋体" w:hAnsi="宋体"/>
                <w:color w:val="000000"/>
                <w:kern w:val="0"/>
                <w:sz w:val="18"/>
                <w:szCs w:val="18"/>
                <w:u w:val="single"/>
              </w:rPr>
              <w:t>（</w:t>
            </w:r>
            <w:r>
              <w:rPr>
                <w:color w:val="000000"/>
                <w:kern w:val="0"/>
                <w:sz w:val="18"/>
                <w:szCs w:val="18"/>
                <w:u w:val="single"/>
              </w:rPr>
              <w:t>10%</w:t>
            </w:r>
            <w:r>
              <w:rPr>
                <w:rFonts w:hint="eastAsia" w:ascii="宋体" w:hAnsi="宋体"/>
                <w:color w:val="000000"/>
                <w:kern w:val="0"/>
                <w:sz w:val="18"/>
                <w:szCs w:val="18"/>
                <w:u w:val="single"/>
              </w:rPr>
              <w:t>）</w:t>
            </w:r>
          </w:p>
        </w:tc>
        <w:tc>
          <w:tcPr>
            <w:tcW w:w="85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kern w:val="0"/>
                <w:sz w:val="18"/>
                <w:szCs w:val="18"/>
              </w:rPr>
            </w:pPr>
            <w:r>
              <w:rPr>
                <w:rFonts w:hint="eastAsia" w:ascii="宋体" w:hAnsi="宋体"/>
                <w:kern w:val="0"/>
                <w:sz w:val="18"/>
                <w:szCs w:val="18"/>
              </w:rPr>
              <w:t>满意度指标</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各地州通讯员对网站满意率（%）</w:t>
            </w:r>
          </w:p>
        </w:tc>
        <w:tc>
          <w:tcPr>
            <w:tcW w:w="712" w:type="dxa"/>
            <w:tcBorders>
              <w:top w:val="nil"/>
              <w:left w:val="single" w:color="auto" w:sz="4" w:space="0"/>
              <w:bottom w:val="single" w:color="auto" w:sz="4" w:space="0"/>
              <w:right w:val="nil"/>
            </w:tcBorders>
            <w:shd w:val="clear" w:color="auto" w:fill="auto"/>
            <w:vAlign w:val="center"/>
          </w:tcPr>
          <w:p>
            <w:pPr>
              <w:widowControl/>
              <w:jc w:val="center"/>
              <w:rPr>
                <w:kern w:val="0"/>
                <w:sz w:val="18"/>
                <w:szCs w:val="18"/>
              </w:rPr>
            </w:pPr>
            <w:r>
              <w:rPr>
                <w:kern w:val="0"/>
                <w:sz w:val="18"/>
                <w:szCs w:val="18"/>
              </w:rPr>
              <w:t>≥90%</w:t>
            </w:r>
          </w:p>
        </w:tc>
        <w:tc>
          <w:tcPr>
            <w:tcW w:w="706"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95%</w:t>
            </w:r>
          </w:p>
        </w:tc>
        <w:tc>
          <w:tcPr>
            <w:tcW w:w="486" w:type="dxa"/>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10</w:t>
            </w:r>
          </w:p>
        </w:tc>
        <w:tc>
          <w:tcPr>
            <w:tcW w:w="648"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xml:space="preserve">10.00 </w:t>
            </w:r>
          </w:p>
        </w:tc>
        <w:tc>
          <w:tcPr>
            <w:tcW w:w="2551"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rPr>
          <w:trHeight w:val="375" w:hRule="atLeast"/>
        </w:trPr>
        <w:tc>
          <w:tcPr>
            <w:tcW w:w="5529"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总分</w:t>
            </w:r>
          </w:p>
        </w:tc>
        <w:tc>
          <w:tcPr>
            <w:tcW w:w="486" w:type="dxa"/>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100</w:t>
            </w:r>
          </w:p>
        </w:tc>
        <w:tc>
          <w:tcPr>
            <w:tcW w:w="648"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xml:space="preserve">97.26 </w:t>
            </w:r>
          </w:p>
        </w:tc>
        <w:tc>
          <w:tcPr>
            <w:tcW w:w="2551"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bl>
    <w:p>
      <w:pPr>
        <w:ind w:firstLine="640" w:firstLineChars="200"/>
        <w:jc w:val="center"/>
        <w:outlineLvl w:val="0"/>
        <w:rPr>
          <w:rFonts w:hint="eastAsia"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ind w:firstLine="640" w:firstLineChars="200"/>
        <w:jc w:val="center"/>
        <w:outlineLvl w:val="0"/>
        <w:rPr>
          <w:rFonts w:ascii="黑体" w:hAnsi="黑体" w:eastAsia="黑体"/>
          <w:sz w:val="32"/>
          <w:szCs w:val="32"/>
        </w:rPr>
      </w:pP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黑体" w:hAnsi="黑体" w:eastAsia="黑体"/>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36" w:name="_Toc28903"/>
      <w:bookmarkStart w:id="37" w:name="_Toc22784"/>
      <w:r>
        <w:rPr>
          <w:rFonts w:hint="eastAsia" w:ascii="黑体" w:hAnsi="黑体" w:eastAsia="黑体"/>
          <w:sz w:val="32"/>
          <w:szCs w:val="32"/>
        </w:rPr>
        <w:br w:type="page"/>
      </w:r>
    </w:p>
    <w:p>
      <w:pPr>
        <w:ind w:firstLine="640" w:firstLineChars="200"/>
        <w:jc w:val="center"/>
        <w:outlineLvl w:val="0"/>
        <w:rPr>
          <w:rFonts w:hint="eastAsia"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jc w:val="center"/>
        <w:outlineLvl w:val="0"/>
        <w:rPr>
          <w:rFonts w:ascii="黑体" w:hAnsi="黑体" w:eastAsia="黑体"/>
          <w:sz w:val="32"/>
          <w:szCs w:val="32"/>
        </w:rPr>
      </w:pPr>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701" w:right="1531" w:bottom="1701"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">
          <v:path/>
          <v:fill on="f" focussize="0,0"/>
          <v:stroke on="f" joinstyle="miter"/>
          <v:imagedata o:title=""/>
          <o:lock v:ext="edit"/>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MGZmMGQzYzkzZGE4YzJhYWNmOWE1ZTMzMjM5Njc1MDkifQ=="/>
  </w:docVars>
  <w:rsids>
    <w:rsidRoot w:val="006B7B8C"/>
    <w:rsid w:val="00014AAB"/>
    <w:rsid w:val="00015801"/>
    <w:rsid w:val="00023DFD"/>
    <w:rsid w:val="0002486D"/>
    <w:rsid w:val="000445A5"/>
    <w:rsid w:val="00062388"/>
    <w:rsid w:val="0006470C"/>
    <w:rsid w:val="000731DE"/>
    <w:rsid w:val="00082B96"/>
    <w:rsid w:val="000874C6"/>
    <w:rsid w:val="00091D32"/>
    <w:rsid w:val="000B3F65"/>
    <w:rsid w:val="000B4DF4"/>
    <w:rsid w:val="000B597A"/>
    <w:rsid w:val="000C0611"/>
    <w:rsid w:val="000C72B8"/>
    <w:rsid w:val="000E209A"/>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328"/>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0A1"/>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948EB"/>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23EF"/>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74494"/>
    <w:rsid w:val="00E8482F"/>
    <w:rsid w:val="00EC7E67"/>
    <w:rsid w:val="00F074B1"/>
    <w:rsid w:val="00F647BE"/>
    <w:rsid w:val="00F85377"/>
    <w:rsid w:val="00FA62CF"/>
    <w:rsid w:val="010C53B8"/>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051C32"/>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D762C7"/>
    <w:rsid w:val="54F22EA5"/>
    <w:rsid w:val="55516A31"/>
    <w:rsid w:val="59444B98"/>
    <w:rsid w:val="59996596"/>
    <w:rsid w:val="5A8B468F"/>
    <w:rsid w:val="5C386C32"/>
    <w:rsid w:val="5D1C5143"/>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Char"/>
    <w:basedOn w:val="11"/>
    <w:link w:val="4"/>
    <w:qFormat/>
    <w:uiPriority w:val="0"/>
    <w:rPr>
      <w:kern w:val="2"/>
      <w:sz w:val="18"/>
      <w:szCs w:val="18"/>
      <w:lang w:bidi="ar-SA"/>
    </w:rPr>
  </w:style>
  <w:style w:type="character" w:customStyle="1" w:styleId="17">
    <w:name w:val="font31"/>
    <w:basedOn w:val="11"/>
    <w:uiPriority w:val="0"/>
    <w:rPr>
      <w:rFonts w:hint="eastAsia" w:ascii="宋体" w:hAnsi="宋体" w:eastAsia="宋体" w:cs="宋体"/>
      <w:color w:val="000000"/>
      <w:sz w:val="22"/>
      <w:szCs w:val="22"/>
      <w:u w:val="none"/>
    </w:rPr>
  </w:style>
  <w:style w:type="character" w:customStyle="1" w:styleId="18">
    <w:name w:val="font21"/>
    <w:basedOn w:val="11"/>
    <w:uiPriority w:val="0"/>
    <w:rPr>
      <w:rFonts w:hint="default" w:ascii="Times New Roman" w:hAnsi="Times New Roman" w:cs="Times New Roman"/>
      <w:color w:val="000000"/>
      <w:sz w:val="22"/>
      <w:szCs w:val="22"/>
      <w:u w:val="none"/>
    </w:rPr>
  </w:style>
  <w:style w:type="character" w:customStyle="1" w:styleId="19">
    <w:name w:val="font61"/>
    <w:basedOn w:val="11"/>
    <w:uiPriority w:val="0"/>
    <w:rPr>
      <w:rFonts w:hint="eastAsia" w:ascii="宋体" w:hAnsi="宋体" w:eastAsia="宋体" w:cs="宋体"/>
      <w:color w:val="000000"/>
      <w:sz w:val="18"/>
      <w:szCs w:val="18"/>
      <w:u w:val="none"/>
    </w:rPr>
  </w:style>
  <w:style w:type="character" w:customStyle="1" w:styleId="20">
    <w:name w:val="font41"/>
    <w:basedOn w:val="11"/>
    <w:uiPriority w:val="0"/>
    <w:rPr>
      <w:rFonts w:hint="default" w:ascii="Times New Roman" w:hAnsi="Times New Roman" w:cs="Times New Roman"/>
      <w:color w:val="000000"/>
      <w:sz w:val="18"/>
      <w:szCs w:val="18"/>
      <w:u w:val="none"/>
    </w:rPr>
  </w:style>
  <w:style w:type="character" w:customStyle="1" w:styleId="21">
    <w:name w:val="font112"/>
    <w:basedOn w:val="11"/>
    <w:uiPriority w:val="0"/>
    <w:rPr>
      <w:rFonts w:hint="eastAsia" w:ascii="宋体" w:hAnsi="宋体" w:eastAsia="宋体" w:cs="宋体"/>
      <w:color w:val="000000"/>
      <w:sz w:val="18"/>
      <w:szCs w:val="18"/>
      <w:u w:val="single"/>
    </w:rPr>
  </w:style>
  <w:style w:type="character" w:customStyle="1" w:styleId="22">
    <w:name w:val="font121"/>
    <w:basedOn w:val="11"/>
    <w:uiPriority w:val="0"/>
    <w:rPr>
      <w:rFonts w:hint="default" w:ascii="Times New Roman" w:hAnsi="Times New Roman" w:cs="Times New Roman"/>
      <w:color w:val="000000"/>
      <w:sz w:val="18"/>
      <w:szCs w:val="18"/>
      <w:u w:val="single"/>
    </w:rPr>
  </w:style>
  <w:style w:type="character" w:customStyle="1" w:styleId="23">
    <w:name w:val="font91"/>
    <w:basedOn w:val="11"/>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14</Pages>
  <Words>5129</Words>
  <Characters>5751</Characters>
  <Lines>48</Lines>
  <Paragraphs>13</Paragraphs>
  <TotalTime>23</TotalTime>
  <ScaleCrop>false</ScaleCrop>
  <LinksUpToDate>false</LinksUpToDate>
  <CharactersWithSpaces>5808</CharactersWithSpaces>
  <Application>WPS Office_11.1.0.12353_F1E327BC-269C-435d-A152-05C5408002CA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2022-08-29T11:30:00Z</dcterms:created>
  <dc:creator>GXR</dc:creator>
  <cp:lastModifiedBy>Administrator</cp:lastModifiedBy>
  <cp:lastPrinted>2022-08-30T12:06:00Z</cp:lastPrinted>
  <dcterms:modified xsi:type="dcterms:W3CDTF">2022-08-31T02:39:44Z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59D8F543E4BF4B5F9BA261246CAB409B</vt:lpwstr>
  </property>
</Properties>
</file>