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新疆维吾尔自治区农牧业机械化技术推广总站2022年度部门决算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HYPERLINK  \l "_Toc32314" </w:instrText>
      </w:r>
      <w:r>
        <w:fldChar w:fldCharType="separate"/>
      </w:r>
      <w:r>
        <w:rPr>
          <w:rFonts w:hint="eastAsia" w:ascii="仿宋_GB2312" w:hAnsi="仿宋_GB2312" w:eastAsia="仿宋_GB2312" w:cs="仿宋_GB2312"/>
          <w:b/>
          <w:bCs/>
          <w:sz w:val="32"/>
          <w:szCs w:val="32"/>
        </w:rPr>
        <w:t>第一部分 单位概况</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"_Toc30567" </w:instrText>
      </w:r>
      <w:r>
        <w:fldChar w:fldCharType="separate"/>
      </w:r>
      <w:r>
        <w:rPr>
          <w:rFonts w:hint="eastAsia" w:ascii="仿宋_GB2312" w:hAnsi="仿宋_GB2312" w:eastAsia="仿宋_GB2312" w:cs="仿宋_GB2312"/>
          <w:bCs/>
          <w:kern w:val="0"/>
          <w:sz w:val="32"/>
          <w:szCs w:val="32"/>
        </w:rPr>
        <w:t>一、主要职能</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"_Toc2151" </w:instrText>
      </w:r>
      <w:r>
        <w:fldChar w:fldCharType="separate"/>
      </w:r>
      <w:r>
        <w:rPr>
          <w:rFonts w:hint="eastAsia" w:ascii="仿宋_GB2312" w:hAnsi="仿宋_GB2312" w:eastAsia="仿宋_GB2312" w:cs="仿宋_GB2312"/>
          <w:bCs/>
          <w:kern w:val="0"/>
          <w:sz w:val="32"/>
          <w:szCs w:val="32"/>
        </w:rPr>
        <w:t>二、机构设置及人员情况</w:t>
      </w:r>
      <w: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HYPERLINK  \l "_Toc29374" </w:instrText>
      </w:r>
      <w:r>
        <w:fldChar w:fldCharType="separate"/>
      </w:r>
      <w:r>
        <w:rPr>
          <w:rFonts w:hint="eastAsia" w:ascii="仿宋_GB2312" w:hAnsi="仿宋_GB2312" w:eastAsia="仿宋_GB2312" w:cs="仿宋_GB2312"/>
          <w:b/>
          <w:bCs/>
          <w:sz w:val="32"/>
          <w:szCs w:val="32"/>
        </w:rPr>
        <w:t>第二部分 部门决算情况说明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"_Toc25314" </w:instrText>
      </w:r>
      <w:r>
        <w:fldChar w:fldCharType="separate"/>
      </w:r>
      <w:r>
        <w:rPr>
          <w:rFonts w:hint="eastAsia" w:ascii="仿宋_GB2312" w:hAnsi="仿宋_GB2312" w:eastAsia="仿宋_GB2312" w:cs="仿宋_GB2312"/>
          <w:bCs/>
          <w:kern w:val="0"/>
          <w:sz w:val="32"/>
          <w:szCs w:val="32"/>
        </w:rPr>
        <w:t>一、收入支出决算总体情况说明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"_Toc12142" </w:instrText>
      </w:r>
      <w:r>
        <w:fldChar w:fldCharType="separate"/>
      </w:r>
      <w:r>
        <w:rPr>
          <w:rFonts w:hint="eastAsia" w:ascii="仿宋_GB2312" w:hAnsi="仿宋_GB2312" w:eastAsia="仿宋_GB2312" w:cs="仿宋_GB2312"/>
          <w:bCs/>
          <w:kern w:val="0"/>
          <w:sz w:val="32"/>
          <w:szCs w:val="32"/>
        </w:rPr>
        <w:t>二、收入决算情况说明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"_Toc13201" </w:instrText>
      </w:r>
      <w:r>
        <w:fldChar w:fldCharType="separate"/>
      </w:r>
      <w:r>
        <w:rPr>
          <w:rFonts w:hint="eastAsia" w:ascii="仿宋_GB2312" w:hAnsi="仿宋_GB2312" w:eastAsia="仿宋_GB2312" w:cs="仿宋_GB2312"/>
          <w:bCs/>
          <w:kern w:val="0"/>
          <w:sz w:val="32"/>
          <w:szCs w:val="32"/>
        </w:rPr>
        <w:t>三、支出决算情况说明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fldChar w:fldCharType="end"/>
      </w:r>
    </w:p>
    <w:p>
      <w:r>
        <w:fldChar w:fldCharType="begin"/>
      </w:r>
      <w:r>
        <w:instrText xml:space="preserve">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HYPERLINK  \l "_Toc14519" </w:instrText>
      </w:r>
      <w:r>
        <w:fldChar w:fldCharType="separate"/>
      </w:r>
      <w:r>
        <w:rPr>
          <w:rFonts w:hint="eastAsia" w:ascii="仿宋_GB2312" w:hAnsi="仿宋_GB2312" w:eastAsia="仿宋_GB2312" w:cs="仿宋_GB2312"/>
          <w:sz w:val="32"/>
          <w:szCs w:val="32"/>
        </w:rPr>
        <w:t>（一）机关运行经费支出情况</w:t>
      </w:r>
      <w: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HYPERLINK  \l "_Toc227" </w:instrText>
      </w:r>
      <w:r>
        <w:fldChar w:fldCharType="separate"/>
      </w:r>
      <w:r>
        <w:rPr>
          <w:rFonts w:hint="eastAsia" w:ascii="仿宋_GB2312" w:hAnsi="仿宋_GB2312" w:eastAsia="仿宋_GB2312" w:cs="仿宋_GB2312"/>
          <w:sz w:val="32"/>
          <w:szCs w:val="32"/>
        </w:rPr>
        <w:t>（二）政府采购情况</w:t>
      </w:r>
      <w: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HYPERLINK  \l "_Toc8391" </w:instrText>
      </w:r>
      <w:r>
        <w:fldChar w:fldCharType="separate"/>
      </w:r>
      <w:r>
        <w:rPr>
          <w:rFonts w:hint="eastAsia" w:ascii="仿宋_GB2312" w:hAnsi="仿宋_GB2312" w:eastAsia="仿宋_GB2312" w:cs="仿宋_GB2312"/>
          <w:sz w:val="32"/>
          <w:szCs w:val="32"/>
        </w:rPr>
        <w:t>（三）国有资产占用情况说明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"_Toc11283" </w:instrText>
      </w:r>
      <w:r>
        <w:fldChar w:fldCharType="separate"/>
      </w:r>
      <w:r>
        <w:rPr>
          <w:rFonts w:hint="eastAsia" w:ascii="仿宋_GB2312" w:hAnsi="仿宋_GB2312" w:eastAsia="仿宋_GB2312" w:cs="仿宋_GB2312"/>
          <w:bCs/>
          <w:kern w:val="0"/>
          <w:sz w:val="32"/>
          <w:szCs w:val="32"/>
        </w:rPr>
        <w:t>十一、预算绩效的情况说明</w:t>
      </w:r>
      <w: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HYPERLINK  \l "_Toc3250" </w:instrText>
      </w:r>
      <w:r>
        <w:fldChar w:fldCharType="separate"/>
      </w:r>
      <w:r>
        <w:rPr>
          <w:rFonts w:hint="eastAsia" w:ascii="仿宋_GB2312" w:hAnsi="仿宋_GB2312" w:eastAsia="仿宋_GB2312" w:cs="仿宋_GB2312"/>
          <w:b/>
          <w:bCs/>
          <w:sz w:val="32"/>
          <w:szCs w:val="32"/>
        </w:rPr>
        <w:t>第三部分 专业名词解释</w:t>
      </w:r>
      <w: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HYPERLINK  \l "_Toc22784" </w:instrText>
      </w:r>
      <w:r>
        <w:fldChar w:fldCharType="separate"/>
      </w:r>
      <w:r>
        <w:rPr>
          <w:rFonts w:hint="eastAsia" w:ascii="仿宋_GB2312" w:hAnsi="仿宋_GB2312" w:eastAsia="仿宋_GB2312" w:cs="仿宋_GB2312"/>
          <w:b/>
          <w:bCs/>
          <w:sz w:val="32"/>
          <w:szCs w:val="32"/>
        </w:rPr>
        <w:t>第四部分 部门决算报表（见附表）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"_Toc2183" </w:instrText>
      </w:r>
      <w:r>
        <w:fldChar w:fldCharType="separate"/>
      </w:r>
      <w:r>
        <w:rPr>
          <w:rFonts w:hint="eastAsia" w:ascii="仿宋_GB2312" w:hAnsi="仿宋_GB2312" w:eastAsia="仿宋_GB2312" w:cs="仿宋_GB2312"/>
          <w:bCs/>
          <w:kern w:val="0"/>
          <w:sz w:val="32"/>
          <w:szCs w:val="32"/>
        </w:rPr>
        <w:t>一、《收入支出决算总表》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"_Toc24532" </w:instrText>
      </w:r>
      <w:r>
        <w:fldChar w:fldCharType="separate"/>
      </w:r>
      <w:r>
        <w:rPr>
          <w:rFonts w:hint="eastAsia" w:ascii="仿宋_GB2312" w:hAnsi="仿宋_GB2312" w:eastAsia="仿宋_GB2312" w:cs="仿宋_GB2312"/>
          <w:bCs/>
          <w:kern w:val="0"/>
          <w:sz w:val="32"/>
          <w:szCs w:val="32"/>
        </w:rPr>
        <w:t>二、《收入决算表》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"_Toc32434" </w:instrText>
      </w:r>
      <w:r>
        <w:fldChar w:fldCharType="separate"/>
      </w:r>
      <w:r>
        <w:rPr>
          <w:rFonts w:hint="eastAsia" w:ascii="仿宋_GB2312" w:hAnsi="仿宋_GB2312" w:eastAsia="仿宋_GB2312" w:cs="仿宋_GB2312"/>
          <w:bCs/>
          <w:kern w:val="0"/>
          <w:sz w:val="32"/>
          <w:szCs w:val="32"/>
        </w:rPr>
        <w:t>三、《支出决算表》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"_Toc28786" </w:instrText>
      </w:r>
      <w:r>
        <w:fldChar w:fldCharType="separate"/>
      </w:r>
      <w:r>
        <w:rPr>
          <w:rFonts w:hint="eastAsia" w:ascii="仿宋_GB2312" w:hAnsi="仿宋_GB2312" w:eastAsia="仿宋_GB2312" w:cs="仿宋_GB2312"/>
          <w:bCs/>
          <w:kern w:val="0"/>
          <w:sz w:val="32"/>
          <w:szCs w:val="32"/>
        </w:rPr>
        <w:t>四、《财政拨款收入支出决算总表》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480" w:firstLineChars="150"/>
        <w:rPr>
          <w:rFonts w:ascii="仿宋_GB2312" w:eastAsia="仿宋_GB2312"/>
          <w:sz w:val="32"/>
          <w:szCs w:val="32"/>
        </w:rPr>
      </w:pPr>
      <w:bookmarkStart w:id="4" w:name="_Toc31238"/>
      <w:bookmarkStart w:id="5" w:name="_Toc2151"/>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贯彻和实施国家推广法规、政策，调查研究，搜集、分析有关资料，掌握区内外同行业技术发展情况，预测农机化技术发展动态和趋势，为上级部门制定农机推广政策和规划提供依据。指导全区农机化技术推广工作</w:t>
      </w:r>
      <w:r>
        <w:rPr>
          <w:rFonts w:hint="eastAsia" w:ascii="仿宋_GB2312" w:eastAsia="仿宋_GB2312"/>
          <w:sz w:val="32"/>
          <w:szCs w:val="32"/>
        </w:rPr>
        <w:t>。</w:t>
      </w:r>
    </w:p>
    <w:p>
      <w:pPr>
        <w:ind w:firstLine="480" w:firstLineChars="150"/>
        <w:rPr>
          <w:rFonts w:ascii="仿宋_GB2312" w:eastAsia="仿宋_GB2312"/>
          <w:sz w:val="32"/>
          <w:szCs w:val="32"/>
        </w:rPr>
      </w:pPr>
      <w:r>
        <w:rPr>
          <w:rFonts w:ascii="仿宋_GB2312" w:eastAsia="仿宋_GB2312"/>
          <w:sz w:val="32"/>
          <w:szCs w:val="32"/>
        </w:rPr>
        <w:t>2.指导全区农机化推广体制改革和推广体系建设，参与制定推广体系建设规划、实施方案并组织实施；编报自治区农机化技术推广基本建设和事业经费预算，确定农机化推广目标和重点。</w:t>
      </w:r>
    </w:p>
    <w:p>
      <w:pPr>
        <w:ind w:firstLine="480" w:firstLineChars="150"/>
        <w:rPr>
          <w:rFonts w:ascii="黑体" w:hAnsi="黑体" w:eastAsia="黑体" w:cs="宋体"/>
          <w:bCs/>
          <w:kern w:val="0"/>
          <w:sz w:val="32"/>
          <w:szCs w:val="32"/>
        </w:rPr>
      </w:pPr>
      <w:r>
        <w:rPr>
          <w:rFonts w:ascii="仿宋_GB2312" w:eastAsia="仿宋_GB2312"/>
          <w:sz w:val="32"/>
          <w:szCs w:val="32"/>
        </w:rPr>
        <w:t>3.承担重大农机科技成果和先进技术的引进、试验、示范、推广工作。承担农业部、自治区重点推广项目，并负责项目的申报立项、组织实施。</w:t>
      </w:r>
      <w:r>
        <w:rPr>
          <w:rFonts w:ascii="仿宋_GB2312" w:eastAsia="仿宋_GB2312"/>
          <w:sz w:val="32"/>
          <w:szCs w:val="32"/>
        </w:rPr>
        <w:br/>
      </w:r>
      <w:r>
        <w:rPr>
          <w:rFonts w:hint="eastAsia" w:ascii="仿宋_GB2312" w:eastAsia="仿宋_GB2312"/>
          <w:sz w:val="32"/>
          <w:szCs w:val="32"/>
        </w:rPr>
        <w:t xml:space="preserve">   </w:t>
      </w:r>
      <w:r>
        <w:rPr>
          <w:rFonts w:ascii="仿宋_GB2312" w:eastAsia="仿宋_GB2312"/>
          <w:sz w:val="32"/>
          <w:szCs w:val="32"/>
        </w:rPr>
        <w:t>4．承担上级和有关部门委托的推广项目的检查与验收工作。</w:t>
      </w:r>
      <w:r>
        <w:rPr>
          <w:rFonts w:ascii="仿宋_GB2312" w:eastAsia="仿宋_GB2312"/>
          <w:sz w:val="32"/>
          <w:szCs w:val="32"/>
        </w:rPr>
        <w:br/>
      </w:r>
      <w:r>
        <w:rPr>
          <w:rFonts w:hint="eastAsia" w:ascii="仿宋_GB2312" w:eastAsia="仿宋_GB2312"/>
          <w:sz w:val="32"/>
          <w:szCs w:val="32"/>
        </w:rPr>
        <w:t xml:space="preserve">   </w:t>
      </w:r>
      <w:r>
        <w:rPr>
          <w:rFonts w:ascii="仿宋_GB2312" w:eastAsia="仿宋_GB2312"/>
          <w:sz w:val="32"/>
          <w:szCs w:val="32"/>
        </w:rPr>
        <w:t>5．为地（州）、县（市）农机推广机构提供技术咨询和服务，帮助论证推广项目。</w:t>
      </w:r>
      <w:r>
        <w:rPr>
          <w:rFonts w:ascii="仿宋_GB2312" w:eastAsia="仿宋_GB2312"/>
          <w:sz w:val="32"/>
          <w:szCs w:val="32"/>
        </w:rPr>
        <w:br/>
      </w:r>
      <w:r>
        <w:rPr>
          <w:rFonts w:hint="eastAsia" w:ascii="仿宋_GB2312" w:eastAsia="仿宋_GB2312"/>
          <w:sz w:val="32"/>
          <w:szCs w:val="32"/>
        </w:rPr>
        <w:t xml:space="preserve">   </w:t>
      </w:r>
      <w:r>
        <w:rPr>
          <w:rFonts w:ascii="仿宋_GB2312" w:eastAsia="仿宋_GB2312"/>
          <w:sz w:val="32"/>
          <w:szCs w:val="32"/>
        </w:rPr>
        <w:t>6．编写、制作农机推广科普刊物及音像资料，提供先进农机化技术的信息，宣传推荐农机化新技术、新成果。</w:t>
      </w:r>
      <w:r>
        <w:rPr>
          <w:rFonts w:ascii="仿宋_GB2312" w:eastAsia="仿宋_GB2312"/>
          <w:sz w:val="32"/>
          <w:szCs w:val="32"/>
        </w:rPr>
        <w:br/>
      </w:r>
      <w:r>
        <w:rPr>
          <w:rFonts w:hint="eastAsia" w:ascii="仿宋_GB2312" w:eastAsia="仿宋_GB2312"/>
          <w:sz w:val="32"/>
          <w:szCs w:val="32"/>
        </w:rPr>
        <w:t xml:space="preserve">   </w:t>
      </w:r>
      <w:r>
        <w:rPr>
          <w:rFonts w:ascii="仿宋_GB2312" w:eastAsia="仿宋_GB2312"/>
          <w:sz w:val="32"/>
          <w:szCs w:val="32"/>
        </w:rPr>
        <w:t>7．组织农机化技术推广工作的经验交流活动，并负责推广成果的评比和奖励工作。</w:t>
      </w:r>
      <w:r>
        <w:rPr>
          <w:rFonts w:ascii="仿宋_GB2312" w:eastAsia="仿宋_GB2312"/>
          <w:sz w:val="32"/>
          <w:szCs w:val="32"/>
        </w:rPr>
        <w:br/>
      </w:r>
      <w:r>
        <w:rPr>
          <w:rFonts w:hint="eastAsia" w:ascii="仿宋_GB2312" w:eastAsia="仿宋_GB2312"/>
          <w:sz w:val="32"/>
          <w:szCs w:val="32"/>
        </w:rPr>
        <w:t xml:space="preserve">   </w:t>
      </w:r>
      <w:r>
        <w:rPr>
          <w:rFonts w:ascii="仿宋_GB2312" w:eastAsia="仿宋_GB2312"/>
          <w:sz w:val="32"/>
          <w:szCs w:val="32"/>
        </w:rPr>
        <w:t>8．协助有关部门，承担县（市）以上农机技术推广人员的专业进修和技术培训。</w:t>
      </w:r>
      <w:r>
        <w:rPr>
          <w:rFonts w:ascii="仿宋_GB2312" w:eastAsia="仿宋_GB2312"/>
          <w:sz w:val="32"/>
          <w:szCs w:val="32"/>
        </w:rPr>
        <w:br/>
      </w:r>
      <w:r>
        <w:rPr>
          <w:rFonts w:hint="eastAsia" w:ascii="仿宋_GB2312" w:eastAsia="仿宋_GB2312"/>
          <w:sz w:val="32"/>
          <w:szCs w:val="32"/>
        </w:rPr>
        <w:t xml:space="preserve">   9</w:t>
      </w:r>
      <w:r>
        <w:rPr>
          <w:rFonts w:ascii="仿宋_GB2312" w:eastAsia="仿宋_GB2312"/>
          <w:sz w:val="32"/>
          <w:szCs w:val="32"/>
        </w:rPr>
        <w:t>．加强与科研、教学部门的联系，组织和开展区内外的学术交流活动</w:t>
      </w:r>
      <w:r>
        <w:rPr>
          <w:rFonts w:hint="eastAsia" w:ascii="仿宋_GB2312" w:eastAsia="仿宋_GB2312"/>
          <w:sz w:val="32"/>
          <w:szCs w:val="32"/>
        </w:rPr>
        <w:t>。</w:t>
      </w:r>
      <w:r>
        <w:rPr>
          <w:rFonts w:ascii="仿宋_GB2312" w:eastAsia="仿宋_GB2312"/>
          <w:sz w:val="32"/>
          <w:szCs w:val="32"/>
        </w:rPr>
        <w:br/>
      </w:r>
      <w:r>
        <w:rPr>
          <w:rFonts w:hint="eastAsia" w:ascii="仿宋_GB2312" w:eastAsia="仿宋_GB2312"/>
          <w:sz w:val="32"/>
          <w:szCs w:val="32"/>
        </w:rPr>
        <w:t xml:space="preserve">  </w:t>
      </w:r>
      <w:r>
        <w:rPr>
          <w:rFonts w:ascii="仿宋_GB2312" w:eastAsia="仿宋_GB2312"/>
          <w:sz w:val="32"/>
          <w:szCs w:val="32"/>
        </w:rPr>
        <w:t>1</w:t>
      </w:r>
      <w:r>
        <w:rPr>
          <w:rFonts w:hint="eastAsia" w:ascii="仿宋_GB2312" w:eastAsia="仿宋_GB2312"/>
          <w:sz w:val="32"/>
          <w:szCs w:val="32"/>
        </w:rPr>
        <w:t>0</w:t>
      </w:r>
      <w:r>
        <w:rPr>
          <w:rFonts w:ascii="仿宋_GB2312" w:eastAsia="仿宋_GB2312"/>
          <w:sz w:val="32"/>
          <w:szCs w:val="32"/>
        </w:rPr>
        <w:t>．负责推广工作中经验信息的收集、分析和整理，反馈上级有关部门，提供决策依据</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新疆维吾尔自治区农牧业机械化技术推广总站</w:t>
      </w:r>
      <w:r>
        <w:rPr>
          <w:rFonts w:ascii="仿宋_GB2312" w:eastAsia="仿宋_GB2312"/>
          <w:sz w:val="32"/>
          <w:szCs w:val="32"/>
        </w:rPr>
        <w:t>2022</w:t>
      </w:r>
      <w:r>
        <w:rPr>
          <w:rFonts w:hint="eastAsia" w:ascii="仿宋_GB2312" w:eastAsia="仿宋_GB2312"/>
          <w:sz w:val="32"/>
          <w:szCs w:val="32"/>
        </w:rPr>
        <w:t>年度，实有人数</w:t>
      </w:r>
      <w:r>
        <w:rPr>
          <w:rFonts w:ascii="仿宋_GB2312" w:eastAsia="仿宋_GB2312"/>
          <w:sz w:val="32"/>
          <w:szCs w:val="32"/>
        </w:rPr>
        <w:t>19</w:t>
      </w:r>
      <w:r>
        <w:rPr>
          <w:rFonts w:hint="eastAsia" w:ascii="仿宋_GB2312" w:eastAsia="仿宋_GB2312"/>
          <w:sz w:val="32"/>
          <w:szCs w:val="32"/>
        </w:rPr>
        <w:t>人，其中：在职人员</w:t>
      </w:r>
      <w:r>
        <w:rPr>
          <w:rFonts w:ascii="仿宋_GB2312" w:eastAsia="仿宋_GB2312"/>
          <w:sz w:val="32"/>
          <w:szCs w:val="32"/>
        </w:rPr>
        <w:t>13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6</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从部门决算单位构成看，新疆维吾尔自治区农牧业机械化技术推广总站部门决算包括：新疆维吾尔自治区农牧业机械化技术推广总站决算。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个处室，分别是：推广室、综合室</w:t>
      </w:r>
      <w:r>
        <w:rPr>
          <w:rFonts w:hint="eastAsia" w:ascii="仿宋_GB2312" w:hAnsi="宋体" w:eastAsia="仿宋_GB2312" w:cs="宋体"/>
          <w:kern w:val="0"/>
          <w:sz w:val="32"/>
          <w:szCs w:val="32"/>
        </w:rPr>
        <w:t>。</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br w:type="page"/>
      </w: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color w:val="000000"/>
          <w:sz w:val="32"/>
          <w:szCs w:val="32"/>
        </w:rPr>
      </w:pPr>
      <w:r>
        <w:rPr>
          <w:rFonts w:ascii="仿宋_GB2312" w:eastAsia="仿宋_GB2312"/>
          <w:sz w:val="32"/>
          <w:szCs w:val="32"/>
        </w:rPr>
        <w:t>2022</w:t>
      </w:r>
      <w:r>
        <w:rPr>
          <w:rFonts w:hint="eastAsia" w:ascii="仿宋_GB2312" w:eastAsia="仿宋_GB2312"/>
          <w:sz w:val="32"/>
          <w:szCs w:val="32"/>
        </w:rPr>
        <w:t>年度收入总计829.42万元，其中：本年收入合计</w:t>
      </w:r>
      <w:r>
        <w:rPr>
          <w:rFonts w:ascii="仿宋_GB2312" w:eastAsia="仿宋_GB2312"/>
          <w:sz w:val="32"/>
          <w:szCs w:val="32"/>
        </w:rPr>
        <w:t>772.76</w:t>
      </w:r>
      <w:r>
        <w:rPr>
          <w:rFonts w:hint="eastAsia" w:ascii="仿宋_GB2312" w:eastAsia="仿宋_GB2312"/>
          <w:sz w:val="32"/>
          <w:szCs w:val="32"/>
        </w:rPr>
        <w:t>万元，使用非财政拨款结余0.00万元，年初结转和结余56.66万元。</w:t>
      </w:r>
      <w:r>
        <w:rPr>
          <w:rFonts w:hint="eastAsia" w:ascii="仿宋_GB2312" w:eastAsia="仿宋_GB2312"/>
          <w:color w:val="000000"/>
          <w:sz w:val="32"/>
          <w:szCs w:val="32"/>
        </w:rPr>
        <w:t>收入总计与上年相比，增加133.94万元，</w:t>
      </w:r>
      <w:r>
        <w:rPr>
          <w:rFonts w:ascii="仿宋_GB2312" w:eastAsia="仿宋_GB2312"/>
          <w:color w:val="000000"/>
          <w:sz w:val="32"/>
          <w:szCs w:val="32"/>
        </w:rPr>
        <w:t>增长19.26</w:t>
      </w:r>
      <w:r>
        <w:rPr>
          <w:rFonts w:hint="eastAsia" w:ascii="仿宋_GB2312" w:eastAsia="仿宋_GB2312"/>
          <w:color w:val="000000"/>
          <w:sz w:val="32"/>
          <w:szCs w:val="32"/>
        </w:rPr>
        <w:t>%，主要原因是：2022年</w:t>
      </w:r>
      <w:r>
        <w:rPr>
          <w:rFonts w:ascii="仿宋_GB2312" w:eastAsia="仿宋_GB2312"/>
          <w:color w:val="000000"/>
          <w:sz w:val="32"/>
          <w:szCs w:val="32"/>
        </w:rPr>
        <w:t>在职人员调整基础绩效奖及年度考核奖</w:t>
      </w:r>
      <w:r>
        <w:rPr>
          <w:rFonts w:hint="eastAsia" w:ascii="仿宋_GB2312" w:eastAsia="仿宋_GB2312"/>
          <w:color w:val="000000"/>
          <w:sz w:val="32"/>
          <w:szCs w:val="32"/>
        </w:rPr>
        <w:t>，本年</w:t>
      </w:r>
      <w:r>
        <w:rPr>
          <w:rFonts w:ascii="仿宋_GB2312" w:eastAsia="仿宋_GB2312"/>
          <w:color w:val="000000"/>
          <w:sz w:val="32"/>
          <w:szCs w:val="32"/>
        </w:rPr>
        <w:t>增加</w:t>
      </w:r>
      <w:r>
        <w:rPr>
          <w:rFonts w:hint="eastAsia" w:ascii="仿宋_GB2312" w:eastAsia="仿宋_GB2312"/>
          <w:color w:val="000000"/>
          <w:sz w:val="32"/>
          <w:szCs w:val="32"/>
        </w:rPr>
        <w:t>重点研发项目拨款246万，收入较上年增加。</w:t>
      </w:r>
    </w:p>
    <w:p>
      <w:pPr>
        <w:ind w:firstLine="640" w:firstLineChars="200"/>
        <w:rPr>
          <w:rFonts w:ascii="仿宋_GB2312" w:eastAsia="仿宋_GB2312"/>
          <w:sz w:val="32"/>
          <w:szCs w:val="32"/>
        </w:rPr>
      </w:pPr>
      <w:r>
        <w:rPr>
          <w:rFonts w:hint="eastAsia" w:ascii="仿宋_GB2312" w:eastAsia="仿宋_GB2312"/>
          <w:sz w:val="32"/>
          <w:szCs w:val="32"/>
        </w:rPr>
        <w:t>本年支出总计829.42万元，其中：本年支出合计</w:t>
      </w:r>
      <w:r>
        <w:rPr>
          <w:rFonts w:ascii="仿宋_GB2312" w:eastAsia="仿宋_GB2312"/>
          <w:sz w:val="32"/>
          <w:szCs w:val="32"/>
        </w:rPr>
        <w:t>416.18</w:t>
      </w:r>
      <w:r>
        <w:rPr>
          <w:rFonts w:hint="eastAsia" w:ascii="仿宋_GB2312" w:eastAsia="仿宋_GB2312"/>
          <w:sz w:val="32"/>
          <w:szCs w:val="32"/>
        </w:rPr>
        <w:t>万元，结余分配0.00万元，年末结转和结余413.24万元。支出总计与上年相比，</w:t>
      </w:r>
      <w:r>
        <w:rPr>
          <w:rFonts w:ascii="仿宋_GB2312" w:eastAsia="仿宋_GB2312"/>
          <w:sz w:val="32"/>
          <w:szCs w:val="32"/>
        </w:rPr>
        <w:t>增加133.94</w:t>
      </w:r>
      <w:r>
        <w:rPr>
          <w:rFonts w:hint="eastAsia" w:ascii="仿宋_GB2312" w:eastAsia="仿宋_GB2312"/>
          <w:sz w:val="32"/>
          <w:szCs w:val="32"/>
        </w:rPr>
        <w:t>万元，</w:t>
      </w:r>
      <w:r>
        <w:rPr>
          <w:rFonts w:ascii="仿宋_GB2312" w:eastAsia="仿宋_GB2312"/>
          <w:sz w:val="32"/>
          <w:szCs w:val="32"/>
        </w:rPr>
        <w:t>增长19.26</w:t>
      </w:r>
      <w:r>
        <w:rPr>
          <w:rFonts w:hint="eastAsia" w:ascii="仿宋_GB2312" w:eastAsia="仿宋_GB2312"/>
          <w:sz w:val="32"/>
          <w:szCs w:val="32"/>
        </w:rPr>
        <w:t>%，主要原因是：</w:t>
      </w:r>
      <w:r>
        <w:rPr>
          <w:rFonts w:hint="eastAsia" w:ascii="仿宋_GB2312" w:eastAsia="仿宋_GB2312"/>
          <w:color w:val="000000"/>
          <w:sz w:val="32"/>
          <w:szCs w:val="32"/>
        </w:rPr>
        <w:t>2022年</w:t>
      </w:r>
      <w:r>
        <w:rPr>
          <w:rFonts w:ascii="仿宋_GB2312" w:eastAsia="仿宋_GB2312"/>
          <w:color w:val="000000"/>
          <w:sz w:val="32"/>
          <w:szCs w:val="32"/>
        </w:rPr>
        <w:t>在职人员调整基础绩效奖及年度考核奖</w:t>
      </w:r>
      <w:r>
        <w:rPr>
          <w:rFonts w:hint="eastAsia" w:ascii="仿宋_GB2312" w:eastAsia="仿宋_GB2312"/>
          <w:color w:val="000000"/>
          <w:sz w:val="32"/>
          <w:szCs w:val="32"/>
        </w:rPr>
        <w:t>，本年</w:t>
      </w:r>
      <w:r>
        <w:rPr>
          <w:rFonts w:ascii="仿宋_GB2312" w:eastAsia="仿宋_GB2312"/>
          <w:color w:val="000000"/>
          <w:sz w:val="32"/>
          <w:szCs w:val="32"/>
        </w:rPr>
        <w:t>增加</w:t>
      </w:r>
      <w:r>
        <w:rPr>
          <w:rFonts w:hint="eastAsia" w:ascii="仿宋_GB2312" w:eastAsia="仿宋_GB2312"/>
          <w:color w:val="000000"/>
          <w:sz w:val="32"/>
          <w:szCs w:val="32"/>
        </w:rPr>
        <w:t>重点研发项目拨款246万，支出较上年增加</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年度本年收入</w:t>
      </w:r>
      <w:r>
        <w:rPr>
          <w:rFonts w:ascii="仿宋_GB2312" w:eastAsia="仿宋_GB2312"/>
          <w:sz w:val="32"/>
          <w:szCs w:val="32"/>
        </w:rPr>
        <w:t>772.76</w:t>
      </w:r>
      <w:r>
        <w:rPr>
          <w:rFonts w:hint="eastAsia" w:ascii="仿宋_GB2312" w:eastAsia="仿宋_GB2312"/>
          <w:sz w:val="32"/>
          <w:szCs w:val="32"/>
        </w:rPr>
        <w:t>万元，其中：财政拨款收入</w:t>
      </w:r>
      <w:r>
        <w:rPr>
          <w:rFonts w:ascii="仿宋_GB2312" w:eastAsia="仿宋_GB2312"/>
          <w:sz w:val="32"/>
          <w:szCs w:val="32"/>
        </w:rPr>
        <w:t>422.37</w:t>
      </w:r>
      <w:r>
        <w:rPr>
          <w:rFonts w:hint="eastAsia" w:ascii="仿宋_GB2312" w:eastAsia="仿宋_GB2312"/>
          <w:sz w:val="32"/>
          <w:szCs w:val="32"/>
        </w:rPr>
        <w:t>万元，占54.66%；上级补助收入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350.39</w:t>
      </w:r>
      <w:r>
        <w:rPr>
          <w:rFonts w:hint="eastAsia" w:ascii="仿宋_GB2312" w:eastAsia="仿宋_GB2312"/>
          <w:sz w:val="32"/>
          <w:szCs w:val="32"/>
        </w:rPr>
        <w:t>万元，占45.34%。</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年度本年支出416.18万元，其中：基本支出</w:t>
      </w:r>
      <w:r>
        <w:rPr>
          <w:rFonts w:ascii="仿宋_GB2312" w:eastAsia="仿宋_GB2312"/>
          <w:sz w:val="32"/>
          <w:szCs w:val="32"/>
        </w:rPr>
        <w:t>276.97</w:t>
      </w:r>
      <w:r>
        <w:rPr>
          <w:rFonts w:hint="eastAsia" w:ascii="仿宋_GB2312" w:eastAsia="仿宋_GB2312"/>
          <w:sz w:val="32"/>
          <w:szCs w:val="32"/>
        </w:rPr>
        <w:t>万元，占66.55%；项目支出</w:t>
      </w:r>
      <w:r>
        <w:rPr>
          <w:rFonts w:ascii="仿宋_GB2312" w:eastAsia="仿宋_GB2312"/>
          <w:sz w:val="32"/>
          <w:szCs w:val="32"/>
        </w:rPr>
        <w:t>139.21</w:t>
      </w:r>
      <w:r>
        <w:rPr>
          <w:rFonts w:hint="eastAsia" w:ascii="仿宋_GB2312" w:eastAsia="仿宋_GB2312"/>
          <w:sz w:val="32"/>
          <w:szCs w:val="32"/>
        </w:rPr>
        <w:t>万元，占33.45%；上缴上级支出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年度财政拨款收入总计422.37万元，其中：年初财政拨款结转和结余0.00万元，财政拨款本年收入422.37万元。财政拨款收入总计与上年相比，增加45.22万元，增长11.99%，主要原因是：2022年</w:t>
      </w:r>
      <w:r>
        <w:rPr>
          <w:rFonts w:ascii="仿宋_GB2312" w:eastAsia="仿宋_GB2312"/>
          <w:sz w:val="32"/>
          <w:szCs w:val="32"/>
        </w:rPr>
        <w:t>在职人员调整基础绩效奖及年度考核奖</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财政拨款支出总计422.37万元，其中：年末财政拨款结转和结余6.19万元，财政拨款本年支出416.18万元。财政拨款支出总计与上年相比，增加45.22万元，增长11.99%，主要原因是：2022年</w:t>
      </w:r>
      <w:r>
        <w:rPr>
          <w:rFonts w:ascii="仿宋_GB2312" w:eastAsia="仿宋_GB2312"/>
          <w:sz w:val="32"/>
          <w:szCs w:val="32"/>
        </w:rPr>
        <w:t>在职人员调整基础绩效奖及年度考核奖</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与年初预算数相比情况：财政拨款收入总计年初预算数</w:t>
      </w:r>
      <w:r>
        <w:rPr>
          <w:rFonts w:ascii="仿宋_GB2312" w:eastAsia="仿宋_GB2312"/>
          <w:sz w:val="32"/>
          <w:szCs w:val="32"/>
        </w:rPr>
        <w:t>268.24</w:t>
      </w:r>
      <w:r>
        <w:rPr>
          <w:rFonts w:hint="eastAsia" w:ascii="仿宋_GB2312" w:eastAsia="仿宋_GB2312"/>
          <w:sz w:val="32"/>
          <w:szCs w:val="32"/>
        </w:rPr>
        <w:t>万元，决算数</w:t>
      </w:r>
      <w:r>
        <w:rPr>
          <w:rFonts w:ascii="仿宋_GB2312" w:eastAsia="仿宋_GB2312"/>
          <w:sz w:val="32"/>
          <w:szCs w:val="32"/>
        </w:rPr>
        <w:t>422.37</w:t>
      </w:r>
      <w:r>
        <w:rPr>
          <w:rFonts w:hint="eastAsia" w:ascii="仿宋_GB2312" w:eastAsia="仿宋_GB2312"/>
          <w:sz w:val="32"/>
          <w:szCs w:val="32"/>
        </w:rPr>
        <w:t>万元，预决算差异率</w:t>
      </w:r>
      <w:r>
        <w:rPr>
          <w:rFonts w:ascii="仿宋_GB2312" w:eastAsia="仿宋_GB2312"/>
          <w:sz w:val="32"/>
          <w:szCs w:val="32"/>
        </w:rPr>
        <w:t>57.46</w:t>
      </w:r>
      <w:r>
        <w:rPr>
          <w:rFonts w:hint="eastAsia" w:ascii="仿宋_GB2312" w:eastAsia="仿宋_GB2312"/>
          <w:sz w:val="32"/>
          <w:szCs w:val="32"/>
        </w:rPr>
        <w:t>%，主要原因是：2022年</w:t>
      </w:r>
      <w:r>
        <w:rPr>
          <w:rFonts w:ascii="仿宋_GB2312" w:eastAsia="仿宋_GB2312"/>
          <w:sz w:val="32"/>
          <w:szCs w:val="32"/>
        </w:rPr>
        <w:t>在职人员调整基础绩效奖及年度考核奖</w:t>
      </w:r>
      <w:r>
        <w:rPr>
          <w:rFonts w:hint="eastAsia" w:ascii="仿宋_GB2312" w:eastAsia="仿宋_GB2312"/>
          <w:sz w:val="32"/>
          <w:szCs w:val="32"/>
        </w:rPr>
        <w:t>，收入较预算差异率较大。财政拨款支出总计年初预算数</w:t>
      </w:r>
      <w:r>
        <w:rPr>
          <w:rFonts w:ascii="仿宋_GB2312" w:eastAsia="仿宋_GB2312"/>
          <w:sz w:val="32"/>
          <w:szCs w:val="32"/>
        </w:rPr>
        <w:t>268.24</w:t>
      </w:r>
      <w:r>
        <w:rPr>
          <w:rFonts w:hint="eastAsia" w:ascii="仿宋_GB2312" w:eastAsia="仿宋_GB2312"/>
          <w:sz w:val="32"/>
          <w:szCs w:val="32"/>
        </w:rPr>
        <w:t>万元，决算数</w:t>
      </w:r>
      <w:r>
        <w:rPr>
          <w:rFonts w:ascii="仿宋_GB2312" w:eastAsia="仿宋_GB2312"/>
          <w:sz w:val="32"/>
          <w:szCs w:val="32"/>
        </w:rPr>
        <w:t>422.37</w:t>
      </w:r>
      <w:r>
        <w:rPr>
          <w:rFonts w:hint="eastAsia" w:ascii="仿宋_GB2312" w:eastAsia="仿宋_GB2312"/>
          <w:sz w:val="32"/>
          <w:szCs w:val="32"/>
        </w:rPr>
        <w:t>万元，预决算差异率57.46%，主要原因是：2022年</w:t>
      </w:r>
      <w:r>
        <w:rPr>
          <w:rFonts w:ascii="仿宋_GB2312" w:eastAsia="仿宋_GB2312"/>
          <w:sz w:val="32"/>
          <w:szCs w:val="32"/>
        </w:rPr>
        <w:t>在职人员调整基础绩效奖及年度考核奖</w:t>
      </w:r>
      <w:r>
        <w:rPr>
          <w:rFonts w:hint="eastAsia" w:ascii="仿宋_GB2312" w:eastAsia="仿宋_GB2312"/>
          <w:sz w:val="32"/>
          <w:szCs w:val="32"/>
        </w:rPr>
        <w:t>，支出较预算差异率较大。</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年度一般公共预算财政拨款支出416.18万元，占本年支出合计的</w:t>
      </w:r>
      <w:r>
        <w:rPr>
          <w:rFonts w:ascii="仿宋_GB2312" w:eastAsia="仿宋_GB2312"/>
          <w:sz w:val="32"/>
          <w:szCs w:val="32"/>
        </w:rPr>
        <w:t>100.00</w:t>
      </w:r>
      <w:r>
        <w:rPr>
          <w:rFonts w:hint="eastAsia" w:ascii="仿宋_GB2312" w:eastAsia="仿宋_GB2312"/>
          <w:sz w:val="32"/>
          <w:szCs w:val="32"/>
        </w:rPr>
        <w:t>%，与上年相比，</w:t>
      </w:r>
      <w:r>
        <w:rPr>
          <w:rFonts w:ascii="仿宋_GB2312" w:eastAsia="仿宋_GB2312"/>
          <w:sz w:val="32"/>
          <w:szCs w:val="32"/>
        </w:rPr>
        <w:t>增加39.03</w:t>
      </w:r>
      <w:r>
        <w:rPr>
          <w:rFonts w:hint="eastAsia" w:ascii="仿宋_GB2312" w:eastAsia="仿宋_GB2312"/>
          <w:sz w:val="32"/>
          <w:szCs w:val="32"/>
        </w:rPr>
        <w:t>万元，</w:t>
      </w:r>
      <w:r>
        <w:rPr>
          <w:rFonts w:ascii="仿宋_GB2312" w:eastAsia="仿宋_GB2312"/>
          <w:sz w:val="32"/>
          <w:szCs w:val="32"/>
        </w:rPr>
        <w:t>增长10.35</w:t>
      </w:r>
      <w:r>
        <w:rPr>
          <w:rFonts w:hint="eastAsia" w:ascii="仿宋_GB2312" w:eastAsia="仿宋_GB2312"/>
          <w:sz w:val="32"/>
          <w:szCs w:val="32"/>
        </w:rPr>
        <w:t>%，主要原因是：2022年</w:t>
      </w:r>
      <w:r>
        <w:rPr>
          <w:rFonts w:ascii="仿宋_GB2312" w:eastAsia="仿宋_GB2312"/>
          <w:sz w:val="32"/>
          <w:szCs w:val="32"/>
        </w:rPr>
        <w:t>在职人员调整基础绩效奖及年度考核奖</w:t>
      </w:r>
      <w:r>
        <w:rPr>
          <w:rFonts w:hint="eastAsia" w:ascii="仿宋_GB2312" w:eastAsia="仿宋_GB2312"/>
          <w:sz w:val="32"/>
          <w:szCs w:val="32"/>
        </w:rPr>
        <w:t>，支出较上年增加。</w:t>
      </w:r>
    </w:p>
    <w:p>
      <w:pPr>
        <w:ind w:firstLine="640" w:firstLineChars="200"/>
        <w:outlineLvl w:val="2"/>
        <w:rPr>
          <w:rFonts w:ascii="黑体" w:hAnsi="黑体" w:eastAsia="黑体"/>
          <w:sz w:val="32"/>
          <w:szCs w:val="32"/>
        </w:rPr>
      </w:pPr>
      <w:r>
        <w:rPr>
          <w:rFonts w:hint="eastAsia" w:ascii="黑体" w:hAnsi="黑体" w:eastAsia="黑体"/>
          <w:sz w:val="32"/>
          <w:szCs w:val="32"/>
        </w:rPr>
        <w:t>（二）一般公共预算财政拨款支出决算结构情况</w:t>
      </w:r>
    </w:p>
    <w:p>
      <w:pPr>
        <w:ind w:firstLine="640" w:firstLineChars="200"/>
        <w:rPr>
          <w:rFonts w:ascii="黑体" w:hAnsi="黑体" w:eastAsia="仿宋_GB2312"/>
          <w:sz w:val="32"/>
          <w:szCs w:val="32"/>
        </w:rPr>
      </w:pPr>
      <w:r>
        <w:rPr>
          <w:rFonts w:hint="eastAsia" w:ascii="仿宋_GB2312" w:eastAsia="仿宋_GB2312"/>
          <w:sz w:val="32"/>
          <w:szCs w:val="32"/>
        </w:rPr>
        <w:t>1.社会保障和就业支出(类)36.37万元,占8.74%；</w:t>
      </w:r>
    </w:p>
    <w:p>
      <w:pPr>
        <w:ind w:firstLine="640" w:firstLineChars="200"/>
        <w:outlineLvl w:val="2"/>
        <w:rPr>
          <w:rFonts w:ascii="黑体" w:hAnsi="黑体" w:eastAsia="仿宋_GB2312"/>
          <w:sz w:val="32"/>
          <w:szCs w:val="32"/>
        </w:rPr>
      </w:pPr>
      <w:r>
        <w:rPr>
          <w:rFonts w:hint="eastAsia" w:ascii="仿宋_GB2312" w:eastAsia="仿宋_GB2312"/>
          <w:sz w:val="32"/>
          <w:szCs w:val="32"/>
        </w:rPr>
        <w:t>2.卫生健康支出(类)23.32万元,占5.60%；</w:t>
      </w:r>
    </w:p>
    <w:p>
      <w:pPr>
        <w:ind w:firstLine="640" w:firstLineChars="200"/>
        <w:outlineLvl w:val="2"/>
        <w:rPr>
          <w:rFonts w:ascii="黑体" w:hAnsi="黑体" w:eastAsia="仿宋_GB2312"/>
          <w:sz w:val="32"/>
          <w:szCs w:val="32"/>
        </w:rPr>
      </w:pPr>
      <w:r>
        <w:rPr>
          <w:rFonts w:hint="eastAsia" w:ascii="仿宋_GB2312" w:eastAsia="仿宋_GB2312"/>
          <w:sz w:val="32"/>
          <w:szCs w:val="32"/>
        </w:rPr>
        <w:t>3.农林水支出(类)340.95万元,占81.92%；</w:t>
      </w:r>
    </w:p>
    <w:p>
      <w:pPr>
        <w:ind w:firstLine="640" w:firstLineChars="200"/>
        <w:outlineLvl w:val="2"/>
        <w:rPr>
          <w:rFonts w:ascii="黑体" w:hAnsi="黑体" w:eastAsia="黑体"/>
          <w:sz w:val="32"/>
          <w:szCs w:val="32"/>
        </w:rPr>
      </w:pPr>
      <w:r>
        <w:rPr>
          <w:rFonts w:hint="eastAsia" w:ascii="仿宋_GB2312" w:eastAsia="仿宋_GB2312"/>
          <w:sz w:val="32"/>
          <w:szCs w:val="32"/>
        </w:rPr>
        <w:t>4.住房保障支出(类)15.55万元,占3.74%。</w:t>
      </w:r>
    </w:p>
    <w:p>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b/>
          <w:bCs/>
          <w:sz w:val="32"/>
          <w:szCs w:val="32"/>
          <w:highlight w:val="yellow"/>
        </w:rPr>
      </w:pPr>
      <w:r>
        <w:rPr>
          <w:rFonts w:hint="eastAsia" w:ascii="仿宋_GB2312" w:eastAsia="仿宋_GB2312"/>
          <w:sz w:val="32"/>
          <w:szCs w:val="32"/>
        </w:rPr>
        <w:t>1.社会保障和就业支出(类)行政事业单位养老支出(款)事业单位离退休(项):支出决算数为15.64万元，比上年决算增加2.58万元，增长19.75%</w:t>
      </w:r>
      <w:r>
        <w:rPr>
          <w:rFonts w:ascii="仿宋_GB2312" w:eastAsia="仿宋_GB2312"/>
          <w:sz w:val="32"/>
          <w:szCs w:val="32"/>
        </w:rPr>
        <w:t>,</w:t>
      </w:r>
      <w:r>
        <w:rPr>
          <w:rFonts w:hint="eastAsia" w:ascii="仿宋_GB2312" w:eastAsia="仿宋_GB2312"/>
          <w:sz w:val="32"/>
          <w:szCs w:val="32"/>
        </w:rPr>
        <w:t>主要原因是:本年补发</w:t>
      </w:r>
      <w:r>
        <w:rPr>
          <w:rFonts w:ascii="仿宋_GB2312" w:eastAsia="仿宋_GB2312"/>
          <w:sz w:val="32"/>
          <w:szCs w:val="32"/>
        </w:rPr>
        <w:t>退休人员基础绩效奖及年度考核奖</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仿宋_GB2312" w:eastAsia="仿宋_GB2312"/>
          <w:sz w:val="32"/>
          <w:szCs w:val="32"/>
        </w:rPr>
        <w:t>2.社会保障和就业支出(类)行政事业单位养老支出(款)机关事业单位基本养老保险缴费支出(项):支出决算数为20.73万元，比上年决算增加1.93万元，增长10.27%</w:t>
      </w:r>
      <w:r>
        <w:rPr>
          <w:rFonts w:ascii="仿宋_GB2312" w:eastAsia="仿宋_GB2312"/>
          <w:sz w:val="32"/>
          <w:szCs w:val="32"/>
        </w:rPr>
        <w:t>,</w:t>
      </w:r>
      <w:r>
        <w:rPr>
          <w:rFonts w:hint="eastAsia" w:ascii="仿宋_GB2312" w:eastAsia="仿宋_GB2312"/>
          <w:sz w:val="32"/>
          <w:szCs w:val="32"/>
        </w:rPr>
        <w:t>主要原因是:本年单位新调入2人，机关事业单位基本养老保险缴费基数增加。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3.卫生健康支出(类)行政事业单位医疗(款)事业单位医疗(项):支出决算数为11.16万元，比上年决算增加1.07万元，增长10.60%</w:t>
      </w:r>
      <w:r>
        <w:rPr>
          <w:rFonts w:ascii="仿宋_GB2312" w:eastAsia="仿宋_GB2312"/>
          <w:sz w:val="32"/>
          <w:szCs w:val="32"/>
        </w:rPr>
        <w:t>,</w:t>
      </w:r>
      <w:r>
        <w:rPr>
          <w:rFonts w:hint="eastAsia" w:ascii="仿宋_GB2312" w:eastAsia="仿宋_GB2312"/>
          <w:sz w:val="32"/>
          <w:szCs w:val="32"/>
        </w:rPr>
        <w:t>主要原因是:本年单位新调入2人，职工基本医疗保险缴费基数增加。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4.卫生健康支出(类)行政事业单位医疗(款)公务员医疗补助(项):支出决算数为12.15万元，比上年决算增加1.16万元，增长10.56%</w:t>
      </w:r>
      <w:r>
        <w:rPr>
          <w:rFonts w:ascii="仿宋_GB2312" w:eastAsia="仿宋_GB2312"/>
          <w:sz w:val="32"/>
          <w:szCs w:val="32"/>
        </w:rPr>
        <w:t>,</w:t>
      </w:r>
      <w:r>
        <w:rPr>
          <w:rFonts w:hint="eastAsia" w:ascii="仿宋_GB2312" w:eastAsia="仿宋_GB2312"/>
          <w:sz w:val="32"/>
          <w:szCs w:val="32"/>
        </w:rPr>
        <w:t>主要原因是:本年单位新调入2人，公务员医疗补助缴费基数增加。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5.农林水支出(类)农业农村(款)事业运行(项):支出决算数为201.74万元，比上年决算增加41.63万元，增长26.00%</w:t>
      </w:r>
      <w:r>
        <w:rPr>
          <w:rFonts w:ascii="仿宋_GB2312" w:eastAsia="仿宋_GB2312"/>
          <w:sz w:val="32"/>
          <w:szCs w:val="32"/>
        </w:rPr>
        <w:t>,</w:t>
      </w:r>
      <w:r>
        <w:rPr>
          <w:rFonts w:hint="eastAsia" w:ascii="仿宋_GB2312" w:eastAsia="仿宋_GB2312"/>
          <w:sz w:val="32"/>
          <w:szCs w:val="32"/>
        </w:rPr>
        <w:t>主要原因是:在职人员2022年</w:t>
      </w:r>
      <w:r>
        <w:rPr>
          <w:rFonts w:ascii="仿宋_GB2312" w:eastAsia="仿宋_GB2312"/>
          <w:sz w:val="32"/>
          <w:szCs w:val="32"/>
        </w:rPr>
        <w:t>调整基础绩效</w:t>
      </w:r>
      <w:r>
        <w:rPr>
          <w:rFonts w:hint="eastAsia" w:ascii="仿宋_GB2312" w:eastAsia="仿宋_GB2312"/>
          <w:sz w:val="32"/>
          <w:szCs w:val="32"/>
        </w:rPr>
        <w:t>奖</w:t>
      </w:r>
      <w:r>
        <w:rPr>
          <w:rFonts w:ascii="仿宋_GB2312" w:eastAsia="仿宋_GB2312"/>
          <w:sz w:val="32"/>
          <w:szCs w:val="32"/>
        </w:rPr>
        <w:t>及年度考核奖</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6.农林水支出(类)农业农村(款)农业生产发展(项):支出决算数为139.21万元，比上年决算增加79.21万元，增长132.02%</w:t>
      </w:r>
      <w:r>
        <w:rPr>
          <w:rFonts w:ascii="仿宋_GB2312" w:eastAsia="仿宋_GB2312"/>
          <w:sz w:val="32"/>
          <w:szCs w:val="32"/>
        </w:rPr>
        <w:t>,</w:t>
      </w:r>
      <w:r>
        <w:rPr>
          <w:rFonts w:hint="eastAsia" w:ascii="仿宋_GB2312" w:eastAsia="仿宋_GB2312"/>
          <w:sz w:val="32"/>
          <w:szCs w:val="32"/>
        </w:rPr>
        <w:t>主要原因是:新增自治区农牧业机械化技术示范区建设项目资金</w:t>
      </w:r>
      <w:r>
        <w:rPr>
          <w:rFonts w:ascii="仿宋_GB2312" w:eastAsia="仿宋_GB2312"/>
          <w:sz w:val="32"/>
          <w:szCs w:val="32"/>
        </w:rPr>
        <w:t>支出</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7.住房保障支出(类)住房改革支出(款)住房公积金(项):支出决算数为15.55万元，比上年决算增加1.45万元，增长10.28%</w:t>
      </w:r>
      <w:r>
        <w:rPr>
          <w:rFonts w:ascii="仿宋_GB2312" w:eastAsia="仿宋_GB2312"/>
          <w:sz w:val="32"/>
          <w:szCs w:val="32"/>
        </w:rPr>
        <w:t>,</w:t>
      </w:r>
      <w:r>
        <w:rPr>
          <w:rFonts w:hint="eastAsia" w:ascii="仿宋_GB2312" w:eastAsia="仿宋_GB2312"/>
          <w:sz w:val="32"/>
          <w:szCs w:val="32"/>
        </w:rPr>
        <w:t>主要原因是:本年单位新调入2人，住房公积金缴费</w:t>
      </w:r>
      <w:r>
        <w:rPr>
          <w:rFonts w:ascii="仿宋_GB2312" w:eastAsia="仿宋_GB2312"/>
          <w:sz w:val="32"/>
          <w:szCs w:val="32"/>
        </w:rPr>
        <w:t>基数</w:t>
      </w:r>
      <w:r>
        <w:rPr>
          <w:rFonts w:hint="eastAsia" w:ascii="仿宋_GB2312" w:eastAsia="仿宋_GB2312"/>
          <w:sz w:val="32"/>
          <w:szCs w:val="32"/>
        </w:rPr>
        <w:t>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8.农林水支出(类)农业农村(款)其他农业农村支出(项):支出决算数为0.00万元，比上年决算减少90.00万元，下降100%</w:t>
      </w:r>
      <w:r>
        <w:rPr>
          <w:rFonts w:ascii="仿宋_GB2312" w:eastAsia="仿宋_GB2312"/>
          <w:sz w:val="32"/>
          <w:szCs w:val="32"/>
        </w:rPr>
        <w:t>,</w:t>
      </w:r>
      <w:r>
        <w:rPr>
          <w:rFonts w:hint="eastAsia" w:ascii="仿宋_GB2312" w:eastAsia="仿宋_GB2312"/>
          <w:sz w:val="32"/>
          <w:szCs w:val="32"/>
        </w:rPr>
        <w:t>主要原因是:2022年减少自治区农牧业机械化技术示范区建设项目支出。</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年度一般公共预算财政拨款基本支出</w:t>
      </w:r>
      <w:r>
        <w:rPr>
          <w:rFonts w:ascii="仿宋_GB2312" w:eastAsia="仿宋_GB2312"/>
          <w:sz w:val="32"/>
          <w:szCs w:val="32"/>
        </w:rPr>
        <w:t>276.97</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259.58</w:t>
      </w:r>
      <w:r>
        <w:rPr>
          <w:rFonts w:hint="eastAsia" w:ascii="仿宋_GB2312" w:eastAsia="仿宋_GB2312"/>
          <w:sz w:val="32"/>
          <w:szCs w:val="32"/>
        </w:rPr>
        <w:t>万元，包括：基本工资、津贴补贴、奖金、绩效工资、机关事业单位基本养老保险缴费、职业年金缴费、职工基本医疗保险缴费、公务员医疗补助缴费、其他社会保障缴费、住房公积金、退休费、医疗费补助、奖励金、其他对个人和家庭的补助。</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公用经费17.39万元，包括：办公费、手续费、水费、取暖费、差旅费、劳务费、工会经费、福利费、税金及附加费用、其他商品和服务支出。</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年度财政拨款“三公”经费支出决算</w:t>
      </w:r>
      <w:r>
        <w:rPr>
          <w:rFonts w:ascii="仿宋_GB2312" w:eastAsia="仿宋_GB2312"/>
          <w:sz w:val="32"/>
          <w:szCs w:val="32"/>
        </w:rPr>
        <w:t>4.25</w:t>
      </w:r>
      <w:r>
        <w:rPr>
          <w:rFonts w:hint="eastAsia" w:ascii="仿宋_GB2312" w:eastAsia="仿宋_GB2312"/>
          <w:sz w:val="32"/>
          <w:szCs w:val="32"/>
        </w:rPr>
        <w:t>万元，比上年</w:t>
      </w:r>
      <w:r>
        <w:rPr>
          <w:rFonts w:ascii="仿宋_GB2312" w:eastAsia="仿宋_GB2312"/>
          <w:sz w:val="32"/>
          <w:szCs w:val="32"/>
        </w:rPr>
        <w:t>增加0.20</w:t>
      </w:r>
      <w:r>
        <w:rPr>
          <w:rFonts w:hint="eastAsia" w:ascii="仿宋_GB2312" w:eastAsia="仿宋_GB2312"/>
          <w:sz w:val="32"/>
          <w:szCs w:val="32"/>
        </w:rPr>
        <w:t>万元，</w:t>
      </w:r>
      <w:r>
        <w:rPr>
          <w:rFonts w:ascii="仿宋_GB2312" w:eastAsia="仿宋_GB2312"/>
          <w:sz w:val="32"/>
          <w:szCs w:val="32"/>
        </w:rPr>
        <w:t>增长4.94</w:t>
      </w:r>
      <w:r>
        <w:rPr>
          <w:rFonts w:hint="eastAsia" w:ascii="仿宋_GB2312" w:eastAsia="仿宋_GB2312"/>
          <w:sz w:val="32"/>
          <w:szCs w:val="32"/>
        </w:rPr>
        <w:t>%，主要原因是：车辆车龄较长</w:t>
      </w:r>
      <w:r>
        <w:rPr>
          <w:rFonts w:ascii="仿宋_GB2312" w:eastAsia="仿宋_GB2312"/>
          <w:sz w:val="32"/>
          <w:szCs w:val="32"/>
        </w:rPr>
        <w:t>，车辆维修费较上年增加</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4.25</w:t>
      </w:r>
      <w:r>
        <w:rPr>
          <w:rFonts w:hint="eastAsia" w:ascii="仿宋_GB2312" w:eastAsia="仿宋_GB2312"/>
          <w:sz w:val="32"/>
          <w:szCs w:val="32"/>
        </w:rPr>
        <w:t>万元，占</w:t>
      </w:r>
      <w:r>
        <w:rPr>
          <w:rFonts w:ascii="仿宋_GB2312" w:eastAsia="仿宋_GB2312"/>
          <w:sz w:val="32"/>
          <w:szCs w:val="32"/>
        </w:rPr>
        <w:t>100.00</w:t>
      </w:r>
      <w:r>
        <w:rPr>
          <w:rFonts w:hint="eastAsia" w:ascii="仿宋_GB2312" w:eastAsia="仿宋_GB2312"/>
          <w:sz w:val="32"/>
          <w:szCs w:val="32"/>
        </w:rPr>
        <w:t>%，比上年</w:t>
      </w:r>
      <w:r>
        <w:rPr>
          <w:rFonts w:ascii="仿宋_GB2312" w:eastAsia="仿宋_GB2312"/>
          <w:sz w:val="32"/>
          <w:szCs w:val="32"/>
        </w:rPr>
        <w:t>增加0.25</w:t>
      </w:r>
      <w:r>
        <w:rPr>
          <w:rFonts w:hint="eastAsia" w:ascii="仿宋_GB2312" w:eastAsia="仿宋_GB2312"/>
          <w:sz w:val="32"/>
          <w:szCs w:val="32"/>
        </w:rPr>
        <w:t>万元，</w:t>
      </w:r>
      <w:r>
        <w:rPr>
          <w:rFonts w:ascii="仿宋_GB2312" w:eastAsia="仿宋_GB2312"/>
          <w:sz w:val="32"/>
          <w:szCs w:val="32"/>
        </w:rPr>
        <w:t>增长6.25</w:t>
      </w:r>
      <w:r>
        <w:rPr>
          <w:rFonts w:hint="eastAsia" w:ascii="仿宋_GB2312" w:eastAsia="仿宋_GB2312"/>
          <w:sz w:val="32"/>
          <w:szCs w:val="32"/>
        </w:rPr>
        <w:t>%，主要原因是：车辆车龄较长，车辆维修费较上年增加；公务接待费支出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减少0.05</w:t>
      </w:r>
      <w:r>
        <w:rPr>
          <w:rFonts w:hint="eastAsia" w:ascii="仿宋_GB2312" w:eastAsia="仿宋_GB2312"/>
          <w:sz w:val="32"/>
          <w:szCs w:val="32"/>
        </w:rPr>
        <w:t>万元，</w:t>
      </w:r>
      <w:r>
        <w:rPr>
          <w:rFonts w:ascii="仿宋_GB2312" w:eastAsia="仿宋_GB2312"/>
          <w:sz w:val="32"/>
          <w:szCs w:val="32"/>
        </w:rPr>
        <w:t>下降100.00</w:t>
      </w:r>
      <w:r>
        <w:rPr>
          <w:rFonts w:hint="eastAsia" w:ascii="仿宋_GB2312" w:eastAsia="仿宋_GB2312"/>
          <w:sz w:val="32"/>
          <w:szCs w:val="32"/>
        </w:rPr>
        <w:t>%，主要原因是：单位</w:t>
      </w:r>
      <w:r>
        <w:rPr>
          <w:rFonts w:ascii="仿宋_GB2312" w:eastAsia="仿宋_GB2312"/>
          <w:sz w:val="32"/>
          <w:szCs w:val="32"/>
        </w:rPr>
        <w:t>厉行节约，本年未</w:t>
      </w:r>
      <w:r>
        <w:rPr>
          <w:rFonts w:hint="eastAsia" w:ascii="仿宋_GB2312" w:eastAsia="仿宋_GB2312"/>
          <w:sz w:val="32"/>
          <w:szCs w:val="32"/>
        </w:rPr>
        <w:t>进行</w:t>
      </w:r>
      <w:r>
        <w:rPr>
          <w:rFonts w:ascii="仿宋_GB2312" w:eastAsia="仿宋_GB2312"/>
          <w:sz w:val="32"/>
          <w:szCs w:val="32"/>
        </w:rPr>
        <w:t>接待</w:t>
      </w:r>
      <w:r>
        <w:rPr>
          <w:rFonts w:hint="eastAsia" w:ascii="仿宋_GB2312" w:eastAsia="仿宋_GB2312"/>
          <w:sz w:val="32"/>
          <w:szCs w:val="32"/>
        </w:rPr>
        <w:t>活动。具体情况如下：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4.25</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4.25</w:t>
      </w:r>
      <w:r>
        <w:rPr>
          <w:rFonts w:hint="eastAsia" w:ascii="仿宋_GB2312" w:eastAsia="仿宋_GB2312"/>
          <w:sz w:val="32"/>
          <w:szCs w:val="32"/>
        </w:rPr>
        <w:t>万元。公务用车运行维护费开支内容包括</w:t>
      </w:r>
      <w:bookmarkStart w:id="50" w:name="_GoBack"/>
      <w:bookmarkEnd w:id="50"/>
      <w:r>
        <w:rPr>
          <w:rFonts w:hint="eastAsia" w:ascii="仿宋_GB2312" w:eastAsia="仿宋_GB2312"/>
          <w:sz w:val="32"/>
          <w:szCs w:val="32"/>
        </w:rPr>
        <w:t>公务用车燃油费、保险费、维修</w:t>
      </w:r>
      <w:r>
        <w:rPr>
          <w:rFonts w:ascii="仿宋_GB2312" w:eastAsia="仿宋_GB2312"/>
          <w:sz w:val="32"/>
          <w:szCs w:val="32"/>
        </w:rPr>
        <w:t>保养费、</w:t>
      </w:r>
      <w:r>
        <w:rPr>
          <w:rFonts w:hint="eastAsia" w:ascii="仿宋_GB2312" w:eastAsia="仿宋_GB2312"/>
          <w:sz w:val="32"/>
          <w:szCs w:val="32"/>
        </w:rPr>
        <w:t>过路费等。公务用车购置数</w:t>
      </w:r>
      <w:r>
        <w:rPr>
          <w:rFonts w:ascii="仿宋_GB2312" w:eastAsia="仿宋_GB2312"/>
          <w:sz w:val="32"/>
          <w:szCs w:val="32"/>
        </w:rPr>
        <w:t>0</w:t>
      </w:r>
      <w:r>
        <w:rPr>
          <w:rFonts w:hint="eastAsia" w:ascii="仿宋_GB2312" w:eastAsia="仿宋_GB2312"/>
          <w:sz w:val="32"/>
          <w:szCs w:val="32"/>
        </w:rPr>
        <w:t>辆，公务用车保有量3辆。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与全年预算数相比情况：“三公”经费支出全年预算数5.09万元，决算数</w:t>
      </w:r>
      <w:r>
        <w:rPr>
          <w:rFonts w:ascii="仿宋_GB2312" w:eastAsia="仿宋_GB2312"/>
          <w:sz w:val="32"/>
          <w:szCs w:val="32"/>
        </w:rPr>
        <w:t>4.25</w:t>
      </w:r>
      <w:r>
        <w:rPr>
          <w:rFonts w:hint="eastAsia" w:ascii="仿宋_GB2312" w:eastAsia="仿宋_GB2312"/>
          <w:sz w:val="32"/>
          <w:szCs w:val="32"/>
        </w:rPr>
        <w:t>万元，预决算差异率-16.50%，主要原因是：因受</w:t>
      </w:r>
      <w:r>
        <w:rPr>
          <w:rFonts w:ascii="仿宋_GB2312" w:eastAsia="仿宋_GB2312"/>
          <w:sz w:val="32"/>
          <w:szCs w:val="32"/>
        </w:rPr>
        <w:t>疫情影响，封城四个月，减少公务用车使用次数</w:t>
      </w:r>
      <w:r>
        <w:rPr>
          <w:rFonts w:hint="eastAsia" w:ascii="仿宋_GB2312" w:eastAsia="仿宋_GB2312"/>
          <w:sz w:val="32"/>
          <w:szCs w:val="32"/>
        </w:rPr>
        <w:t>。</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0.00万元，决算数0.00万元，预决算差异率0.00%，主要原因是：本单位无因公出国（境）费；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费全年预算数0.00万元，决算数0.00万元，预决算差异率0.00%，主要原因是：本单位无公务用车购置费；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预算数5.00万元，决算数4.25万元，预决算差异率-15.00%，主要原因是：因受疫情影响，封城四个月，减少公务用车使用次数；</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0.09</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万元，预决算差异率-100.00%，主要原因是：响应国家</w:t>
      </w:r>
      <w:r>
        <w:rPr>
          <w:rFonts w:ascii="仿宋_GB2312" w:eastAsia="仿宋_GB2312"/>
          <w:sz w:val="32"/>
          <w:szCs w:val="32"/>
        </w:rPr>
        <w:t>号召，厉行节约，本年未进行公务接待活动</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rPr>
          <w:rFonts w:ascii="Arial" w:hAnsi="Arial" w:cs="Arial"/>
          <w:color w:val="4D4D4D"/>
          <w:shd w:val="clear" w:color="auto" w:fill="FFFFFF"/>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rPr>
          <w:rFonts w:ascii="仿宋_GB2312" w:eastAsia="仿宋_GB2312"/>
          <w:sz w:val="32"/>
          <w:szCs w:val="32"/>
        </w:rPr>
      </w:pPr>
      <w:r>
        <w:rPr>
          <w:rFonts w:hint="eastAsia" w:ascii="黑体" w:hAnsi="黑体" w:eastAsia="黑体" w:cs="宋体"/>
          <w:bCs/>
          <w:kern w:val="0"/>
          <w:sz w:val="32"/>
          <w:szCs w:val="32"/>
        </w:rPr>
        <w:t>十、其他重要事项的情况说明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outlineLvl w:val="2"/>
        <w:rPr>
          <w:rFonts w:ascii="黑体" w:hAnsi="黑体" w:eastAsia="黑体"/>
          <w:sz w:val="32"/>
          <w:szCs w:val="32"/>
        </w:rPr>
      </w:pPr>
      <w:r>
        <w:rPr>
          <w:rFonts w:hint="eastAsia" w:ascii="仿宋_GB2312" w:eastAsia="仿宋_GB2312"/>
          <w:sz w:val="32"/>
          <w:szCs w:val="32"/>
        </w:rPr>
        <w:t>2022年度新疆维吾尔自治区农牧业机械化技术推广总站公用经费17.39万元，比上年增加4.40万元，增长33.87%，主要原因是：受疫情</w:t>
      </w:r>
      <w:r>
        <w:rPr>
          <w:rFonts w:ascii="仿宋_GB2312" w:eastAsia="仿宋_GB2312"/>
          <w:sz w:val="32"/>
          <w:szCs w:val="32"/>
        </w:rPr>
        <w:t>影响，单位增加疫情防控</w:t>
      </w:r>
      <w:r>
        <w:rPr>
          <w:rFonts w:hint="eastAsia" w:ascii="仿宋_GB2312" w:eastAsia="仿宋_GB2312"/>
          <w:sz w:val="32"/>
          <w:szCs w:val="32"/>
        </w:rPr>
        <w:t>耗材</w:t>
      </w:r>
      <w:r>
        <w:rPr>
          <w:rFonts w:ascii="仿宋_GB2312" w:eastAsia="仿宋_GB2312"/>
          <w:sz w:val="32"/>
          <w:szCs w:val="32"/>
        </w:rPr>
        <w:t>支出</w:t>
      </w:r>
      <w:r>
        <w:rPr>
          <w:rFonts w:hint="eastAsia" w:ascii="仿宋_GB2312" w:eastAsia="仿宋_GB2312"/>
          <w:sz w:val="32"/>
          <w:szCs w:val="32"/>
        </w:rPr>
        <w:t>。</w:t>
      </w:r>
    </w:p>
    <w:p>
      <w:pPr>
        <w:ind w:firstLine="800" w:firstLineChars="250"/>
        <w:outlineLvl w:val="2"/>
        <w:rPr>
          <w:rFonts w:ascii="黑体" w:hAnsi="黑体" w:eastAsia="黑体"/>
          <w:sz w:val="32"/>
          <w:szCs w:val="32"/>
        </w:rPr>
      </w:pPr>
      <w:bookmarkStart w:id="24" w:name="_Toc26704"/>
      <w:bookmarkStart w:id="25" w:name="_Toc227"/>
      <w:r>
        <w:rPr>
          <w:rFonts w:hint="eastAsia" w:ascii="黑体" w:hAnsi="黑体" w:eastAsia="黑体"/>
          <w:sz w:val="32"/>
          <w:szCs w:val="32"/>
        </w:rPr>
        <w:t>（二）政府采购情况</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2022年度政府采购支出总额</w:t>
      </w:r>
      <w:r>
        <w:rPr>
          <w:rFonts w:ascii="仿宋_GB2312" w:eastAsia="仿宋_GB2312"/>
          <w:sz w:val="32"/>
          <w:szCs w:val="32"/>
        </w:rPr>
        <w:t>4.03</w:t>
      </w:r>
      <w:r>
        <w:rPr>
          <w:rFonts w:hint="eastAsia" w:ascii="仿宋_GB2312" w:eastAsia="仿宋_GB2312"/>
          <w:sz w:val="32"/>
          <w:szCs w:val="32"/>
        </w:rPr>
        <w:t>万元，其中：政府采购货物支出</w:t>
      </w:r>
      <w:r>
        <w:rPr>
          <w:rFonts w:ascii="仿宋_GB2312" w:eastAsia="仿宋_GB2312"/>
          <w:sz w:val="32"/>
          <w:szCs w:val="32"/>
        </w:rPr>
        <w:t>1.26</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2.77</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4.03</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%，其中：授予小微企业合同金额</w:t>
      </w:r>
      <w:r>
        <w:rPr>
          <w:rFonts w:ascii="仿宋_GB2312" w:eastAsia="仿宋_GB2312"/>
          <w:sz w:val="32"/>
          <w:szCs w:val="32"/>
        </w:rPr>
        <w:t>4.03</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6" w:name="_Toc4591"/>
      <w:bookmarkStart w:id="27" w:name="_Toc8391"/>
      <w:r>
        <w:rPr>
          <w:rFonts w:hint="eastAsia" w:ascii="黑体" w:hAnsi="黑体" w:eastAsia="黑体"/>
          <w:sz w:val="32"/>
          <w:szCs w:val="32"/>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截止2022年12月31日，固定资产原值195.45万元，房屋</w:t>
      </w:r>
      <w:r>
        <w:rPr>
          <w:rFonts w:ascii="仿宋_GB2312" w:eastAsia="仿宋_GB2312"/>
          <w:sz w:val="32"/>
          <w:szCs w:val="32"/>
        </w:rPr>
        <w:t>400.00</w:t>
      </w:r>
      <w:r>
        <w:rPr>
          <w:rFonts w:hint="eastAsia" w:ascii="仿宋_GB2312" w:eastAsia="仿宋_GB2312"/>
          <w:sz w:val="32"/>
          <w:szCs w:val="32"/>
        </w:rPr>
        <w:t>平方米，价值</w:t>
      </w:r>
      <w:r>
        <w:rPr>
          <w:rFonts w:ascii="仿宋_GB2312" w:eastAsia="仿宋_GB2312"/>
          <w:sz w:val="32"/>
          <w:szCs w:val="32"/>
        </w:rPr>
        <w:t>21.00</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85.62</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3</w:t>
      </w:r>
      <w:r>
        <w:rPr>
          <w:rFonts w:hint="eastAsia" w:ascii="仿宋_GB2312" w:eastAsia="仿宋_GB2312"/>
          <w:sz w:val="32"/>
          <w:szCs w:val="32"/>
        </w:rPr>
        <w:t>辆，其他用车主要是：3辆均为单位业务用车；单价100万元（含）以上设备（不含车辆）</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480" w:firstLineChars="15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2022</w:t>
      </w:r>
      <w:r>
        <w:rPr>
          <w:rFonts w:hint="eastAsia" w:ascii="仿宋_GB2312" w:eastAsia="仿宋_GB2312"/>
          <w:sz w:val="32"/>
          <w:szCs w:val="32"/>
        </w:rPr>
        <w:t>年度开展预算绩效评价项目</w:t>
      </w:r>
      <w:r>
        <w:rPr>
          <w:rFonts w:ascii="仿宋_GB2312" w:eastAsia="仿宋_GB2312"/>
          <w:sz w:val="32"/>
          <w:szCs w:val="32"/>
        </w:rPr>
        <w:t>1</w:t>
      </w:r>
      <w:r>
        <w:rPr>
          <w:rFonts w:hint="eastAsia" w:ascii="仿宋_GB2312" w:eastAsia="仿宋_GB2312"/>
          <w:sz w:val="32"/>
          <w:szCs w:val="32"/>
        </w:rPr>
        <w:t>个，全年预算数50.00万元，全年执行数49.21万元。预算绩效管理取得的成效：</w:t>
      </w:r>
      <w:r>
        <w:rPr>
          <w:rFonts w:ascii="仿宋_GB2312" w:eastAsia="仿宋_GB2312"/>
          <w:sz w:val="32"/>
          <w:szCs w:val="32"/>
        </w:rPr>
        <w:t>一是严格坚持先做事、后验收、再拨付的原则，基本杜绝了资金被挤占和挪用现象的发生，跟踪检查到位。财政、纪检、监察等职能部门全面参与专项资金事前、事中和事后全过程的监管；二是在监督环节上，实行关口前移，从事后监督管理转向事前审核，事中监督和事后检查稽核相结合的监督制度上来，形成多环节全过程的监督管理格局，尽量早发现问题，早解决问题</w:t>
      </w:r>
      <w:r>
        <w:rPr>
          <w:rFonts w:hint="eastAsia" w:ascii="仿宋_GB2312" w:eastAsia="仿宋_GB2312"/>
          <w:sz w:val="32"/>
          <w:szCs w:val="32"/>
        </w:rPr>
        <w:t>。发现的问题及原因：</w:t>
      </w:r>
      <w:r>
        <w:rPr>
          <w:rFonts w:ascii="仿宋_GB2312" w:eastAsia="仿宋_GB2312"/>
          <w:sz w:val="32"/>
          <w:szCs w:val="32"/>
        </w:rPr>
        <w:t>一是受疫情影响，部分工作现场试验指导时间、次数受限；二是单位工作性质的原因，季节性比较强，有时不能准确按照资金支出节点按时完成</w:t>
      </w:r>
      <w:r>
        <w:rPr>
          <w:rFonts w:hint="eastAsia" w:ascii="仿宋_GB2312" w:eastAsia="仿宋_GB2312"/>
          <w:sz w:val="32"/>
          <w:szCs w:val="32"/>
        </w:rPr>
        <w:t>。下一步改进措施：</w:t>
      </w:r>
      <w:r>
        <w:rPr>
          <w:rFonts w:ascii="仿宋_GB2312" w:eastAsia="仿宋_GB2312"/>
          <w:sz w:val="32"/>
          <w:szCs w:val="32"/>
        </w:rPr>
        <w:t>一是结合农机化推广工作考核建立绩效工作考核制度，加大全单位对全面实施预算绩效管理和绩效管理工作的学习力度，让“花钱必问效，无效必问责”的理念深入工作每个环节。二是进一步建立健全工作机制，完善内控制度，到2021年底，基本形成科学合理、高效严谨的全面绩效管理制度和体系</w:t>
      </w:r>
      <w:r>
        <w:rPr>
          <w:rFonts w:hint="eastAsia" w:ascii="仿宋_GB2312" w:eastAsia="仿宋_GB2312"/>
          <w:sz w:val="32"/>
          <w:szCs w:val="32"/>
        </w:rPr>
        <w:t>。具体项目自评情况见附件。</w:t>
      </w:r>
    </w:p>
    <w:p>
      <w:pPr>
        <w:rPr>
          <w:rFonts w:ascii="仿宋_GB2312" w:eastAsia="仿宋_GB2312"/>
          <w:sz w:val="32"/>
          <w:szCs w:val="32"/>
        </w:rPr>
      </w:pPr>
    </w:p>
    <w:p>
      <w:pPr>
        <w:ind w:firstLine="640" w:firstLineChars="200"/>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bookmarkStart w:id="32" w:name="_Toc28903"/>
      <w:bookmarkStart w:id="33" w:name="_Toc22784"/>
      <w:r>
        <w:rPr>
          <w:rFonts w:hint="eastAsia" w:ascii="黑体" w:hAnsi="黑体" w:eastAsia="黑体"/>
          <w:sz w:val="32"/>
          <w:szCs w:val="32"/>
        </w:rPr>
        <w:br w:type="page"/>
      </w:r>
      <w:r>
        <w:rPr>
          <w:rFonts w:hint="eastAsia" w:ascii="黑体" w:hAnsi="黑体" w:eastAsia="黑体"/>
          <w:sz w:val="32"/>
          <w:szCs w:val="32"/>
        </w:rPr>
        <w:t>第四部分 部门决算报表（见附表）</w:t>
      </w:r>
      <w:bookmarkEnd w:id="32"/>
      <w:bookmarkEnd w:id="33"/>
    </w:p>
    <w:p>
      <w:pPr>
        <w:ind w:firstLine="640" w:firstLineChars="200"/>
        <w:outlineLvl w:val="1"/>
        <w:rPr>
          <w:rFonts w:ascii="黑体" w:hAnsi="黑体" w:eastAsia="黑体" w:cs="宋体"/>
          <w:bCs/>
          <w:kern w:val="0"/>
          <w:sz w:val="32"/>
          <w:szCs w:val="32"/>
        </w:rPr>
      </w:pPr>
      <w:bookmarkStart w:id="34" w:name="_Toc2183"/>
      <w:bookmarkStart w:id="35" w:name="_Toc6062"/>
      <w:r>
        <w:rPr>
          <w:rFonts w:hint="eastAsia" w:ascii="黑体" w:hAnsi="黑体" w:eastAsia="黑体" w:cs="宋体"/>
          <w:bCs/>
          <w:kern w:val="0"/>
          <w:sz w:val="32"/>
          <w:szCs w:val="32"/>
        </w:rPr>
        <w:t>一、《收入支出决算总表》</w:t>
      </w:r>
      <w:bookmarkEnd w:id="34"/>
      <w:bookmarkEnd w:id="35"/>
    </w:p>
    <w:p>
      <w:pPr>
        <w:ind w:firstLine="640" w:firstLineChars="200"/>
        <w:outlineLvl w:val="1"/>
        <w:rPr>
          <w:rFonts w:ascii="黑体" w:hAnsi="黑体" w:eastAsia="黑体" w:cs="宋体"/>
          <w:bCs/>
          <w:kern w:val="0"/>
          <w:sz w:val="32"/>
          <w:szCs w:val="32"/>
        </w:rPr>
      </w:pPr>
      <w:bookmarkStart w:id="36" w:name="_Toc24532"/>
      <w:bookmarkStart w:id="37" w:name="_Toc30364"/>
      <w:r>
        <w:rPr>
          <w:rFonts w:hint="eastAsia" w:ascii="黑体" w:hAnsi="黑体" w:eastAsia="黑体" w:cs="宋体"/>
          <w:bCs/>
          <w:kern w:val="0"/>
          <w:sz w:val="32"/>
          <w:szCs w:val="32"/>
        </w:rPr>
        <w:t>二、《收入决算表》</w:t>
      </w:r>
      <w:bookmarkEnd w:id="36"/>
      <w:bookmarkEnd w:id="37"/>
    </w:p>
    <w:p>
      <w:pPr>
        <w:ind w:firstLine="640" w:firstLineChars="200"/>
        <w:outlineLvl w:val="1"/>
        <w:rPr>
          <w:rFonts w:ascii="黑体" w:hAnsi="黑体" w:eastAsia="黑体" w:cs="宋体"/>
          <w:bCs/>
          <w:kern w:val="0"/>
          <w:sz w:val="32"/>
          <w:szCs w:val="32"/>
        </w:rPr>
      </w:pPr>
      <w:bookmarkStart w:id="38" w:name="_Toc32434"/>
      <w:bookmarkStart w:id="39" w:name="_Toc21304"/>
      <w:r>
        <w:rPr>
          <w:rFonts w:hint="eastAsia" w:ascii="黑体" w:hAnsi="黑体" w:eastAsia="黑体" w:cs="宋体"/>
          <w:bCs/>
          <w:kern w:val="0"/>
          <w:sz w:val="32"/>
          <w:szCs w:val="32"/>
        </w:rPr>
        <w:t>三、《支出决算表》</w:t>
      </w:r>
      <w:bookmarkEnd w:id="38"/>
      <w:bookmarkEnd w:id="39"/>
    </w:p>
    <w:p>
      <w:pPr>
        <w:ind w:firstLine="640" w:firstLineChars="200"/>
        <w:outlineLvl w:val="1"/>
        <w:rPr>
          <w:rFonts w:ascii="黑体" w:hAnsi="黑体" w:eastAsia="黑体" w:cs="宋体"/>
          <w:bCs/>
          <w:kern w:val="0"/>
          <w:sz w:val="32"/>
          <w:szCs w:val="32"/>
        </w:rPr>
      </w:pPr>
      <w:bookmarkStart w:id="40" w:name="_Toc28786"/>
      <w:bookmarkStart w:id="41" w:name="_Toc14238"/>
      <w:r>
        <w:rPr>
          <w:rFonts w:hint="eastAsia" w:ascii="黑体" w:hAnsi="黑体" w:eastAsia="黑体" w:cs="宋体"/>
          <w:bCs/>
          <w:kern w:val="0"/>
          <w:sz w:val="32"/>
          <w:szCs w:val="32"/>
        </w:rPr>
        <w:t>四、《财政拨款收入支出决算总表》</w:t>
      </w:r>
      <w:bookmarkEnd w:id="40"/>
      <w:bookmarkEnd w:id="41"/>
    </w:p>
    <w:p>
      <w:pPr>
        <w:ind w:firstLine="640" w:firstLineChars="200"/>
        <w:outlineLvl w:val="1"/>
        <w:rPr>
          <w:rFonts w:ascii="黑体" w:hAnsi="黑体" w:eastAsia="黑体" w:cs="宋体"/>
          <w:bCs/>
          <w:kern w:val="0"/>
          <w:sz w:val="32"/>
          <w:szCs w:val="32"/>
        </w:rPr>
      </w:pPr>
      <w:bookmarkStart w:id="42" w:name="_Toc10347"/>
      <w:bookmarkStart w:id="43" w:name="_Toc14869"/>
      <w:r>
        <w:rPr>
          <w:rFonts w:hint="eastAsia" w:ascii="黑体" w:hAnsi="黑体" w:eastAsia="黑体" w:cs="宋体"/>
          <w:bCs/>
          <w:kern w:val="0"/>
          <w:sz w:val="32"/>
          <w:szCs w:val="32"/>
        </w:rPr>
        <w:t>五、《一般公共预算财政拨款支出决算表》</w:t>
      </w:r>
      <w:bookmarkEnd w:id="42"/>
      <w:bookmarkEnd w:id="43"/>
    </w:p>
    <w:p>
      <w:pPr>
        <w:ind w:firstLine="640" w:firstLineChars="200"/>
        <w:outlineLvl w:val="1"/>
        <w:rPr>
          <w:rFonts w:ascii="黑体" w:hAnsi="黑体" w:eastAsia="黑体" w:cs="宋体"/>
          <w:bCs/>
          <w:kern w:val="0"/>
          <w:sz w:val="32"/>
          <w:szCs w:val="32"/>
        </w:rPr>
      </w:pPr>
      <w:bookmarkStart w:id="44" w:name="_Toc8884"/>
      <w:bookmarkStart w:id="45" w:name="_Toc5626"/>
      <w:r>
        <w:rPr>
          <w:rFonts w:hint="eastAsia" w:ascii="黑体" w:hAnsi="黑体" w:eastAsia="黑体" w:cs="宋体"/>
          <w:bCs/>
          <w:kern w:val="0"/>
          <w:sz w:val="32"/>
          <w:szCs w:val="32"/>
        </w:rPr>
        <w:t>六、《一般公共预算财政拨款基本支出决算表》</w:t>
      </w:r>
      <w:bookmarkEnd w:id="44"/>
      <w:bookmarkEnd w:id="45"/>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w:t>
      </w:r>
      <w:bookmarkStart w:id="46" w:name="_Toc32663"/>
      <w:bookmarkStart w:id="47" w:name="_Toc29106"/>
      <w:r>
        <w:rPr>
          <w:rFonts w:hint="eastAsia" w:ascii="黑体" w:hAnsi="黑体" w:eastAsia="黑体" w:cs="宋体"/>
          <w:bCs/>
          <w:kern w:val="0"/>
          <w:sz w:val="32"/>
          <w:szCs w:val="32"/>
        </w:rPr>
        <w:t>《财政拨款“三公”经费支出决算表》</w:t>
      </w:r>
      <w:bookmarkEnd w:id="46"/>
      <w:bookmarkEnd w:id="47"/>
    </w:p>
    <w:p>
      <w:pPr>
        <w:ind w:firstLine="640" w:firstLineChars="200"/>
        <w:outlineLvl w:val="1"/>
        <w:rPr>
          <w:rFonts w:ascii="黑体" w:hAnsi="黑体" w:eastAsia="黑体" w:cs="宋体"/>
          <w:bCs/>
          <w:kern w:val="0"/>
          <w:sz w:val="32"/>
          <w:szCs w:val="32"/>
        </w:rPr>
      </w:pPr>
      <w:bookmarkStart w:id="48" w:name="_Toc7643"/>
      <w:bookmarkStart w:id="49" w:name="_Toc5453"/>
      <w:r>
        <w:rPr>
          <w:rFonts w:hint="eastAsia" w:ascii="黑体" w:hAnsi="黑体" w:eastAsia="黑体" w:cs="宋体"/>
          <w:bCs/>
          <w:kern w:val="0"/>
          <w:sz w:val="32"/>
          <w:szCs w:val="32"/>
        </w:rPr>
        <w:t>八、《政府性基金预算财政拨款收入支出决算表》</w:t>
      </w:r>
      <w:bookmarkEnd w:id="48"/>
      <w:bookmarkEnd w:id="49"/>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p>
      <w:pPr>
        <w:ind w:firstLine="640" w:firstLineChars="200"/>
        <w:outlineLvl w:val="1"/>
        <w:rPr>
          <w:rFonts w:ascii="黑体" w:hAnsi="黑体" w:eastAsia="黑体" w:cs="宋体"/>
          <w:bCs/>
          <w:kern w:val="0"/>
          <w:sz w:val="32"/>
          <w:szCs w:val="32"/>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_GBK">
    <w:altName w:val="微软雅黑"/>
    <w:panose1 w:val="00000000000000000000"/>
    <w:charset w:val="86"/>
    <w:family w:val="auto"/>
    <w:pitch w:val="default"/>
    <w:sig w:usb0="00000000" w:usb1="080E0000" w:usb2="00000000" w:usb3="00000000" w:csb0="00040000" w:csb1="00000000"/>
  </w:font>
  <w:font w:name="仿宋_GB2312">
    <w:altName w:val="仿宋"/>
    <w:panose1 w:val="02010609030101010101"/>
    <w:charset w:val="86"/>
    <w:family w:val="auto"/>
    <w:pitch w:val="default"/>
    <w:sig w:usb0="00000001" w:usb1="080E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r>
      <w:rPr>
        <w:rFonts w:ascii="Times New Roman" w:hAnsi="Times New Roman" w:eastAsia="宋体" w:cs="Times New Roman"/>
        <w:kern w:val="2"/>
        <w:sz w:val="18"/>
        <w:szCs w:val="24"/>
        <w:lang w:val="en-US" w:eastAsia="zh-CN" w:bidi="ar-SA"/>
      </w:rPr>
      <w:pict>
        <v:rect id="文本框 1" o:spid="_x0000_s1025" style="position:absolute;left:0;margin-top:0pt;height:10.35pt;width:4.55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oNotDisplayPageBoundaries w:val="1"/>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OWE0ODAyZjJlMDdlM2EwYmEwMjM3NzQ1MDBlM2ZhZmQifQ=="/>
  </w:docVars>
  <w:rsids>
    <w:rsidRoot w:val="00312C27"/>
    <w:rsid w:val="00012F23"/>
    <w:rsid w:val="00021E76"/>
    <w:rsid w:val="000229DC"/>
    <w:rsid w:val="0002765D"/>
    <w:rsid w:val="0003297B"/>
    <w:rsid w:val="000379B3"/>
    <w:rsid w:val="0005626F"/>
    <w:rsid w:val="000724E7"/>
    <w:rsid w:val="0008509D"/>
    <w:rsid w:val="00090520"/>
    <w:rsid w:val="000A0B31"/>
    <w:rsid w:val="000D267C"/>
    <w:rsid w:val="000E7B17"/>
    <w:rsid w:val="00135BB7"/>
    <w:rsid w:val="0016194B"/>
    <w:rsid w:val="001762A3"/>
    <w:rsid w:val="001B147B"/>
    <w:rsid w:val="001C3354"/>
    <w:rsid w:val="00215836"/>
    <w:rsid w:val="00221441"/>
    <w:rsid w:val="00224B57"/>
    <w:rsid w:val="00235C0B"/>
    <w:rsid w:val="00240AA1"/>
    <w:rsid w:val="002463AF"/>
    <w:rsid w:val="00271C68"/>
    <w:rsid w:val="00293E4A"/>
    <w:rsid w:val="00294495"/>
    <w:rsid w:val="0029483B"/>
    <w:rsid w:val="002A2698"/>
    <w:rsid w:val="002D1584"/>
    <w:rsid w:val="00312C27"/>
    <w:rsid w:val="00366326"/>
    <w:rsid w:val="003A21C7"/>
    <w:rsid w:val="003B1B1F"/>
    <w:rsid w:val="003C2E0F"/>
    <w:rsid w:val="003E4817"/>
    <w:rsid w:val="003F04B0"/>
    <w:rsid w:val="003F1325"/>
    <w:rsid w:val="003F3219"/>
    <w:rsid w:val="00436039"/>
    <w:rsid w:val="00460D47"/>
    <w:rsid w:val="00484954"/>
    <w:rsid w:val="004A0689"/>
    <w:rsid w:val="004C2483"/>
    <w:rsid w:val="004C4A14"/>
    <w:rsid w:val="004C6A74"/>
    <w:rsid w:val="004D41E0"/>
    <w:rsid w:val="00517943"/>
    <w:rsid w:val="00531F92"/>
    <w:rsid w:val="00556D35"/>
    <w:rsid w:val="00557718"/>
    <w:rsid w:val="00561710"/>
    <w:rsid w:val="00571ACE"/>
    <w:rsid w:val="00572CBD"/>
    <w:rsid w:val="005A07B6"/>
    <w:rsid w:val="005A161C"/>
    <w:rsid w:val="005B643B"/>
    <w:rsid w:val="005C3DEB"/>
    <w:rsid w:val="005D0AD9"/>
    <w:rsid w:val="005D1C2D"/>
    <w:rsid w:val="005E3B4A"/>
    <w:rsid w:val="0060159A"/>
    <w:rsid w:val="00626A93"/>
    <w:rsid w:val="00656E06"/>
    <w:rsid w:val="00665BE8"/>
    <w:rsid w:val="00680772"/>
    <w:rsid w:val="006B52D5"/>
    <w:rsid w:val="006C27D5"/>
    <w:rsid w:val="006C2D78"/>
    <w:rsid w:val="006D1EE8"/>
    <w:rsid w:val="006E797E"/>
    <w:rsid w:val="006F4050"/>
    <w:rsid w:val="006F66CC"/>
    <w:rsid w:val="0071348F"/>
    <w:rsid w:val="00752DF5"/>
    <w:rsid w:val="00753B65"/>
    <w:rsid w:val="00760DE7"/>
    <w:rsid w:val="007649BA"/>
    <w:rsid w:val="007A247A"/>
    <w:rsid w:val="007A31DF"/>
    <w:rsid w:val="007B559C"/>
    <w:rsid w:val="007D31C5"/>
    <w:rsid w:val="007E0AAA"/>
    <w:rsid w:val="007E2227"/>
    <w:rsid w:val="007F2258"/>
    <w:rsid w:val="0081064F"/>
    <w:rsid w:val="00840D95"/>
    <w:rsid w:val="0084474D"/>
    <w:rsid w:val="0089722A"/>
    <w:rsid w:val="008A0B2C"/>
    <w:rsid w:val="008A44AF"/>
    <w:rsid w:val="008B33C8"/>
    <w:rsid w:val="008D0631"/>
    <w:rsid w:val="00926C84"/>
    <w:rsid w:val="00927CCC"/>
    <w:rsid w:val="00955F5A"/>
    <w:rsid w:val="00986787"/>
    <w:rsid w:val="00A22AE4"/>
    <w:rsid w:val="00A3556A"/>
    <w:rsid w:val="00A636E4"/>
    <w:rsid w:val="00A87103"/>
    <w:rsid w:val="00AD7F3D"/>
    <w:rsid w:val="00B33BF0"/>
    <w:rsid w:val="00B4517D"/>
    <w:rsid w:val="00B8497D"/>
    <w:rsid w:val="00B92C80"/>
    <w:rsid w:val="00BA3B30"/>
    <w:rsid w:val="00BB3B5A"/>
    <w:rsid w:val="00BC69BD"/>
    <w:rsid w:val="00BD3218"/>
    <w:rsid w:val="00BD5200"/>
    <w:rsid w:val="00BE4763"/>
    <w:rsid w:val="00BF7AA6"/>
    <w:rsid w:val="00C0408D"/>
    <w:rsid w:val="00C25C01"/>
    <w:rsid w:val="00C65103"/>
    <w:rsid w:val="00C72285"/>
    <w:rsid w:val="00C77B7E"/>
    <w:rsid w:val="00C90C12"/>
    <w:rsid w:val="00CA6634"/>
    <w:rsid w:val="00CA7E22"/>
    <w:rsid w:val="00CB036E"/>
    <w:rsid w:val="00CD3225"/>
    <w:rsid w:val="00CF7E34"/>
    <w:rsid w:val="00D020FB"/>
    <w:rsid w:val="00D41FF8"/>
    <w:rsid w:val="00D6267B"/>
    <w:rsid w:val="00D66A40"/>
    <w:rsid w:val="00D76208"/>
    <w:rsid w:val="00D8609B"/>
    <w:rsid w:val="00DB2FD0"/>
    <w:rsid w:val="00E04D53"/>
    <w:rsid w:val="00E2268A"/>
    <w:rsid w:val="00E25E17"/>
    <w:rsid w:val="00E3623A"/>
    <w:rsid w:val="00E45222"/>
    <w:rsid w:val="00E677D5"/>
    <w:rsid w:val="00EB34D7"/>
    <w:rsid w:val="00EC60C6"/>
    <w:rsid w:val="00EE4EA5"/>
    <w:rsid w:val="00F20986"/>
    <w:rsid w:val="00F20EB6"/>
    <w:rsid w:val="00F216E3"/>
    <w:rsid w:val="00F26856"/>
    <w:rsid w:val="00F30DDE"/>
    <w:rsid w:val="00F53C2D"/>
    <w:rsid w:val="00F61DA2"/>
    <w:rsid w:val="00F66B7F"/>
    <w:rsid w:val="00F7210D"/>
    <w:rsid w:val="00F8314A"/>
    <w:rsid w:val="00F95054"/>
    <w:rsid w:val="00FC248B"/>
    <w:rsid w:val="00FF6A37"/>
    <w:rsid w:val="034D4FEF"/>
    <w:rsid w:val="043E5B56"/>
    <w:rsid w:val="06792773"/>
    <w:rsid w:val="0A7B4867"/>
    <w:rsid w:val="0AE83DE6"/>
    <w:rsid w:val="0B8C3ECC"/>
    <w:rsid w:val="0BBA0A81"/>
    <w:rsid w:val="0C7227A7"/>
    <w:rsid w:val="0F3317C1"/>
    <w:rsid w:val="12386E6F"/>
    <w:rsid w:val="14155180"/>
    <w:rsid w:val="15F06E99"/>
    <w:rsid w:val="180A6149"/>
    <w:rsid w:val="1C7A04C1"/>
    <w:rsid w:val="1DAF458D"/>
    <w:rsid w:val="20DD6197"/>
    <w:rsid w:val="21A91B81"/>
    <w:rsid w:val="222A65E3"/>
    <w:rsid w:val="23BC04D2"/>
    <w:rsid w:val="23FB0802"/>
    <w:rsid w:val="277F0ACA"/>
    <w:rsid w:val="27CF2642"/>
    <w:rsid w:val="2A053397"/>
    <w:rsid w:val="2D1136DF"/>
    <w:rsid w:val="2DD47676"/>
    <w:rsid w:val="2E743C6A"/>
    <w:rsid w:val="2F916B46"/>
    <w:rsid w:val="2FD27414"/>
    <w:rsid w:val="2FD45ADE"/>
    <w:rsid w:val="3011436C"/>
    <w:rsid w:val="31C63837"/>
    <w:rsid w:val="35FB19DD"/>
    <w:rsid w:val="3914510A"/>
    <w:rsid w:val="3B12207E"/>
    <w:rsid w:val="3B3C07D5"/>
    <w:rsid w:val="3D2A665C"/>
    <w:rsid w:val="3D3E6E11"/>
    <w:rsid w:val="3D5275AC"/>
    <w:rsid w:val="40834692"/>
    <w:rsid w:val="41A84A67"/>
    <w:rsid w:val="42FF081E"/>
    <w:rsid w:val="448437A4"/>
    <w:rsid w:val="44F4368F"/>
    <w:rsid w:val="454126C2"/>
    <w:rsid w:val="45E16709"/>
    <w:rsid w:val="46901EEE"/>
    <w:rsid w:val="469C74D2"/>
    <w:rsid w:val="47A53BB1"/>
    <w:rsid w:val="49B933AA"/>
    <w:rsid w:val="4A6B0F8B"/>
    <w:rsid w:val="4B4C0111"/>
    <w:rsid w:val="50DB5F45"/>
    <w:rsid w:val="52F92565"/>
    <w:rsid w:val="55CE6BE9"/>
    <w:rsid w:val="57E43B01"/>
    <w:rsid w:val="583059FA"/>
    <w:rsid w:val="5ABB586A"/>
    <w:rsid w:val="5FA17648"/>
    <w:rsid w:val="61A46A97"/>
    <w:rsid w:val="62DD7D21"/>
    <w:rsid w:val="65D97752"/>
    <w:rsid w:val="68DB0208"/>
    <w:rsid w:val="69AD798C"/>
    <w:rsid w:val="6B68175F"/>
    <w:rsid w:val="6E0F7A08"/>
    <w:rsid w:val="71473612"/>
    <w:rsid w:val="718F7F65"/>
    <w:rsid w:val="73F7554E"/>
    <w:rsid w:val="73FB6630"/>
    <w:rsid w:val="74E76DCD"/>
    <w:rsid w:val="77ED6F4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0">
    <w:name w:val="annotation reference"/>
    <w:basedOn w:val="9"/>
    <w:qFormat/>
    <w:uiPriority w:val="0"/>
    <w:rPr>
      <w:sz w:val="21"/>
      <w:szCs w:val="21"/>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character" w:customStyle="1" w:styleId="15">
    <w:name w:val="批注框文本 Char"/>
    <w:basedOn w:val="9"/>
    <w:link w:val="4"/>
    <w:qFormat/>
    <w:uiPriority w:val="0"/>
    <w:rPr>
      <w:kern w:val="2"/>
      <w:sz w:val="18"/>
      <w:szCs w:val="18"/>
      <w:lang w:bidi="ar-SA"/>
    </w:rPr>
  </w:style>
  <w:style w:type="character" w:customStyle="1" w:styleId="16">
    <w:name w:val="font21"/>
    <w:basedOn w:val="9"/>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16</Pages>
  <Words>1119</Words>
  <Characters>6382</Characters>
  <Lines>53</Lines>
  <Paragraphs>14</Paragraphs>
  <TotalTime>0</TotalTime>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2023-08-31T03:03:00Z</dcterms:created>
  <dc:creator>GXR</dc:creator>
  <cp:lastModifiedBy>Administrator</cp:lastModifiedBy>
  <dcterms:modified xsi:type="dcterms:W3CDTF">2023-12-15T02:45:00Z</dcterms:modified>
  <dc:title>新疆维吾尔自治区农牧业机械化技术推广总站2022年度部门决算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y fmtid="{D5CDD505-2E9C-101B-9397-08002B2CF9AE}" pid="3" name="ICV">
    <vt:lpwstr>EEDBC674A686498DADD5737ED2F65358_13</vt:lpwstr>
  </property>
</Properties>
</file>