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styles.xml" ContentType="application/vnd.openxmlformats-officedocument.wordprocessingml.styles+xml"/>
  <Override PartName="/word/numbering.xml" ContentType="application/vnd.openxmlformats-officedocument.wordprocessingml.numbering+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Types>
</file>

<file path=_rels/.rels><?xml version="1.0" encoding="UTF-8" standalone="yes"?><Relationships xmlns="http://schemas.openxmlformats.org/package/2006/relationships"><Relationship Id="rId2" Type="http://schemas.openxmlformats.org/officeDocument/2006/relationships/extended-properties" Target="docProps/app.xml" /><Relationship Id="rId3" Type="http://schemas.openxmlformats.org/officeDocument/2006/relationships/custom-properties" Target="docProps/custom.xml" /><Relationship Id="rId1" Type="http://schemas.openxmlformats.org/package/2006/relationships/metadata/core-properties" Target="docProps/core.xml" /><Relationship Id="rId0" Type="http://schemas.openxmlformats.org/officeDocument/2006/relationships/officeDocument" Target="word/document.xml" /></Relationships>
</file>

<file path=word/document.xml><?xml version="1.0" encoding="utf-8"?>
<w:document xmlns:wps="http://schemas.microsoft.com/office/word/2010/wordprocessingShape" xmlns:wne="http://schemas.microsoft.com/office/word/2006/wordml" xmlns:wpg="http://schemas.microsoft.com/office/word/2010/wordprocessingGroup" xmlns:w15="http://schemas.microsoft.com/office/word/2012/wordml" xmlns:wpi="http://schemas.microsoft.com/office/word/2010/wordprocessingInk" xmlns:w10="urn:schemas-microsoft-com:office:word" xmlns:w14="http://schemas.microsoft.com/office/word/2010/wordml" xmlns:wp="http://schemas.openxmlformats.org/drawingml/2006/wordprocessingDrawing" xmlns:wp14="http://schemas.microsoft.com/office/word/2010/wordprocessingDrawing" xmlns:v="urn:schemas-microsoft-com:vml" xmlns:r="http://schemas.openxmlformats.org/officeDocument/2006/relationships" xmlns:m="http://schemas.openxmlformats.org/officeDocument/2006/math" xmlns:wpsCustomData="http://www.wps.cn/officeDocument/2013/wpsCustomData" xmlns:w="http://schemas.openxmlformats.org/wordprocessingml/2006/main" xmlns:o="urn:schemas-microsoft-com:office:office" xmlns:mc="http://schemas.openxmlformats.org/markup-compatibility/2006" xmlns:wpc="http://schemas.microsoft.com/office/word/2010/wordprocessingCanvas" mc:Ignorable="w14 w15 wp14">
  <w:body>
    <w:p>
      <w:pPr>
        <w:pageBreakBefore w:val="0"/>
        <w:wordWrap w:val="1"/>
        <w:overflowPunct w:val="1"/>
        <w:topLinePunct w:val="0"/>
        <w:kinsoku w:val="1"/>
        <w:bidi w:val="0"/>
        <w:snapToGrid w:val="1"/>
        <w:jc w:val="left"/>
        <w:spacing w:line="560" w:lineRule="exact"/>
        <w:rPr>
          <w:b w:val="0"/>
          <w:color w:val="auto"/>
          <w:sz w:val="32"/>
          <w:lang w:val="en-US" w:eastAsia="zh-CN"/>
          <w:bCs/>
          <w:kern w:val="0"/>
          <w:szCs w:val="32"/>
          <w:rFonts w:ascii="黑体" w:hAnsi="黑体" w:eastAsia="黑体" w:cs="黑体" w:hint="eastAsia"/>
        </w:rPr>
      </w:pPr>
      <w:bookmarkStart w:id="6" w:name="_GoBack"/>
      <w:bookmarkEnd w:id="6"/>
      <w:r>
        <w:rPr>
          <w:b w:val="0"/>
          <w:color w:val="auto"/>
          <w:sz w:val="32"/>
          <w:lang w:eastAsia="zh-CN"/>
          <w:bCs/>
          <w:kern w:val="0"/>
          <w:szCs w:val="32"/>
          <w:rFonts w:ascii="黑体" w:hAnsi="黑体" w:eastAsia="黑体" w:cs="黑体" w:hint="eastAsia"/>
        </w:rPr>
        <w:t>附件</w:t>
      </w:r>
      <w:r>
        <w:rPr>
          <w:b w:val="0"/>
          <w:color w:val="auto"/>
          <w:sz w:val="32"/>
          <w:lang w:val="en-US" w:eastAsia="zh-CN"/>
          <w:bCs/>
          <w:kern w:val="0"/>
          <w:szCs w:val="32"/>
          <w:rFonts w:ascii="黑体" w:hAnsi="黑体" w:eastAsia="黑体" w:cs="黑体" w:hint="eastAsia"/>
        </w:rPr>
        <w:t>4：</w:t>
      </w:r>
    </w:p>
    <w:p>
      <w:pPr>
        <w:pageBreakBefore w:val="0"/>
        <w:wordWrap w:val="1"/>
        <w:overflowPunct w:val="1"/>
        <w:topLinePunct w:val="0"/>
        <w:kinsoku w:val="1"/>
        <w:bidi w:val="0"/>
        <w:snapToGrid w:val="1"/>
        <w:spacing w:line="560" w:lineRule="exact"/>
        <w:rPr>
          <w:b w:val="1"/>
          <w:color w:val="auto"/>
          <w:sz w:val="72"/>
          <w:kern w:val="0"/>
          <w:szCs w:val="72"/>
          <w:rFonts w:eastAsia="华文中宋"/>
        </w:rPr>
      </w:pPr>
    </w:p>
    <w:p>
      <w:pPr>
        <w:pageBreakBefore w:val="0"/>
        <w:wordWrap w:val="1"/>
        <w:overflowPunct w:val="1"/>
        <w:topLinePunct w:val="0"/>
        <w:kinsoku w:val="1"/>
        <w:bidi w:val="0"/>
        <w:snapToGrid w:val="1"/>
        <w:jc w:val="center"/>
        <w:spacing w:line="560" w:lineRule="exact"/>
        <w:rPr>
          <w:b w:val="1"/>
          <w:color w:val="auto"/>
          <w:sz w:val="52"/>
          <w:kern w:val="0"/>
          <w:szCs w:val="52"/>
          <w:rFonts w:eastAsia="华文中宋"/>
        </w:rPr>
      </w:pPr>
    </w:p>
    <w:p>
      <w:pPr>
        <w:pageBreakBefore w:val="0"/>
        <w:wordWrap w:val="1"/>
        <w:overflowPunct w:val="1"/>
        <w:topLinePunct w:val="0"/>
        <w:kinsoku w:val="1"/>
        <w:bidi w:val="0"/>
        <w:snapToGrid w:val="1"/>
        <w:jc w:val="center"/>
        <w:spacing w:line="560" w:lineRule="exact"/>
        <w:rPr>
          <w:b w:val="1"/>
          <w:color w:val="auto"/>
          <w:sz w:val="52"/>
          <w:kern w:val="0"/>
          <w:szCs w:val="52"/>
          <w:rFonts w:eastAsia="华文中宋"/>
        </w:rPr>
      </w:pPr>
    </w:p>
    <w:p>
      <w:pPr>
        <w:pageBreakBefore w:val="0"/>
        <w:wordWrap w:val="1"/>
        <w:overflowPunct w:val="1"/>
        <w:topLinePunct w:val="0"/>
        <w:kinsoku w:val="1"/>
        <w:bidi w:val="0"/>
        <w:snapToGrid w:val="1"/>
        <w:jc w:val="center"/>
        <w:spacing w:line="560" w:lineRule="exact"/>
        <w:rPr>
          <w:color w:val="auto"/>
          <w:sz w:val="48"/>
          <w:kern w:val="0"/>
          <w:szCs w:val="48"/>
          <w:rFonts w:eastAsia="方正小标宋_GBK"/>
        </w:rPr>
      </w:pPr>
      <w:r>
        <w:rPr>
          <w:color w:val="auto"/>
          <w:sz w:val="48"/>
          <w:kern w:val="0"/>
          <w:szCs w:val="48"/>
          <w:rFonts w:eastAsia="方正小标宋_GBK" w:hint="eastAsia"/>
        </w:rPr>
        <w:t>自治区畜牧业生产发展</w:t>
      </w:r>
      <w:r>
        <w:rPr>
          <w:color w:val="auto"/>
          <w:sz w:val="48"/>
          <w:kern w:val="0"/>
          <w:szCs w:val="48"/>
          <w:rFonts w:eastAsia="方正小标宋_GBK"/>
        </w:rPr>
        <w:t>资金</w:t>
      </w:r>
    </w:p>
    <w:p>
      <w:pPr>
        <w:pageBreakBefore w:val="0"/>
        <w:wordWrap w:val="1"/>
        <w:overflowPunct w:val="1"/>
        <w:topLinePunct w:val="0"/>
        <w:kinsoku w:val="1"/>
        <w:bidi w:val="0"/>
        <w:snapToGrid w:val="1"/>
        <w:jc w:val="center"/>
        <w:spacing w:line="560" w:lineRule="exact"/>
        <w:rPr>
          <w:color w:val="auto"/>
          <w:sz w:val="48"/>
          <w:kern w:val="0"/>
          <w:szCs w:val="48"/>
          <w:rFonts w:eastAsia="方正小标宋_GBK"/>
        </w:rPr>
      </w:pPr>
      <w:r>
        <w:rPr>
          <w:color w:val="auto"/>
          <w:sz w:val="48"/>
          <w:kern w:val="0"/>
          <w:szCs w:val="48"/>
          <w:rFonts w:eastAsia="方正小标宋_GBK"/>
        </w:rPr>
        <w:t>项目支出绩效评价报告</w:t>
      </w:r>
    </w:p>
    <w:p>
      <w:pPr>
        <w:pageBreakBefore w:val="0"/>
        <w:wordWrap w:val="1"/>
        <w:overflowPunct w:val="1"/>
        <w:topLinePunct w:val="0"/>
        <w:kinsoku w:val="1"/>
        <w:bidi w:val="0"/>
        <w:snapToGrid w:val="1"/>
        <w:jc w:val="center"/>
        <w:spacing w:line="560" w:lineRule="exact"/>
        <w:rPr>
          <w:b w:val="1"/>
          <w:color w:val="auto"/>
          <w:sz w:val="52"/>
          <w:kern w:val="0"/>
          <w:szCs w:val="52"/>
          <w:rFonts w:eastAsia="华文中宋"/>
        </w:rPr>
      </w:pPr>
    </w:p>
    <w:p>
      <w:pPr>
        <w:pageBreakBefore w:val="0"/>
        <w:wordWrap w:val="1"/>
        <w:overflowPunct w:val="1"/>
        <w:topLinePunct w:val="0"/>
        <w:kinsoku w:val="1"/>
        <w:bidi w:val="0"/>
        <w:snapToGrid w:val="1"/>
        <w:jc w:val="center"/>
        <w:spacing w:line="560" w:lineRule="exact"/>
        <w:rPr>
          <w:color w:val="auto"/>
          <w:sz w:val="36"/>
          <w:kern w:val="0"/>
          <w:szCs w:val="36"/>
          <w:rFonts w:eastAsia="仿宋_GB2312"/>
        </w:rPr>
      </w:pPr>
      <w:r>
        <w:rPr>
          <w:color w:val="auto"/>
          <w:sz w:val="36"/>
          <w:kern w:val="0"/>
          <w:szCs w:val="36"/>
          <w:rFonts w:eastAsia="仿宋_GB2312"/>
        </w:rPr>
        <w:t>（ 202</w:t>
      </w:r>
      <w:r>
        <w:rPr>
          <w:color w:val="auto"/>
          <w:sz w:val="36"/>
          <w:lang w:val="en-US" w:eastAsia="zh-CN"/>
          <w:kern w:val="0"/>
          <w:szCs w:val="36"/>
          <w:rFonts w:eastAsia="仿宋_GB2312" w:hint="eastAsia"/>
        </w:rPr>
        <w:t>2</w:t>
      </w:r>
      <w:r>
        <w:rPr>
          <w:color w:val="auto"/>
          <w:sz w:val="36"/>
          <w:kern w:val="0"/>
          <w:szCs w:val="36"/>
          <w:rFonts w:eastAsia="仿宋_GB2312"/>
        </w:rPr>
        <w:t>年度）</w:t>
      </w:r>
    </w:p>
    <w:p>
      <w:pPr>
        <w:pageBreakBefore w:val="0"/>
        <w:wordWrap w:val="1"/>
        <w:overflowPunct w:val="1"/>
        <w:topLinePunct w:val="0"/>
        <w:kinsoku w:val="1"/>
        <w:bidi w:val="0"/>
        <w:snapToGrid w:val="1"/>
        <w:jc w:val="center"/>
        <w:spacing w:line="560" w:lineRule="exact"/>
        <w:rPr>
          <w:color w:val="auto"/>
          <w:sz w:val="30"/>
          <w:kern w:val="0"/>
          <w:szCs w:val="30"/>
          <w:rFonts w:eastAsia="仿宋_GB2312"/>
        </w:rPr>
      </w:pPr>
    </w:p>
    <w:p>
      <w:pPr>
        <w:pageBreakBefore w:val="0"/>
        <w:wordWrap w:val="1"/>
        <w:overflowPunct w:val="1"/>
        <w:topLinePunct w:val="0"/>
        <w:kinsoku w:val="1"/>
        <w:bidi w:val="0"/>
        <w:snapToGrid w:val="1"/>
        <w:jc w:val="center"/>
        <w:spacing w:line="560" w:lineRule="exact"/>
        <w:rPr>
          <w:color w:val="auto"/>
          <w:sz w:val="30"/>
          <w:kern w:val="0"/>
          <w:szCs w:val="30"/>
          <w:rFonts w:eastAsia="仿宋_GB2312"/>
        </w:rPr>
      </w:pPr>
    </w:p>
    <w:p>
      <w:pPr>
        <w:pageBreakBefore w:val="0"/>
        <w:wordWrap w:val="1"/>
        <w:overflowPunct w:val="1"/>
        <w:topLinePunct w:val="0"/>
        <w:kinsoku w:val="1"/>
        <w:bidi w:val="0"/>
        <w:snapToGrid w:val="1"/>
        <w:jc w:val="center"/>
        <w:spacing w:line="560" w:lineRule="exact"/>
        <w:rPr>
          <w:color w:val="auto"/>
          <w:sz w:val="30"/>
          <w:kern w:val="0"/>
          <w:szCs w:val="30"/>
          <w:rFonts w:eastAsia="仿宋_GB2312"/>
        </w:rPr>
      </w:pPr>
    </w:p>
    <w:p>
      <w:pPr>
        <w:pageBreakBefore w:val="0"/>
        <w:wordWrap w:val="1"/>
        <w:overflowPunct w:val="1"/>
        <w:topLinePunct w:val="0"/>
        <w:kinsoku w:val="1"/>
        <w:bidi w:val="0"/>
        <w:snapToGrid w:val="1"/>
        <w:jc w:val="center"/>
        <w:spacing w:line="560" w:lineRule="exact"/>
        <w:rPr>
          <w:color w:val="auto"/>
          <w:sz w:val="30"/>
          <w:kern w:val="0"/>
          <w:szCs w:val="30"/>
          <w:rFonts w:eastAsia="仿宋_GB2312"/>
        </w:rPr>
      </w:pPr>
    </w:p>
    <w:p>
      <w:pPr>
        <w:pageBreakBefore w:val="0"/>
        <w:wordWrap w:val="1"/>
        <w:overflowPunct w:val="1"/>
        <w:topLinePunct w:val="0"/>
        <w:kinsoku w:val="1"/>
        <w:bidi w:val="0"/>
        <w:snapToGrid w:val="1"/>
        <w:spacing w:line="560" w:lineRule="exact"/>
        <w:rPr>
          <w:color w:val="auto"/>
          <w:sz w:val="30"/>
          <w:kern w:val="0"/>
          <w:szCs w:val="30"/>
          <w:rFonts w:eastAsia="仿宋_GB2312"/>
        </w:rPr>
      </w:pPr>
    </w:p>
    <w:p>
      <w:pPr>
        <w:pageBreakBefore w:val="0"/>
        <w:wordWrap w:val="1"/>
        <w:overflowPunct w:val="1"/>
        <w:topLinePunct w:val="0"/>
        <w:kinsoku w:val="1"/>
        <w:bidi w:val="0"/>
        <w:snapToGrid w:val="1"/>
        <w:jc w:val="left"/>
        <w:spacing w:line="560" w:lineRule="exact"/>
        <w:ind w:firstLine="1440" w:firstLineChars="400"/>
        <w:rPr>
          <w:color w:val="auto"/>
          <w:sz w:val="36"/>
          <w:lang w:eastAsia="zh-CN"/>
          <w:kern w:val="0"/>
          <w:szCs w:val="36"/>
          <w:rFonts w:eastAsia="仿宋_GB2312" w:hint="eastAsia"/>
        </w:rPr>
      </w:pPr>
      <w:r>
        <w:rPr>
          <w:color w:val="auto"/>
          <w:sz w:val="36"/>
          <w:kern w:val="0"/>
          <w:szCs w:val="36"/>
          <w:rFonts w:eastAsia="仿宋_GB2312"/>
        </w:rPr>
        <w:t>项目名称：</w:t>
      </w:r>
      <w:r>
        <w:rPr>
          <w:color w:val="auto"/>
          <w:sz w:val="36"/>
          <w:lang w:eastAsia="zh-CN"/>
          <w:kern w:val="0"/>
          <w:szCs w:val="36"/>
          <w:rFonts w:eastAsia="仿宋_GB2312" w:hint="eastAsia"/>
        </w:rPr>
        <w:t>自治区畜牧业生产发展资金</w:t>
      </w:r>
    </w:p>
    <w:p>
      <w:pPr>
        <w:pageBreakBefore w:val="0"/>
        <w:wordWrap w:val="1"/>
        <w:overflowPunct w:val="1"/>
        <w:topLinePunct w:val="0"/>
        <w:kinsoku w:val="1"/>
        <w:bidi w:val="0"/>
        <w:snapToGrid w:val="1"/>
        <w:jc w:val="left"/>
        <w:spacing w:line="560" w:lineRule="exact"/>
        <w:ind w:firstLine="1440" w:firstLineChars="400"/>
        <w:rPr>
          <w:color w:val="auto"/>
          <w:sz w:val="36"/>
          <w:lang w:eastAsia="zh-CN"/>
          <w:kern w:val="0"/>
          <w:szCs w:val="36"/>
          <w:rFonts w:eastAsia="仿宋_GB2312" w:hint="eastAsia"/>
        </w:rPr>
      </w:pPr>
      <w:r>
        <w:rPr>
          <w:color w:val="auto"/>
          <w:sz w:val="36"/>
          <w:kern w:val="0"/>
          <w:szCs w:val="36"/>
          <w:rFonts w:eastAsia="仿宋_GB2312"/>
        </w:rPr>
        <w:t>实施单位（公章）：</w:t>
      </w:r>
      <w:r>
        <w:rPr>
          <w:color w:val="auto"/>
          <w:sz w:val="36"/>
          <w:lang w:eastAsia="zh-CN"/>
          <w:kern w:val="0"/>
          <w:szCs w:val="36"/>
          <w:rFonts w:eastAsia="仿宋_GB2312" w:hint="eastAsia"/>
        </w:rPr>
        <w:t>自治区畜牧兽医局</w:t>
      </w:r>
    </w:p>
    <w:p>
      <w:pPr>
        <w:pageBreakBefore w:val="0"/>
        <w:wordWrap w:val="1"/>
        <w:overflowPunct w:val="1"/>
        <w:topLinePunct w:val="0"/>
        <w:kinsoku w:val="1"/>
        <w:bidi w:val="0"/>
        <w:snapToGrid w:val="1"/>
        <w:jc w:val="left"/>
        <w:spacing w:line="560" w:lineRule="exact"/>
        <w:ind w:firstLine="1440" w:firstLineChars="400"/>
        <w:rPr>
          <w:color w:val="auto"/>
          <w:sz w:val="36"/>
          <w:lang w:eastAsia="zh-CN"/>
          <w:kern w:val="0"/>
          <w:szCs w:val="36"/>
          <w:rFonts w:eastAsia="仿宋_GB2312" w:hint="eastAsia"/>
        </w:rPr>
      </w:pPr>
      <w:r>
        <w:rPr>
          <w:color w:val="auto"/>
          <w:sz w:val="36"/>
          <w:kern w:val="0"/>
          <w:szCs w:val="36"/>
          <w:rFonts w:eastAsia="仿宋_GB2312"/>
        </w:rPr>
        <w:t>主管部门（公章）：</w:t>
      </w:r>
      <w:r>
        <w:rPr>
          <w:color w:val="auto"/>
          <w:sz w:val="36"/>
          <w:lang w:eastAsia="zh-CN"/>
          <w:kern w:val="0"/>
          <w:szCs w:val="36"/>
          <w:rFonts w:eastAsia="仿宋_GB2312" w:hint="eastAsia"/>
        </w:rPr>
        <w:t>自治区农业农村厅</w:t>
      </w:r>
    </w:p>
    <w:p>
      <w:pPr>
        <w:pageBreakBefore w:val="0"/>
        <w:wordWrap w:val="1"/>
        <w:overflowPunct w:val="1"/>
        <w:topLinePunct w:val="0"/>
        <w:kinsoku w:val="1"/>
        <w:bidi w:val="0"/>
        <w:snapToGrid w:val="1"/>
        <w:jc w:val="left"/>
        <w:spacing w:line="560" w:lineRule="exact"/>
        <w:ind w:firstLine="1440" w:firstLineChars="400"/>
        <w:rPr>
          <w:color w:val="auto"/>
          <w:sz w:val="36"/>
          <w:lang w:val="en-US" w:eastAsia="zh-CN"/>
          <w:kern w:val="0"/>
          <w:szCs w:val="36"/>
          <w:rFonts w:eastAsia="仿宋_GB2312" w:hint="default"/>
        </w:rPr>
      </w:pPr>
      <w:r>
        <w:rPr>
          <w:color w:val="auto"/>
          <w:sz w:val="36"/>
          <w:kern w:val="0"/>
          <w:szCs w:val="36"/>
          <w:rFonts w:eastAsia="仿宋_GB2312"/>
        </w:rPr>
        <w:t>项目负责人（签章）：刘英豪</w:t>
      </w:r>
    </w:p>
    <w:p>
      <w:pPr>
        <w:pageBreakBefore w:val="0"/>
        <w:wordWrap w:val="1"/>
        <w:overflowPunct w:val="1"/>
        <w:topLinePunct w:val="0"/>
        <w:kinsoku w:val="1"/>
        <w:bidi w:val="0"/>
        <w:snapToGrid w:val="1"/>
        <w:jc w:val="left"/>
        <w:spacing w:line="560" w:lineRule="exact"/>
        <w:ind w:firstLine="1440" w:firstLineChars="400"/>
        <w:rPr>
          <w:color w:val="auto"/>
          <w:sz w:val="36"/>
          <w:kern w:val="0"/>
          <w:szCs w:val="36"/>
          <w:rFonts w:eastAsia="仿宋_GB2312"/>
        </w:rPr>
      </w:pPr>
      <w:r>
        <w:rPr>
          <w:color w:val="auto"/>
          <w:sz w:val="36"/>
          <w:kern w:val="0"/>
          <w:szCs w:val="36"/>
          <w:rFonts w:eastAsia="仿宋_GB2312"/>
        </w:rPr>
        <w:t>填报时间：</w:t>
      </w:r>
      <w:r>
        <w:rPr>
          <w:color w:val="auto"/>
          <w:sz w:val="36"/>
          <w:lang w:val="en-US" w:eastAsia="zh-CN"/>
          <w:kern w:val="0"/>
          <w:szCs w:val="36"/>
          <w:rFonts w:eastAsia="仿宋_GB2312" w:hint="eastAsia"/>
        </w:rPr>
        <w:t>2023</w:t>
      </w:r>
      <w:r>
        <w:rPr>
          <w:color w:val="auto"/>
          <w:sz w:val="36"/>
          <w:kern w:val="0"/>
          <w:szCs w:val="36"/>
          <w:rFonts w:eastAsia="仿宋_GB2312"/>
        </w:rPr>
        <w:t>年</w:t>
      </w:r>
      <w:r>
        <w:rPr>
          <w:color w:val="auto"/>
          <w:sz w:val="36"/>
          <w:lang w:val="en-US" w:eastAsia="zh-CN"/>
          <w:kern w:val="0"/>
          <w:szCs w:val="36"/>
          <w:rFonts w:eastAsia="仿宋_GB2312" w:hint="eastAsia"/>
        </w:rPr>
        <w:t>3</w:t>
      </w:r>
      <w:r>
        <w:rPr>
          <w:color w:val="auto"/>
          <w:sz w:val="36"/>
          <w:kern w:val="0"/>
          <w:szCs w:val="36"/>
          <w:rFonts w:eastAsia="仿宋_GB2312"/>
        </w:rPr>
        <w:t>月</w:t>
      </w:r>
      <w:r>
        <w:rPr>
          <w:color w:val="auto"/>
          <w:sz w:val="36"/>
          <w:lang w:val="en-US" w:eastAsia="zh-CN"/>
          <w:kern w:val="0"/>
          <w:szCs w:val="36"/>
          <w:rFonts w:eastAsia="仿宋_GB2312" w:hint="eastAsia"/>
        </w:rPr>
        <w:t>15</w:t>
      </w:r>
      <w:r>
        <w:rPr>
          <w:color w:val="auto"/>
          <w:sz w:val="36"/>
          <w:kern w:val="0"/>
          <w:szCs w:val="36"/>
          <w:rFonts w:eastAsia="仿宋_GB2312"/>
        </w:rPr>
        <w:t>日</w:t>
      </w:r>
    </w:p>
    <w:p>
      <w:pPr>
        <w:pageBreakBefore w:val="0"/>
        <w:wordWrap w:val="1"/>
        <w:overflowPunct w:val="1"/>
        <w:topLinePunct w:val="0"/>
        <w:kinsoku w:val="1"/>
        <w:bidi w:val="0"/>
        <w:snapToGrid w:val="1"/>
        <w:jc w:val="center"/>
        <w:spacing w:line="560" w:lineRule="exact"/>
        <w:rPr>
          <w:color w:val="auto"/>
          <w:sz w:val="30"/>
          <w:kern w:val="0"/>
          <w:szCs w:val="30"/>
          <w:rFonts w:eastAsia="仿宋_GB2312"/>
        </w:rPr>
      </w:pPr>
    </w:p>
    <w:p>
      <w:pPr>
        <w:pageBreakBefore w:val="0"/>
        <w:wordWrap w:val="1"/>
        <w:overflowPunct w:val="1"/>
        <w:topLinePunct w:val="0"/>
        <w:kinsoku w:val="1"/>
        <w:bidi w:val="0"/>
        <w:snapToGrid w:val="1"/>
        <w:spacing w:line="560" w:lineRule="exact"/>
        <w:rPr>
          <w:rStyle w:val="24"/>
          <w:b w:val="0"/>
          <w:color w:val="auto"/>
          <w:spacing w:val="-4"/>
          <w:sz w:val="32"/>
          <w:szCs w:val="32"/>
          <w:rFonts w:eastAsia="黑体"/>
        </w:rPr>
      </w:pPr>
    </w:p>
    <w:p>
      <w:pPr>
        <w:pageBreakBefore w:val="0"/>
        <w:wordWrap w:val="1"/>
        <w:overflowPunct w:val="1"/>
        <w:topLinePunct w:val="0"/>
        <w:kinsoku w:val="1"/>
        <w:bidi w:val="0"/>
        <w:snapToGrid w:val="1"/>
        <w:spacing w:line="560" w:lineRule="exact"/>
        <w:ind w:firstLine="640"/>
        <w:rPr>
          <w:rStyle w:val="24"/>
          <w:b w:val="0"/>
          <w:color w:val="auto"/>
          <w:spacing w:val="-4"/>
          <w:sz w:val="32"/>
          <w:szCs w:val="32"/>
          <w:rFonts w:eastAsia="黑体"/>
        </w:rPr>
      </w:pPr>
    </w:p>
    <w:p>
      <w:pPr>
        <w:pageBreakBefore w:val="0"/>
        <w:wordWrap w:val="1"/>
        <w:overflowPunct w:val="1"/>
        <w:topLinePunct w:val="0"/>
        <w:kinsoku w:val="1"/>
        <w:bidi w:val="0"/>
        <w:snapToGrid w:val="1"/>
        <w:spacing w:line="560" w:lineRule="exact"/>
        <w:rPr>
          <w:rStyle w:val="24"/>
          <w:b w:val="0"/>
          <w:color w:val="auto"/>
          <w:spacing w:val="-4"/>
          <w:sz w:val="32"/>
          <w:szCs w:val="32"/>
          <w:rFonts w:eastAsia="黑体"/>
        </w:rPr>
      </w:pPr>
    </w:p>
    <w:p>
      <w:pPr>
        <w:pageBreakBefore w:val="0"/>
        <w:wordWrap w:val="1"/>
        <w:overflowPunct w:val="1"/>
        <w:topLinePunct w:val="0"/>
        <w:kinsoku w:val="1"/>
        <w:bidi w:val="0"/>
        <w:snapToGrid w:val="1"/>
        <w:jc w:val="center"/>
        <w:spacing w:line="560" w:lineRule="exact"/>
        <w:rPr>
          <w:color w:val="auto"/>
          <w:sz w:val="32"/>
          <w:bCs/>
          <w:szCs w:val="32"/>
          <w:rFonts w:eastAsia="黑体"/>
        </w:rPr>
      </w:pPr>
    </w:p>
    <w:p>
      <w:pPr>
        <w:pageBreakBefore w:val="0"/>
        <w:wordWrap w:val="1"/>
        <w:overflowPunct w:val="1"/>
        <w:topLinePunct w:val="0"/>
        <w:kinsoku w:val="1"/>
        <w:bidi w:val="0"/>
        <w:snapToGrid w:val="1"/>
        <w:spacing w:line="560" w:lineRule="exact"/>
        <w:rPr>
          <w:color w:val="auto"/>
          <w:sz w:val="32"/>
          <w:bCs/>
          <w:szCs w:val="32"/>
          <w:rFonts w:eastAsia="黑体"/>
        </w:rPr>
      </w:pPr>
    </w:p>
    <w:p>
      <w:pPr>
        <w:pageBreakBefore w:val="0"/>
        <w:wordWrap w:val="1"/>
        <w:overflowPunct w:val="1"/>
        <w:topLinePunct w:val="0"/>
        <w:kinsoku w:val="1"/>
        <w:bidi w:val="0"/>
        <w:snapToGrid w:val="1"/>
        <w:spacing w:line="560" w:lineRule="exact"/>
        <w:rPr>
          <w:color w:val="auto"/>
          <w:sz w:val="32"/>
          <w:bCs/>
          <w:szCs w:val="32"/>
          <w:rFonts w:eastAsia="黑体"/>
        </w:rPr>
      </w:pPr>
      <w:r>
        <w:rPr>
          <w:color w:val="auto"/>
          <w:sz w:val="32"/>
          <w:bCs/>
          <w:szCs w:val="32"/>
          <w:rFonts w:eastAsia="黑体"/>
        </w:rPr>
        <w:t>一、基本情况</w:t>
      </w:r>
    </w:p>
    <w:p>
      <w:pPr>
        <w:pageBreakBefore w:val="0"/>
        <w:wordWrap w:val="1"/>
        <w:overflowPunct w:val="1"/>
        <w:topLinePunct w:val="0"/>
        <w:kinsoku w:val="1"/>
        <w:bidi w:val="0"/>
        <w:snapToGrid w:val="1"/>
        <w:spacing w:line="560" w:lineRule="exact"/>
        <w:ind w:firstLine="641"/>
        <w:rPr>
          <w:b w:val="1"/>
          <w:color w:val="auto"/>
          <w:sz w:val="32"/>
          <w:bCs/>
          <w:szCs w:val="32"/>
          <w:rFonts w:eastAsia="楷体_GB2312"/>
        </w:rPr>
      </w:pPr>
      <w:r>
        <w:rPr>
          <w:b w:val="1"/>
          <w:color w:val="auto"/>
          <w:sz w:val="32"/>
          <w:bCs/>
          <w:szCs w:val="32"/>
          <w:rFonts w:eastAsia="楷体_GB2312"/>
        </w:rPr>
        <w:t>（一）项目概况</w:t>
      </w:r>
    </w:p>
    <w:p>
      <w:pPr>
        <w:pageBreakBefore w:val="0"/>
        <w:wordWrap w:val="1"/>
        <w:overflowPunct w:val="1"/>
        <w:topLinePunct w:val="0"/>
        <w:kinsoku w:val="1"/>
        <w:bidi w:val="0"/>
        <w:snapToGrid w:val="1"/>
        <w:spacing w:line="560" w:lineRule="exact"/>
        <w:ind w:firstLine="641"/>
        <w:rPr>
          <w:b w:val="1"/>
          <w:color w:val="auto"/>
          <w:sz w:val="32"/>
          <w:bCs/>
          <w:szCs w:val="32"/>
          <w:rFonts w:eastAsia="仿宋_GB2312"/>
        </w:rPr>
      </w:pPr>
      <w:r>
        <w:rPr>
          <w:b w:val="1"/>
          <w:color w:val="auto"/>
          <w:sz w:val="32"/>
          <w:bCs/>
          <w:szCs w:val="32"/>
          <w:rFonts w:eastAsia="仿宋_GB2312"/>
        </w:rPr>
        <w:t>1、项目背景</w:t>
      </w:r>
    </w:p>
    <w:p>
      <w:pPr>
        <w:pageBreakBefore w:val="0"/>
        <w:wordWrap w:val="1"/>
        <w:overflowPunct w:val="1"/>
        <w:topLinePunct w:val="0"/>
        <w:kinsoku w:val="1"/>
        <w:bidi w:val="0"/>
        <w:snapToGrid w:val="1"/>
        <w:spacing w:line="560" w:lineRule="exact"/>
        <w:ind w:firstLine="640" w:firstLineChars="200"/>
        <w:rPr>
          <w:color w:val="auto"/>
          <w:sz w:val="32"/>
          <w:szCs w:val="32"/>
          <w:rFonts w:ascii="Times New Roman" w:hAnsi="Times New Roman" w:eastAsia="仿宋_GB2312" w:cs="Times New Roman" w:hint="eastAsia"/>
        </w:rPr>
      </w:pPr>
      <w:r>
        <w:rPr>
          <w:color w:val="auto"/>
          <w:sz w:val="32"/>
          <w:szCs w:val="32"/>
          <w:rFonts w:eastAsia="仿宋_GB2312"/>
        </w:rPr>
        <w:t>畜牧业是新疆</w:t>
      </w:r>
      <w:r>
        <w:rPr>
          <w:color w:val="auto"/>
          <w:sz w:val="32"/>
          <w:szCs w:val="32"/>
          <w:rFonts w:eastAsia="仿宋_GB2312" w:hint="eastAsia"/>
        </w:rPr>
        <w:t>的</w:t>
      </w:r>
      <w:r>
        <w:rPr>
          <w:color w:val="auto"/>
          <w:sz w:val="32"/>
          <w:szCs w:val="32"/>
          <w:rFonts w:eastAsia="仿宋_GB2312"/>
        </w:rPr>
        <w:t>传统基础产业和特色优势产业，是</w:t>
      </w:r>
      <w:r>
        <w:rPr>
          <w:color w:val="auto"/>
          <w:sz w:val="32"/>
          <w:szCs w:val="32"/>
          <w:rFonts w:eastAsia="仿宋_GB2312" w:hint="eastAsia"/>
        </w:rPr>
        <w:t>新疆农</w:t>
      </w:r>
      <w:r>
        <w:rPr>
          <w:color w:val="auto"/>
          <w:sz w:val="32"/>
          <w:szCs w:val="32"/>
          <w:rFonts w:eastAsia="仿宋_GB2312"/>
        </w:rPr>
        <w:t>业农村经济的重要支柱，是</w:t>
      </w:r>
      <w:r>
        <w:rPr>
          <w:color w:val="auto"/>
          <w:sz w:val="32"/>
          <w:szCs w:val="32"/>
          <w:rFonts w:eastAsia="仿宋_GB2312" w:hint="eastAsia"/>
        </w:rPr>
        <w:t>新疆全面推进乡村振兴、加快农业农村现代化</w:t>
      </w:r>
      <w:r>
        <w:rPr>
          <w:color w:val="auto"/>
          <w:sz w:val="32"/>
          <w:szCs w:val="32"/>
          <w:rFonts w:eastAsia="仿宋_GB2312"/>
        </w:rPr>
        <w:t>的</w:t>
      </w:r>
      <w:r>
        <w:rPr>
          <w:color w:val="auto"/>
          <w:sz w:val="32"/>
          <w:szCs w:val="32"/>
          <w:rFonts w:eastAsia="仿宋_GB2312" w:hint="eastAsia"/>
        </w:rPr>
        <w:t>核心</w:t>
      </w:r>
      <w:r>
        <w:rPr>
          <w:color w:val="auto"/>
          <w:sz w:val="32"/>
          <w:szCs w:val="32"/>
          <w:rFonts w:eastAsia="仿宋_GB2312"/>
        </w:rPr>
        <w:t>产业</w:t>
      </w:r>
      <w:r>
        <w:rPr>
          <w:color w:val="auto"/>
          <w:sz w:val="32"/>
          <w:szCs w:val="32"/>
          <w:rFonts w:eastAsia="仿宋_GB2312" w:hint="eastAsia"/>
        </w:rPr>
        <w:t>，也是服务和融入新发展格局的战略支撑。为此自治区提出以提高畜产品供给保障能力为目标，着力夯基础、补短板、强弱项、优结构、促融合、壮主体、增动能，着力做大肉牛肉羊产业、加快推进奶业振兴、因地制宜发展特色产业，积极推进适度规模经营，构建科学合理、安全高效的畜产品供给保障体系，提升主要畜产品综合生产能力，推进我区畜牧业实现发展，为此自治区财政给予安排了自治区畜牧业</w:t>
      </w:r>
      <w:r>
        <w:rPr>
          <w:color w:val="auto"/>
          <w:sz w:val="32"/>
          <w:szCs w:val="32"/>
          <w:rFonts w:ascii="Times New Roman" w:hAnsi="Times New Roman" w:eastAsia="仿宋_GB2312" w:cs="Times New Roman" w:hint="eastAsia"/>
        </w:rPr>
        <w:t>发展专项资金。</w:t>
      </w:r>
    </w:p>
    <w:p>
      <w:pPr>
        <w:pStyle w:val="19"/>
        <w:pageBreakBefore w:val="0"/>
        <w:wordWrap w:val="1"/>
        <w:overflowPunct w:val="1"/>
        <w:topLinePunct w:val="0"/>
        <w:kinsoku w:val="1"/>
        <w:bidi w:val="0"/>
        <w:snapToGrid w:val="1"/>
        <w:jc w:val="both"/>
        <w:numPr>
          <w:ilvl w:val="0"/>
          <w:numId w:val="1"/>
        </w:numPr>
        <w:spacing w:after="0" w:before="0" w:line="560" w:lineRule="exact"/>
        <w:ind w:firstLine="643" w:firstLineChars="200"/>
        <w:rPr>
          <w:color w:val="auto"/>
          <w:kern w:val="2"/>
          <w:rFonts w:ascii="Times New Roman" w:hAnsi="Times New Roman" w:eastAsia="仿宋_GB2312"/>
        </w:rPr>
      </w:pPr>
      <w:r>
        <w:rPr>
          <w:color w:val="auto"/>
          <w:kern w:val="2"/>
          <w:rFonts w:ascii="Times New Roman" w:hAnsi="Times New Roman" w:eastAsia="仿宋_GB2312"/>
        </w:rPr>
        <w:t>项目主要内容：</w:t>
      </w:r>
    </w:p>
    <w:p>
      <w:pPr>
        <w:pageBreakBefore w:val="0"/>
        <w:wordWrap w:val="1"/>
        <w:overflowPunct w:val="1"/>
        <w:topLinePunct w:val="0"/>
        <w:kinsoku w:val="1"/>
        <w:bidi w:val="0"/>
        <w:snapToGrid w:val="1"/>
        <w:numPr>
          <w:ilvl w:val="0"/>
          <w:numId w:val="2"/>
        </w:numPr>
        <w:spacing w:line="560" w:lineRule="exact"/>
        <w:ind w:firstLine="640" w:firstLineChars="200"/>
        <w:rPr>
          <w:color w:val="auto"/>
          <w:sz w:val="32"/>
          <w:szCs w:val="32"/>
          <w:rFonts w:eastAsia="仿宋_GB2312" w:hint="eastAsia"/>
        </w:rPr>
      </w:pPr>
      <w:r>
        <w:rPr>
          <w:color w:val="auto"/>
          <w:sz w:val="32"/>
          <w:szCs w:val="32"/>
          <w:rFonts w:eastAsia="仿宋_GB2312" w:hint="eastAsia"/>
        </w:rPr>
        <w:t>统筹整合预计3</w:t>
      </w:r>
      <w:r>
        <w:rPr>
          <w:color w:val="auto"/>
          <w:sz w:val="32"/>
          <w:lang w:val="en-US" w:eastAsia="zh-CN"/>
          <w:szCs w:val="32"/>
          <w:rFonts w:eastAsia="仿宋_GB2312" w:hint="eastAsia"/>
        </w:rPr>
        <w:t>3</w:t>
      </w:r>
      <w:r>
        <w:rPr>
          <w:color w:val="auto"/>
          <w:sz w:val="32"/>
          <w:szCs w:val="32"/>
          <w:rFonts w:eastAsia="仿宋_GB2312" w:hint="eastAsia"/>
        </w:rPr>
        <w:t>38万元。</w:t>
      </w:r>
    </w:p>
    <w:p>
      <w:pPr>
        <w:widowControl w:val="0"/>
        <w:keepNext w:val="0"/>
        <w:keepLines w:val="0"/>
        <w:pageBreakBefore w:val="0"/>
        <w:wordWrap w:val="1"/>
        <w:overflowPunct w:val="1"/>
        <w:topLinePunct w:val="0"/>
        <w:kinsoku w:val="1"/>
        <w:autoSpaceDE w:val="1"/>
        <w:autoSpaceDN w:val="1"/>
        <w:bidi w:val="0"/>
        <w:adjustRightInd w:val="1"/>
        <w:snapToGrid w:val="1"/>
        <w:jc w:val="both"/>
        <w:outlineLvl w:val="9"/>
        <w:shd w:val="clear"/>
        <w:spacing w:line="560" w:lineRule="exact"/>
        <w:ind w:firstLine="640" w:firstLineChars="200" w:right="0" w:rightChars="0"/>
        <w:rPr>
          <w:color w:val="auto"/>
          <w:lang w:eastAsia="zh-CN"/>
          <w:rFonts w:eastAsia="仿宋_GB2312" w:hint="eastAsia"/>
        </w:rPr>
      </w:pPr>
      <w:r>
        <w:rPr>
          <w:color w:val="auto"/>
          <w:sz w:val="32"/>
          <w:lang w:eastAsia="zh-CN"/>
          <w:szCs w:val="32"/>
          <w:rFonts w:eastAsia="仿宋_GB2312" w:hint="eastAsia"/>
        </w:rPr>
        <w:t>（</w:t>
      </w:r>
      <w:r>
        <w:rPr>
          <w:color w:val="auto"/>
          <w:sz w:val="32"/>
          <w:lang w:val="en-US" w:eastAsia="zh-CN"/>
          <w:szCs w:val="32"/>
          <w:rFonts w:eastAsia="仿宋_GB2312" w:hint="eastAsia"/>
        </w:rPr>
        <w:t>2</w:t>
      </w:r>
      <w:r>
        <w:rPr>
          <w:color w:val="auto"/>
          <w:sz w:val="32"/>
          <w:lang w:eastAsia="zh-CN"/>
          <w:szCs w:val="32"/>
          <w:rFonts w:eastAsia="仿宋_GB2312" w:hint="eastAsia"/>
        </w:rPr>
        <w:t>）</w:t>
      </w:r>
      <w:r>
        <w:rPr>
          <w:color w:val="auto"/>
          <w:sz w:val="32"/>
          <w:szCs w:val="32"/>
          <w:rFonts w:eastAsia="仿宋_GB2312" w:hint="eastAsia"/>
        </w:rPr>
        <w:t>奶业生产发展项目1000万。</w:t>
      </w:r>
      <w:r>
        <w:rPr>
          <w:b w:val="1"/>
          <w:color w:val="auto"/>
          <w:sz w:val="32"/>
          <w:lang w:eastAsia="zh-CN"/>
          <w:bCs w:val="0"/>
          <w:kern w:val="0"/>
          <w:szCs w:val="32"/>
          <w:rFonts w:ascii="仿宋_GB2312" w:hAnsi="仿宋_GB2312" w:eastAsia="仿宋_GB2312" w:cs="仿宋_GB2312" w:hint="eastAsia"/>
        </w:rPr>
        <w:t>一是</w:t>
      </w:r>
      <w:r>
        <w:rPr>
          <w:color w:val="auto"/>
          <w:sz w:val="32"/>
          <w:bCs/>
          <w:kern w:val="0"/>
          <w:szCs w:val="32"/>
          <w:rFonts w:ascii="仿宋_GB2312" w:hAnsi="仿宋_GB2312" w:eastAsia="仿宋_GB2312" w:cs="仿宋_GB2312" w:hint="eastAsia"/>
        </w:rPr>
        <w:t>通过</w:t>
      </w:r>
      <w:r>
        <w:rPr>
          <w:color w:val="auto"/>
          <w:sz w:val="32"/>
          <w:lang w:eastAsia="zh-CN"/>
          <w:bCs/>
          <w:kern w:val="0"/>
          <w:szCs w:val="32"/>
          <w:rFonts w:ascii="仿宋_GB2312" w:hAnsi="仿宋_GB2312" w:eastAsia="仿宋_GB2312" w:cs="仿宋_GB2312" w:hint="eastAsia"/>
        </w:rPr>
        <w:t>推进</w:t>
      </w:r>
      <w:r>
        <w:rPr>
          <w:color w:val="auto"/>
          <w:sz w:val="32"/>
          <w:bCs/>
          <w:kern w:val="0"/>
          <w:szCs w:val="32"/>
          <w:rFonts w:ascii="仿宋_GB2312" w:hAnsi="仿宋_GB2312" w:eastAsia="仿宋_GB2312" w:cs="仿宋_GB2312" w:hint="eastAsia"/>
        </w:rPr>
        <w:t>奶牛</w:t>
      </w:r>
      <w:r>
        <w:rPr>
          <w:color w:val="auto"/>
          <w:sz w:val="32"/>
          <w:lang w:eastAsia="zh-CN"/>
          <w:bCs/>
          <w:kern w:val="0"/>
          <w:szCs w:val="32"/>
          <w:rFonts w:ascii="仿宋_GB2312" w:hAnsi="仿宋_GB2312" w:eastAsia="仿宋_GB2312" w:cs="仿宋_GB2312" w:hint="eastAsia"/>
        </w:rPr>
        <w:t>规模化、标准化养殖，提高养殖企业生产管理水平，提升繁殖成活率，降低死亡率，增加奶牛存栏；通过</w:t>
      </w:r>
      <w:r>
        <w:rPr>
          <w:color w:val="auto"/>
          <w:sz w:val="32"/>
          <w:bCs/>
          <w:kern w:val="0"/>
          <w:szCs w:val="32"/>
          <w:rFonts w:ascii="仿宋_GB2312" w:hAnsi="仿宋_GB2312" w:eastAsia="仿宋_GB2312" w:cs="仿宋_GB2312" w:hint="eastAsia"/>
        </w:rPr>
        <w:t>优质性控冻精改良、胚胎移植</w:t>
      </w:r>
      <w:r>
        <w:rPr>
          <w:color w:val="auto"/>
          <w:sz w:val="32"/>
          <w:lang w:eastAsia="zh-CN"/>
          <w:bCs/>
          <w:kern w:val="0"/>
          <w:szCs w:val="32"/>
          <w:rFonts w:ascii="仿宋_GB2312" w:hAnsi="仿宋_GB2312" w:eastAsia="仿宋_GB2312" w:cs="仿宋_GB2312" w:hint="eastAsia"/>
        </w:rPr>
        <w:t>扩繁扩群；通过</w:t>
      </w:r>
      <w:r>
        <w:rPr>
          <w:color w:val="auto"/>
          <w:sz w:val="32"/>
          <w:bCs/>
          <w:kern w:val="0"/>
          <w:szCs w:val="32"/>
          <w:rFonts w:ascii="仿宋_GB2312" w:hAnsi="仿宋_GB2312" w:eastAsia="仿宋_GB2312" w:cs="仿宋_GB2312" w:hint="eastAsia"/>
        </w:rPr>
        <w:t>良种引进</w:t>
      </w:r>
      <w:r>
        <w:rPr>
          <w:color w:val="auto"/>
          <w:sz w:val="32"/>
          <w:lang w:eastAsia="zh-CN"/>
          <w:bCs/>
          <w:kern w:val="0"/>
          <w:szCs w:val="32"/>
          <w:rFonts w:ascii="仿宋_GB2312" w:hAnsi="仿宋_GB2312" w:eastAsia="仿宋_GB2312" w:cs="仿宋_GB2312" w:hint="eastAsia"/>
        </w:rPr>
        <w:t>，</w:t>
      </w:r>
      <w:r>
        <w:rPr>
          <w:color w:val="auto"/>
          <w:sz w:val="32"/>
          <w:bCs/>
          <w:kern w:val="0"/>
          <w:szCs w:val="32"/>
          <w:rFonts w:ascii="仿宋_GB2312" w:hAnsi="仿宋_GB2312" w:eastAsia="仿宋_GB2312" w:cs="仿宋_GB2312" w:hint="eastAsia"/>
        </w:rPr>
        <w:t>扩大高产荷斯坦奶牛群体</w:t>
      </w:r>
      <w:r>
        <w:rPr>
          <w:color w:val="auto"/>
          <w:sz w:val="32"/>
          <w:lang w:eastAsia="zh-CN"/>
          <w:bCs/>
          <w:kern w:val="0"/>
          <w:szCs w:val="32"/>
          <w:rFonts w:ascii="仿宋_GB2312" w:hAnsi="仿宋_GB2312" w:eastAsia="仿宋_GB2312" w:cs="仿宋_GB2312" w:hint="eastAsia"/>
        </w:rPr>
        <w:t>等</w:t>
      </w:r>
      <w:r>
        <w:rPr>
          <w:color w:val="auto"/>
          <w:sz w:val="32"/>
          <w:bCs/>
          <w:kern w:val="0"/>
          <w:szCs w:val="32"/>
          <w:rFonts w:ascii="仿宋_GB2312" w:hAnsi="仿宋_GB2312" w:eastAsia="仿宋_GB2312" w:cs="仿宋_GB2312" w:hint="eastAsia"/>
        </w:rPr>
        <w:t>，实现奶牛存栏总量和奶产量双增长。</w:t>
      </w:r>
      <w:r>
        <w:rPr>
          <w:b w:val="1"/>
          <w:color w:val="auto"/>
          <w:sz w:val="32"/>
          <w:lang w:val="en-US" w:eastAsia="zh-CN"/>
          <w:bCs/>
          <w:szCs w:val="32"/>
          <w:rFonts w:ascii="仿宋_GB2312" w:hAnsi="仿宋_GB2312" w:eastAsia="仿宋_GB2312" w:cs="仿宋_GB2312" w:hint="eastAsia"/>
        </w:rPr>
        <w:t>二是</w:t>
      </w:r>
      <w:r>
        <w:rPr>
          <w:color w:val="auto"/>
          <w:sz w:val="32"/>
          <w:lang w:eastAsia="zh-CN"/>
          <w:bCs/>
          <w:kern w:val="0"/>
          <w:szCs w:val="32"/>
          <w:rFonts w:ascii="仿宋_GB2312" w:hAnsi="仿宋_GB2312" w:eastAsia="仿宋_GB2312" w:cs="仿宋_GB2312" w:hint="eastAsia"/>
        </w:rPr>
        <w:t>自治区</w:t>
      </w:r>
      <w:r>
        <w:rPr>
          <w:color w:val="auto"/>
          <w:sz w:val="32"/>
          <w:bCs/>
          <w:kern w:val="0"/>
          <w:szCs w:val="32"/>
          <w:rFonts w:ascii="仿宋_GB2312" w:hAnsi="仿宋_GB2312" w:eastAsia="仿宋_GB2312" w:cs="仿宋_GB2312" w:hint="eastAsia"/>
        </w:rPr>
        <w:t>奶</w:t>
      </w:r>
      <w:r>
        <w:rPr>
          <w:color w:val="auto"/>
          <w:sz w:val="32"/>
          <w:lang w:eastAsia="zh-CN"/>
          <w:bCs/>
          <w:kern w:val="0"/>
          <w:szCs w:val="32"/>
          <w:rFonts w:ascii="仿宋_GB2312" w:hAnsi="仿宋_GB2312" w:eastAsia="仿宋_GB2312" w:cs="仿宋_GB2312" w:hint="eastAsia"/>
        </w:rPr>
        <w:t>产</w:t>
      </w:r>
      <w:r>
        <w:rPr>
          <w:color w:val="auto"/>
          <w:sz w:val="32"/>
          <w:bCs/>
          <w:kern w:val="0"/>
          <w:szCs w:val="32"/>
          <w:rFonts w:ascii="仿宋_GB2312" w:hAnsi="仿宋_GB2312" w:eastAsia="仿宋_GB2312" w:cs="仿宋_GB2312" w:hint="eastAsia"/>
        </w:rPr>
        <w:t>业技术体系</w:t>
      </w:r>
      <w:r>
        <w:rPr>
          <w:color w:val="auto"/>
          <w:sz w:val="32"/>
          <w:lang w:eastAsia="zh-CN"/>
          <w:bCs/>
          <w:kern w:val="0"/>
          <w:szCs w:val="32"/>
          <w:rFonts w:ascii="仿宋_GB2312" w:hAnsi="仿宋_GB2312" w:eastAsia="仿宋_GB2312" w:cs="仿宋_GB2312" w:hint="eastAsia"/>
        </w:rPr>
        <w:t>与项目执行单位签订技术服务协议，开展奶牛生产、高效饲养、繁殖育种、疫病防控等技术</w:t>
      </w:r>
      <w:r>
        <w:rPr>
          <w:color w:val="auto"/>
          <w:sz w:val="32"/>
          <w:bCs/>
          <w:kern w:val="0"/>
          <w:szCs w:val="32"/>
          <w:rFonts w:ascii="仿宋_GB2312" w:hAnsi="仿宋_GB2312" w:eastAsia="仿宋_GB2312" w:cs="仿宋_GB2312" w:hint="eastAsia"/>
        </w:rPr>
        <w:t>服务、指导和培训。</w:t>
      </w:r>
    </w:p>
    <w:p>
      <w:pPr>
        <w:keepNext w:val="0"/>
        <w:keepLines w:val="0"/>
        <w:pageBreakBefore w:val="0"/>
        <w:wordWrap w:val="1"/>
        <w:overflowPunct w:val="1"/>
        <w:topLinePunct w:val="0"/>
        <w:kinsoku w:val="1"/>
        <w:autoSpaceDE w:val="0"/>
        <w:autoSpaceDN w:val="0"/>
        <w:bidi w:val="0"/>
        <w:adjustRightInd w:val="0"/>
        <w:snapToGrid w:val="1"/>
        <w:spacing w:line="560" w:lineRule="exact"/>
        <w:ind w:firstLine="640" w:firstLineChars="200"/>
        <w:rPr>
          <w:color w:val="auto"/>
          <w:sz w:val="32"/>
          <w:szCs w:val="32"/>
          <w:rFonts w:eastAsia="仿宋_GB2312" w:hint="eastAsia"/>
        </w:rPr>
      </w:pPr>
      <w:r>
        <w:rPr>
          <w:color w:val="auto"/>
          <w:sz w:val="32"/>
          <w:lang w:eastAsia="zh-CN"/>
          <w:szCs w:val="32"/>
          <w:rFonts w:eastAsia="仿宋_GB2312" w:hint="eastAsia"/>
        </w:rPr>
        <w:t>（</w:t>
      </w:r>
      <w:r>
        <w:rPr>
          <w:color w:val="auto"/>
          <w:sz w:val="32"/>
          <w:lang w:val="en-US" w:eastAsia="zh-CN"/>
          <w:szCs w:val="32"/>
          <w:rFonts w:eastAsia="仿宋_GB2312" w:hint="eastAsia"/>
        </w:rPr>
        <w:t>3</w:t>
      </w:r>
      <w:r>
        <w:rPr>
          <w:color w:val="auto"/>
          <w:sz w:val="32"/>
          <w:lang w:eastAsia="zh-CN"/>
          <w:szCs w:val="32"/>
          <w:rFonts w:eastAsia="仿宋_GB2312" w:hint="eastAsia"/>
        </w:rPr>
        <w:t>）</w:t>
      </w:r>
      <w:r>
        <w:rPr>
          <w:color w:val="auto"/>
          <w:sz w:val="32"/>
          <w:szCs w:val="32"/>
          <w:rFonts w:eastAsia="仿宋_GB2312" w:hint="eastAsia"/>
        </w:rPr>
        <w:t>优质饲草产业发展项目1000万。</w:t>
      </w:r>
      <w:r>
        <w:rPr>
          <w:color w:val="auto"/>
          <w:sz w:val="32"/>
          <w:bCs/>
          <w:szCs w:val="32"/>
          <w:rFonts w:ascii="Times New Roman" w:hAnsi="Times New Roman" w:eastAsia="仿宋_GB2312" w:cs="Times New Roman" w:hint="default"/>
        </w:rPr>
        <w:t>围绕苜蓿、青贮玉米、饲用高粱等优质饲草品种生产评比、高产栽培技术推广、营养成分快速测定3个关键环节，示范带动全区饲草产业发展。委托科研院校、自治区技术推广单位开展新成果跟踪、新技术指导。2022年</w:t>
      </w:r>
      <w:r>
        <w:rPr>
          <w:color w:val="auto"/>
          <w:sz w:val="32"/>
          <w:lang w:eastAsia="zh-CN"/>
          <w:bCs/>
          <w:szCs w:val="32"/>
          <w:rFonts w:ascii="Times New Roman" w:hAnsi="Times New Roman" w:eastAsia="仿宋_GB2312" w:cs="Times New Roman" w:hint="eastAsia"/>
        </w:rPr>
        <w:t>计划建设</w:t>
      </w:r>
      <w:r>
        <w:rPr>
          <w:color w:val="auto"/>
          <w:sz w:val="32"/>
          <w:bCs/>
          <w:szCs w:val="32"/>
          <w:rFonts w:ascii="Times New Roman" w:hAnsi="Times New Roman" w:eastAsia="仿宋_GB2312" w:cs="Times New Roman" w:hint="default"/>
        </w:rPr>
        <w:t>不同优质饲草品种生产评比田</w:t>
      </w:r>
      <w:r>
        <w:rPr>
          <w:color w:val="auto"/>
          <w:sz w:val="32"/>
          <w:lang w:val="en-US" w:eastAsia="zh-CN"/>
          <w:bCs/>
          <w:szCs w:val="32"/>
          <w:rFonts w:ascii="Times New Roman" w:hAnsi="Times New Roman" w:eastAsia="仿宋_GB2312" w:cs="Times New Roman" w:hint="eastAsia"/>
        </w:rPr>
        <w:t>4</w:t>
      </w:r>
      <w:r>
        <w:rPr>
          <w:color w:val="auto"/>
          <w:sz w:val="32"/>
          <w:bCs/>
          <w:szCs w:val="32"/>
          <w:rFonts w:ascii="Times New Roman" w:hAnsi="Times New Roman" w:eastAsia="仿宋_GB2312" w:cs="Times New Roman" w:hint="default"/>
        </w:rPr>
        <w:t>000亩，</w:t>
      </w:r>
      <w:r>
        <w:rPr>
          <w:color w:val="auto"/>
          <w:sz w:val="32"/>
          <w:lang w:eastAsia="zh-CN"/>
          <w:bCs/>
          <w:szCs w:val="32"/>
          <w:rFonts w:ascii="Times New Roman" w:hAnsi="Times New Roman" w:eastAsia="仿宋_GB2312" w:cs="Times New Roman" w:hint="eastAsia"/>
        </w:rPr>
        <w:t>选择</w:t>
      </w:r>
      <w:r>
        <w:rPr>
          <w:color w:val="auto"/>
          <w:sz w:val="32"/>
          <w:bCs/>
          <w:szCs w:val="32"/>
          <w:rFonts w:ascii="Times New Roman" w:hAnsi="Times New Roman" w:eastAsia="仿宋_GB2312" w:cs="Times New Roman" w:hint="default"/>
        </w:rPr>
        <w:t>饲草品种10种以上；建设优质饲草高产栽培示范田</w:t>
      </w:r>
      <w:r>
        <w:rPr>
          <w:color w:val="auto"/>
          <w:sz w:val="32"/>
          <w:lang w:val="en-US" w:eastAsia="zh-CN"/>
          <w:bCs/>
          <w:szCs w:val="32"/>
          <w:rFonts w:ascii="Times New Roman" w:hAnsi="Times New Roman" w:eastAsia="仿宋_GB2312" w:cs="Times New Roman" w:hint="eastAsia"/>
        </w:rPr>
        <w:t>10</w:t>
      </w:r>
      <w:r>
        <w:rPr>
          <w:color w:val="auto"/>
          <w:sz w:val="32"/>
          <w:bCs/>
          <w:szCs w:val="32"/>
          <w:rFonts w:ascii="Times New Roman" w:hAnsi="Times New Roman" w:eastAsia="仿宋_GB2312" w:cs="Times New Roman" w:hint="default"/>
        </w:rPr>
        <w:t>000亩，亩均单产提高5%以上。</w:t>
      </w:r>
      <w:r>
        <w:rPr>
          <w:color w:val="auto"/>
          <w:sz w:val="32"/>
          <w:lang w:eastAsia="zh-CN"/>
          <w:bCs/>
          <w:szCs w:val="32"/>
          <w:rFonts w:ascii="Times New Roman" w:hAnsi="Times New Roman" w:eastAsia="仿宋_GB2312" w:cs="Times New Roman" w:hint="eastAsia"/>
        </w:rPr>
        <w:t>其中伊犁州直以苜蓿为主、阿勒泰地区以苜蓿和燕麦为主、乌鲁木齐市以青贮玉米和苜蓿为主、阿克苏地区以饲用高粱为主、和田地区和喀什地区以复播青贮玉米为主，克州以饲用高粱和绿洲</w:t>
      </w:r>
      <w:r>
        <w:rPr>
          <w:color w:val="auto"/>
          <w:sz w:val="32"/>
          <w:lang w:val="en-US" w:eastAsia="zh-CN"/>
          <w:bCs/>
          <w:szCs w:val="32"/>
          <w:rFonts w:ascii="Times New Roman" w:hAnsi="Times New Roman" w:eastAsia="仿宋_GB2312" w:cs="Times New Roman" w:hint="eastAsia"/>
        </w:rPr>
        <w:t>1号等新饲草品种为主，巴州以苜蓿和青贮玉米为主，通过生产评比和高产栽培，筛选出</w:t>
      </w:r>
      <w:r>
        <w:rPr>
          <w:color w:val="auto"/>
          <w:sz w:val="32"/>
          <w:lang w:eastAsia="zh-CN"/>
          <w:bCs/>
          <w:szCs w:val="32"/>
          <w:rFonts w:ascii="Times New Roman" w:hAnsi="Times New Roman" w:eastAsia="仿宋_GB2312" w:cs="Times New Roman" w:hint="eastAsia"/>
        </w:rPr>
        <w:t>适合各区域种植的最优饲草品种。</w:t>
      </w:r>
    </w:p>
    <w:p>
      <w:pPr>
        <w:pageBreakBefore w:val="0"/>
        <w:wordWrap w:val="1"/>
        <w:overflowPunct w:val="1"/>
        <w:topLinePunct w:val="0"/>
        <w:kinsoku w:val="1"/>
        <w:bidi w:val="0"/>
        <w:snapToGrid w:val="1"/>
        <w:spacing w:line="560" w:lineRule="exact"/>
        <w:ind w:firstLine="640" w:firstLineChars="200"/>
        <w:rPr>
          <w:color w:val="auto"/>
          <w:sz w:val="32"/>
          <w:szCs w:val="32"/>
          <w:rFonts w:eastAsia="仿宋_GB2312" w:hint="eastAsia"/>
        </w:rPr>
      </w:pPr>
      <w:r>
        <w:rPr>
          <w:color w:val="auto"/>
          <w:sz w:val="32"/>
          <w:lang w:eastAsia="zh-CN"/>
          <w:szCs w:val="32"/>
          <w:rFonts w:eastAsia="仿宋_GB2312" w:hint="eastAsia"/>
        </w:rPr>
        <w:t>（</w:t>
      </w:r>
      <w:r>
        <w:rPr>
          <w:color w:val="auto"/>
          <w:sz w:val="32"/>
          <w:lang w:val="en-US" w:eastAsia="zh-CN"/>
          <w:szCs w:val="32"/>
          <w:rFonts w:eastAsia="仿宋_GB2312" w:hint="eastAsia"/>
        </w:rPr>
        <w:t>4</w:t>
      </w:r>
      <w:r>
        <w:rPr>
          <w:color w:val="auto"/>
          <w:sz w:val="32"/>
          <w:lang w:eastAsia="zh-CN"/>
          <w:szCs w:val="32"/>
          <w:rFonts w:eastAsia="仿宋_GB2312" w:hint="eastAsia"/>
        </w:rPr>
        <w:t>）</w:t>
      </w:r>
      <w:r>
        <w:rPr>
          <w:color w:val="auto"/>
          <w:sz w:val="32"/>
          <w:szCs w:val="32"/>
          <w:rFonts w:eastAsia="仿宋_GB2312" w:hint="eastAsia"/>
        </w:rPr>
        <w:t>现代畜禽种业提升项目3</w:t>
      </w:r>
      <w:r>
        <w:rPr>
          <w:color w:val="auto"/>
          <w:sz w:val="32"/>
          <w:lang w:val="en-US" w:eastAsia="zh-CN"/>
          <w:szCs w:val="32"/>
          <w:rFonts w:eastAsia="仿宋_GB2312" w:hint="eastAsia"/>
        </w:rPr>
        <w:t>496</w:t>
      </w:r>
      <w:r>
        <w:rPr>
          <w:color w:val="auto"/>
          <w:sz w:val="32"/>
          <w:szCs w:val="32"/>
          <w:rFonts w:eastAsia="仿宋_GB2312" w:hint="eastAsia"/>
        </w:rPr>
        <w:t>万元。</w:t>
      </w:r>
      <w:r>
        <w:rPr>
          <w:color w:val="auto"/>
          <w:w w:val="100"/>
          <w:sz w:val="32"/>
          <w:lang w:val="en-US" w:eastAsia="zh-CN"/>
          <w:szCs w:val="32"/>
          <w:rFonts w:ascii="Times New Roman" w:hAnsi="Times New Roman" w:eastAsia="仿宋_GB2312" w:cs="Times New Roman" w:hint="default"/>
        </w:rPr>
        <w:t>项目依托农区高效肉羊品种选育推广、牧区地方肉羊品种选育推广、多浪羊品种选育推广、新疆褐牛联合育种、西门塔尔（安格斯）牛群体改良等7个产业技术体系开展工作，涉及科研院校、13个地（州、市）畜牧兽医技术推广单位、涉牧企业等共100余家，项目资金主要用于核心种畜场和重点养殖场种畜的育种、表型测定、品种鉴定、种畜购置等育种与生产环节补助；自治区畜牧总站、核心种畜场所在地（州、市）、县（市）畜牧工作站，组织开展种畜鉴定、技术服务、资源统计等技术推广费用；以及自治区畜牧科学院等科研院所组织专家开展育种规划、新品种培育、种群鉴定等设施设备购置、技术服务、示范推广、集成示范等费用。通过项目实施各核心种畜场和重点养殖场规范开展了品种选育、畜牧兽医实用技术推广应用工作，畜禽品种选育与技术推广体系发挥了积极作用，品种改良工作初见成效，供种能力显著提升。</w:t>
      </w:r>
    </w:p>
    <w:p>
      <w:pPr>
        <w:pageBreakBefore w:val="0"/>
        <w:wordWrap w:val="1"/>
        <w:overflowPunct w:val="1"/>
        <w:topLinePunct w:val="0"/>
        <w:kinsoku w:val="1"/>
        <w:bidi w:val="0"/>
        <w:snapToGrid w:val="1"/>
        <w:spacing w:line="560" w:lineRule="exact"/>
        <w:ind w:firstLine="640" w:firstLineChars="200"/>
        <w:rPr>
          <w:color w:val="auto"/>
          <w:sz w:val="32"/>
          <w:szCs w:val="32"/>
          <w:rFonts w:eastAsia="仿宋_GB2312" w:hint="eastAsia"/>
        </w:rPr>
      </w:pPr>
      <w:r>
        <w:rPr>
          <w:color w:val="auto"/>
          <w:sz w:val="32"/>
          <w:lang w:eastAsia="zh-CN"/>
          <w:szCs w:val="32"/>
          <w:rFonts w:eastAsia="仿宋_GB2312" w:hint="eastAsia"/>
        </w:rPr>
        <w:t>（</w:t>
      </w:r>
      <w:r>
        <w:rPr>
          <w:color w:val="auto"/>
          <w:sz w:val="32"/>
          <w:lang w:val="en-US" w:eastAsia="zh-CN"/>
          <w:szCs w:val="32"/>
          <w:rFonts w:eastAsia="仿宋_GB2312" w:hint="eastAsia"/>
        </w:rPr>
        <w:t>5</w:t>
      </w:r>
      <w:r>
        <w:rPr>
          <w:color w:val="auto"/>
          <w:sz w:val="32"/>
          <w:lang w:eastAsia="zh-CN"/>
          <w:szCs w:val="32"/>
          <w:rFonts w:eastAsia="仿宋_GB2312" w:hint="eastAsia"/>
        </w:rPr>
        <w:t>）</w:t>
      </w:r>
      <w:r>
        <w:rPr>
          <w:color w:val="auto"/>
          <w:sz w:val="32"/>
          <w:szCs w:val="32"/>
          <w:rFonts w:eastAsia="仿宋_GB2312" w:hint="eastAsia"/>
        </w:rPr>
        <w:t>畜禽遗传资源保护项目</w:t>
      </w:r>
      <w:r>
        <w:rPr>
          <w:color w:val="auto"/>
          <w:sz w:val="32"/>
          <w:lang w:val="en-US" w:eastAsia="zh-CN"/>
          <w:szCs w:val="32"/>
          <w:rFonts w:eastAsia="仿宋_GB2312" w:hint="eastAsia"/>
        </w:rPr>
        <w:t>300</w:t>
      </w:r>
      <w:r>
        <w:rPr>
          <w:color w:val="auto"/>
          <w:sz w:val="32"/>
          <w:szCs w:val="32"/>
          <w:rFonts w:eastAsia="仿宋_GB2312" w:hint="eastAsia"/>
        </w:rPr>
        <w:t>万。</w:t>
      </w:r>
      <w:r>
        <w:rPr>
          <w:color w:val="auto"/>
          <w:sz w:val="32"/>
          <w:szCs w:val="32"/>
          <w:rFonts w:ascii="Times New Roman" w:hAnsi="Times New Roman" w:eastAsia="仿宋_GB2312" w:cs="Times New Roman" w:hint="default"/>
        </w:rPr>
        <w:t>对</w:t>
      </w:r>
      <w:r>
        <w:rPr>
          <w:color w:val="auto"/>
          <w:sz w:val="32"/>
          <w:lang w:val="en-US" w:eastAsia="zh-CN"/>
          <w:szCs w:val="32"/>
          <w:rFonts w:ascii="Times New Roman" w:hAnsi="Times New Roman" w:eastAsia="仿宋_GB2312" w:cs="Times New Roman" w:hint="default"/>
        </w:rPr>
        <w:t>14个</w:t>
      </w:r>
      <w:r>
        <w:rPr>
          <w:color w:val="auto"/>
          <w:sz w:val="32"/>
          <w:szCs w:val="32"/>
          <w:rFonts w:ascii="Times New Roman" w:hAnsi="Times New Roman" w:eastAsia="仿宋_GB2312" w:cs="Times New Roman" w:hint="default"/>
        </w:rPr>
        <w:t>自治区</w:t>
      </w:r>
      <w:r>
        <w:rPr>
          <w:color w:val="auto"/>
          <w:sz w:val="32"/>
          <w:lang w:val="en-US" w:eastAsia="zh-CN"/>
          <w:szCs w:val="32"/>
          <w:rFonts w:ascii="Times New Roman" w:hAnsi="Times New Roman" w:eastAsia="仿宋_GB2312" w:cs="Times New Roman" w:hint="default"/>
        </w:rPr>
        <w:t>级</w:t>
      </w:r>
      <w:r>
        <w:rPr>
          <w:color w:val="auto"/>
          <w:sz w:val="32"/>
          <w:szCs w:val="32"/>
          <w:rFonts w:ascii="Times New Roman" w:hAnsi="Times New Roman" w:eastAsia="仿宋_GB2312" w:cs="Times New Roman" w:hint="default"/>
        </w:rPr>
        <w:t>畜禽遗传资源保种场（保护区）开展保种设施建设、品种数据监测、遗传物质采集、配套生产性能测定、购置育种材料、完善育种生产设施设备等</w:t>
      </w:r>
      <w:r>
        <w:rPr>
          <w:color w:val="auto"/>
          <w:sz w:val="32"/>
          <w:lang w:val="en-US" w:eastAsia="zh-CN"/>
          <w:szCs w:val="32"/>
          <w:rFonts w:ascii="Times New Roman" w:hAnsi="Times New Roman" w:eastAsia="仿宋_GB2312" w:cs="Times New Roman" w:hint="default"/>
        </w:rPr>
        <w:t>给与补贴支持</w:t>
      </w:r>
      <w:r>
        <w:rPr>
          <w:color w:val="auto"/>
          <w:sz w:val="32"/>
          <w:szCs w:val="32"/>
          <w:rFonts w:ascii="Times New Roman" w:hAnsi="Times New Roman" w:eastAsia="仿宋_GB2312" w:cs="Times New Roman" w:hint="default"/>
        </w:rPr>
        <w:t>。</w:t>
      </w:r>
    </w:p>
    <w:p>
      <w:pPr>
        <w:pageBreakBefore w:val="0"/>
        <w:wordWrap w:val="1"/>
        <w:overflowPunct w:val="1"/>
        <w:topLinePunct w:val="0"/>
        <w:kinsoku w:val="1"/>
        <w:bidi w:val="0"/>
        <w:snapToGrid w:val="1"/>
        <w:spacing w:line="560" w:lineRule="exact"/>
        <w:ind w:firstLine="640" w:firstLineChars="200"/>
        <w:rPr>
          <w:color w:val="auto"/>
          <w:sz w:val="32"/>
          <w:szCs w:val="32"/>
          <w:rFonts w:eastAsia="仿宋_GB2312" w:hint="eastAsia"/>
        </w:rPr>
      </w:pPr>
      <w:r>
        <w:rPr>
          <w:color w:val="auto"/>
          <w:sz w:val="32"/>
          <w:lang w:eastAsia="zh-CN"/>
          <w:szCs w:val="32"/>
          <w:rFonts w:eastAsia="仿宋_GB2312" w:hint="eastAsia"/>
        </w:rPr>
        <w:t>（</w:t>
      </w:r>
      <w:r>
        <w:rPr>
          <w:color w:val="auto"/>
          <w:sz w:val="32"/>
          <w:lang w:val="en-US" w:eastAsia="zh-CN"/>
          <w:szCs w:val="32"/>
          <w:rFonts w:eastAsia="仿宋_GB2312" w:hint="eastAsia"/>
        </w:rPr>
        <w:t>6</w:t>
      </w:r>
      <w:r>
        <w:rPr>
          <w:color w:val="auto"/>
          <w:sz w:val="32"/>
          <w:lang w:eastAsia="zh-CN"/>
          <w:szCs w:val="32"/>
          <w:rFonts w:eastAsia="仿宋_GB2312" w:hint="eastAsia"/>
        </w:rPr>
        <w:t>）</w:t>
      </w:r>
      <w:r>
        <w:rPr>
          <w:color w:val="auto"/>
          <w:sz w:val="32"/>
          <w:szCs w:val="32"/>
          <w:rFonts w:eastAsia="仿宋_GB2312" w:hint="eastAsia"/>
        </w:rPr>
        <w:t>新型经营主体培育项目2</w:t>
      </w:r>
      <w:r>
        <w:rPr>
          <w:color w:val="auto"/>
          <w:sz w:val="32"/>
          <w:lang w:val="en-US" w:eastAsia="zh-CN"/>
          <w:szCs w:val="32"/>
          <w:rFonts w:eastAsia="仿宋_GB2312" w:hint="eastAsia"/>
        </w:rPr>
        <w:t>80</w:t>
      </w:r>
      <w:r>
        <w:rPr>
          <w:color w:val="auto"/>
          <w:sz w:val="32"/>
          <w:szCs w:val="32"/>
          <w:rFonts w:eastAsia="仿宋_GB2312" w:hint="eastAsia"/>
        </w:rPr>
        <w:t>万。</w:t>
      </w:r>
      <w:r>
        <w:rPr>
          <w:color w:val="auto"/>
          <w:sz w:val="32"/>
          <w:lang w:val="en-US" w:eastAsia="zh-CN"/>
          <w:szCs w:val="32"/>
          <w:rFonts w:eastAsia="仿宋_GB2312" w:hint="default"/>
        </w:rPr>
        <w:t>依托现有遗传资源和工作基础，以培育肉用</w:t>
      </w:r>
      <w:r>
        <w:rPr>
          <w:color w:val="auto"/>
          <w:sz w:val="32"/>
          <w:lang w:val="en-US" w:eastAsia="zh-CN"/>
          <w:szCs w:val="32"/>
          <w:rFonts w:eastAsia="仿宋_GB2312" w:hint="eastAsia"/>
        </w:rPr>
        <w:t>细毛</w:t>
      </w:r>
      <w:r>
        <w:rPr>
          <w:color w:val="auto"/>
          <w:sz w:val="32"/>
          <w:lang w:val="en-US" w:eastAsia="zh-CN"/>
          <w:szCs w:val="32"/>
          <w:rFonts w:eastAsia="仿宋_GB2312" w:hint="default"/>
        </w:rPr>
        <w:t>羊新品种、绒山羊</w:t>
      </w:r>
      <w:r>
        <w:rPr>
          <w:color w:val="auto"/>
          <w:sz w:val="32"/>
          <w:lang w:val="en-US" w:eastAsia="zh-CN"/>
          <w:szCs w:val="32"/>
          <w:shd w:val="clear" w:color="auto" w:fill="FFFFFF"/>
          <w:rFonts w:ascii="Times New Roman" w:hAnsi="Times New Roman" w:eastAsia="仿宋_GB2312" w:cs="Times New Roman" w:hint="default"/>
        </w:rPr>
        <w:t>新品种和多胎细毛羊新品系</w:t>
      </w:r>
      <w:r>
        <w:rPr>
          <w:color w:val="auto"/>
          <w:sz w:val="32"/>
          <w:lang w:val="en-US" w:eastAsia="zh-CN"/>
          <w:szCs w:val="32"/>
          <w:shd w:val="clear" w:color="auto" w:fill="FFFFFF"/>
          <w:rFonts w:ascii="Times New Roman" w:hAnsi="Times New Roman" w:eastAsia="仿宋_GB2312" w:cs="Times New Roman" w:hint="eastAsia"/>
        </w:rPr>
        <w:t>，产学研用结合、打造科技型企业</w:t>
      </w:r>
      <w:r>
        <w:rPr>
          <w:color w:val="auto"/>
          <w:sz w:val="32"/>
          <w:lang w:val="en-US" w:eastAsia="zh-CN"/>
          <w:szCs w:val="32"/>
          <w:shd w:val="clear" w:color="auto" w:fill="FFFFFF"/>
          <w:rFonts w:ascii="Times New Roman" w:hAnsi="Times New Roman" w:eastAsia="仿宋_GB2312" w:cs="Times New Roman" w:hint="default"/>
        </w:rPr>
        <w:t>为目标，</w:t>
      </w:r>
      <w:r>
        <w:rPr>
          <w:color w:val="auto"/>
          <w:sz w:val="32"/>
          <w:szCs w:val="32"/>
          <w:shd w:val="clear" w:color="auto" w:fill="FFFFFF"/>
          <w:rFonts w:ascii="Times New Roman" w:hAnsi="Times New Roman" w:eastAsia="仿宋_GB2312" w:cs="Times New Roman" w:hint="default"/>
        </w:rPr>
        <w:t>引进</w:t>
      </w:r>
      <w:r>
        <w:rPr>
          <w:color w:val="auto"/>
          <w:sz w:val="32"/>
          <w:lang w:val="en-US" w:eastAsia="zh-CN"/>
          <w:szCs w:val="32"/>
          <w:shd w:val="clear" w:color="auto" w:fill="FFFFFF"/>
          <w:rFonts w:ascii="Times New Roman" w:hAnsi="Times New Roman" w:eastAsia="仿宋_GB2312" w:cs="Times New Roman" w:hint="default"/>
        </w:rPr>
        <w:t>南非肉用美利奴羊</w:t>
      </w:r>
      <w:r>
        <w:rPr>
          <w:color w:val="auto"/>
          <w:sz w:val="32"/>
          <w:szCs w:val="32"/>
          <w:shd w:val="clear" w:color="auto" w:fill="FFFFFF"/>
          <w:rFonts w:ascii="Times New Roman" w:hAnsi="Times New Roman" w:eastAsia="仿宋_GB2312" w:cs="Times New Roman" w:hint="default"/>
        </w:rPr>
        <w:t>品种</w:t>
      </w:r>
      <w:r>
        <w:rPr>
          <w:color w:val="auto"/>
          <w:sz w:val="32"/>
          <w:lang w:eastAsia="zh-CN"/>
          <w:szCs w:val="32"/>
          <w:shd w:val="clear" w:color="auto" w:fill="FFFFFF"/>
          <w:rFonts w:ascii="Times New Roman" w:hAnsi="Times New Roman" w:eastAsia="仿宋_GB2312" w:cs="Times New Roman" w:hint="default"/>
        </w:rPr>
        <w:t>，</w:t>
      </w:r>
      <w:r>
        <w:rPr>
          <w:color w:val="auto"/>
          <w:sz w:val="32"/>
          <w:lang w:val="en-US" w:eastAsia="zh-CN"/>
          <w:szCs w:val="32"/>
          <w:shd w:val="clear" w:color="auto" w:fill="FFFFFF"/>
          <w:rFonts w:ascii="Times New Roman" w:hAnsi="Times New Roman" w:eastAsia="仿宋_GB2312" w:cs="Times New Roman" w:hint="default"/>
        </w:rPr>
        <w:t>加快肉毛兼用羊产业发展，</w:t>
      </w:r>
      <w:r>
        <w:rPr>
          <w:color w:val="auto"/>
          <w:sz w:val="32"/>
          <w:szCs w:val="32"/>
          <w:shd w:val="clear" w:color="auto" w:fill="FFFFFF"/>
          <w:rFonts w:ascii="Times New Roman" w:hAnsi="Times New Roman" w:eastAsia="仿宋_GB2312" w:cs="Times New Roman" w:hint="default"/>
        </w:rPr>
        <w:t>紧紧围绕种业振兴重点任务，聚焦育种条件平台建设、育种创新技术研发</w:t>
      </w:r>
      <w:r>
        <w:rPr>
          <w:color w:val="auto"/>
          <w:sz w:val="32"/>
          <w:lang w:eastAsia="zh-CN"/>
          <w:szCs w:val="32"/>
          <w:shd w:val="clear" w:color="auto" w:fill="FFFFFF"/>
          <w:rFonts w:ascii="Times New Roman" w:hAnsi="Times New Roman" w:eastAsia="仿宋_GB2312" w:cs="Times New Roman" w:hint="default"/>
        </w:rPr>
        <w:t>。</w:t>
      </w:r>
      <w:r>
        <w:rPr>
          <w:color w:val="auto"/>
          <w:sz w:val="32"/>
          <w:szCs w:val="32"/>
          <w:shd w:val="clear" w:color="auto" w:fill="FFFFFF"/>
          <w:rFonts w:ascii="Times New Roman" w:hAnsi="Times New Roman" w:eastAsia="仿宋_GB2312" w:cs="Times New Roman" w:hint="default"/>
        </w:rPr>
        <w:t>完善以国家核心育种场和自治区核心育种场为主体的良种繁育体系，</w:t>
      </w:r>
      <w:r>
        <w:rPr>
          <w:color w:val="auto"/>
          <w:sz w:val="32"/>
          <w:szCs w:val="32"/>
          <w:rFonts w:ascii="Times New Roman" w:hAnsi="Times New Roman" w:eastAsia="仿宋_GB2312" w:cs="Times New Roman" w:hint="default"/>
        </w:rPr>
        <w:t>建立</w:t>
      </w:r>
      <w:r>
        <w:rPr>
          <w:color w:val="auto"/>
          <w:sz w:val="32"/>
          <w:lang w:val="en-US" w:eastAsia="zh-CN"/>
          <w:szCs w:val="32"/>
          <w:rFonts w:ascii="Times New Roman" w:hAnsi="Times New Roman" w:eastAsia="仿宋_GB2312" w:cs="Times New Roman" w:hint="default"/>
        </w:rPr>
        <w:t>绒毛用羊新</w:t>
      </w:r>
      <w:r>
        <w:rPr>
          <w:color w:val="auto"/>
          <w:sz w:val="32"/>
          <w:szCs w:val="32"/>
          <w:rFonts w:ascii="Times New Roman" w:hAnsi="Times New Roman" w:eastAsia="仿宋_GB2312" w:cs="Times New Roman" w:hint="default"/>
        </w:rPr>
        <w:t>品种育种技术体系、良繁体系，研发并对现有技术进行组装配套，形成适应</w:t>
      </w:r>
      <w:r>
        <w:rPr>
          <w:color w:val="auto"/>
          <w:sz w:val="32"/>
          <w:lang w:val="en-US" w:eastAsia="zh-CN"/>
          <w:szCs w:val="32"/>
          <w:rFonts w:ascii="Times New Roman" w:hAnsi="Times New Roman" w:eastAsia="仿宋_GB2312" w:cs="Times New Roman" w:hint="default"/>
        </w:rPr>
        <w:t>绒毛用羊</w:t>
      </w:r>
      <w:r>
        <w:rPr>
          <w:color w:val="auto"/>
          <w:sz w:val="32"/>
          <w:szCs w:val="32"/>
          <w:rFonts w:ascii="Times New Roman" w:hAnsi="Times New Roman" w:eastAsia="仿宋_GB2312" w:cs="Times New Roman" w:hint="default"/>
        </w:rPr>
        <w:t>品种配套生产技术体系，引导并推动产</w:t>
      </w:r>
      <w:r>
        <w:rPr>
          <w:color w:val="auto"/>
          <w:sz w:val="32"/>
          <w:lang w:eastAsia="zh-CN"/>
          <w:szCs w:val="32"/>
          <w:rFonts w:ascii="Times New Roman" w:hAnsi="Times New Roman" w:eastAsia="仿宋_GB2312" w:cs="Times New Roman" w:hint="eastAsia"/>
        </w:rPr>
        <w:t>业</w:t>
      </w:r>
      <w:r>
        <w:rPr>
          <w:color w:val="auto"/>
          <w:sz w:val="32"/>
          <w:szCs w:val="32"/>
          <w:rFonts w:ascii="Times New Roman" w:hAnsi="Times New Roman" w:eastAsia="仿宋_GB2312" w:cs="Times New Roman" w:hint="default"/>
        </w:rPr>
        <w:t>发展。</w:t>
      </w:r>
    </w:p>
    <w:p>
      <w:pPr>
        <w:keepNext w:val="0"/>
        <w:keepLines w:val="0"/>
        <w:pageBreakBefore w:val="0"/>
        <w:wordWrap w:val="1"/>
        <w:overflowPunct w:val="1"/>
        <w:topLinePunct w:val="0"/>
        <w:kinsoku w:val="1"/>
        <w:autoSpaceDE w:val="1"/>
        <w:autoSpaceDN w:val="1"/>
        <w:bidi w:val="0"/>
        <w:adjustRightInd w:val="1"/>
        <w:snapToGrid w:val="1"/>
        <w:jc w:val="both"/>
        <w:spacing w:line="560" w:lineRule="exact"/>
        <w:ind w:firstLine="640" w:firstLineChars="200" w:left="0" w:leftChars="0"/>
        <w:rPr>
          <w:color w:val="auto"/>
          <w:sz w:val="32"/>
          <w:lang w:val="en-US" w:eastAsia="zh-CN"/>
          <w:bCs/>
          <w:szCs w:val="32"/>
          <w:rFonts w:ascii="仿宋_GB2312" w:hAnsi="仿宋_GB2312" w:eastAsia="仿宋_GB2312" w:cs="仿宋_GB2312" w:hint="default"/>
        </w:rPr>
      </w:pPr>
      <w:r>
        <w:rPr>
          <w:color w:val="auto"/>
          <w:sz w:val="32"/>
          <w:lang w:eastAsia="zh-CN"/>
          <w:szCs w:val="32"/>
          <w:rFonts w:eastAsia="仿宋_GB2312" w:hint="eastAsia"/>
        </w:rPr>
        <w:t>（</w:t>
      </w:r>
      <w:r>
        <w:rPr>
          <w:color w:val="auto"/>
          <w:sz w:val="32"/>
          <w:lang w:val="en-US" w:eastAsia="zh-CN"/>
          <w:szCs w:val="32"/>
          <w:rFonts w:eastAsia="仿宋_GB2312" w:hint="eastAsia"/>
        </w:rPr>
        <w:t>7</w:t>
      </w:r>
      <w:r>
        <w:rPr>
          <w:color w:val="auto"/>
          <w:sz w:val="32"/>
          <w:lang w:eastAsia="zh-CN"/>
          <w:szCs w:val="32"/>
          <w:rFonts w:eastAsia="仿宋_GB2312" w:hint="eastAsia"/>
        </w:rPr>
        <w:t>）</w:t>
      </w:r>
      <w:r>
        <w:rPr>
          <w:color w:val="auto"/>
          <w:sz w:val="32"/>
          <w:szCs w:val="32"/>
          <w:rFonts w:eastAsia="仿宋_GB2312" w:hint="eastAsia"/>
        </w:rPr>
        <w:t>畜产品质量安全监测项目</w:t>
      </w:r>
      <w:r>
        <w:rPr>
          <w:color w:val="auto"/>
          <w:sz w:val="32"/>
          <w:lang w:val="en-US" w:eastAsia="zh-CN"/>
          <w:szCs w:val="32"/>
          <w:rFonts w:eastAsia="仿宋_GB2312" w:hint="eastAsia"/>
        </w:rPr>
        <w:t>600</w:t>
      </w:r>
      <w:r>
        <w:rPr>
          <w:color w:val="auto"/>
          <w:sz w:val="32"/>
          <w:szCs w:val="32"/>
          <w:rFonts w:eastAsia="仿宋_GB2312" w:hint="eastAsia"/>
        </w:rPr>
        <w:t>万。</w:t>
      </w:r>
      <w:r>
        <w:rPr>
          <w:color w:val="auto"/>
          <w:sz w:val="32"/>
          <w:bCs/>
          <w:szCs w:val="32"/>
          <w:rFonts w:ascii="仿宋_GB2312" w:hAnsi="仿宋_GB2312" w:eastAsia="仿宋_GB2312" w:cs="仿宋_GB2312" w:hint="eastAsia"/>
        </w:rPr>
        <w:t>202</w:t>
      </w:r>
      <w:r>
        <w:rPr>
          <w:color w:val="auto"/>
          <w:sz w:val="32"/>
          <w:lang w:val="en-US" w:eastAsia="zh-CN"/>
          <w:bCs/>
          <w:szCs w:val="32"/>
          <w:rFonts w:ascii="仿宋_GB2312" w:hAnsi="仿宋_GB2312" w:eastAsia="仿宋_GB2312" w:cs="仿宋_GB2312" w:hint="eastAsia"/>
        </w:rPr>
        <w:t>2</w:t>
      </w:r>
      <w:r>
        <w:rPr>
          <w:color w:val="auto"/>
          <w:sz w:val="32"/>
          <w:bCs/>
          <w:szCs w:val="32"/>
          <w:rFonts w:ascii="仿宋_GB2312" w:hAnsi="仿宋_GB2312" w:eastAsia="仿宋_GB2312" w:cs="仿宋_GB2312" w:hint="eastAsia"/>
        </w:rPr>
        <w:t>年畜产品质量安全监测项目主要</w:t>
      </w:r>
      <w:r>
        <w:rPr>
          <w:color w:val="auto"/>
          <w:sz w:val="32"/>
          <w:lang w:val="en-US" w:eastAsia="zh-CN"/>
          <w:bCs/>
          <w:szCs w:val="32"/>
          <w:rFonts w:ascii="仿宋_GB2312" w:hAnsi="仿宋_GB2312" w:eastAsia="仿宋_GB2312" w:cs="仿宋_GB2312" w:hint="eastAsia"/>
        </w:rPr>
        <w:t>是对全区14个地（州、市）</w:t>
      </w:r>
      <w:r>
        <w:rPr>
          <w:color w:val="auto"/>
          <w:sz w:val="32"/>
          <w:bCs/>
          <w:szCs w:val="32"/>
          <w:rFonts w:ascii="仿宋_GB2312" w:hAnsi="仿宋_GB2312" w:eastAsia="仿宋_GB2312" w:cs="仿宋_GB2312" w:hint="eastAsia"/>
        </w:rPr>
        <w:t>牛羊肝脏、牛羊</w:t>
      </w:r>
      <w:r>
        <w:rPr>
          <w:color w:val="auto"/>
          <w:sz w:val="32"/>
          <w:lang w:val="en-US" w:eastAsia="zh-CN"/>
          <w:bCs/>
          <w:szCs w:val="32"/>
          <w:rFonts w:ascii="仿宋_GB2312" w:hAnsi="仿宋_GB2312" w:eastAsia="仿宋_GB2312" w:cs="仿宋_GB2312" w:hint="eastAsia"/>
        </w:rPr>
        <w:t>猪</w:t>
      </w:r>
      <w:r>
        <w:rPr>
          <w:color w:val="auto"/>
          <w:sz w:val="32"/>
          <w:bCs/>
          <w:szCs w:val="32"/>
          <w:rFonts w:ascii="仿宋_GB2312" w:hAnsi="仿宋_GB2312" w:eastAsia="仿宋_GB2312" w:cs="仿宋_GB2312" w:hint="eastAsia"/>
        </w:rPr>
        <w:t>禽肉、禽蛋、生鲜乳等</w:t>
      </w:r>
      <w:r>
        <w:rPr>
          <w:color w:val="auto"/>
          <w:sz w:val="32"/>
          <w:lang w:val="en-US" w:eastAsia="zh-CN"/>
          <w:bCs/>
          <w:szCs w:val="32"/>
          <w:rFonts w:ascii="仿宋_GB2312" w:hAnsi="仿宋_GB2312" w:eastAsia="仿宋_GB2312" w:cs="仿宋_GB2312" w:hint="eastAsia"/>
        </w:rPr>
        <w:t>主要畜产品</w:t>
      </w:r>
      <w:r>
        <w:rPr>
          <w:color w:val="auto"/>
          <w:sz w:val="32"/>
          <w:bCs/>
          <w:szCs w:val="32"/>
          <w:rFonts w:ascii="仿宋_GB2312" w:hAnsi="仿宋_GB2312" w:eastAsia="仿宋_GB2312" w:cs="仿宋_GB2312" w:hint="eastAsia"/>
        </w:rPr>
        <w:t>开展四环素类（金霉素、土霉素、四环素、强力霉素）、氟喹诺酮类（恩诺沙星、环丙沙星、沙拉沙星、达氟沙星、氧氟沙星、培氟沙星、诺氟沙星、洛美沙星）、抗病毒药物（金刚烷胺）、伊维菌素、阿维菌素</w:t>
      </w:r>
      <w:r>
        <w:rPr>
          <w:color w:val="auto"/>
          <w:sz w:val="32"/>
          <w:lang w:eastAsia="zh-CN"/>
          <w:bCs/>
          <w:szCs w:val="32"/>
          <w:rFonts w:ascii="仿宋_GB2312" w:hAnsi="仿宋_GB2312" w:eastAsia="仿宋_GB2312" w:cs="仿宋_GB2312" w:hint="eastAsia"/>
        </w:rPr>
        <w:t>、</w:t>
      </w:r>
      <w:r>
        <w:rPr>
          <w:color w:val="auto"/>
          <w:sz w:val="32"/>
          <w:bCs/>
          <w:szCs w:val="32"/>
          <w:rFonts w:ascii="仿宋_GB2312" w:hAnsi="仿宋_GB2312" w:eastAsia="仿宋_GB2312" w:cs="仿宋_GB2312" w:hint="eastAsia"/>
        </w:rPr>
        <w:t>“瘦肉精”(克仑特罗、莱克多巴胺、沙丁胺醇)等</w:t>
      </w:r>
      <w:r>
        <w:rPr>
          <w:color w:val="auto"/>
          <w:sz w:val="32"/>
          <w:lang w:val="en-US" w:eastAsia="zh-CN"/>
          <w:bCs/>
          <w:szCs w:val="32"/>
          <w:rFonts w:ascii="仿宋_GB2312" w:hAnsi="仿宋_GB2312" w:eastAsia="仿宋_GB2312" w:cs="仿宋_GB2312" w:hint="eastAsia"/>
        </w:rPr>
        <w:t>药物，</w:t>
      </w:r>
      <w:r>
        <w:rPr>
          <w:color w:val="auto"/>
          <w:sz w:val="32"/>
          <w:bCs/>
          <w:szCs w:val="32"/>
          <w:rFonts w:ascii="仿宋_GB2312" w:hAnsi="仿宋_GB2312" w:eastAsia="仿宋_GB2312" w:cs="仿宋_GB2312" w:hint="eastAsia"/>
        </w:rPr>
        <w:t>完成</w:t>
      </w:r>
      <w:r>
        <w:rPr>
          <w:color w:val="auto"/>
          <w:sz w:val="32"/>
          <w:lang w:val="en-US" w:eastAsia="zh-CN"/>
          <w:bCs/>
          <w:szCs w:val="32"/>
          <w:rFonts w:ascii="仿宋_GB2312" w:hAnsi="仿宋_GB2312" w:eastAsia="仿宋_GB2312" w:cs="仿宋_GB2312" w:hint="eastAsia"/>
        </w:rPr>
        <w:t>3000批次</w:t>
      </w:r>
      <w:r>
        <w:rPr>
          <w:color w:val="auto"/>
          <w:sz w:val="32"/>
          <w:bCs/>
          <w:szCs w:val="32"/>
          <w:rFonts w:ascii="仿宋_GB2312" w:hAnsi="仿宋_GB2312" w:eastAsia="仿宋_GB2312" w:cs="仿宋_GB2312" w:hint="eastAsia"/>
        </w:rPr>
        <w:t>畜产品质量安全定量监测</w:t>
      </w:r>
      <w:r>
        <w:rPr>
          <w:color w:val="auto"/>
          <w:sz w:val="32"/>
          <w:lang w:eastAsia="zh-CN"/>
          <w:bCs/>
          <w:szCs w:val="32"/>
          <w:rFonts w:ascii="仿宋_GB2312" w:hAnsi="仿宋_GB2312" w:eastAsia="仿宋_GB2312" w:cs="仿宋_GB2312" w:hint="eastAsia"/>
        </w:rPr>
        <w:t>和</w:t>
      </w:r>
      <w:r>
        <w:rPr>
          <w:color w:val="auto"/>
          <w:sz w:val="32"/>
          <w:lang w:val="en-US" w:eastAsia="zh-CN"/>
          <w:bCs/>
          <w:szCs w:val="32"/>
          <w:rFonts w:ascii="仿宋_GB2312" w:hAnsi="仿宋_GB2312" w:eastAsia="仿宋_GB2312" w:cs="仿宋_GB2312" w:hint="eastAsia"/>
        </w:rPr>
        <w:t>1000批次快速监测</w:t>
      </w:r>
      <w:r>
        <w:rPr>
          <w:color w:val="auto"/>
          <w:sz w:val="32"/>
          <w:bCs/>
          <w:szCs w:val="32"/>
          <w:rFonts w:ascii="仿宋_GB2312" w:hAnsi="仿宋_GB2312" w:eastAsia="仿宋_GB2312" w:cs="仿宋_GB2312" w:hint="eastAsia"/>
        </w:rPr>
        <w:t>。完成</w:t>
      </w:r>
      <w:r>
        <w:rPr>
          <w:color w:val="auto"/>
          <w:sz w:val="32"/>
          <w:lang w:val="en-US" w:eastAsia="zh-CN"/>
          <w:bCs/>
          <w:szCs w:val="32"/>
          <w:rFonts w:ascii="仿宋_GB2312" w:hAnsi="仿宋_GB2312" w:eastAsia="仿宋_GB2312" w:cs="仿宋_GB2312" w:hint="eastAsia"/>
        </w:rPr>
        <w:t>14</w:t>
      </w:r>
      <w:r>
        <w:rPr>
          <w:color w:val="auto"/>
          <w:sz w:val="32"/>
          <w:bCs/>
          <w:szCs w:val="32"/>
          <w:rFonts w:ascii="仿宋_GB2312" w:hAnsi="仿宋_GB2312" w:eastAsia="仿宋_GB2312" w:cs="仿宋_GB2312" w:hint="eastAsia"/>
        </w:rPr>
        <w:t>个地州</w:t>
      </w:r>
      <w:r>
        <w:rPr>
          <w:color w:val="auto"/>
          <w:sz w:val="32"/>
          <w:lang w:val="en-US" w:eastAsia="zh-CN"/>
          <w:bCs/>
          <w:szCs w:val="32"/>
          <w:rFonts w:ascii="仿宋_GB2312" w:hAnsi="仿宋_GB2312" w:eastAsia="仿宋_GB2312" w:cs="仿宋_GB2312" w:hint="eastAsia"/>
        </w:rPr>
        <w:t>262批次屠宰环节</w:t>
      </w:r>
      <w:r>
        <w:rPr>
          <w:color w:val="auto"/>
          <w:sz w:val="32"/>
          <w:bCs/>
          <w:szCs w:val="32"/>
          <w:rFonts w:ascii="仿宋_GB2312" w:hAnsi="仿宋_GB2312" w:eastAsia="仿宋_GB2312" w:cs="仿宋_GB2312" w:hint="default"/>
        </w:rPr>
        <w:t>肉品水分含量监测</w:t>
      </w:r>
      <w:r>
        <w:rPr>
          <w:color w:val="auto"/>
          <w:sz w:val="32"/>
          <w:lang w:eastAsia="zh-CN"/>
          <w:bCs/>
          <w:szCs w:val="32"/>
          <w:rFonts w:ascii="仿宋_GB2312" w:hAnsi="仿宋_GB2312" w:eastAsia="仿宋_GB2312" w:cs="仿宋_GB2312" w:hint="eastAsia"/>
        </w:rPr>
        <w:t>（</w:t>
      </w:r>
      <w:r>
        <w:rPr>
          <w:color w:val="auto"/>
          <w:sz w:val="32"/>
          <w:lang w:val="en-US" w:eastAsia="zh-CN"/>
          <w:bCs/>
          <w:szCs w:val="32"/>
          <w:rFonts w:ascii="仿宋_GB2312" w:hAnsi="仿宋_GB2312" w:eastAsia="仿宋_GB2312" w:cs="仿宋_GB2312" w:hint="eastAsia"/>
        </w:rPr>
        <w:t>资金未在年初预算内）</w:t>
      </w:r>
      <w:r>
        <w:rPr>
          <w:color w:val="auto"/>
          <w:sz w:val="32"/>
          <w:bCs/>
          <w:szCs w:val="32"/>
          <w:rFonts w:ascii="仿宋_GB2312" w:hAnsi="仿宋_GB2312" w:eastAsia="仿宋_GB2312" w:cs="仿宋_GB2312" w:hint="eastAsia"/>
        </w:rPr>
        <w:t>。完成</w:t>
      </w:r>
      <w:r>
        <w:rPr>
          <w:color w:val="auto"/>
          <w:sz w:val="32"/>
          <w:lang w:val="en-US" w:eastAsia="zh-CN"/>
          <w:bCs/>
          <w:szCs w:val="32"/>
          <w:rFonts w:ascii="仿宋_GB2312" w:hAnsi="仿宋_GB2312" w:eastAsia="仿宋_GB2312" w:cs="仿宋_GB2312" w:hint="eastAsia"/>
        </w:rPr>
        <w:t>70批次屠宰环节猪肝样品</w:t>
      </w:r>
      <w:r>
        <w:rPr>
          <w:color w:val="auto"/>
          <w:sz w:val="32"/>
          <w:bCs/>
          <w:szCs w:val="32"/>
          <w:rFonts w:ascii="仿宋_GB2312" w:hAnsi="仿宋_GB2312" w:eastAsia="仿宋_GB2312" w:cs="仿宋_GB2312" w:hint="default"/>
        </w:rPr>
        <w:t>监测</w:t>
      </w:r>
      <w:r>
        <w:rPr>
          <w:color w:val="auto"/>
          <w:sz w:val="32"/>
          <w:lang w:eastAsia="zh-CN"/>
          <w:bCs/>
          <w:szCs w:val="32"/>
          <w:rFonts w:ascii="仿宋_GB2312" w:hAnsi="仿宋_GB2312" w:eastAsia="仿宋_GB2312" w:cs="仿宋_GB2312" w:hint="eastAsia"/>
        </w:rPr>
        <w:t>（</w:t>
      </w:r>
      <w:r>
        <w:rPr>
          <w:color w:val="auto"/>
          <w:sz w:val="32"/>
          <w:lang w:val="en-US" w:eastAsia="zh-CN"/>
          <w:bCs/>
          <w:szCs w:val="32"/>
          <w:rFonts w:ascii="仿宋_GB2312" w:hAnsi="仿宋_GB2312" w:eastAsia="仿宋_GB2312" w:cs="仿宋_GB2312" w:hint="eastAsia"/>
        </w:rPr>
        <w:t>资金未在年初预算内）</w:t>
      </w:r>
      <w:r>
        <w:rPr>
          <w:color w:val="auto"/>
          <w:sz w:val="32"/>
          <w:bCs/>
          <w:szCs w:val="32"/>
          <w:rFonts w:ascii="仿宋_GB2312" w:hAnsi="仿宋_GB2312" w:eastAsia="仿宋_GB2312" w:cs="仿宋_GB2312" w:hint="eastAsia"/>
        </w:rPr>
        <w:t>。</w:t>
      </w:r>
      <w:r>
        <w:rPr>
          <w:rStyle w:val="24"/>
          <w:b w:val="0"/>
          <w:color w:val="auto"/>
          <w:spacing w:val="-4"/>
          <w:sz w:val="32"/>
          <w:lang w:val="en-US" w:eastAsia="zh-CN"/>
          <w:szCs w:val="32"/>
          <w:rFonts w:ascii="仿宋_GB2312" w:hAnsi="仿宋" w:eastAsia="仿宋_GB2312" w:hint="eastAsia"/>
        </w:rPr>
        <w:t>本着简便、实用的原则，在充分考虑监管需求的同时，考虑养殖户、消费者需求，确保政府便于监管、养殖受益、百姓放心，稳步加快功能开发与完善，不断建设丰富“新疆畜牧兽医大数据平台”。</w:t>
      </w:r>
    </w:p>
    <w:p>
      <w:pPr>
        <w:pageBreakBefore w:val="0"/>
        <w:wordWrap w:val="1"/>
        <w:overflowPunct w:val="1"/>
        <w:topLinePunct w:val="0"/>
        <w:kinsoku w:val="1"/>
        <w:bidi w:val="0"/>
        <w:snapToGrid w:val="1"/>
        <w:spacing w:line="560" w:lineRule="exact"/>
        <w:ind w:firstLine="640" w:firstLineChars="200"/>
        <w:rPr>
          <w:color w:val="auto"/>
        </w:rPr>
      </w:pPr>
      <w:r>
        <w:rPr>
          <w:color w:val="auto"/>
          <w:sz w:val="32"/>
          <w:szCs w:val="32"/>
          <w:rFonts w:eastAsia="仿宋_GB2312"/>
        </w:rPr>
        <w:t>项目实施情况：项目目前已经完成实际设立的目标，项目在实施过程中严格按照目标设立的各阶段任务进行开展工作，在前期立项过程中严格把质量关，建立安全防护机制，保证项目实施各阶段安全顺利进行。</w:t>
      </w:r>
    </w:p>
    <w:p>
      <w:pPr>
        <w:pageBreakBefore w:val="0"/>
        <w:wordWrap w:val="1"/>
        <w:overflowPunct w:val="1"/>
        <w:topLinePunct w:val="0"/>
        <w:kinsoku w:val="1"/>
        <w:bidi w:val="0"/>
        <w:snapToGrid w:val="1"/>
        <w:spacing w:line="560" w:lineRule="exact"/>
        <w:ind w:firstLine="640" w:firstLineChars="200"/>
        <w:rPr>
          <w:color w:val="auto"/>
          <w:sz w:val="32"/>
          <w:szCs w:val="32"/>
          <w:rFonts w:eastAsia="仿宋_GB2312"/>
        </w:rPr>
      </w:pPr>
      <w:r>
        <w:rPr>
          <w:color w:val="auto"/>
          <w:sz w:val="32"/>
          <w:szCs w:val="32"/>
          <w:rFonts w:eastAsia="仿宋_GB2312"/>
        </w:rPr>
        <w:t>本项目总投资</w:t>
      </w:r>
      <w:r>
        <w:rPr>
          <w:color w:val="auto"/>
          <w:sz w:val="32"/>
          <w:lang w:val="en-US" w:eastAsia="zh-CN"/>
          <w:szCs w:val="32"/>
          <w:rFonts w:eastAsia="仿宋_GB2312" w:hint="eastAsia"/>
        </w:rPr>
        <w:t>10014</w:t>
      </w:r>
      <w:r>
        <w:rPr>
          <w:color w:val="auto"/>
          <w:sz w:val="32"/>
          <w:szCs w:val="32"/>
          <w:rFonts w:eastAsia="仿宋_GB2312"/>
        </w:rPr>
        <w:t>万元，其中：财政</w:t>
      </w:r>
      <w:r>
        <w:rPr>
          <w:color w:val="auto"/>
          <w:sz w:val="32"/>
          <w:szCs w:val="32"/>
          <w:rFonts w:eastAsia="仿宋_GB2312" w:hint="eastAsia"/>
        </w:rPr>
        <w:t>拨款</w:t>
      </w:r>
      <w:r>
        <w:rPr>
          <w:color w:val="auto"/>
          <w:sz w:val="32"/>
          <w:szCs w:val="32"/>
          <w:rFonts w:eastAsia="仿宋_GB2312"/>
        </w:rPr>
        <w:t>资金</w:t>
      </w:r>
      <w:r>
        <w:rPr>
          <w:color w:val="auto"/>
          <w:sz w:val="32"/>
          <w:lang w:val="en-US" w:eastAsia="zh-CN"/>
          <w:szCs w:val="32"/>
          <w:rFonts w:eastAsia="仿宋_GB2312" w:hint="eastAsia"/>
        </w:rPr>
        <w:t>10014</w:t>
      </w:r>
      <w:r>
        <w:rPr>
          <w:color w:val="auto"/>
          <w:sz w:val="32"/>
          <w:szCs w:val="32"/>
          <w:rFonts w:eastAsia="仿宋_GB2312"/>
        </w:rPr>
        <w:t>万元</w:t>
      </w:r>
      <w:r>
        <w:rPr>
          <w:color w:val="auto"/>
          <w:sz w:val="32"/>
          <w:szCs w:val="32"/>
          <w:rFonts w:eastAsia="仿宋_GB2312" w:hint="eastAsia"/>
        </w:rPr>
        <w:t>。</w:t>
      </w:r>
      <w:r>
        <w:rPr>
          <w:color w:val="auto"/>
          <w:sz w:val="32"/>
          <w:szCs w:val="32"/>
          <w:rFonts w:eastAsia="仿宋_GB2312"/>
        </w:rPr>
        <w:t>项目实际支出</w:t>
      </w:r>
      <w:r>
        <w:rPr>
          <w:color w:val="auto"/>
          <w:sz w:val="32"/>
          <w:szCs w:val="32"/>
          <w:rFonts w:eastAsia="仿宋_GB2312" w:hint="eastAsia"/>
        </w:rPr>
        <w:t>9631.74</w:t>
      </w:r>
      <w:r>
        <w:rPr>
          <w:color w:val="auto"/>
          <w:sz w:val="32"/>
          <w:szCs w:val="32"/>
          <w:rFonts w:eastAsia="仿宋_GB2312"/>
        </w:rPr>
        <w:t>万元，支出率为</w:t>
      </w:r>
      <w:r>
        <w:rPr>
          <w:color w:val="auto"/>
          <w:sz w:val="32"/>
          <w:lang w:val="en-US" w:eastAsia="zh-CN"/>
          <w:szCs w:val="32"/>
          <w:rFonts w:eastAsia="仿宋_GB2312" w:hint="eastAsia"/>
        </w:rPr>
        <w:t>96.18</w:t>
      </w:r>
      <w:r>
        <w:rPr>
          <w:color w:val="auto"/>
          <w:sz w:val="32"/>
          <w:szCs w:val="32"/>
          <w:rFonts w:eastAsia="仿宋_GB2312"/>
        </w:rPr>
        <w:t>%。</w:t>
      </w:r>
    </w:p>
    <w:p>
      <w:pPr>
        <w:pageBreakBefore w:val="0"/>
        <w:wordWrap w:val="1"/>
        <w:overflowPunct w:val="1"/>
        <w:topLinePunct w:val="0"/>
        <w:kinsoku w:val="1"/>
        <w:bidi w:val="0"/>
        <w:snapToGrid w:val="1"/>
        <w:spacing w:line="560" w:lineRule="exact"/>
        <w:ind w:firstLine="643" w:firstLineChars="200"/>
        <w:rPr>
          <w:b w:val="1"/>
          <w:color w:val="auto"/>
          <w:sz w:val="32"/>
          <w:bCs/>
          <w:szCs w:val="32"/>
          <w:rFonts w:eastAsia="仿宋_GB2312"/>
        </w:rPr>
      </w:pPr>
      <w:r>
        <w:rPr>
          <w:b w:val="1"/>
          <w:color w:val="auto"/>
          <w:sz w:val="32"/>
          <w:bCs/>
          <w:szCs w:val="32"/>
          <w:rFonts w:eastAsia="仿宋_GB2312"/>
        </w:rPr>
        <w:t>3、资金投入和使用情况</w:t>
      </w:r>
    </w:p>
    <w:p>
      <w:pPr>
        <w:pageBreakBefore w:val="0"/>
        <w:wordWrap w:val="1"/>
        <w:overflowPunct w:val="1"/>
        <w:topLinePunct w:val="0"/>
        <w:kinsoku w:val="1"/>
        <w:bidi w:val="0"/>
        <w:snapToGrid w:val="1"/>
        <w:spacing w:line="560" w:lineRule="exact"/>
        <w:ind w:firstLine="640" w:firstLineChars="200"/>
        <w:rPr>
          <w:color w:val="auto"/>
          <w:sz w:val="20"/>
          <w:szCs w:val="20"/>
          <w:rFonts w:eastAsia="仿宋_GB2312"/>
        </w:rPr>
      </w:pPr>
      <w:r>
        <w:rPr>
          <w:color w:val="auto"/>
          <w:sz w:val="32"/>
          <w:szCs w:val="32"/>
          <w:rFonts w:eastAsia="仿宋_GB2312"/>
        </w:rPr>
        <w:t>（1）资金安排</w:t>
      </w:r>
    </w:p>
    <w:p>
      <w:pPr>
        <w:pageBreakBefore w:val="0"/>
        <w:wordWrap w:val="1"/>
        <w:overflowPunct w:val="1"/>
        <w:topLinePunct w:val="0"/>
        <w:kinsoku w:val="1"/>
        <w:bidi w:val="0"/>
        <w:snapToGrid w:val="1"/>
        <w:spacing w:line="560" w:lineRule="exact"/>
        <w:ind w:firstLine="640" w:firstLineChars="200"/>
        <w:rPr>
          <w:color w:val="auto"/>
          <w:sz w:val="32"/>
          <w:szCs w:val="32"/>
          <w:rFonts w:eastAsia="仿宋_GB2312"/>
        </w:rPr>
      </w:pPr>
      <w:r>
        <w:rPr>
          <w:color w:val="auto"/>
          <w:sz w:val="32"/>
          <w:szCs w:val="32"/>
          <w:rFonts w:eastAsia="仿宋_GB2312"/>
        </w:rPr>
        <w:t>项目总投资</w:t>
      </w:r>
      <w:r>
        <w:rPr>
          <w:color w:val="auto"/>
          <w:sz w:val="32"/>
          <w:lang w:val="en-US" w:eastAsia="zh-CN"/>
          <w:szCs w:val="32"/>
          <w:rFonts w:eastAsia="仿宋_GB2312" w:hint="eastAsia"/>
        </w:rPr>
        <w:t>10014</w:t>
      </w:r>
      <w:r>
        <w:rPr>
          <w:color w:val="auto"/>
          <w:sz w:val="32"/>
          <w:szCs w:val="32"/>
          <w:rFonts w:eastAsia="仿宋_GB2312"/>
        </w:rPr>
        <w:t>万元，按照单位财务制度等相关规定，资金支出符合</w:t>
      </w:r>
      <w:r>
        <w:rPr>
          <w:color w:val="auto"/>
          <w:sz w:val="32"/>
          <w:lang w:eastAsia="zh-CN"/>
          <w:szCs w:val="32"/>
          <w:rFonts w:eastAsia="仿宋_GB2312" w:hint="eastAsia"/>
        </w:rPr>
        <w:t>自治区畜牧业生产发展</w:t>
      </w:r>
      <w:r>
        <w:rPr>
          <w:color w:val="auto"/>
          <w:sz w:val="32"/>
          <w:szCs w:val="32"/>
          <w:rFonts w:eastAsia="仿宋_GB2312"/>
        </w:rPr>
        <w:t>专项资金费用范围，做到了专款专用。在项目资金拨付和使用过程中，为确保项目资金的安全性，提高项目资金使用效率，严格遵循</w:t>
      </w:r>
      <w:r>
        <w:rPr>
          <w:color w:val="auto"/>
          <w:sz w:val="32"/>
          <w:lang w:eastAsia="zh-CN"/>
          <w:szCs w:val="32"/>
          <w:rFonts w:eastAsia="仿宋_GB2312" w:hint="eastAsia"/>
        </w:rPr>
        <w:t>自治区畜牧业生产发展</w:t>
      </w:r>
      <w:r>
        <w:rPr>
          <w:color w:val="auto"/>
          <w:sz w:val="32"/>
          <w:szCs w:val="32"/>
          <w:rFonts w:eastAsia="仿宋_GB2312"/>
        </w:rPr>
        <w:t>资金的拨付程序，认真审核项目实施各阶段的相关材料和手续，根据项目实施进展情况拨付资金。</w:t>
      </w:r>
    </w:p>
    <w:p>
      <w:pPr>
        <w:pageBreakBefore w:val="0"/>
        <w:wordWrap w:val="1"/>
        <w:overflowPunct w:val="1"/>
        <w:topLinePunct w:val="0"/>
        <w:kinsoku w:val="1"/>
        <w:bidi w:val="0"/>
        <w:snapToGrid w:val="1"/>
        <w:spacing w:line="560" w:lineRule="exact"/>
        <w:ind w:firstLine="640" w:firstLineChars="200"/>
        <w:rPr>
          <w:color w:val="auto"/>
          <w:sz w:val="32"/>
          <w:szCs w:val="32"/>
          <w:rFonts w:eastAsia="仿宋_GB2312"/>
        </w:rPr>
      </w:pPr>
      <w:bookmarkStart w:id="0" w:name="page10"/>
      <w:bookmarkEnd w:id="0"/>
      <w:r>
        <w:rPr>
          <w:color w:val="auto"/>
          <w:sz w:val="32"/>
          <w:szCs w:val="32"/>
          <w:rFonts w:eastAsia="仿宋_GB2312"/>
        </w:rPr>
        <w:t>（2）预算资金来源及使用情况</w:t>
      </w:r>
    </w:p>
    <w:p>
      <w:pPr>
        <w:pStyle w:val="19"/>
        <w:pageBreakBefore w:val="0"/>
        <w:wordWrap w:val="1"/>
        <w:overflowPunct w:val="1"/>
        <w:topLinePunct w:val="0"/>
        <w:kinsoku w:val="1"/>
        <w:bidi w:val="0"/>
        <w:snapToGrid w:val="1"/>
        <w:jc w:val="both"/>
        <w:spacing w:after="0" w:before="0" w:line="560" w:lineRule="exact"/>
        <w:ind w:firstLine="640" w:firstLineChars="200"/>
        <w:rPr>
          <w:b w:val="0"/>
          <w:color w:val="auto"/>
          <w:bCs w:val="0"/>
          <w:kern w:val="2"/>
          <w:rFonts w:ascii="Times New Roman" w:hAnsi="Times New Roman" w:eastAsia="仿宋_GB2312"/>
        </w:rPr>
      </w:pPr>
      <w:r>
        <w:rPr>
          <w:b w:val="0"/>
          <w:color w:val="auto"/>
          <w:bCs w:val="0"/>
          <w:kern w:val="2"/>
          <w:rFonts w:ascii="Times New Roman" w:hAnsi="Times New Roman" w:eastAsia="仿宋_GB2312"/>
        </w:rPr>
        <w:t>项目预算资金来源于</w:t>
      </w:r>
      <w:r>
        <w:rPr>
          <w:b w:val="0"/>
          <w:color w:val="auto"/>
          <w:lang w:eastAsia="zh-CN"/>
          <w:bCs w:val="0"/>
          <w:kern w:val="2"/>
          <w:rFonts w:ascii="Times New Roman" w:hAnsi="Times New Roman" w:eastAsia="仿宋_GB2312" w:hint="eastAsia"/>
        </w:rPr>
        <w:t>当年财政拨款</w:t>
      </w:r>
      <w:r>
        <w:rPr>
          <w:b w:val="0"/>
          <w:color w:val="auto"/>
          <w:bCs w:val="0"/>
          <w:kern w:val="2"/>
          <w:rFonts w:ascii="Times New Roman" w:hAnsi="Times New Roman" w:eastAsia="仿宋_GB2312"/>
        </w:rPr>
        <w:t>，项目资金到位</w:t>
      </w:r>
      <w:r>
        <w:rPr>
          <w:b w:val="0"/>
          <w:color w:val="auto"/>
          <w:lang w:val="en-US" w:eastAsia="zh-CN"/>
          <w:bCs w:val="0"/>
          <w:kern w:val="2"/>
          <w:rFonts w:ascii="Times New Roman" w:hAnsi="Times New Roman" w:eastAsia="仿宋_GB2312" w:hint="eastAsia"/>
        </w:rPr>
        <w:t>10014</w:t>
      </w:r>
      <w:r>
        <w:rPr>
          <w:b w:val="0"/>
          <w:color w:val="auto"/>
          <w:bCs w:val="0"/>
          <w:kern w:val="2"/>
          <w:rFonts w:ascii="Times New Roman" w:hAnsi="Times New Roman" w:eastAsia="仿宋_GB2312"/>
        </w:rPr>
        <w:t>万元，</w:t>
      </w:r>
      <w:r>
        <w:rPr>
          <w:b w:val="0"/>
          <w:color w:val="auto"/>
          <w:bCs w:val="0"/>
          <w:kern w:val="2"/>
          <w:rFonts w:ascii="Times New Roman" w:hAnsi="Times New Roman" w:eastAsia="仿宋_GB2312" w:hint="eastAsia"/>
        </w:rPr>
        <w:t>全年执行9631.74万元，预算执行率为96.18%</w:t>
      </w:r>
      <w:r>
        <w:rPr>
          <w:b w:val="0"/>
          <w:color w:val="auto"/>
          <w:bCs w:val="0"/>
          <w:kern w:val="2"/>
          <w:rFonts w:ascii="Times New Roman" w:hAnsi="Times New Roman" w:eastAsia="仿宋_GB2312"/>
        </w:rPr>
        <w:t>,</w:t>
      </w:r>
      <w:r>
        <w:rPr>
          <w:b w:val="0"/>
          <w:color w:val="auto"/>
          <w:bCs w:val="0"/>
          <w:kern w:val="2"/>
          <w:rFonts w:ascii="Times New Roman" w:hAnsi="Times New Roman" w:eastAsia="仿宋_GB2312" w:hint="eastAsia"/>
        </w:rPr>
        <w:t>主要</w:t>
      </w:r>
      <w:r>
        <w:rPr>
          <w:b w:val="0"/>
          <w:color w:val="auto"/>
          <w:bCs w:val="0"/>
          <w:kern w:val="2"/>
          <w:rFonts w:ascii="Times New Roman" w:hAnsi="Times New Roman" w:eastAsia="仿宋_GB2312"/>
        </w:rPr>
        <w:t>用于支付项目实施进程中的各项费用。</w:t>
      </w:r>
    </w:p>
    <w:p>
      <w:pPr>
        <w:pageBreakBefore w:val="0"/>
        <w:wordWrap w:val="1"/>
        <w:overflowPunct w:val="1"/>
        <w:topLinePunct w:val="0"/>
        <w:kinsoku w:val="1"/>
        <w:bidi w:val="0"/>
        <w:snapToGrid w:val="1"/>
        <w:spacing w:line="560" w:lineRule="exact"/>
        <w:ind w:firstLine="643" w:firstLineChars="200"/>
        <w:rPr>
          <w:b w:val="1"/>
          <w:color w:val="auto"/>
          <w:sz w:val="32"/>
          <w:bCs/>
          <w:szCs w:val="32"/>
          <w:rFonts w:eastAsia="楷体_GB2312"/>
        </w:rPr>
      </w:pPr>
      <w:r>
        <w:rPr>
          <w:b w:val="1"/>
          <w:color w:val="auto"/>
          <w:sz w:val="32"/>
          <w:bCs/>
          <w:szCs w:val="32"/>
          <w:rFonts w:eastAsia="楷体_GB2312"/>
        </w:rPr>
        <w:t>（二）项目绩效目标</w:t>
      </w:r>
    </w:p>
    <w:p>
      <w:pPr>
        <w:pageBreakBefore w:val="0"/>
        <w:wordWrap w:val="1"/>
        <w:overflowPunct w:val="1"/>
        <w:topLinePunct w:val="0"/>
        <w:kinsoku w:val="1"/>
        <w:bidi w:val="0"/>
        <w:snapToGrid w:val="1"/>
        <w:shd w:val="clear"/>
        <w:spacing w:line="560" w:lineRule="exact"/>
        <w:ind w:firstLine="640" w:firstLineChars="200"/>
        <w:rPr>
          <w:color w:val="auto"/>
          <w:sz w:val="32"/>
          <w:szCs w:val="32"/>
          <w:rFonts w:eastAsia="仿宋_GB2312"/>
        </w:rPr>
      </w:pPr>
      <w:r>
        <w:rPr>
          <w:color w:val="auto"/>
          <w:sz w:val="32"/>
          <w:szCs w:val="32"/>
          <w:rFonts w:eastAsia="仿宋_GB2312"/>
        </w:rPr>
        <w:t>1、总体目标</w:t>
      </w:r>
    </w:p>
    <w:p>
      <w:pPr>
        <w:keepNext w:val="0"/>
        <w:keepLines w:val="0"/>
        <w:pageBreakBefore w:val="0"/>
        <w:wordWrap w:val="1"/>
        <w:overflowPunct w:val="1"/>
        <w:topLinePunct w:val="0"/>
        <w:kinsoku w:val="1"/>
        <w:autoSpaceDE w:val="1"/>
        <w:autoSpaceDN w:val="1"/>
        <w:bidi w:val="0"/>
        <w:snapToGrid w:val="1"/>
        <w:spacing w:line="560" w:lineRule="exact"/>
        <w:ind w:firstLine="640" w:firstLineChars="200"/>
        <w:rPr>
          <w:color w:val="auto"/>
          <w:sz w:val="32"/>
          <w:lang w:eastAsia="zh-CN"/>
          <w:szCs w:val="32"/>
          <w:rFonts w:eastAsia="仿宋_GB2312" w:hint="eastAsia"/>
        </w:rPr>
      </w:pPr>
      <w:r>
        <w:rPr>
          <w:color w:val="auto"/>
          <w:sz w:val="32"/>
          <w:lang w:eastAsia="zh-CN"/>
          <w:szCs w:val="32"/>
          <w:rFonts w:eastAsia="仿宋_GB2312" w:hint="eastAsia"/>
        </w:rPr>
        <w:t>（</w:t>
      </w:r>
      <w:r>
        <w:rPr>
          <w:color w:val="auto"/>
          <w:sz w:val="32"/>
          <w:lang w:val="en-US" w:eastAsia="zh-CN"/>
          <w:szCs w:val="32"/>
          <w:rFonts w:eastAsia="仿宋_GB2312" w:hint="eastAsia"/>
        </w:rPr>
        <w:t>1</w:t>
      </w:r>
      <w:r>
        <w:rPr>
          <w:color w:val="auto"/>
          <w:sz w:val="32"/>
          <w:lang w:eastAsia="zh-CN"/>
          <w:szCs w:val="32"/>
          <w:rFonts w:eastAsia="仿宋_GB2312" w:hint="eastAsia"/>
        </w:rPr>
        <w:t>）</w:t>
      </w:r>
      <w:r>
        <w:rPr>
          <w:b w:val="0"/>
          <w:color w:val="auto"/>
          <w:sz w:val="32"/>
          <w:lang w:val="en-US" w:eastAsia="zh-CN"/>
          <w:bCs w:val="0"/>
          <w:kern w:val="0"/>
          <w:szCs w:val="32"/>
          <w:rFonts w:ascii="Times New Roman" w:hAnsi="Times New Roman" w:eastAsia="仿宋_GB2312" w:cs="Times New Roman" w:hint="default"/>
        </w:rPr>
        <w:t>通过项目支持</w:t>
      </w:r>
      <w:r>
        <w:rPr>
          <w:b w:val="0"/>
          <w:color w:val="auto"/>
          <w:sz w:val="32"/>
          <w:lang w:val="en-US" w:eastAsia="zh-CN"/>
          <w:bCs w:val="0"/>
          <w:kern w:val="0"/>
          <w:szCs w:val="32"/>
          <w:rFonts w:ascii="Times New Roman" w:hAnsi="Times New Roman" w:eastAsia="仿宋_GB2312" w:cs="Times New Roman" w:hint="eastAsia"/>
        </w:rPr>
        <w:t>，</w:t>
      </w:r>
      <w:r>
        <w:rPr>
          <w:b w:val="0"/>
          <w:color w:val="auto"/>
          <w:sz w:val="32"/>
          <w:bCs w:val="0"/>
          <w:kern w:val="0"/>
          <w:szCs w:val="32"/>
          <w:rFonts w:ascii="Times New Roman" w:hAnsi="Times New Roman" w:eastAsia="仿宋_GB2312" w:cs="Times New Roman" w:hint="default"/>
        </w:rPr>
        <w:t>年</w:t>
      </w:r>
      <w:r>
        <w:rPr>
          <w:b w:val="0"/>
          <w:color w:val="auto"/>
          <w:sz w:val="32"/>
          <w:lang w:eastAsia="zh-CN"/>
          <w:bCs w:val="0"/>
          <w:kern w:val="0"/>
          <w:szCs w:val="32"/>
          <w:rFonts w:ascii="Times New Roman" w:hAnsi="Times New Roman" w:eastAsia="仿宋_GB2312" w:cs="Times New Roman" w:hint="eastAsia"/>
        </w:rPr>
        <w:t>内</w:t>
      </w:r>
      <w:r>
        <w:rPr>
          <w:b w:val="0"/>
          <w:color w:val="auto"/>
          <w:sz w:val="32"/>
          <w:bCs w:val="0"/>
          <w:kern w:val="0"/>
          <w:szCs w:val="32"/>
          <w:rFonts w:ascii="Times New Roman" w:hAnsi="Times New Roman" w:eastAsia="仿宋_GB2312" w:cs="Times New Roman" w:hint="default"/>
        </w:rPr>
        <w:t>新增荷斯坦母牛存栏</w:t>
      </w:r>
      <w:r>
        <w:rPr>
          <w:b w:val="0"/>
          <w:color w:val="auto"/>
          <w:sz w:val="32"/>
          <w:lang w:val="en-US" w:eastAsia="zh-CN"/>
          <w:bCs w:val="0"/>
          <w:kern w:val="0"/>
          <w:szCs w:val="32"/>
          <w:rFonts w:ascii="Times New Roman" w:hAnsi="Times New Roman" w:eastAsia="仿宋_GB2312" w:cs="Times New Roman" w:hint="eastAsia"/>
        </w:rPr>
        <w:t>4200</w:t>
      </w:r>
      <w:r>
        <w:rPr>
          <w:b w:val="0"/>
          <w:color w:val="auto"/>
          <w:sz w:val="32"/>
          <w:bCs w:val="0"/>
          <w:kern w:val="0"/>
          <w:szCs w:val="32"/>
          <w:rFonts w:ascii="Times New Roman" w:hAnsi="Times New Roman" w:eastAsia="仿宋_GB2312" w:cs="Times New Roman" w:hint="default"/>
        </w:rPr>
        <w:t>头、新增奶产量</w:t>
      </w:r>
      <w:r>
        <w:rPr>
          <w:b w:val="0"/>
          <w:color w:val="auto"/>
          <w:sz w:val="32"/>
          <w:lang w:val="en-US" w:eastAsia="zh-CN"/>
          <w:bCs w:val="0"/>
          <w:kern w:val="0"/>
          <w:szCs w:val="32"/>
          <w:rFonts w:ascii="Times New Roman" w:hAnsi="Times New Roman" w:eastAsia="仿宋_GB2312" w:cs="Times New Roman" w:hint="eastAsia"/>
        </w:rPr>
        <w:t>1</w:t>
      </w:r>
      <w:r>
        <w:rPr>
          <w:b w:val="0"/>
          <w:color w:val="auto"/>
          <w:sz w:val="32"/>
          <w:bCs w:val="0"/>
          <w:kern w:val="0"/>
          <w:szCs w:val="32"/>
          <w:rFonts w:ascii="Times New Roman" w:hAnsi="Times New Roman" w:eastAsia="仿宋_GB2312" w:cs="Times New Roman" w:hint="default"/>
        </w:rPr>
        <w:t>万吨</w:t>
      </w:r>
      <w:r>
        <w:rPr>
          <w:color w:val="auto"/>
          <w:sz w:val="32"/>
          <w:lang w:val="en-US" w:eastAsia="zh-CN"/>
          <w:szCs w:val="32"/>
          <w:rFonts w:ascii="Times New Roman" w:hAnsi="Times New Roman" w:eastAsia="仿宋_GB2312" w:cs="Times New Roman" w:hint="default"/>
        </w:rPr>
        <w:t>。</w:t>
      </w:r>
      <w:r>
        <w:rPr>
          <w:color w:val="auto"/>
          <w:sz w:val="32"/>
          <w:lang w:eastAsia="zh-CN"/>
          <w:szCs w:val="32"/>
          <w:rFonts w:eastAsia="仿宋_GB2312" w:hint="eastAsia"/>
        </w:rPr>
        <w:t>（</w:t>
      </w:r>
      <w:r>
        <w:rPr>
          <w:color w:val="auto"/>
          <w:sz w:val="32"/>
          <w:lang w:val="en-US" w:eastAsia="zh-CN"/>
          <w:szCs w:val="32"/>
          <w:rFonts w:eastAsia="仿宋_GB2312" w:hint="eastAsia"/>
        </w:rPr>
        <w:t>2</w:t>
      </w:r>
      <w:r>
        <w:rPr>
          <w:color w:val="auto"/>
          <w:sz w:val="32"/>
          <w:lang w:eastAsia="zh-CN"/>
          <w:szCs w:val="32"/>
          <w:rFonts w:eastAsia="仿宋_GB2312" w:hint="eastAsia"/>
        </w:rPr>
        <w:t>）</w:t>
      </w:r>
      <w:r>
        <w:rPr>
          <w:color w:val="auto"/>
          <w:sz w:val="32"/>
          <w:szCs w:val="32"/>
          <w:rFonts w:eastAsia="仿宋_GB2312" w:hint="eastAsia"/>
        </w:rPr>
        <w:t>2022年建设不同优质饲草品种生产评比田4000亩，选择推荐适合全区种植的优质饲草品种10种以上；建设优质饲草高产栽培示范田10000亩，亩均单产提高5%以上。</w:t>
      </w:r>
      <w:r>
        <w:rPr>
          <w:color w:val="auto"/>
          <w:sz w:val="32"/>
          <w:lang w:eastAsia="zh-CN"/>
          <w:szCs w:val="32"/>
          <w:rFonts w:eastAsia="仿宋_GB2312" w:hint="eastAsia"/>
        </w:rPr>
        <w:t>（</w:t>
      </w:r>
      <w:r>
        <w:rPr>
          <w:color w:val="auto"/>
          <w:sz w:val="32"/>
          <w:lang w:val="en-US" w:eastAsia="zh-CN"/>
          <w:szCs w:val="32"/>
          <w:rFonts w:eastAsia="仿宋_GB2312" w:hint="eastAsia"/>
        </w:rPr>
        <w:t>3</w:t>
      </w:r>
      <w:r>
        <w:rPr>
          <w:color w:val="auto"/>
          <w:sz w:val="32"/>
          <w:lang w:eastAsia="zh-CN"/>
          <w:szCs w:val="32"/>
          <w:rFonts w:eastAsia="仿宋_GB2312" w:hint="eastAsia"/>
        </w:rPr>
        <w:t>）</w:t>
      </w:r>
      <w:r>
        <w:rPr>
          <w:color w:val="auto"/>
          <w:w w:val="100"/>
          <w:sz w:val="32"/>
          <w:lang w:val="en-US" w:eastAsia="zh-CN"/>
          <w:szCs w:val="32"/>
          <w:rFonts w:ascii="Times New Roman" w:hAnsi="Times New Roman" w:eastAsia="仿宋_GB2312" w:cs="Times New Roman" w:hint="default"/>
        </w:rPr>
        <w:t>优化肉牛（兼用牛）、肉羊产业布局，围绕肉牛（兼用牛）、肉羊</w:t>
      </w:r>
      <w:r>
        <w:rPr>
          <w:color w:val="auto"/>
          <w:w w:val="100"/>
          <w:sz w:val="32"/>
          <w:lang w:val="en-US" w:eastAsia="zh-CN"/>
          <w:szCs w:val="32"/>
          <w:rFonts w:ascii="Times New Roman" w:hAnsi="Times New Roman" w:eastAsia="仿宋_GB2312" w:cs="Times New Roman" w:hint="eastAsia"/>
        </w:rPr>
        <w:t>等</w:t>
      </w:r>
      <w:r>
        <w:rPr>
          <w:color w:val="auto"/>
          <w:w w:val="100"/>
          <w:sz w:val="32"/>
          <w:lang w:val="en-US" w:eastAsia="zh-CN"/>
          <w:szCs w:val="32"/>
          <w:rFonts w:ascii="Times New Roman" w:hAnsi="Times New Roman" w:eastAsia="仿宋_GB2312" w:cs="Times New Roman" w:hint="default"/>
        </w:rPr>
        <w:t>品种培育、良种繁育、群体改良主线，加快育种、繁殖、疫病防控、动物营养等技术组装配套应用，推进品种创新、</w:t>
      </w:r>
      <w:r>
        <w:rPr>
          <w:color w:val="auto"/>
          <w:w w:val="100"/>
          <w:sz w:val="32"/>
          <w:lang w:val="en-US" w:eastAsia="zh-CN"/>
          <w:szCs w:val="32"/>
          <w:rFonts w:ascii="Times New Roman" w:hAnsi="Times New Roman" w:eastAsia="仿宋_GB2312" w:cs="Times New Roman" w:hint="eastAsia"/>
        </w:rPr>
        <w:t>加快畜牧业实用技术集成推广，提升肉牛、肉羊、家禽、细毛羊产业发展科技支撑能力，使</w:t>
      </w:r>
      <w:r>
        <w:rPr>
          <w:color w:val="auto"/>
          <w:w w:val="100"/>
          <w:sz w:val="32"/>
          <w:lang w:val="en-US" w:eastAsia="en-US"/>
          <w:szCs w:val="32"/>
          <w:rFonts w:ascii="Times New Roman" w:hAnsi="Times New Roman" w:eastAsia="仿宋_GB2312" w:cs="Times New Roman" w:hint="default"/>
        </w:rPr>
        <w:t>肉类增长比例</w:t>
      </w:r>
      <w:r>
        <w:rPr>
          <w:color w:val="auto"/>
          <w:w w:val="100"/>
          <w:sz w:val="32"/>
          <w:lang w:val="en-US" w:eastAsia="zh-CN"/>
          <w:szCs w:val="32"/>
          <w:rFonts w:ascii="Times New Roman" w:hAnsi="Times New Roman" w:eastAsia="仿宋_GB2312" w:cs="Times New Roman" w:hint="eastAsia"/>
        </w:rPr>
        <w:t>达到</w:t>
      </w:r>
      <w:r>
        <w:rPr>
          <w:color w:val="auto"/>
          <w:w w:val="100"/>
          <w:sz w:val="32"/>
          <w:lang w:val="en-US" w:eastAsia="zh-CN"/>
          <w:szCs w:val="32"/>
          <w:rFonts w:ascii="Times New Roman" w:hAnsi="Times New Roman" w:eastAsia="仿宋_GB2312" w:cs="Times New Roman" w:hint="default"/>
        </w:rPr>
        <w:t>5</w:t>
      </w:r>
      <w:r>
        <w:rPr>
          <w:color w:val="auto"/>
          <w:w w:val="100"/>
          <w:sz w:val="32"/>
          <w:lang w:val="en-US" w:eastAsia="en-US"/>
          <w:szCs w:val="32"/>
          <w:rFonts w:ascii="Times New Roman" w:hAnsi="Times New Roman" w:eastAsia="仿宋_GB2312" w:cs="Times New Roman" w:hint="default"/>
        </w:rPr>
        <w:t>%</w:t>
      </w:r>
      <w:r>
        <w:rPr>
          <w:color w:val="auto"/>
          <w:w w:val="100"/>
          <w:sz w:val="32"/>
          <w:lang w:val="en-US" w:eastAsia="zh-CN"/>
          <w:szCs w:val="32"/>
          <w:rFonts w:ascii="Times New Roman" w:hAnsi="Times New Roman" w:eastAsia="仿宋_GB2312" w:cs="Times New Roman" w:hint="eastAsia"/>
        </w:rPr>
        <w:t>以上，</w:t>
      </w:r>
      <w:r>
        <w:rPr>
          <w:color w:val="auto"/>
          <w:w w:val="100"/>
          <w:sz w:val="32"/>
          <w:lang w:val="en-US" w:eastAsia="zh-CN"/>
          <w:szCs w:val="32"/>
          <w:rFonts w:ascii="Times New Roman" w:hAnsi="Times New Roman" w:eastAsia="仿宋_GB2312" w:cs="Times New Roman" w:hint="default"/>
        </w:rPr>
        <w:t>完成畜禽遗传资源性能测定数</w:t>
      </w:r>
      <w:r>
        <w:rPr>
          <w:color w:val="auto"/>
          <w:w w:val="100"/>
          <w:sz w:val="32"/>
          <w:lang w:val="en-US" w:eastAsia="zh-CN"/>
          <w:szCs w:val="32"/>
          <w:rFonts w:ascii="Times New Roman" w:hAnsi="Times New Roman" w:eastAsia="仿宋_GB2312" w:cs="Times New Roman" w:hint="eastAsia"/>
        </w:rPr>
        <w:t>量</w:t>
      </w:r>
      <w:r>
        <w:rPr>
          <w:color w:val="auto"/>
          <w:w w:val="100"/>
          <w:sz w:val="32"/>
          <w:lang w:val="en-US" w:eastAsia="zh-CN"/>
          <w:szCs w:val="32"/>
          <w:rFonts w:ascii="Times New Roman" w:hAnsi="Times New Roman" w:eastAsia="仿宋_GB2312" w:cs="Times New Roman" w:hint="default"/>
        </w:rPr>
        <w:t>5个</w:t>
      </w:r>
      <w:r>
        <w:rPr>
          <w:color w:val="auto"/>
          <w:w w:val="100"/>
          <w:sz w:val="32"/>
          <w:lang w:val="en-US" w:eastAsia="zh-CN"/>
          <w:szCs w:val="32"/>
          <w:rFonts w:ascii="Times New Roman" w:hAnsi="Times New Roman" w:eastAsia="仿宋_GB2312" w:cs="Times New Roman" w:hint="eastAsia"/>
        </w:rPr>
        <w:t>以上</w:t>
      </w:r>
      <w:r>
        <w:rPr>
          <w:color w:val="auto"/>
          <w:w w:val="100"/>
          <w:sz w:val="32"/>
          <w:lang w:val="en-US" w:eastAsia="zh-CN"/>
          <w:szCs w:val="32"/>
          <w:rFonts w:ascii="Times New Roman" w:hAnsi="Times New Roman" w:eastAsia="仿宋_GB2312" w:cs="Times New Roman" w:hint="default"/>
        </w:rPr>
        <w:t>。</w:t>
      </w:r>
      <w:r>
        <w:rPr>
          <w:color w:val="auto"/>
          <w:sz w:val="32"/>
          <w:lang w:eastAsia="zh-CN"/>
          <w:bCs/>
          <w:szCs w:val="32"/>
          <w:rFonts w:ascii="仿宋_GB2312" w:hAnsi="仿宋_GB2312" w:eastAsia="仿宋_GB2312" w:cs="仿宋_GB2312" w:hint="eastAsia"/>
        </w:rPr>
        <w:t>（</w:t>
      </w:r>
      <w:r>
        <w:rPr>
          <w:color w:val="auto"/>
          <w:sz w:val="32"/>
          <w:lang w:val="en-US" w:eastAsia="zh-CN"/>
          <w:bCs/>
          <w:szCs w:val="32"/>
          <w:rFonts w:ascii="仿宋_GB2312" w:hAnsi="仿宋_GB2312" w:eastAsia="仿宋_GB2312" w:cs="仿宋_GB2312" w:hint="eastAsia"/>
        </w:rPr>
        <w:t>4</w:t>
      </w:r>
      <w:r>
        <w:rPr>
          <w:color w:val="auto"/>
          <w:sz w:val="32"/>
          <w:lang w:eastAsia="zh-CN"/>
          <w:bCs/>
          <w:szCs w:val="32"/>
          <w:rFonts w:ascii="仿宋_GB2312" w:hAnsi="仿宋_GB2312" w:eastAsia="仿宋_GB2312" w:cs="仿宋_GB2312" w:hint="eastAsia"/>
        </w:rPr>
        <w:t>）</w:t>
      </w:r>
      <w:r>
        <w:rPr>
          <w:color w:val="auto"/>
          <w:sz w:val="32"/>
          <w:szCs w:val="32"/>
          <w:rFonts w:ascii="Times New Roman" w:hAnsi="Times New Roman" w:eastAsia="仿宋_GB2312" w:hint="eastAsia"/>
        </w:rPr>
        <w:t>支持14个畜禽遗传资源保种场（保护区、基因库）及种群建设，对品种数据监测、遗传物质采集、配套生产性能测定、购置育种材料、完善育种生产设施设备等给与补贴，进一步提升区内保种场（保护区、基因库）资源保护能力。</w:t>
      </w:r>
      <w:r>
        <w:rPr>
          <w:color w:val="auto"/>
          <w:sz w:val="32"/>
          <w:lang w:eastAsia="zh-CN"/>
          <w:szCs w:val="32"/>
          <w:rFonts w:eastAsia="仿宋_GB2312" w:hint="eastAsia"/>
        </w:rPr>
        <w:t>（</w:t>
      </w:r>
      <w:r>
        <w:rPr>
          <w:color w:val="auto"/>
          <w:sz w:val="32"/>
          <w:lang w:val="en-US" w:eastAsia="zh-CN"/>
          <w:szCs w:val="32"/>
          <w:rFonts w:eastAsia="仿宋_GB2312" w:hint="eastAsia"/>
        </w:rPr>
        <w:t>5</w:t>
      </w:r>
      <w:r>
        <w:rPr>
          <w:color w:val="auto"/>
          <w:sz w:val="32"/>
          <w:lang w:eastAsia="zh-CN"/>
          <w:szCs w:val="32"/>
          <w:rFonts w:eastAsia="仿宋_GB2312" w:hint="eastAsia"/>
        </w:rPr>
        <w:t>）</w:t>
      </w:r>
      <w:r>
        <w:rPr>
          <w:b w:val="0"/>
          <w:color w:val="auto"/>
          <w:sz w:val="32"/>
          <w:lang w:val="en-US" w:eastAsia="zh-CN" w:bidi="ar-SA"/>
          <w:bCs w:val="0"/>
          <w:kern w:val="2"/>
          <w:szCs w:val="32"/>
          <w:rFonts w:ascii="Times New Roman" w:hAnsi="Times New Roman" w:eastAsia="仿宋_GB2312" w:cs="Times New Roman" w:hint="eastAsia"/>
        </w:rPr>
        <w:t>支持</w:t>
      </w:r>
      <w:r>
        <w:rPr>
          <w:b w:val="0"/>
          <w:color w:val="auto"/>
          <w:sz w:val="32"/>
          <w:lang w:val="en-US" w:eastAsia="zh-CN" w:bidi="ar-SA"/>
          <w:bCs w:val="0"/>
          <w:kern w:val="2"/>
          <w:szCs w:val="32"/>
          <w:rFonts w:eastAsia="仿宋_GB2312" w:cs="Times New Roman" w:hint="eastAsia"/>
        </w:rPr>
        <w:t>5</w:t>
      </w:r>
      <w:r>
        <w:rPr>
          <w:b w:val="0"/>
          <w:color w:val="auto"/>
          <w:sz w:val="32"/>
          <w:lang w:val="en-US" w:eastAsia="zh-CN" w:bidi="ar-SA"/>
          <w:bCs w:val="0"/>
          <w:kern w:val="2"/>
          <w:szCs w:val="32"/>
          <w:rFonts w:ascii="Times New Roman" w:hAnsi="Times New Roman" w:eastAsia="仿宋_GB2312" w:cs="Times New Roman" w:hint="eastAsia"/>
        </w:rPr>
        <w:t>家示范企业</w:t>
      </w:r>
      <w:r>
        <w:rPr>
          <w:b w:val="0"/>
          <w:color w:val="auto"/>
          <w:sz w:val="32"/>
          <w:lang w:val="en-US" w:eastAsia="zh-CN" w:bidi="ar-SA"/>
          <w:bCs w:val="0"/>
          <w:kern w:val="2"/>
          <w:szCs w:val="32"/>
          <w:rFonts w:eastAsia="仿宋_GB2312" w:cs="Times New Roman" w:hint="eastAsia"/>
        </w:rPr>
        <w:t>以上</w:t>
      </w:r>
      <w:r>
        <w:rPr>
          <w:b w:val="0"/>
          <w:color w:val="auto"/>
          <w:sz w:val="32"/>
          <w:lang w:val="en-US" w:eastAsia="zh-CN" w:bidi="ar-SA"/>
          <w:bCs w:val="0"/>
          <w:kern w:val="2"/>
          <w:szCs w:val="32"/>
          <w:rFonts w:ascii="Times New Roman" w:hAnsi="Times New Roman" w:eastAsia="仿宋_GB2312" w:cs="Times New Roman" w:hint="eastAsia"/>
        </w:rPr>
        <w:t>，培育肉用细毛羊高效养殖示范基地2个，产学研结合，企业产肉量增加3%以上、产毛量提高5%以上，累计增收1000万元以上</w:t>
      </w:r>
      <w:r>
        <w:rPr>
          <w:b w:val="0"/>
          <w:color w:val="auto"/>
          <w:sz w:val="32"/>
          <w:lang w:val="en-US" w:eastAsia="zh-CN" w:bidi="ar-SA"/>
          <w:bCs w:val="0"/>
          <w:kern w:val="2"/>
          <w:szCs w:val="32"/>
          <w:rFonts w:eastAsia="仿宋_GB2312" w:cs="Times New Roman" w:hint="eastAsia"/>
        </w:rPr>
        <w:t>。</w:t>
      </w:r>
      <w:r>
        <w:rPr>
          <w:color w:val="auto"/>
          <w:sz w:val="32"/>
          <w:lang w:eastAsia="zh-CN"/>
          <w:szCs w:val="32"/>
          <w:rFonts w:eastAsia="仿宋_GB2312" w:hint="eastAsia"/>
        </w:rPr>
        <w:t>（</w:t>
      </w:r>
      <w:r>
        <w:rPr>
          <w:color w:val="auto"/>
          <w:sz w:val="32"/>
          <w:lang w:val="en-US" w:eastAsia="zh-CN"/>
          <w:szCs w:val="32"/>
          <w:rFonts w:eastAsia="仿宋_GB2312" w:hint="eastAsia"/>
        </w:rPr>
        <w:t>6</w:t>
      </w:r>
      <w:r>
        <w:rPr>
          <w:color w:val="auto"/>
          <w:sz w:val="32"/>
          <w:lang w:eastAsia="zh-CN"/>
          <w:szCs w:val="32"/>
          <w:rFonts w:eastAsia="仿宋_GB2312" w:hint="eastAsia"/>
        </w:rPr>
        <w:t>）</w:t>
      </w:r>
      <w:r>
        <w:rPr>
          <w:color w:val="auto"/>
          <w:sz w:val="32"/>
          <w:lang w:val="en-US" w:eastAsia="zh-CN"/>
          <w:bCs/>
          <w:szCs w:val="32"/>
          <w:rFonts w:ascii="仿宋_GB2312" w:hAnsi="仿宋_GB2312" w:eastAsia="仿宋_GB2312" w:cs="仿宋_GB2312" w:hint="eastAsia"/>
        </w:rPr>
        <w:t>委托5家检测单位</w:t>
      </w:r>
      <w:r>
        <w:rPr>
          <w:color w:val="auto"/>
          <w:sz w:val="32"/>
          <w:bCs/>
          <w:szCs w:val="32"/>
          <w:rFonts w:ascii="仿宋_GB2312" w:hAnsi="仿宋_GB2312" w:eastAsia="仿宋_GB2312" w:cs="仿宋_GB2312" w:hint="eastAsia"/>
        </w:rPr>
        <w:t>开展202</w:t>
      </w:r>
      <w:r>
        <w:rPr>
          <w:color w:val="auto"/>
          <w:sz w:val="32"/>
          <w:lang w:val="en-US" w:eastAsia="zh-CN"/>
          <w:bCs/>
          <w:szCs w:val="32"/>
          <w:rFonts w:ascii="仿宋_GB2312" w:hAnsi="仿宋_GB2312" w:eastAsia="仿宋_GB2312" w:cs="仿宋_GB2312" w:hint="eastAsia"/>
        </w:rPr>
        <w:t>2</w:t>
      </w:r>
      <w:r>
        <w:rPr>
          <w:color w:val="auto"/>
          <w:sz w:val="32"/>
          <w:bCs/>
          <w:szCs w:val="32"/>
          <w:rFonts w:ascii="仿宋_GB2312" w:hAnsi="仿宋_GB2312" w:eastAsia="仿宋_GB2312" w:cs="仿宋_GB2312" w:hint="eastAsia"/>
        </w:rPr>
        <w:t>年全区14个地（州、市）</w:t>
      </w:r>
      <w:r>
        <w:rPr>
          <w:color w:val="auto"/>
          <w:sz w:val="32"/>
          <w:lang w:val="en-US" w:eastAsia="zh-CN"/>
          <w:bCs/>
          <w:szCs w:val="32"/>
          <w:rFonts w:ascii="仿宋_GB2312" w:hAnsi="仿宋_GB2312" w:eastAsia="仿宋_GB2312" w:cs="仿宋_GB2312" w:hint="eastAsia"/>
        </w:rPr>
        <w:t>3000批次的</w:t>
      </w:r>
      <w:r>
        <w:rPr>
          <w:color w:val="auto"/>
          <w:sz w:val="32"/>
          <w:bCs/>
          <w:szCs w:val="32"/>
          <w:rFonts w:ascii="仿宋_GB2312" w:hAnsi="仿宋_GB2312" w:eastAsia="仿宋_GB2312" w:cs="仿宋_GB2312" w:hint="eastAsia"/>
        </w:rPr>
        <w:t>畜产品质量安全</w:t>
      </w:r>
      <w:r>
        <w:rPr>
          <w:color w:val="auto"/>
          <w:sz w:val="32"/>
          <w:lang w:eastAsia="zh-CN"/>
          <w:bCs/>
          <w:szCs w:val="32"/>
          <w:rFonts w:ascii="仿宋_GB2312" w:hAnsi="仿宋_GB2312" w:eastAsia="仿宋_GB2312" w:cs="仿宋_GB2312" w:hint="eastAsia"/>
        </w:rPr>
        <w:t>定量</w:t>
      </w:r>
      <w:r>
        <w:rPr>
          <w:color w:val="auto"/>
          <w:sz w:val="32"/>
          <w:bCs/>
          <w:szCs w:val="32"/>
          <w:rFonts w:ascii="仿宋_GB2312" w:hAnsi="仿宋_GB2312" w:eastAsia="仿宋_GB2312" w:cs="仿宋_GB2312" w:hint="eastAsia"/>
        </w:rPr>
        <w:t>监测</w:t>
      </w:r>
      <w:r>
        <w:rPr>
          <w:color w:val="auto"/>
          <w:sz w:val="32"/>
          <w:lang w:eastAsia="zh-CN"/>
          <w:bCs/>
          <w:szCs w:val="32"/>
          <w:rFonts w:ascii="仿宋_GB2312" w:hAnsi="仿宋_GB2312" w:eastAsia="仿宋_GB2312" w:cs="仿宋_GB2312" w:hint="eastAsia"/>
        </w:rPr>
        <w:t>和</w:t>
      </w:r>
      <w:r>
        <w:rPr>
          <w:color w:val="auto"/>
          <w:sz w:val="32"/>
          <w:lang w:val="en-US" w:eastAsia="zh-CN"/>
          <w:bCs/>
          <w:szCs w:val="32"/>
          <w:rFonts w:ascii="仿宋_GB2312" w:hAnsi="仿宋_GB2312" w:eastAsia="仿宋_GB2312" w:cs="仿宋_GB2312" w:hint="eastAsia"/>
        </w:rPr>
        <w:t>1000批次的快速监测工作</w:t>
      </w:r>
      <w:r>
        <w:rPr>
          <w:color w:val="auto"/>
          <w:sz w:val="32"/>
          <w:bCs/>
          <w:szCs w:val="32"/>
          <w:rFonts w:ascii="仿宋_GB2312" w:hAnsi="仿宋_GB2312" w:eastAsia="仿宋_GB2312" w:cs="仿宋_GB2312" w:hint="eastAsia"/>
        </w:rPr>
        <w:t>。</w:t>
      </w:r>
    </w:p>
    <w:p>
      <w:pPr>
        <w:pageBreakBefore w:val="0"/>
        <w:wordWrap w:val="1"/>
        <w:overflowPunct w:val="1"/>
        <w:topLinePunct w:val="0"/>
        <w:kinsoku w:val="1"/>
        <w:bidi w:val="0"/>
        <w:snapToGrid w:val="1"/>
        <w:spacing w:line="560" w:lineRule="exact"/>
        <w:ind w:firstLine="640" w:firstLineChars="200"/>
        <w:rPr>
          <w:color w:val="auto"/>
        </w:rPr>
      </w:pPr>
      <w:r>
        <w:rPr>
          <w:color w:val="auto"/>
          <w:sz w:val="32"/>
          <w:szCs w:val="32"/>
          <w:rFonts w:eastAsia="仿宋_GB2312"/>
        </w:rPr>
        <w:t>2、阶段性目标</w:t>
      </w:r>
    </w:p>
    <w:p>
      <w:pPr>
        <w:pageBreakBefore w:val="0"/>
        <w:wordWrap w:val="1"/>
        <w:overflowPunct w:val="1"/>
        <w:topLinePunct w:val="0"/>
        <w:kinsoku w:val="1"/>
        <w:bidi w:val="0"/>
        <w:snapToGrid w:val="1"/>
        <w:spacing w:line="560" w:lineRule="exact"/>
        <w:ind w:firstLine="640" w:firstLineChars="200"/>
        <w:rPr>
          <w:color w:val="auto"/>
          <w:sz w:val="32"/>
          <w:szCs w:val="32"/>
          <w:rFonts w:eastAsia="仿宋_GB2312"/>
        </w:rPr>
      </w:pPr>
      <w:r>
        <w:rPr>
          <w:color w:val="auto"/>
          <w:sz w:val="32"/>
          <w:szCs w:val="32"/>
          <w:rFonts w:eastAsia="仿宋_GB2312"/>
        </w:rPr>
        <w:t>（1）前期准备：通过制定项目实施方案，经项目负责人审核通过后，有序开展后续工作。</w:t>
      </w:r>
      <w:r>
        <w:rPr>
          <w:color w:val="auto"/>
          <w:sz w:val="32"/>
          <w:lang w:val="en-US" w:eastAsia="zh-CN" w:bidi="ar-SA"/>
          <w:kern w:val="2"/>
          <w:szCs w:val="32"/>
          <w:rFonts w:ascii="Times New Roman" w:hAnsi="Times New Roman" w:eastAsia="仿宋_GB2312" w:cs="Times New Roman" w:hint="default"/>
        </w:rPr>
        <w:t>自治区畜牧兽医局印发《关于做好2022年自治区畜牧业生产发展等项目实施工作的通知》</w:t>
      </w:r>
      <w:r>
        <w:rPr>
          <w:color w:val="auto"/>
          <w:sz w:val="32"/>
          <w:lang w:eastAsia="zh-CN"/>
          <w:szCs w:val="32"/>
          <w:rFonts w:ascii="Times New Roman" w:hAnsi="Times New Roman" w:eastAsia="仿宋_GB2312" w:cs="Times New Roman" w:hint="eastAsia"/>
        </w:rPr>
        <w:t>，</w:t>
      </w:r>
      <w:r>
        <w:rPr>
          <w:color w:val="auto"/>
          <w:sz w:val="32"/>
          <w:lang w:val="en-US" w:eastAsia="zh-CN" w:bidi="ar-SA"/>
          <w:kern w:val="2"/>
          <w:szCs w:val="32"/>
          <w:rFonts w:ascii="Times New Roman" w:hAnsi="Times New Roman" w:eastAsia="仿宋_GB2312" w:cs="Times New Roman" w:hint="default"/>
        </w:rPr>
        <w:t>各地（州、市）畜牧兽医行政主管部门</w:t>
      </w:r>
      <w:r>
        <w:rPr>
          <w:color w:val="auto"/>
          <w:sz w:val="32"/>
          <w:szCs w:val="32"/>
          <w:rFonts w:ascii="Times New Roman" w:hAnsi="Times New Roman" w:eastAsia="仿宋_GB2312" w:cs="Times New Roman" w:hint="default"/>
        </w:rPr>
        <w:t>应根据</w:t>
      </w:r>
      <w:r>
        <w:rPr>
          <w:color w:val="auto"/>
          <w:sz w:val="32"/>
          <w:lang w:eastAsia="zh-CN"/>
          <w:szCs w:val="32"/>
          <w:rFonts w:eastAsia="仿宋_GB2312" w:cs="Times New Roman" w:hint="eastAsia"/>
        </w:rPr>
        <w:t>通知</w:t>
      </w:r>
      <w:r>
        <w:rPr>
          <w:color w:val="auto"/>
          <w:sz w:val="32"/>
          <w:lang w:eastAsia="zh-CN"/>
          <w:szCs w:val="32"/>
          <w:rFonts w:ascii="Times New Roman" w:hAnsi="Times New Roman" w:eastAsia="仿宋_GB2312" w:cs="Times New Roman" w:hint="default"/>
        </w:rPr>
        <w:t>要求</w:t>
      </w:r>
      <w:r>
        <w:rPr>
          <w:color w:val="auto"/>
          <w:sz w:val="32"/>
          <w:szCs w:val="32"/>
          <w:rFonts w:ascii="Times New Roman" w:hAnsi="Times New Roman" w:eastAsia="仿宋_GB2312" w:cs="Times New Roman" w:hint="default"/>
        </w:rPr>
        <w:t>，编制</w:t>
      </w:r>
      <w:r>
        <w:rPr>
          <w:color w:val="auto"/>
          <w:sz w:val="32"/>
          <w:lang w:val="en-US" w:eastAsia="zh-CN" w:bidi="ar-SA"/>
          <w:kern w:val="2"/>
          <w:szCs w:val="32"/>
          <w:rFonts w:ascii="Times New Roman" w:hAnsi="Times New Roman" w:eastAsia="仿宋_GB2312" w:cs="Times New Roman" w:hint="default"/>
        </w:rPr>
        <w:t>各地（州、市）</w:t>
      </w:r>
      <w:r>
        <w:rPr>
          <w:color w:val="auto"/>
          <w:sz w:val="32"/>
          <w:lang w:eastAsia="zh-CN"/>
          <w:szCs w:val="32"/>
          <w:rFonts w:eastAsia="仿宋_GB2312" w:cs="Times New Roman" w:hint="eastAsia"/>
        </w:rPr>
        <w:t>项目实施方案</w:t>
      </w:r>
      <w:r>
        <w:rPr>
          <w:color w:val="auto"/>
          <w:sz w:val="32"/>
          <w:szCs w:val="32"/>
          <w:rFonts w:ascii="Times New Roman" w:hAnsi="Times New Roman" w:eastAsia="仿宋_GB2312" w:cs="Times New Roman" w:hint="default"/>
        </w:rPr>
        <w:t>，明确项目</w:t>
      </w:r>
      <w:r>
        <w:rPr>
          <w:color w:val="auto"/>
          <w:sz w:val="32"/>
          <w:lang w:eastAsia="zh-CN"/>
          <w:szCs w:val="32"/>
          <w:rFonts w:ascii="Times New Roman" w:hAnsi="Times New Roman" w:eastAsia="仿宋_GB2312" w:cs="Times New Roman" w:hint="eastAsia"/>
        </w:rPr>
        <w:t>建设</w:t>
      </w:r>
      <w:r>
        <w:rPr>
          <w:color w:val="auto"/>
          <w:sz w:val="32"/>
          <w:szCs w:val="32"/>
          <w:rFonts w:ascii="Times New Roman" w:hAnsi="Times New Roman" w:eastAsia="仿宋_GB2312" w:cs="Times New Roman" w:hint="default"/>
        </w:rPr>
        <w:t>内容、</w:t>
      </w:r>
      <w:r>
        <w:rPr>
          <w:color w:val="auto"/>
          <w:sz w:val="32"/>
          <w:lang w:eastAsia="zh-CN"/>
          <w:szCs w:val="32"/>
          <w:rFonts w:ascii="Times New Roman" w:hAnsi="Times New Roman" w:eastAsia="仿宋_GB2312" w:cs="Times New Roman" w:hint="eastAsia"/>
        </w:rPr>
        <w:t>具体措施、完成任务量、具体项目县市、实施主体及经费预算</w:t>
      </w:r>
      <w:r>
        <w:rPr>
          <w:color w:val="auto"/>
          <w:sz w:val="32"/>
          <w:lang w:eastAsia="zh-CN"/>
          <w:szCs w:val="32"/>
          <w:rFonts w:eastAsia="仿宋_GB2312" w:cs="Times New Roman" w:hint="eastAsia"/>
        </w:rPr>
        <w:t>等</w:t>
      </w:r>
      <w:r>
        <w:rPr>
          <w:color w:val="auto"/>
          <w:sz w:val="32"/>
          <w:lang w:eastAsia="zh-CN"/>
          <w:szCs w:val="32"/>
          <w:rFonts w:ascii="Times New Roman" w:hAnsi="Times New Roman" w:eastAsia="仿宋_GB2312" w:cs="Times New Roman" w:hint="eastAsia"/>
        </w:rPr>
        <w:t>。</w:t>
      </w:r>
    </w:p>
    <w:p>
      <w:pPr>
        <w:pageBreakBefore w:val="0"/>
        <w:wordWrap w:val="1"/>
        <w:overflowPunct w:val="1"/>
        <w:topLinePunct w:val="0"/>
        <w:kinsoku w:val="1"/>
        <w:bidi w:val="0"/>
        <w:snapToGrid w:val="1"/>
        <w:spacing w:line="560" w:lineRule="exact"/>
        <w:ind w:firstLine="640" w:firstLineChars="200"/>
        <w:rPr>
          <w:color w:val="auto"/>
          <w:sz w:val="32"/>
          <w:szCs w:val="32"/>
          <w:rFonts w:eastAsia="仿宋_GB2312"/>
        </w:rPr>
      </w:pPr>
      <w:r>
        <w:rPr>
          <w:color w:val="auto"/>
          <w:sz w:val="32"/>
          <w:szCs w:val="32"/>
          <w:rFonts w:eastAsia="仿宋_GB2312"/>
        </w:rPr>
        <w:t>（2）</w:t>
      </w:r>
      <w:r>
        <w:rPr>
          <w:color w:val="auto"/>
          <w:sz w:val="32"/>
          <w:szCs w:val="32"/>
          <w:shd w:val="clear"/>
          <w:rFonts w:eastAsia="仿宋_GB2312"/>
        </w:rPr>
        <w:t>组织实施：资金一到位，立即根据项目要求实施项目。项目责任</w:t>
      </w:r>
      <w:r>
        <w:rPr>
          <w:color w:val="auto"/>
          <w:sz w:val="32"/>
          <w:szCs w:val="32"/>
          <w:rFonts w:eastAsia="仿宋_GB2312"/>
        </w:rPr>
        <w:t>人按照项目实施方案要求逐一进行项目部署安排，</w:t>
      </w:r>
      <w:r>
        <w:rPr>
          <w:color w:val="auto"/>
          <w:sz w:val="32"/>
          <w:lang w:val="en-US" w:eastAsia="zh-CN" w:bidi="ar-SA"/>
          <w:kern w:val="2"/>
          <w:szCs w:val="32"/>
          <w:rFonts w:ascii="Times New Roman" w:hAnsi="Times New Roman" w:eastAsia="仿宋_GB2312" w:cs="Times New Roman" w:hint="default"/>
        </w:rPr>
        <w:t>各地（州、市）畜牧兽医行政主管部门</w:t>
      </w:r>
      <w:r>
        <w:rPr>
          <w:color w:val="auto"/>
          <w:sz w:val="32"/>
          <w:szCs w:val="32"/>
          <w:rFonts w:ascii="Times New Roman" w:hAnsi="Times New Roman" w:eastAsia="仿宋_GB2312" w:cs="Times New Roman" w:hint="default"/>
        </w:rPr>
        <w:t>加强对</w:t>
      </w:r>
      <w:r>
        <w:rPr>
          <w:color w:val="auto"/>
          <w:sz w:val="32"/>
          <w:lang w:eastAsia="zh-CN"/>
          <w:szCs w:val="32"/>
          <w:rFonts w:ascii="Times New Roman" w:hAnsi="Times New Roman" w:eastAsia="仿宋_GB2312" w:cs="Times New Roman" w:hint="eastAsia"/>
        </w:rPr>
        <w:t>本</w:t>
      </w:r>
      <w:r>
        <w:rPr>
          <w:color w:val="auto"/>
          <w:sz w:val="32"/>
          <w:szCs w:val="32"/>
          <w:rFonts w:ascii="Times New Roman" w:hAnsi="Times New Roman" w:eastAsia="仿宋_GB2312" w:cs="Times New Roman" w:hint="default"/>
        </w:rPr>
        <w:t>项目的监督管理，明确管理责任，切实抓好项目单位的日常监管</w:t>
      </w:r>
      <w:r>
        <w:rPr>
          <w:color w:val="auto"/>
          <w:sz w:val="32"/>
          <w:lang w:eastAsia="zh-CN"/>
          <w:szCs w:val="32"/>
          <w:rFonts w:ascii="Times New Roman" w:hAnsi="Times New Roman" w:eastAsia="仿宋_GB2312" w:cs="Times New Roman" w:hint="eastAsia"/>
        </w:rPr>
        <w:t>、</w:t>
      </w:r>
      <w:r>
        <w:rPr>
          <w:color w:val="auto"/>
          <w:sz w:val="32"/>
          <w:szCs w:val="32"/>
          <w:rFonts w:ascii="Times New Roman" w:hAnsi="Times New Roman" w:eastAsia="仿宋_GB2312" w:cs="Times New Roman" w:hint="default"/>
        </w:rPr>
        <w:t>验收</w:t>
      </w:r>
      <w:r>
        <w:rPr>
          <w:color w:val="auto"/>
          <w:sz w:val="32"/>
          <w:lang w:eastAsia="zh-CN"/>
          <w:szCs w:val="32"/>
          <w:rFonts w:ascii="Times New Roman" w:hAnsi="Times New Roman" w:eastAsia="仿宋_GB2312" w:cs="Times New Roman" w:hint="eastAsia"/>
        </w:rPr>
        <w:t>、资金使用</w:t>
      </w:r>
      <w:r>
        <w:rPr>
          <w:color w:val="auto"/>
          <w:sz w:val="32"/>
          <w:szCs w:val="32"/>
          <w:rFonts w:ascii="Times New Roman" w:hAnsi="Times New Roman" w:eastAsia="仿宋_GB2312" w:cs="Times New Roman" w:hint="default"/>
        </w:rPr>
        <w:t>等关键环节管理控制</w:t>
      </w:r>
      <w:r>
        <w:rPr>
          <w:color w:val="auto"/>
          <w:sz w:val="32"/>
          <w:lang w:eastAsia="zh-CN"/>
          <w:szCs w:val="32"/>
          <w:rFonts w:ascii="Times New Roman" w:hAnsi="Times New Roman" w:eastAsia="仿宋_GB2312" w:cs="Times New Roman" w:hint="eastAsia"/>
        </w:rPr>
        <w:t>，</w:t>
      </w:r>
      <w:r>
        <w:rPr>
          <w:color w:val="auto"/>
          <w:sz w:val="32"/>
          <w:szCs w:val="32"/>
          <w:rFonts w:eastAsia="仿宋_GB2312"/>
        </w:rPr>
        <w:t>提高项目质量及效率性。</w:t>
      </w:r>
    </w:p>
    <w:p>
      <w:pPr>
        <w:pageBreakBefore w:val="0"/>
        <w:wordWrap w:val="1"/>
        <w:overflowPunct w:val="1"/>
        <w:topLinePunct w:val="0"/>
        <w:kinsoku w:val="1"/>
        <w:bidi w:val="0"/>
        <w:snapToGrid w:val="1"/>
        <w:spacing w:line="560" w:lineRule="exact"/>
        <w:ind w:firstLine="640" w:firstLineChars="200"/>
        <w:rPr>
          <w:color w:val="auto"/>
          <w:sz w:val="32"/>
          <w:szCs w:val="32"/>
          <w:rFonts w:eastAsia="黑体"/>
        </w:rPr>
      </w:pPr>
      <w:r>
        <w:rPr>
          <w:color w:val="auto"/>
          <w:sz w:val="32"/>
          <w:szCs w:val="32"/>
          <w:rFonts w:eastAsia="黑体"/>
        </w:rPr>
        <w:t>二、绩效评价工作开展情况</w:t>
      </w:r>
    </w:p>
    <w:p>
      <w:pPr>
        <w:pageBreakBefore w:val="0"/>
        <w:wordWrap w:val="1"/>
        <w:overflowPunct w:val="1"/>
        <w:topLinePunct w:val="0"/>
        <w:kinsoku w:val="1"/>
        <w:bidi w:val="0"/>
        <w:snapToGrid w:val="1"/>
        <w:spacing w:line="560" w:lineRule="exact"/>
        <w:ind w:firstLine="643" w:firstLineChars="200"/>
        <w:rPr>
          <w:b w:val="1"/>
          <w:color w:val="auto"/>
          <w:sz w:val="32"/>
          <w:bCs/>
          <w:szCs w:val="32"/>
          <w:rFonts w:eastAsia="楷体_GB2312"/>
        </w:rPr>
      </w:pPr>
      <w:r>
        <w:rPr>
          <w:b w:val="1"/>
          <w:color w:val="auto"/>
          <w:sz w:val="32"/>
          <w:bCs/>
          <w:szCs w:val="32"/>
          <w:rFonts w:eastAsia="楷体_GB2312"/>
        </w:rPr>
        <w:t>（一）绩效评价目的、对象和范围</w:t>
      </w:r>
    </w:p>
    <w:p>
      <w:pPr>
        <w:pStyle w:val="19"/>
        <w:widowControl w:val="0"/>
        <w:pageBreakBefore w:val="0"/>
        <w:wordWrap w:val="1"/>
        <w:overflowPunct w:val="1"/>
        <w:topLinePunct w:val="0"/>
        <w:kinsoku w:val="1"/>
        <w:bidi w:val="0"/>
        <w:snapToGrid w:val="1"/>
        <w:jc w:val="both"/>
        <w:outlineLvl w:val="9"/>
        <w:spacing w:after="0" w:before="0" w:line="560" w:lineRule="exact"/>
        <w:ind w:firstLine="640" w:firstLineChars="200"/>
        <w:rPr>
          <w:b w:val="0"/>
          <w:color w:val="auto"/>
          <w:bCs w:val="0"/>
          <w:rFonts w:ascii="Times New Roman" w:hAnsi="Times New Roman" w:eastAsia="仿宋_GB2312"/>
        </w:rPr>
      </w:pPr>
      <w:r>
        <w:rPr>
          <w:b w:val="0"/>
          <w:color w:val="auto"/>
          <w:bCs w:val="0"/>
          <w:rFonts w:ascii="Times New Roman" w:hAnsi="Times New Roman" w:eastAsia="仿宋_GB2312"/>
        </w:rPr>
        <w:t>1、绩效评价的目的</w:t>
      </w:r>
    </w:p>
    <w:p>
      <w:pPr>
        <w:pageBreakBefore w:val="0"/>
        <w:wordWrap w:val="1"/>
        <w:overflowPunct w:val="1"/>
        <w:topLinePunct w:val="0"/>
        <w:kinsoku w:val="1"/>
        <w:bidi w:val="0"/>
        <w:snapToGrid w:val="1"/>
        <w:spacing w:line="560" w:lineRule="exact"/>
        <w:ind w:firstLine="640" w:firstLineChars="200"/>
        <w:rPr>
          <w:color w:val="auto"/>
          <w:sz w:val="32"/>
          <w:szCs w:val="32"/>
          <w:rFonts w:eastAsia="仿宋_GB2312"/>
        </w:rPr>
      </w:pPr>
      <w:r>
        <w:rPr>
          <w:color w:val="auto"/>
          <w:sz w:val="32"/>
          <w:szCs w:val="32"/>
          <w:rFonts w:eastAsia="仿宋_GB2312"/>
        </w:rPr>
        <w:t>财政支出绩效评价运用科学、规范的绩效评价方法，制定统一的评价标准，使财政资金得到事前、事中和事后多方面的控制。财政支出绩效评价贯穿于财政支出安排和实施的全过程，是对财政支出效益、管理水平、投入风险等方面的综合评价；是发挥财政调控功能、提高财政资金安排科学性、促进财政支持社会经济目标实现的重要保证。</w:t>
      </w:r>
    </w:p>
    <w:p>
      <w:pPr>
        <w:pageBreakBefore w:val="0"/>
        <w:wordWrap w:val="1"/>
        <w:overflowPunct w:val="1"/>
        <w:topLinePunct w:val="0"/>
        <w:kinsoku w:val="1"/>
        <w:bidi w:val="0"/>
        <w:snapToGrid w:val="1"/>
        <w:numPr>
          <w:ilvl w:val="0"/>
          <w:numId w:val="3"/>
        </w:numPr>
        <w:spacing w:line="560" w:lineRule="exact"/>
        <w:ind w:firstLine="640" w:firstLineChars="200"/>
        <w:rPr>
          <w:color w:val="auto"/>
          <w:sz w:val="32"/>
          <w:szCs w:val="32"/>
          <w:rFonts w:eastAsia="仿宋_GB2312"/>
        </w:rPr>
      </w:pPr>
      <w:r>
        <w:rPr>
          <w:color w:val="auto"/>
          <w:sz w:val="32"/>
          <w:szCs w:val="32"/>
          <w:rFonts w:eastAsia="仿宋_GB2312"/>
        </w:rPr>
        <w:t>项目在实施前向项目负责人提供财政支出绩效方面的资金管理信息，促进项目支出严格按照资金管理规定进行。</w:t>
      </w:r>
    </w:p>
    <w:p>
      <w:pPr>
        <w:pageBreakBefore w:val="0"/>
        <w:wordWrap w:val="1"/>
        <w:overflowPunct w:val="1"/>
        <w:topLinePunct w:val="0"/>
        <w:kinsoku w:val="1"/>
        <w:bidi w:val="0"/>
        <w:snapToGrid w:val="1"/>
        <w:spacing w:line="560" w:lineRule="exact"/>
        <w:ind w:firstLine="640" w:firstLineChars="200"/>
        <w:rPr>
          <w:color w:val="auto"/>
          <w:sz w:val="32"/>
          <w:szCs w:val="32"/>
          <w:rFonts w:eastAsia="仿宋_GB2312"/>
        </w:rPr>
      </w:pPr>
      <w:r>
        <w:rPr>
          <w:color w:val="auto"/>
          <w:sz w:val="32"/>
          <w:szCs w:val="32"/>
          <w:rFonts w:eastAsia="仿宋_GB2312"/>
        </w:rPr>
        <w:t>（2）项目绩效管理财政支出运行提供及时、有效的信息。</w:t>
      </w:r>
    </w:p>
    <w:p>
      <w:pPr>
        <w:pStyle w:val="59"/>
        <w:spacing w:line="560" w:lineRule="exact"/>
        <w:ind w:firstLine="640" w:firstLineChars="200"/>
        <w:rPr>
          <w:color w:val="auto"/>
          <w:sz w:val="32"/>
          <w:szCs w:val="32"/>
          <w:rFonts w:eastAsia="方正仿宋_GBK" w:cs="方正仿宋_GBK"/>
        </w:rPr>
      </w:pPr>
      <w:r>
        <w:rPr>
          <w:color w:val="auto"/>
          <w:sz w:val="32"/>
          <w:szCs w:val="32"/>
          <w:rFonts w:eastAsia="仿宋_GB2312"/>
        </w:rPr>
        <w:t>综合来看，通过开展有效的财政支出绩效评价管理，</w:t>
      </w:r>
      <w:r>
        <w:rPr>
          <w:color w:val="auto"/>
          <w:sz w:val="32"/>
          <w:szCs w:val="32"/>
          <w:rFonts w:eastAsia="方正仿宋_GBK" w:cs="方正仿宋_GBK" w:hint="eastAsia"/>
        </w:rPr>
        <w:t>全面了解该项目预算编制合理性、资金使用合规性、项目管理的规范性、项目目标的实现情况、服务对象的满意度等，通过本次</w:t>
      </w:r>
      <w:r>
        <w:rPr>
          <w:color w:val="auto"/>
          <w:sz w:val="32"/>
          <w:lang w:eastAsia="zh-Hans"/>
          <w:szCs w:val="32"/>
          <w:rFonts w:eastAsia="方正仿宋_GBK" w:cs="方正仿宋_GBK" w:hint="eastAsia"/>
        </w:rPr>
        <w:t>项目</w:t>
      </w:r>
      <w:r>
        <w:rPr>
          <w:color w:val="auto"/>
          <w:sz w:val="32"/>
          <w:szCs w:val="32"/>
          <w:rFonts w:eastAsia="方正仿宋_GBK" w:cs="方正仿宋_GBK" w:hint="eastAsia"/>
        </w:rPr>
        <w:t>绩效评价来总结经验和教训，促进项目成果转化和应用，为今后类似项目的长效管理，提供可行性参考建议。也为下一年预算编制与评审提供充分有效的依据，以</w:t>
      </w:r>
      <w:r>
        <w:rPr>
          <w:color w:val="auto"/>
          <w:sz w:val="32"/>
          <w:lang w:eastAsia="zh-Hans"/>
          <w:szCs w:val="32"/>
          <w:rFonts w:eastAsia="方正仿宋_GBK" w:cs="方正仿宋_GBK" w:hint="eastAsia"/>
        </w:rPr>
        <w:t>达到</w:t>
      </w:r>
      <w:r>
        <w:rPr>
          <w:color w:val="auto"/>
          <w:sz w:val="32"/>
          <w:szCs w:val="32"/>
          <w:rFonts w:eastAsia="仿宋_GB2312"/>
        </w:rPr>
        <w:t>改进预算管理、控制节约成本，</w:t>
      </w:r>
      <w:r>
        <w:rPr>
          <w:color w:val="auto"/>
          <w:sz w:val="32"/>
          <w:szCs w:val="32"/>
          <w:rFonts w:eastAsia="方正仿宋_GBK" w:cs="方正仿宋_GBK" w:hint="eastAsia"/>
        </w:rPr>
        <w:t>优化资源配置</w:t>
      </w:r>
      <w:r>
        <w:rPr>
          <w:color w:val="auto"/>
          <w:sz w:val="32"/>
          <w:lang w:eastAsia="zh-Hans"/>
          <w:szCs w:val="32"/>
          <w:rFonts w:eastAsia="方正仿宋_GBK" w:cs="方正仿宋_GBK" w:hint="eastAsia"/>
        </w:rPr>
        <w:t>、</w:t>
      </w:r>
      <w:r>
        <w:rPr>
          <w:color w:val="auto"/>
          <w:sz w:val="32"/>
          <w:szCs w:val="32"/>
          <w:rFonts w:eastAsia="仿宋_GB2312"/>
        </w:rPr>
        <w:t>提高预算资金使用效益的目的。</w:t>
      </w:r>
    </w:p>
    <w:p>
      <w:pPr>
        <w:pageBreakBefore w:val="0"/>
        <w:wordWrap w:val="1"/>
        <w:overflowPunct w:val="1"/>
        <w:topLinePunct w:val="0"/>
        <w:kinsoku w:val="1"/>
        <w:bidi w:val="0"/>
        <w:snapToGrid w:val="1"/>
        <w:spacing w:line="560" w:lineRule="exact"/>
        <w:ind w:firstLine="640" w:firstLineChars="200"/>
        <w:rPr>
          <w:color w:val="auto"/>
          <w:sz w:val="32"/>
          <w:szCs w:val="32"/>
          <w:rFonts w:eastAsia="仿宋_GB2312"/>
        </w:rPr>
      </w:pPr>
    </w:p>
    <w:p>
      <w:pPr>
        <w:pStyle w:val="19"/>
        <w:widowControl w:val="0"/>
        <w:pageBreakBefore w:val="0"/>
        <w:wordWrap w:val="1"/>
        <w:overflowPunct w:val="1"/>
        <w:topLinePunct w:val="0"/>
        <w:kinsoku w:val="1"/>
        <w:bidi w:val="0"/>
        <w:snapToGrid w:val="1"/>
        <w:jc w:val="both"/>
        <w:outlineLvl w:val="9"/>
        <w:spacing w:after="0" w:before="0" w:line="560" w:lineRule="exact"/>
        <w:ind w:firstLine="640" w:firstLineChars="200"/>
        <w:rPr>
          <w:b w:val="0"/>
          <w:color w:val="auto"/>
          <w:bCs w:val="0"/>
          <w:rFonts w:ascii="Times New Roman" w:hAnsi="Times New Roman" w:eastAsia="仿宋_GB2312"/>
        </w:rPr>
      </w:pPr>
      <w:r>
        <w:rPr>
          <w:b w:val="0"/>
          <w:color w:val="auto"/>
          <w:bCs w:val="0"/>
          <w:rFonts w:ascii="Times New Roman" w:hAnsi="Times New Roman" w:eastAsia="仿宋_GB2312"/>
        </w:rPr>
        <w:t>2、绩效评价的对象</w:t>
      </w:r>
    </w:p>
    <w:p>
      <w:pPr>
        <w:pageBreakBefore w:val="0"/>
        <w:wordWrap w:val="1"/>
        <w:overflowPunct w:val="1"/>
        <w:topLinePunct w:val="0"/>
        <w:kinsoku w:val="1"/>
        <w:bidi w:val="0"/>
        <w:snapToGrid w:val="1"/>
        <w:spacing w:line="560" w:lineRule="exact"/>
        <w:ind w:firstLine="640" w:firstLineChars="200"/>
        <w:rPr>
          <w:color w:val="auto"/>
          <w:sz w:val="32"/>
          <w:szCs w:val="32"/>
          <w:rFonts w:ascii="仿宋_GB2312" w:hAnsi="仿宋_GB2312" w:eastAsia="仿宋_GB2312" w:cs="仿宋_GB2312" w:hint="eastAsia"/>
        </w:rPr>
      </w:pPr>
      <w:r>
        <w:rPr>
          <w:color w:val="auto"/>
          <w:sz w:val="32"/>
          <w:lang w:eastAsia="zh-CN"/>
          <w:szCs w:val="32"/>
          <w:rFonts w:eastAsia="仿宋_GB2312" w:hint="eastAsia"/>
        </w:rPr>
        <w:t>自治区畜牧业生产发展</w:t>
      </w:r>
      <w:r>
        <w:rPr>
          <w:color w:val="auto"/>
          <w:sz w:val="32"/>
          <w:szCs w:val="32"/>
          <w:rFonts w:ascii="仿宋_GB2312" w:hAnsi="仿宋_GB2312" w:eastAsia="仿宋_GB2312" w:cs="仿宋_GB2312" w:hint="eastAsia"/>
        </w:rPr>
        <w:t>项目所包含的全部项目</w:t>
      </w:r>
      <w:r>
        <w:rPr>
          <w:color w:val="auto"/>
          <w:sz w:val="32"/>
          <w:lang w:val="en-US" w:eastAsia="zh-Hans"/>
          <w:szCs w:val="32"/>
          <w:rFonts w:ascii="仿宋_GB2312" w:hAnsi="仿宋_GB2312" w:eastAsia="仿宋_GB2312" w:cs="仿宋_GB2312" w:hint="eastAsia"/>
        </w:rPr>
        <w:t>的</w:t>
      </w:r>
      <w:r>
        <w:rPr>
          <w:color w:val="auto"/>
          <w:sz w:val="32"/>
          <w:szCs w:val="32"/>
          <w:rFonts w:ascii="仿宋_GB2312" w:hAnsi="仿宋_GB2312" w:eastAsia="仿宋_GB2312" w:cs="仿宋_GB2312" w:hint="eastAsia"/>
        </w:rPr>
        <w:t>内容。</w:t>
      </w:r>
    </w:p>
    <w:p>
      <w:pPr>
        <w:pStyle w:val="19"/>
        <w:widowControl w:val="0"/>
        <w:pageBreakBefore w:val="0"/>
        <w:wordWrap w:val="1"/>
        <w:overflowPunct w:val="1"/>
        <w:topLinePunct w:val="0"/>
        <w:kinsoku w:val="1"/>
        <w:bidi w:val="0"/>
        <w:snapToGrid w:val="1"/>
        <w:jc w:val="both"/>
        <w:outlineLvl w:val="9"/>
        <w:spacing w:after="0" w:before="0" w:line="560" w:lineRule="exact"/>
        <w:ind w:firstLine="640" w:firstLineChars="200"/>
        <w:rPr>
          <w:b w:val="0"/>
          <w:color w:val="auto"/>
          <w:bCs w:val="0"/>
          <w:rFonts w:ascii="Times New Roman" w:hAnsi="Times New Roman" w:eastAsia="仿宋_GB2312"/>
        </w:rPr>
      </w:pPr>
      <w:r>
        <w:rPr>
          <w:b w:val="0"/>
          <w:color w:val="auto"/>
          <w:bCs w:val="0"/>
          <w:rFonts w:ascii="Times New Roman" w:hAnsi="Times New Roman" w:eastAsia="仿宋_GB2312"/>
        </w:rPr>
        <w:t>3、绩效评价的范围</w:t>
      </w:r>
    </w:p>
    <w:p>
      <w:pPr>
        <w:keepNext w:val="0"/>
        <w:keepLines w:val="0"/>
        <w:pageBreakBefore w:val="0"/>
        <w:wordWrap w:val="1"/>
        <w:overflowPunct w:val="1"/>
        <w:topLinePunct w:val="0"/>
        <w:kinsoku w:val="1"/>
        <w:bidi w:val="0"/>
        <w:snapToGrid w:val="1"/>
        <w:spacing w:line="560" w:lineRule="exact"/>
        <w:ind w:firstLine="0" w:firstLineChars="0" w:left="638" w:leftChars="304"/>
        <w:rPr>
          <w:color w:val="auto"/>
          <w:sz w:val="32"/>
          <w:lang w:eastAsia="zh-CN"/>
          <w:szCs w:val="32"/>
          <w:rFonts w:ascii="仿宋_GB2312" w:hAnsi="仿宋_GB2312" w:eastAsia="仿宋_GB2312" w:cs="仿宋_GB2312" w:hint="eastAsia"/>
        </w:rPr>
      </w:pPr>
      <w:r>
        <w:rPr>
          <w:color w:val="auto"/>
          <w:sz w:val="32"/>
          <w:lang w:eastAsia="zh-CN"/>
          <w:szCs w:val="32"/>
          <w:rFonts w:eastAsia="仿宋_GB2312" w:hint="eastAsia"/>
        </w:rPr>
        <w:t>自治区畜牧业生产发展</w:t>
      </w:r>
      <w:r>
        <w:rPr>
          <w:color w:val="auto"/>
          <w:sz w:val="32"/>
          <w:szCs w:val="32"/>
          <w:rFonts w:ascii="仿宋_GB2312" w:hAnsi="仿宋_GB2312" w:eastAsia="仿宋_GB2312" w:cs="仿宋_GB2312" w:hint="eastAsia"/>
        </w:rPr>
        <w:t>项目的决策、过程、产出、效益</w:t>
      </w:r>
      <w:r>
        <w:rPr>
          <w:color w:val="auto"/>
          <w:sz w:val="32"/>
          <w:lang w:eastAsia="zh-CN"/>
          <w:szCs w:val="32"/>
          <w:rFonts w:ascii="仿宋_GB2312" w:hAnsi="仿宋_GB2312" w:eastAsia="仿宋_GB2312" w:cs="仿宋_GB2312" w:hint="eastAsia"/>
        </w:rPr>
        <w:t>。</w:t>
      </w:r>
    </w:p>
    <w:p>
      <w:pPr>
        <w:pageBreakBefore w:val="0"/>
        <w:wordWrap w:val="1"/>
        <w:overflowPunct w:val="1"/>
        <w:topLinePunct w:val="0"/>
        <w:kinsoku w:val="1"/>
        <w:bidi w:val="0"/>
        <w:snapToGrid w:val="1"/>
        <w:spacing w:line="560" w:lineRule="exact"/>
        <w:ind w:firstLine="643" w:firstLineChars="200"/>
        <w:rPr>
          <w:color w:val="auto"/>
        </w:rPr>
      </w:pPr>
      <w:r>
        <w:rPr>
          <w:b w:val="1"/>
          <w:color w:val="auto"/>
          <w:sz w:val="32"/>
          <w:bCs/>
          <w:szCs w:val="32"/>
          <w:rFonts w:eastAsia="楷体_GB2312"/>
        </w:rPr>
        <w:t>（二）绩效评价原则、评价指标体系（详情见表1）、评价方法、评价标准。</w:t>
      </w:r>
    </w:p>
    <w:p>
      <w:pPr>
        <w:pStyle w:val="19"/>
        <w:widowControl w:val="0"/>
        <w:pageBreakBefore w:val="0"/>
        <w:wordWrap w:val="1"/>
        <w:overflowPunct w:val="1"/>
        <w:topLinePunct w:val="0"/>
        <w:kinsoku w:val="1"/>
        <w:bidi w:val="0"/>
        <w:snapToGrid w:val="1"/>
        <w:jc w:val="both"/>
        <w:outlineLvl w:val="9"/>
        <w:spacing w:after="0" w:before="0" w:line="560" w:lineRule="exact"/>
        <w:ind w:firstLine="640" w:firstLineChars="200"/>
        <w:rPr>
          <w:b w:val="0"/>
          <w:color w:val="auto"/>
          <w:bCs w:val="0"/>
          <w:rFonts w:ascii="Times New Roman" w:hAnsi="Times New Roman" w:eastAsia="仿宋_GB2312"/>
        </w:rPr>
      </w:pPr>
      <w:r>
        <w:rPr>
          <w:b w:val="0"/>
          <w:color w:val="auto"/>
          <w:bCs w:val="0"/>
          <w:rFonts w:ascii="Times New Roman" w:hAnsi="Times New Roman" w:eastAsia="仿宋_GB2312"/>
        </w:rPr>
        <w:t>1、绩效评价原则</w:t>
      </w:r>
    </w:p>
    <w:p>
      <w:pPr>
        <w:pageBreakBefore w:val="0"/>
        <w:wordWrap w:val="1"/>
        <w:overflowPunct w:val="1"/>
        <w:topLinePunct w:val="0"/>
        <w:kinsoku w:val="1"/>
        <w:bidi w:val="0"/>
        <w:snapToGrid w:val="1"/>
        <w:spacing w:line="560" w:lineRule="exact"/>
        <w:ind w:firstLine="640" w:firstLineChars="200"/>
        <w:rPr>
          <w:color w:val="auto"/>
          <w:sz w:val="32"/>
          <w:szCs w:val="32"/>
          <w:rFonts w:eastAsia="仿宋_GB2312"/>
        </w:rPr>
      </w:pPr>
      <w:r>
        <w:rPr>
          <w:color w:val="auto"/>
          <w:sz w:val="32"/>
          <w:szCs w:val="32"/>
          <w:rFonts w:eastAsia="仿宋_GB2312"/>
        </w:rPr>
        <w:t>本次项目绩效评价遵循以下基本原则：</w:t>
      </w:r>
    </w:p>
    <w:p>
      <w:pPr>
        <w:pStyle w:val="19"/>
        <w:pageBreakBefore w:val="0"/>
        <w:wordWrap w:val="1"/>
        <w:overflowPunct w:val="1"/>
        <w:topLinePunct w:val="0"/>
        <w:kinsoku w:val="1"/>
        <w:bidi w:val="0"/>
        <w:snapToGrid w:val="1"/>
        <w:jc w:val="both"/>
        <w:outlineLvl w:val="9"/>
        <w:spacing w:after="0" w:before="0" w:line="560" w:lineRule="exact"/>
        <w:ind w:firstLine="640" w:firstLineChars="200"/>
        <w:rPr>
          <w:b w:val="0"/>
          <w:color w:val="auto"/>
          <w:bCs w:val="0"/>
          <w:rFonts w:ascii="Times New Roman" w:hAnsi="Times New Roman" w:eastAsia="仿宋_GB2312"/>
        </w:rPr>
      </w:pPr>
      <w:r>
        <w:rPr>
          <w:b w:val="0"/>
          <w:color w:val="auto"/>
          <w:bCs w:val="0"/>
          <w:rFonts w:ascii="Times New Roman" w:hAnsi="Times New Roman" w:eastAsia="仿宋_GB2312"/>
        </w:rPr>
        <w:t>（1）科学公正。绩效评价应当运用科学合理的方法，按照规范的程序，对项目绩效进行客观、公正的反映。</w:t>
      </w:r>
    </w:p>
    <w:p>
      <w:pPr>
        <w:pStyle w:val="19"/>
        <w:pageBreakBefore w:val="0"/>
        <w:wordWrap w:val="1"/>
        <w:overflowPunct w:val="1"/>
        <w:topLinePunct w:val="0"/>
        <w:kinsoku w:val="1"/>
        <w:bidi w:val="0"/>
        <w:snapToGrid w:val="1"/>
        <w:jc w:val="both"/>
        <w:outlineLvl w:val="9"/>
        <w:spacing w:after="0" w:before="0" w:line="560" w:lineRule="exact"/>
        <w:ind w:firstLine="640" w:firstLineChars="200"/>
        <w:rPr>
          <w:b w:val="0"/>
          <w:color w:val="auto"/>
          <w:bCs w:val="0"/>
          <w:rFonts w:ascii="Times New Roman" w:hAnsi="Times New Roman" w:eastAsia="仿宋_GB2312"/>
        </w:rPr>
      </w:pPr>
      <w:r>
        <w:rPr>
          <w:b w:val="0"/>
          <w:color w:val="auto"/>
          <w:bCs w:val="0"/>
          <w:rFonts w:ascii="Times New Roman" w:hAnsi="Times New Roman" w:eastAsia="仿宋_GB2312"/>
        </w:rPr>
        <w:t>（2）统筹兼顾。单位自评、部门评价和财政评价应职责明确，各有侧重，相互衔接。单位自评应由项目单位自主实施，即“谁支出、谁自评”。部门评价和财政评价应在单位自评的基础上开展。</w:t>
      </w:r>
    </w:p>
    <w:p>
      <w:pPr>
        <w:pStyle w:val="19"/>
        <w:pageBreakBefore w:val="0"/>
        <w:wordWrap w:val="1"/>
        <w:overflowPunct w:val="1"/>
        <w:topLinePunct w:val="0"/>
        <w:kinsoku w:val="1"/>
        <w:bidi w:val="0"/>
        <w:snapToGrid w:val="1"/>
        <w:jc w:val="both"/>
        <w:outlineLvl w:val="9"/>
        <w:spacing w:after="0" w:before="0" w:line="560" w:lineRule="exact"/>
        <w:ind w:firstLine="640" w:firstLineChars="200"/>
        <w:rPr>
          <w:b w:val="0"/>
          <w:color w:val="auto"/>
          <w:bCs w:val="0"/>
          <w:rFonts w:ascii="Times New Roman" w:hAnsi="Times New Roman" w:eastAsia="仿宋_GB2312"/>
        </w:rPr>
      </w:pPr>
      <w:r>
        <w:rPr>
          <w:b w:val="0"/>
          <w:color w:val="auto"/>
          <w:bCs w:val="0"/>
          <w:rFonts w:ascii="Times New Roman" w:hAnsi="Times New Roman" w:eastAsia="仿宋_GB2312"/>
        </w:rPr>
        <w:t>（3）激励约束。绩效评价结果应与预算安排、政策调整、改进管理实质性挂钩，体现奖优罚劣和激励相容导向，有效要安排、低效要压减、无效要问责。</w:t>
      </w:r>
    </w:p>
    <w:p>
      <w:pPr>
        <w:pStyle w:val="19"/>
        <w:pageBreakBefore w:val="0"/>
        <w:wordWrap w:val="1"/>
        <w:overflowPunct w:val="1"/>
        <w:topLinePunct w:val="0"/>
        <w:kinsoku w:val="1"/>
        <w:bidi w:val="0"/>
        <w:snapToGrid w:val="1"/>
        <w:jc w:val="both"/>
        <w:outlineLvl w:val="9"/>
        <w:spacing w:after="0" w:before="0" w:line="560" w:lineRule="exact"/>
        <w:ind w:firstLine="640" w:firstLineChars="200"/>
        <w:rPr>
          <w:b w:val="0"/>
          <w:color w:val="auto"/>
          <w:bCs w:val="0"/>
          <w:rFonts w:ascii="Times New Roman" w:hAnsi="Times New Roman" w:eastAsia="仿宋_GB2312"/>
        </w:rPr>
      </w:pPr>
      <w:r>
        <w:rPr>
          <w:b w:val="0"/>
          <w:color w:val="auto"/>
          <w:bCs w:val="0"/>
          <w:rFonts w:ascii="Times New Roman" w:hAnsi="Times New Roman" w:eastAsia="仿宋_GB2312"/>
        </w:rPr>
        <w:t>（4）公开透明。绩效评价结果应依法依规公开，并自觉接受社会监督。</w:t>
      </w:r>
    </w:p>
    <w:p>
      <w:pPr>
        <w:pStyle w:val="19"/>
        <w:widowControl w:val="0"/>
        <w:pageBreakBefore w:val="0"/>
        <w:wordWrap w:val="1"/>
        <w:overflowPunct w:val="1"/>
        <w:topLinePunct w:val="0"/>
        <w:kinsoku w:val="1"/>
        <w:bidi w:val="0"/>
        <w:snapToGrid w:val="1"/>
        <w:jc w:val="both"/>
        <w:outlineLvl w:val="9"/>
        <w:spacing w:after="0" w:before="0" w:line="560" w:lineRule="exact"/>
        <w:ind w:firstLine="640" w:firstLineChars="200"/>
        <w:rPr>
          <w:b w:val="0"/>
          <w:color w:val="auto"/>
          <w:bCs w:val="0"/>
          <w:rFonts w:ascii="Times New Roman" w:hAnsi="Times New Roman" w:eastAsia="仿宋_GB2312"/>
        </w:rPr>
      </w:pPr>
      <w:r>
        <w:rPr>
          <w:b w:val="0"/>
          <w:color w:val="auto"/>
          <w:bCs w:val="0"/>
          <w:rFonts w:ascii="Times New Roman" w:hAnsi="Times New Roman" w:eastAsia="仿宋_GB2312"/>
        </w:rPr>
        <w:t>2、评价指标体系</w:t>
      </w:r>
    </w:p>
    <w:p>
      <w:pPr>
        <w:pageBreakBefore w:val="0"/>
        <w:wordWrap w:val="1"/>
        <w:overflowPunct w:val="1"/>
        <w:topLinePunct w:val="0"/>
        <w:kinsoku w:val="1"/>
        <w:bidi w:val="0"/>
        <w:snapToGrid w:val="1"/>
        <w:spacing w:line="560" w:lineRule="exact"/>
        <w:ind w:firstLine="708" w:firstLineChars="200"/>
        <w:rPr>
          <w:color w:val="auto"/>
          <w:spacing w:val="17"/>
          <w:sz w:val="32"/>
          <w:szCs w:val="32"/>
        </w:rPr>
      </w:pPr>
      <w:r>
        <w:rPr>
          <w:color w:val="auto"/>
          <w:spacing w:val="17"/>
          <w:sz w:val="32"/>
          <w:szCs w:val="32"/>
          <w:rFonts w:eastAsia="仿宋_GB2312"/>
        </w:rPr>
        <w:t>绩效评价框架是开展绩效评价的核心。绩效评价框架包括评价准则、关键评价问题、评价指标、数据来源、数据收集方法等。指标体系建立过程如下：</w:t>
      </w:r>
    </w:p>
    <w:p>
      <w:pPr>
        <w:pageBreakBefore w:val="0"/>
        <w:wordWrap w:val="1"/>
        <w:overflowPunct w:val="1"/>
        <w:topLinePunct w:val="0"/>
        <w:kinsoku w:val="1"/>
        <w:bidi w:val="0"/>
        <w:snapToGrid w:val="1"/>
        <w:spacing w:line="560" w:lineRule="exact"/>
        <w:ind w:firstLine="708" w:firstLineChars="200"/>
        <w:rPr>
          <w:color w:val="auto"/>
          <w:spacing w:val="17"/>
          <w:sz w:val="32"/>
          <w:szCs w:val="32"/>
          <w:rFonts w:eastAsia="仿宋_GB2312"/>
        </w:rPr>
      </w:pPr>
      <w:r>
        <w:rPr>
          <w:color w:val="auto"/>
          <w:spacing w:val="17"/>
          <w:sz w:val="32"/>
          <w:szCs w:val="32"/>
          <w:rFonts w:eastAsia="仿宋_GB2312"/>
        </w:rPr>
        <w:t>（1）确定评价指标</w:t>
      </w:r>
    </w:p>
    <w:p>
      <w:pPr>
        <w:pageBreakBefore w:val="0"/>
        <w:wordWrap w:val="1"/>
        <w:overflowPunct w:val="1"/>
        <w:topLinePunct w:val="0"/>
        <w:kinsoku w:val="1"/>
        <w:bidi w:val="0"/>
        <w:snapToGrid w:val="1"/>
        <w:spacing w:line="560" w:lineRule="exact"/>
        <w:ind w:firstLine="708" w:firstLineChars="200"/>
        <w:rPr>
          <w:color w:val="auto"/>
          <w:spacing w:val="17"/>
          <w:sz w:val="32"/>
          <w:szCs w:val="32"/>
          <w:rFonts w:eastAsia="仿宋_GB2312"/>
        </w:rPr>
      </w:pPr>
      <w:r>
        <w:rPr>
          <w:color w:val="auto"/>
          <w:spacing w:val="17"/>
          <w:sz w:val="32"/>
          <w:szCs w:val="32"/>
          <w:rFonts w:eastAsia="仿宋_GB2312"/>
        </w:rPr>
        <w:t>采用层次分析法，建立评价指标体系。绩效评价将指标分为项目决策指标、项目过程指标、项目产出指标、项目效益指标四个维度，最终形成一个由多个相互联系的指标组成的多层次指标体系。</w:t>
      </w:r>
    </w:p>
    <w:p>
      <w:pPr>
        <w:pageBreakBefore w:val="0"/>
        <w:wordWrap w:val="1"/>
        <w:overflowPunct w:val="1"/>
        <w:topLinePunct w:val="0"/>
        <w:kinsoku w:val="1"/>
        <w:bidi w:val="0"/>
        <w:snapToGrid w:val="1"/>
        <w:spacing w:line="560" w:lineRule="exact"/>
        <w:ind w:firstLine="708" w:firstLineChars="200"/>
        <w:rPr>
          <w:color w:val="auto"/>
          <w:spacing w:val="17"/>
          <w:sz w:val="32"/>
          <w:szCs w:val="32"/>
          <w:rFonts w:eastAsia="仿宋_GB2312"/>
        </w:rPr>
      </w:pPr>
      <w:r>
        <w:rPr>
          <w:color w:val="auto"/>
          <w:spacing w:val="17"/>
          <w:sz w:val="32"/>
          <w:szCs w:val="32"/>
          <w:rFonts w:eastAsia="仿宋_GB2312"/>
        </w:rPr>
        <w:t>（2）确定权重</w:t>
      </w:r>
    </w:p>
    <w:p>
      <w:pPr>
        <w:pageBreakBefore w:val="0"/>
        <w:wordWrap w:val="1"/>
        <w:overflowPunct w:val="1"/>
        <w:topLinePunct w:val="0"/>
        <w:kinsoku w:val="1"/>
        <w:bidi w:val="0"/>
        <w:snapToGrid w:val="1"/>
        <w:spacing w:line="560" w:lineRule="exact"/>
        <w:ind w:firstLine="708" w:firstLineChars="200"/>
        <w:rPr>
          <w:color w:val="auto"/>
          <w:spacing w:val="17"/>
          <w:sz w:val="32"/>
          <w:szCs w:val="32"/>
          <w:rFonts w:eastAsia="仿宋_GB2312"/>
        </w:rPr>
      </w:pPr>
      <w:r>
        <w:rPr>
          <w:color w:val="auto"/>
          <w:spacing w:val="17"/>
          <w:sz w:val="32"/>
          <w:szCs w:val="32"/>
          <w:rFonts w:eastAsia="仿宋_GB2312"/>
        </w:rPr>
        <w:t>确定各个指标相对于项目总体绩效的权重分值。在绩效评价指标体系中，项目决策权重为</w:t>
      </w:r>
      <w:r>
        <w:rPr>
          <w:color w:val="auto"/>
          <w:spacing w:val="17"/>
          <w:sz w:val="32"/>
          <w:lang w:val="en-US" w:eastAsia="zh-CN"/>
          <w:szCs w:val="32"/>
          <w:rFonts w:eastAsia="仿宋_GB2312" w:hint="eastAsia"/>
        </w:rPr>
        <w:t>20</w:t>
      </w:r>
      <w:r>
        <w:rPr>
          <w:color w:val="auto"/>
          <w:spacing w:val="17"/>
          <w:sz w:val="32"/>
          <w:szCs w:val="32"/>
          <w:rFonts w:eastAsia="仿宋_GB2312"/>
        </w:rPr>
        <w:t>分，项目过程权重为</w:t>
      </w:r>
      <w:r>
        <w:rPr>
          <w:color w:val="auto"/>
          <w:spacing w:val="17"/>
          <w:sz w:val="32"/>
          <w:lang w:val="en-US" w:eastAsia="zh-CN"/>
          <w:szCs w:val="32"/>
          <w:rFonts w:eastAsia="仿宋_GB2312" w:hint="eastAsia"/>
        </w:rPr>
        <w:t>20</w:t>
      </w:r>
      <w:r>
        <w:rPr>
          <w:color w:val="auto"/>
          <w:spacing w:val="17"/>
          <w:sz w:val="32"/>
          <w:szCs w:val="32"/>
          <w:rFonts w:eastAsia="仿宋_GB2312"/>
        </w:rPr>
        <w:t>分，项目产出权重为</w:t>
      </w:r>
      <w:r>
        <w:rPr>
          <w:color w:val="auto"/>
          <w:spacing w:val="17"/>
          <w:sz w:val="32"/>
          <w:lang w:val="en-US" w:eastAsia="zh-CN"/>
          <w:szCs w:val="32"/>
          <w:rFonts w:eastAsia="仿宋_GB2312" w:hint="eastAsia"/>
        </w:rPr>
        <w:t>4</w:t>
      </w:r>
      <w:r>
        <w:rPr>
          <w:color w:val="auto"/>
          <w:spacing w:val="17"/>
          <w:sz w:val="32"/>
          <w:szCs w:val="32"/>
          <w:rFonts w:eastAsia="仿宋_GB2312"/>
        </w:rPr>
        <w:t>0分，项目效益权重为</w:t>
      </w:r>
      <w:r>
        <w:rPr>
          <w:color w:val="auto"/>
          <w:spacing w:val="17"/>
          <w:sz w:val="32"/>
          <w:lang w:val="en-US" w:eastAsia="zh-CN"/>
          <w:szCs w:val="32"/>
          <w:rFonts w:eastAsia="仿宋_GB2312" w:hint="eastAsia"/>
        </w:rPr>
        <w:t>2</w:t>
      </w:r>
      <w:r>
        <w:rPr>
          <w:color w:val="auto"/>
          <w:spacing w:val="17"/>
          <w:sz w:val="32"/>
          <w:szCs w:val="32"/>
          <w:rFonts w:eastAsia="仿宋_GB2312"/>
        </w:rPr>
        <w:t>0分。</w:t>
      </w:r>
    </w:p>
    <w:p>
      <w:pPr>
        <w:pageBreakBefore w:val="0"/>
        <w:wordWrap w:val="1"/>
        <w:overflowPunct w:val="1"/>
        <w:topLinePunct w:val="0"/>
        <w:kinsoku w:val="1"/>
        <w:bidi w:val="0"/>
        <w:snapToGrid w:val="1"/>
        <w:spacing w:line="560" w:lineRule="exact"/>
        <w:ind w:firstLine="708" w:firstLineChars="200"/>
        <w:rPr>
          <w:color w:val="auto"/>
          <w:spacing w:val="17"/>
          <w:sz w:val="32"/>
          <w:szCs w:val="32"/>
          <w:rFonts w:eastAsia="仿宋_GB2312"/>
        </w:rPr>
      </w:pPr>
      <w:r>
        <w:rPr>
          <w:color w:val="auto"/>
          <w:spacing w:val="17"/>
          <w:sz w:val="32"/>
          <w:szCs w:val="32"/>
          <w:rFonts w:eastAsia="仿宋_GB2312"/>
        </w:rPr>
        <w:t>（3）确定指标标准值</w:t>
      </w:r>
    </w:p>
    <w:p>
      <w:pPr>
        <w:pageBreakBefore w:val="0"/>
        <w:wordWrap w:val="1"/>
        <w:overflowPunct w:val="1"/>
        <w:topLinePunct w:val="0"/>
        <w:kinsoku w:val="1"/>
        <w:bidi w:val="0"/>
        <w:snapToGrid w:val="1"/>
        <w:spacing w:line="560" w:lineRule="exact"/>
        <w:ind w:firstLine="708" w:firstLineChars="200"/>
        <w:rPr>
          <w:color w:val="auto"/>
          <w:spacing w:val="17"/>
          <w:sz w:val="32"/>
          <w:szCs w:val="32"/>
          <w:rFonts w:eastAsia="仿宋_GB2312"/>
        </w:rPr>
      </w:pPr>
      <w:r>
        <w:rPr>
          <w:color w:val="auto"/>
          <w:spacing w:val="17"/>
          <w:sz w:val="32"/>
          <w:szCs w:val="32"/>
          <w:rFonts w:eastAsia="仿宋_GB2312"/>
        </w:rPr>
        <w:t>指标标准值是绩效评价指标的尺度，既要反映同类项目的先进水平，又要符合项目的实际绩效水平。具体采用计划标准等确定此次绩效评价指标标准值。</w:t>
      </w:r>
    </w:p>
    <w:p>
      <w:pPr>
        <w:pStyle w:val="19"/>
        <w:pageBreakBefore w:val="0"/>
        <w:wordWrap w:val="1"/>
        <w:overflowPunct w:val="1"/>
        <w:topLinePunct w:val="0"/>
        <w:kinsoku w:val="1"/>
        <w:bidi w:val="0"/>
        <w:snapToGrid w:val="1"/>
        <w:jc w:val="both"/>
        <w:spacing w:after="0" w:before="0" w:line="560" w:lineRule="exact"/>
        <w:ind w:firstLine="708" w:firstLineChars="200"/>
        <w:rPr>
          <w:b w:val="0"/>
          <w:color w:val="auto"/>
          <w:spacing w:val="17"/>
          <w:bCs w:val="0"/>
          <w:kern w:val="2"/>
          <w:rFonts w:ascii="Times New Roman" w:hAnsi="Times New Roman" w:eastAsia="仿宋_GB2312"/>
        </w:rPr>
      </w:pPr>
      <w:r>
        <w:rPr>
          <w:b w:val="0"/>
          <w:color w:val="auto"/>
          <w:spacing w:val="17"/>
          <w:bCs w:val="0"/>
          <w:kern w:val="2"/>
          <w:rFonts w:ascii="Times New Roman" w:hAnsi="Times New Roman" w:eastAsia="仿宋_GB2312"/>
        </w:rPr>
        <w:t>绩效评价总分值100分，根据综合评分结果，评价计分90分-100分（含90分）对应的评分结果级别为优，80-90分（含80分）对应的评分结果级别为良，60-80分（含60分）对应的评分结果级别为中，60分以下对应的评分结果级别为差。</w:t>
      </w:r>
    </w:p>
    <w:p>
      <w:pPr>
        <w:pStyle w:val="19"/>
        <w:widowControl w:val="0"/>
        <w:pageBreakBefore w:val="0"/>
        <w:wordWrap w:val="1"/>
        <w:overflowPunct w:val="1"/>
        <w:topLinePunct w:val="0"/>
        <w:kinsoku w:val="1"/>
        <w:bidi w:val="0"/>
        <w:snapToGrid w:val="1"/>
        <w:jc w:val="both"/>
        <w:outlineLvl w:val="9"/>
        <w:spacing w:after="0" w:before="0" w:line="560" w:lineRule="exact"/>
        <w:ind w:firstLine="708" w:firstLineChars="200"/>
        <w:rPr>
          <w:b w:val="0"/>
          <w:color w:val="auto"/>
          <w:spacing w:val="17"/>
          <w:bCs w:val="0"/>
          <w:rFonts w:ascii="Times New Roman" w:hAnsi="Times New Roman" w:eastAsia="仿宋_GB2312"/>
        </w:rPr>
      </w:pPr>
      <w:r>
        <w:rPr>
          <w:b w:val="0"/>
          <w:color w:val="auto"/>
          <w:spacing w:val="17"/>
          <w:bCs w:val="0"/>
          <w:rFonts w:ascii="Times New Roman" w:hAnsi="Times New Roman" w:eastAsia="仿宋_GB2312"/>
        </w:rPr>
        <w:t>具体评价指标体系详情见附件1</w:t>
      </w:r>
    </w:p>
    <w:p>
      <w:pPr>
        <w:pStyle w:val="19"/>
        <w:widowControl w:val="0"/>
        <w:pageBreakBefore w:val="0"/>
        <w:wordWrap w:val="1"/>
        <w:overflowPunct w:val="1"/>
        <w:topLinePunct w:val="0"/>
        <w:kinsoku w:val="1"/>
        <w:bidi w:val="0"/>
        <w:snapToGrid w:val="1"/>
        <w:jc w:val="both"/>
        <w:outlineLvl w:val="9"/>
        <w:spacing w:after="0" w:before="0" w:line="560" w:lineRule="exact"/>
        <w:ind w:firstLine="640" w:firstLineChars="200"/>
        <w:rPr>
          <w:b w:val="0"/>
          <w:color w:val="auto"/>
          <w:bCs w:val="0"/>
          <w:rFonts w:ascii="Times New Roman" w:hAnsi="Times New Roman" w:eastAsia="仿宋_GB2312"/>
        </w:rPr>
      </w:pPr>
      <w:r>
        <w:rPr>
          <w:b w:val="0"/>
          <w:color w:val="auto"/>
          <w:bCs w:val="0"/>
          <w:rFonts w:ascii="Times New Roman" w:hAnsi="Times New Roman" w:eastAsia="仿宋_GB2312"/>
        </w:rPr>
        <w:t>3、绩效评价方法</w:t>
      </w:r>
    </w:p>
    <w:p>
      <w:pPr>
        <w:pageBreakBefore w:val="0"/>
        <w:wordWrap w:val="1"/>
        <w:overflowPunct w:val="1"/>
        <w:topLinePunct w:val="0"/>
        <w:kinsoku w:val="1"/>
        <w:bidi w:val="0"/>
        <w:snapToGrid w:val="1"/>
        <w:spacing w:line="560" w:lineRule="exact"/>
        <w:ind w:firstLine="708" w:firstLineChars="200"/>
        <w:rPr>
          <w:color w:val="auto"/>
          <w:spacing w:val="17"/>
          <w:sz w:val="32"/>
          <w:szCs w:val="32"/>
          <w:rFonts w:eastAsia="仿宋_GB2312"/>
        </w:rPr>
      </w:pPr>
      <w:r>
        <w:rPr>
          <w:color w:val="auto"/>
          <w:spacing w:val="17"/>
          <w:sz w:val="32"/>
          <w:szCs w:val="32"/>
          <w:rFonts w:eastAsia="仿宋_GB2312"/>
        </w:rPr>
        <w:t>绩效评价从项目决策、项目过程、项目产出、项目效益四个维度进行评价。评价对象为项目目标实施情况，  评价核心为资金的支出完成情况和项目的产出效益。</w:t>
      </w:r>
    </w:p>
    <w:p>
      <w:pPr>
        <w:pageBreakBefore w:val="0"/>
        <w:wordWrap w:val="1"/>
        <w:overflowPunct w:val="1"/>
        <w:topLinePunct w:val="0"/>
        <w:kinsoku w:val="1"/>
        <w:bidi w:val="0"/>
        <w:snapToGrid w:val="1"/>
        <w:spacing w:line="560" w:lineRule="exact"/>
        <w:ind w:firstLine="708" w:firstLineChars="200"/>
        <w:rPr>
          <w:color w:val="auto"/>
          <w:spacing w:val="17"/>
          <w:sz w:val="32"/>
          <w:szCs w:val="32"/>
          <w:rFonts w:eastAsia="仿宋_GB2312"/>
        </w:rPr>
      </w:pPr>
      <w:r>
        <w:rPr>
          <w:color w:val="auto"/>
          <w:spacing w:val="17"/>
          <w:sz w:val="32"/>
          <w:szCs w:val="32"/>
          <w:rFonts w:eastAsia="仿宋_GB2312"/>
        </w:rPr>
        <w:t>本次评价指标中，既有定性指标又有定量指标，各类指标因考核内容不同和客观标准不同存在较大差异，因此核定具体指标时采用了不同方法，具体评价方法如下：</w:t>
      </w:r>
    </w:p>
    <w:p>
      <w:pPr>
        <w:pageBreakBefore w:val="0"/>
        <w:wordWrap w:val="1"/>
        <w:overflowPunct w:val="1"/>
        <w:topLinePunct w:val="0"/>
        <w:kinsoku w:val="1"/>
        <w:bidi w:val="0"/>
        <w:snapToGrid w:val="1"/>
        <w:spacing w:line="560" w:lineRule="exact"/>
        <w:ind w:firstLine="708" w:firstLineChars="200"/>
        <w:rPr>
          <w:color w:val="auto"/>
          <w:spacing w:val="17"/>
          <w:sz w:val="32"/>
          <w:szCs w:val="32"/>
          <w:rFonts w:eastAsia="仿宋_GB2312"/>
        </w:rPr>
      </w:pPr>
      <w:r>
        <w:rPr>
          <w:color w:val="auto"/>
          <w:spacing w:val="17"/>
          <w:sz w:val="32"/>
          <w:szCs w:val="32"/>
          <w:rFonts w:eastAsia="仿宋_GB2312"/>
        </w:rPr>
        <w:t>（1）比较法</w:t>
      </w:r>
    </w:p>
    <w:p>
      <w:pPr>
        <w:pageBreakBefore w:val="0"/>
        <w:wordWrap w:val="1"/>
        <w:overflowPunct w:val="1"/>
        <w:topLinePunct w:val="0"/>
        <w:kinsoku w:val="1"/>
        <w:bidi w:val="0"/>
        <w:snapToGrid w:val="1"/>
        <w:spacing w:line="560" w:lineRule="exact"/>
        <w:ind w:firstLine="708" w:firstLineChars="200"/>
        <w:rPr>
          <w:color w:val="auto"/>
          <w:spacing w:val="17"/>
          <w:sz w:val="32"/>
          <w:szCs w:val="32"/>
          <w:rFonts w:eastAsia="仿宋_GB2312"/>
        </w:rPr>
      </w:pPr>
      <w:r>
        <w:rPr>
          <w:color w:val="auto"/>
          <w:spacing w:val="17"/>
          <w:sz w:val="32"/>
          <w:szCs w:val="32"/>
          <w:rFonts w:eastAsia="仿宋_GB2312"/>
        </w:rPr>
        <w:t>通过对绩效目标与实施效果、历史与当期情况，综合分析绩效目标实现程度。对</w:t>
      </w:r>
      <w:r>
        <w:rPr>
          <w:color w:val="auto"/>
          <w:sz w:val="32"/>
          <w:szCs w:val="32"/>
          <w:rFonts w:eastAsia="仿宋_GB2312"/>
        </w:rPr>
        <w:t>项目</w:t>
      </w:r>
      <w:r>
        <w:rPr>
          <w:color w:val="auto"/>
          <w:spacing w:val="17"/>
          <w:sz w:val="32"/>
          <w:szCs w:val="32"/>
          <w:rFonts w:eastAsia="仿宋_GB2312"/>
        </w:rPr>
        <w:t>最终验收情况与年度绩效目标对比、预算资金执行情况等相关因素进行比较。</w:t>
      </w:r>
    </w:p>
    <w:p>
      <w:pPr>
        <w:pageBreakBefore w:val="0"/>
        <w:wordWrap w:val="1"/>
        <w:overflowPunct w:val="1"/>
        <w:topLinePunct w:val="0"/>
        <w:kinsoku w:val="1"/>
        <w:bidi w:val="0"/>
        <w:snapToGrid w:val="1"/>
        <w:spacing w:line="560" w:lineRule="exact"/>
        <w:ind w:firstLine="708" w:firstLineChars="200"/>
        <w:rPr>
          <w:color w:val="auto"/>
          <w:spacing w:val="17"/>
          <w:sz w:val="32"/>
          <w:szCs w:val="32"/>
          <w:rFonts w:eastAsia="仿宋_GB2312"/>
        </w:rPr>
      </w:pPr>
      <w:r>
        <w:rPr>
          <w:color w:val="auto"/>
          <w:spacing w:val="17"/>
          <w:sz w:val="32"/>
          <w:szCs w:val="32"/>
          <w:rFonts w:eastAsia="仿宋_GB2312"/>
        </w:rPr>
        <w:t>（2）因素分析法</w:t>
      </w:r>
    </w:p>
    <w:p>
      <w:pPr>
        <w:pageBreakBefore w:val="0"/>
        <w:wordWrap w:val="1"/>
        <w:overflowPunct w:val="1"/>
        <w:topLinePunct w:val="0"/>
        <w:kinsoku w:val="1"/>
        <w:bidi w:val="0"/>
        <w:snapToGrid w:val="1"/>
        <w:spacing w:line="560" w:lineRule="exact"/>
        <w:ind w:firstLine="708" w:firstLineChars="200"/>
        <w:rPr>
          <w:color w:val="auto"/>
          <w:spacing w:val="17"/>
          <w:sz w:val="32"/>
          <w:szCs w:val="32"/>
          <w:rFonts w:eastAsia="仿宋_GB2312"/>
        </w:rPr>
      </w:pPr>
      <w:r>
        <w:rPr>
          <w:color w:val="auto"/>
          <w:spacing w:val="17"/>
          <w:sz w:val="32"/>
          <w:szCs w:val="32"/>
          <w:rFonts w:eastAsia="仿宋_GB2312"/>
        </w:rPr>
        <w:t>通过综合分析影响绩效目标实现、实施效果的内外因素，评价绩效目标实现程度。通过对</w:t>
      </w:r>
      <w:r>
        <w:rPr>
          <w:color w:val="auto"/>
          <w:sz w:val="32"/>
          <w:szCs w:val="32"/>
          <w:rFonts w:eastAsia="仿宋_GB2312"/>
        </w:rPr>
        <w:t>项目</w:t>
      </w:r>
      <w:r>
        <w:rPr>
          <w:color w:val="auto"/>
          <w:spacing w:val="17"/>
          <w:sz w:val="32"/>
          <w:szCs w:val="32"/>
          <w:rFonts w:eastAsia="仿宋_GB2312"/>
        </w:rPr>
        <w:t>的开展情况、项目产出数量、成本控制、资金拨付文件及自评报告等相关资料的收集和审核，综合分析各因素对绩效目标实现的影响。</w:t>
      </w:r>
    </w:p>
    <w:p>
      <w:pPr>
        <w:pStyle w:val="19"/>
        <w:widowControl w:val="0"/>
        <w:pageBreakBefore w:val="0"/>
        <w:wordWrap w:val="1"/>
        <w:overflowPunct w:val="1"/>
        <w:topLinePunct w:val="0"/>
        <w:kinsoku w:val="1"/>
        <w:bidi w:val="0"/>
        <w:snapToGrid w:val="1"/>
        <w:jc w:val="both"/>
        <w:outlineLvl w:val="9"/>
        <w:spacing w:after="0" w:before="0" w:line="560" w:lineRule="exact"/>
        <w:ind w:firstLine="640" w:firstLineChars="200"/>
        <w:rPr>
          <w:b w:val="0"/>
          <w:color w:val="auto"/>
          <w:bCs w:val="0"/>
          <w:rFonts w:ascii="Times New Roman" w:hAnsi="Times New Roman" w:eastAsia="仿宋_GB2312"/>
        </w:rPr>
      </w:pPr>
      <w:r>
        <w:rPr>
          <w:b w:val="0"/>
          <w:color w:val="auto"/>
          <w:bCs w:val="0"/>
          <w:rFonts w:ascii="Times New Roman" w:hAnsi="Times New Roman" w:eastAsia="仿宋_GB2312"/>
        </w:rPr>
        <w:t>4、评价标准</w:t>
      </w:r>
    </w:p>
    <w:p>
      <w:pPr>
        <w:pageBreakBefore w:val="0"/>
        <w:wordWrap w:val="1"/>
        <w:overflowPunct w:val="1"/>
        <w:topLinePunct w:val="0"/>
        <w:kinsoku w:val="1"/>
        <w:bidi w:val="0"/>
        <w:snapToGrid w:val="1"/>
        <w:spacing w:line="560" w:lineRule="exact"/>
        <w:ind w:firstLine="708" w:firstLineChars="200"/>
        <w:rPr>
          <w:color w:val="auto"/>
          <w:spacing w:val="17"/>
          <w:sz w:val="32"/>
          <w:szCs w:val="32"/>
          <w:rFonts w:eastAsia="仿宋_GB2312"/>
        </w:rPr>
      </w:pPr>
      <w:r>
        <w:rPr>
          <w:color w:val="auto"/>
          <w:spacing w:val="17"/>
          <w:sz w:val="32"/>
          <w:szCs w:val="32"/>
          <w:rFonts w:eastAsia="仿宋_GB2312"/>
        </w:rPr>
        <w:t>绩效评价标准通常包括计划标准、行业标准、历史标准等，用于对绩效指标完成情况进行比较。本次评价主要采用了计划标准和行业标准。</w:t>
      </w:r>
    </w:p>
    <w:p>
      <w:pPr>
        <w:spacing w:line="560" w:lineRule="exact"/>
        <w:ind w:firstLine="640"/>
        <w:rPr>
          <w:color w:val="auto"/>
          <w:sz w:val="32"/>
          <w:szCs w:val="32"/>
          <w:rFonts w:eastAsia="方正仿宋_GBK" w:cs="方正仿宋_GBK"/>
        </w:rPr>
      </w:pPr>
      <w:bookmarkStart w:id="1" w:name="_Toc31464"/>
      <w:bookmarkStart w:id="2" w:name="_Toc17882"/>
      <w:bookmarkEnd w:id="1"/>
      <w:bookmarkEnd w:id="2"/>
      <w:r>
        <w:rPr>
          <w:b w:val="1"/>
          <w:color w:val="auto"/>
          <w:sz w:val="32"/>
          <w:bCs/>
          <w:szCs w:val="32"/>
          <w:rFonts w:eastAsia="方正仿宋_GBK" w:cs="方正仿宋_GBK" w:hint="eastAsia"/>
        </w:rPr>
        <w:t>计划标准：</w:t>
      </w:r>
      <w:r>
        <w:rPr>
          <w:color w:val="auto"/>
          <w:sz w:val="32"/>
          <w:szCs w:val="32"/>
          <w:rFonts w:eastAsia="方正仿宋_GBK" w:cs="方正仿宋_GBK" w:hint="eastAsia"/>
        </w:rPr>
        <w:t>指以预先制定的目标、计划、预算、定额等作为评价标准。</w:t>
      </w:r>
    </w:p>
    <w:p>
      <w:pPr>
        <w:spacing w:line="560" w:lineRule="exact"/>
        <w:ind w:firstLine="640"/>
        <w:rPr>
          <w:color w:val="auto"/>
        </w:rPr>
      </w:pPr>
      <w:bookmarkStart w:id="3" w:name="_Toc2318"/>
      <w:bookmarkStart w:id="4" w:name="_Toc5633"/>
      <w:bookmarkEnd w:id="3"/>
      <w:bookmarkEnd w:id="4"/>
      <w:r>
        <w:rPr>
          <w:b w:val="1"/>
          <w:color w:val="auto"/>
          <w:sz w:val="32"/>
          <w:bCs/>
          <w:szCs w:val="32"/>
          <w:rFonts w:eastAsia="方正仿宋_GBK" w:cs="方正仿宋_GBK" w:hint="eastAsia"/>
        </w:rPr>
        <w:t>行业标准：</w:t>
      </w:r>
      <w:r>
        <w:rPr>
          <w:color w:val="auto"/>
          <w:sz w:val="32"/>
          <w:szCs w:val="32"/>
          <w:rFonts w:eastAsia="方正仿宋_GBK" w:cs="方正仿宋_GBK" w:hint="eastAsia"/>
        </w:rPr>
        <w:t>指参照国家公布的行业指标数据制定的评价标准。</w:t>
      </w:r>
    </w:p>
    <w:p>
      <w:pPr>
        <w:pStyle w:val="19"/>
        <w:pageBreakBefore w:val="0"/>
        <w:wordWrap w:val="1"/>
        <w:overflowPunct w:val="1"/>
        <w:topLinePunct w:val="0"/>
        <w:kinsoku w:val="1"/>
        <w:bidi w:val="0"/>
        <w:snapToGrid w:val="1"/>
        <w:jc w:val="both"/>
        <w:numPr>
          <w:ilvl w:val="0"/>
          <w:numId w:val="4"/>
        </w:numPr>
        <w:spacing w:after="0" w:before="0" w:line="560" w:lineRule="exact"/>
        <w:ind w:firstLine="711" w:firstLineChars="200"/>
        <w:rPr>
          <w:color w:val="auto"/>
          <w:spacing w:val="17"/>
          <w:rFonts w:ascii="楷体" w:hAnsi="楷体" w:eastAsia="楷体" w:cs="楷体"/>
        </w:rPr>
      </w:pPr>
      <w:r>
        <w:rPr>
          <w:color w:val="auto"/>
          <w:spacing w:val="17"/>
          <w:rFonts w:ascii="楷体" w:hAnsi="楷体" w:eastAsia="楷体" w:cs="楷体" w:hint="eastAsia"/>
        </w:rPr>
        <w:t>绩效评价工作过程</w:t>
      </w:r>
    </w:p>
    <w:p>
      <w:pPr>
        <w:pageBreakBefore w:val="0"/>
        <w:wordWrap w:val="1"/>
        <w:overflowPunct w:val="1"/>
        <w:topLinePunct w:val="0"/>
        <w:kinsoku w:val="1"/>
        <w:bidi w:val="0"/>
        <w:snapToGrid w:val="1"/>
        <w:numPr>
          <w:ilvl w:val="0"/>
          <w:numId w:val="5"/>
        </w:numPr>
        <w:spacing w:line="560" w:lineRule="exact"/>
        <w:ind w:firstLine="640" w:firstLineChars="200"/>
        <w:rPr>
          <w:color w:val="auto"/>
          <w:sz w:val="32"/>
          <w:bCs/>
          <w:szCs w:val="32"/>
          <w:rFonts w:eastAsia="仿宋_GB2312"/>
        </w:rPr>
      </w:pPr>
      <w:r>
        <w:rPr>
          <w:color w:val="auto"/>
          <w:sz w:val="32"/>
          <w:bCs/>
          <w:szCs w:val="32"/>
          <w:rFonts w:eastAsia="仿宋_GB2312" w:hint="eastAsia"/>
        </w:rPr>
        <w:t>前期准备。首先成立评价工作组，开展前期调研；其次明确项目绩效目标，设计绩效评价指标体系并确定绩效评价方法；接着确定现场和非现场评价范围，设计资料清单；最后制定评价实施方案并进行论证。</w:t>
      </w:r>
    </w:p>
    <w:p>
      <w:pPr>
        <w:pageBreakBefore w:val="0"/>
        <w:wordWrap w:val="1"/>
        <w:overflowPunct w:val="1"/>
        <w:topLinePunct w:val="0"/>
        <w:kinsoku w:val="1"/>
        <w:bidi w:val="0"/>
        <w:snapToGrid w:val="1"/>
        <w:numPr>
          <w:ilvl w:val="0"/>
          <w:numId w:val="5"/>
        </w:numPr>
        <w:spacing w:line="560" w:lineRule="exact"/>
        <w:ind w:firstLine="640" w:firstLineChars="200"/>
        <w:rPr>
          <w:color w:val="auto"/>
          <w:sz w:val="32"/>
          <w:bCs/>
          <w:szCs w:val="32"/>
          <w:rFonts w:eastAsia="仿宋_GB2312"/>
        </w:rPr>
      </w:pPr>
      <w:r>
        <w:rPr>
          <w:color w:val="auto"/>
          <w:sz w:val="32"/>
          <w:bCs/>
          <w:szCs w:val="32"/>
          <w:rFonts w:eastAsia="仿宋_GB2312" w:hint="eastAsia"/>
        </w:rPr>
        <w:t>组织实施。制定绩效评价工作方案，具体包括项目概况、评价思路、方法手段、组织实施、进度安排等。收集项目立项依据、相关会议纪要、实施方案、财政资金分配方案、支付管理情况等相关评价资料并进行梳理。</w:t>
      </w:r>
    </w:p>
    <w:p>
      <w:pPr>
        <w:pageBreakBefore w:val="0"/>
        <w:wordWrap w:val="1"/>
        <w:overflowPunct w:val="1"/>
        <w:topLinePunct w:val="0"/>
        <w:kinsoku w:val="1"/>
        <w:bidi w:val="0"/>
        <w:snapToGrid w:val="1"/>
        <w:numPr>
          <w:ilvl w:val="0"/>
          <w:numId w:val="5"/>
        </w:numPr>
        <w:spacing w:line="560" w:lineRule="exact"/>
        <w:ind w:firstLine="640" w:firstLineChars="200"/>
        <w:rPr>
          <w:color w:val="auto"/>
          <w:sz w:val="32"/>
          <w:szCs w:val="32"/>
        </w:rPr>
      </w:pPr>
      <w:r>
        <w:rPr>
          <w:color w:val="auto"/>
          <w:sz w:val="32"/>
          <w:bCs/>
          <w:szCs w:val="32"/>
          <w:rFonts w:eastAsia="仿宋_GB2312" w:hint="eastAsia"/>
        </w:rPr>
        <w:t>分析评价。根据收集梳理的资料围绕项目立项、资金落实、业务管理、财务管理、项目产出、项目效益等内容，对照已确定的绩效评价指标进行详细全面的分析评价，逐项打分并形成绩效评价最终结果。</w:t>
      </w:r>
    </w:p>
    <w:p>
      <w:pPr>
        <w:pageBreakBefore w:val="0"/>
        <w:wordWrap w:val="1"/>
        <w:overflowPunct w:val="1"/>
        <w:topLinePunct w:val="0"/>
        <w:kinsoku w:val="1"/>
        <w:bidi w:val="0"/>
        <w:snapToGrid w:val="1"/>
        <w:numPr>
          <w:ilvl w:val="0"/>
          <w:numId w:val="6"/>
        </w:numPr>
        <w:spacing w:line="560" w:lineRule="exact"/>
        <w:ind w:firstLine="640" w:firstLineChars="200"/>
        <w:rPr>
          <w:color w:val="auto"/>
          <w:sz w:val="32"/>
          <w:szCs w:val="32"/>
          <w:rFonts w:eastAsia="黑体"/>
        </w:rPr>
      </w:pPr>
      <w:r>
        <w:rPr>
          <w:color w:val="auto"/>
          <w:sz w:val="32"/>
          <w:szCs w:val="32"/>
          <w:rFonts w:eastAsia="黑体"/>
        </w:rPr>
        <w:t>综合评价情况及评价结论（附相关评分表）</w:t>
      </w:r>
    </w:p>
    <w:p>
      <w:pPr>
        <w:pStyle w:val="19"/>
        <w:widowControl w:val="0"/>
        <w:pageBreakBefore w:val="0"/>
        <w:wordWrap w:val="1"/>
        <w:overflowPunct w:val="1"/>
        <w:topLinePunct w:val="0"/>
        <w:kinsoku w:val="1"/>
        <w:bidi w:val="0"/>
        <w:snapToGrid w:val="1"/>
        <w:jc w:val="both"/>
        <w:outlineLvl w:val="9"/>
        <w:spacing w:after="0" w:before="0" w:line="560" w:lineRule="exact"/>
        <w:ind w:firstLine="640" w:firstLineChars="200"/>
        <w:rPr>
          <w:color w:val="auto"/>
          <w:sz w:val="30"/>
          <w:szCs w:val="30"/>
          <w:rFonts w:ascii="Times New Roman" w:hAnsi="Times New Roman" w:eastAsia="仿宋_GB2312"/>
        </w:rPr>
      </w:pPr>
      <w:r>
        <w:rPr>
          <w:b w:val="0"/>
          <w:color w:val="auto"/>
          <w:bCs w:val="0"/>
          <w:rFonts w:ascii="Times New Roman" w:hAnsi="Times New Roman" w:eastAsia="仿宋_GB2312"/>
        </w:rPr>
        <w:t>对</w:t>
      </w:r>
      <w:r>
        <w:rPr>
          <w:b w:val="0"/>
          <w:color w:val="auto"/>
          <w:lang w:eastAsia="zh-CN"/>
          <w:bCs w:val="0"/>
          <w:rFonts w:ascii="Times New Roman" w:hAnsi="Times New Roman" w:eastAsia="仿宋_GB2312" w:hint="eastAsia"/>
        </w:rPr>
        <w:t>自治区畜牧业生产发展</w:t>
      </w:r>
      <w:r>
        <w:rPr>
          <w:b w:val="0"/>
          <w:color w:val="auto"/>
          <w:bCs w:val="0"/>
          <w:rFonts w:ascii="Times New Roman" w:hAnsi="Times New Roman" w:eastAsia="仿宋_GB2312"/>
        </w:rPr>
        <w:t>项目进行客观评价，最终评分结果：总得分为</w:t>
      </w:r>
      <w:r>
        <w:rPr>
          <w:b w:val="0"/>
          <w:color w:val="auto"/>
          <w:lang w:val="en-US" w:eastAsia="zh-CN"/>
          <w:bCs w:val="0"/>
          <w:rFonts w:ascii="Times New Roman" w:hAnsi="Times New Roman" w:eastAsia="仿宋_GB2312" w:hint="eastAsia"/>
        </w:rPr>
        <w:t>9</w:t>
      </w:r>
      <w:r>
        <w:rPr>
          <w:b w:val="0"/>
          <w:color w:val="auto"/>
          <w:lang w:eastAsia="zh-CN"/>
          <w:bCs w:val="0"/>
          <w:rFonts w:ascii="Times New Roman" w:hAnsi="Times New Roman" w:eastAsia="仿宋_GB2312" w:hint="default"/>
        </w:rPr>
        <w:t>9.82</w:t>
      </w:r>
      <w:r>
        <w:rPr>
          <w:b w:val="0"/>
          <w:color w:val="auto"/>
          <w:bCs w:val="0"/>
          <w:rFonts w:ascii="Times New Roman" w:hAnsi="Times New Roman" w:eastAsia="仿宋_GB2312"/>
        </w:rPr>
        <w:t>分，属于“优”。其中，项目决策类指标权重为</w:t>
      </w:r>
      <w:r>
        <w:rPr>
          <w:b w:val="0"/>
          <w:color w:val="auto"/>
          <w:bCs w:val="0"/>
          <w:rFonts w:ascii="Times New Roman" w:hAnsi="Times New Roman" w:eastAsia="仿宋_GB2312" w:hint="eastAsia"/>
        </w:rPr>
        <w:t>20</w:t>
      </w:r>
      <w:r>
        <w:rPr>
          <w:b w:val="0"/>
          <w:color w:val="auto"/>
          <w:bCs w:val="0"/>
          <w:rFonts w:ascii="Times New Roman" w:hAnsi="Times New Roman" w:eastAsia="仿宋_GB2312"/>
        </w:rPr>
        <w:t>分，得分为</w:t>
      </w:r>
      <w:r>
        <w:rPr>
          <w:b w:val="0"/>
          <w:color w:val="auto"/>
          <w:lang w:val="en-US" w:eastAsia="zh-CN"/>
          <w:bCs w:val="0"/>
          <w:rFonts w:ascii="Times New Roman" w:hAnsi="Times New Roman" w:eastAsia="仿宋_GB2312" w:hint="eastAsia"/>
        </w:rPr>
        <w:t>20</w:t>
      </w:r>
      <w:r>
        <w:rPr>
          <w:b w:val="0"/>
          <w:color w:val="auto"/>
          <w:bCs w:val="0"/>
          <w:rFonts w:ascii="Times New Roman" w:hAnsi="Times New Roman" w:eastAsia="仿宋_GB2312"/>
        </w:rPr>
        <w:t>分，得分率为</w:t>
      </w:r>
      <w:r>
        <w:rPr>
          <w:b w:val="0"/>
          <w:color w:val="auto"/>
          <w:lang w:val="en-US" w:eastAsia="zh-CN"/>
          <w:bCs w:val="0"/>
          <w:rFonts w:ascii="Times New Roman" w:hAnsi="Times New Roman" w:eastAsia="仿宋_GB2312" w:hint="eastAsia"/>
        </w:rPr>
        <w:t>100</w:t>
      </w:r>
      <w:r>
        <w:rPr>
          <w:b w:val="0"/>
          <w:color w:val="auto"/>
          <w:bCs w:val="0"/>
          <w:rFonts w:ascii="Times New Roman" w:hAnsi="Times New Roman" w:eastAsia="仿宋_GB2312"/>
        </w:rPr>
        <w:t>%。项目过程类指标权重为</w:t>
      </w:r>
      <w:r>
        <w:rPr>
          <w:b w:val="0"/>
          <w:color w:val="auto"/>
          <w:bCs w:val="0"/>
          <w:rFonts w:ascii="Times New Roman" w:hAnsi="Times New Roman" w:eastAsia="仿宋_GB2312" w:hint="eastAsia"/>
        </w:rPr>
        <w:t>20</w:t>
      </w:r>
      <w:r>
        <w:rPr>
          <w:b w:val="0"/>
          <w:color w:val="auto"/>
          <w:bCs w:val="0"/>
          <w:rFonts w:ascii="Times New Roman" w:hAnsi="Times New Roman" w:eastAsia="仿宋_GB2312"/>
        </w:rPr>
        <w:t>分，得分为</w:t>
      </w:r>
      <w:r>
        <w:rPr>
          <w:b w:val="0"/>
          <w:color w:val="auto"/>
          <w:lang w:val="en-US" w:eastAsia="zh-CN"/>
          <w:bCs w:val="0"/>
          <w:rFonts w:ascii="Times New Roman" w:hAnsi="Times New Roman" w:eastAsia="仿宋_GB2312" w:hint="eastAsia"/>
        </w:rPr>
        <w:t>19.</w:t>
      </w:r>
      <w:r>
        <w:rPr>
          <w:b w:val="0"/>
          <w:color w:val="auto"/>
          <w:lang w:eastAsia="zh-CN"/>
          <w:bCs w:val="0"/>
          <w:rFonts w:ascii="Times New Roman" w:hAnsi="Times New Roman" w:eastAsia="仿宋_GB2312" w:hint="default"/>
        </w:rPr>
        <w:t>8</w:t>
      </w:r>
      <w:r>
        <w:rPr>
          <w:b w:val="0"/>
          <w:color w:val="auto"/>
          <w:lang w:val="en-US" w:eastAsia="zh-CN"/>
          <w:bCs w:val="0"/>
          <w:rFonts w:ascii="Times New Roman" w:hAnsi="Times New Roman" w:eastAsia="仿宋_GB2312" w:hint="eastAsia"/>
        </w:rPr>
        <w:t>5</w:t>
      </w:r>
      <w:r>
        <w:rPr>
          <w:b w:val="0"/>
          <w:color w:val="auto"/>
          <w:bCs w:val="0"/>
          <w:rFonts w:ascii="Times New Roman" w:hAnsi="Times New Roman" w:eastAsia="仿宋_GB2312"/>
        </w:rPr>
        <w:t>分，得分率为</w:t>
      </w:r>
      <w:r>
        <w:rPr>
          <w:b w:val="0"/>
          <w:color w:val="auto"/>
          <w:lang w:val="en-US" w:eastAsia="zh-CN"/>
          <w:bCs w:val="0"/>
          <w:rFonts w:ascii="Times New Roman" w:hAnsi="Times New Roman" w:eastAsia="仿宋_GB2312" w:hint="eastAsia"/>
        </w:rPr>
        <w:t>9</w:t>
      </w:r>
      <w:r>
        <w:rPr>
          <w:b w:val="0"/>
          <w:color w:val="auto"/>
          <w:lang w:eastAsia="zh-CN"/>
          <w:bCs w:val="0"/>
          <w:rFonts w:ascii="Times New Roman" w:hAnsi="Times New Roman" w:eastAsia="仿宋_GB2312" w:hint="default"/>
        </w:rPr>
        <w:t>9</w:t>
      </w:r>
      <w:r>
        <w:rPr>
          <w:b w:val="0"/>
          <w:color w:val="auto"/>
          <w:lang w:val="en-US" w:eastAsia="zh-CN"/>
          <w:bCs w:val="0"/>
          <w:rFonts w:ascii="Times New Roman" w:hAnsi="Times New Roman" w:eastAsia="仿宋_GB2312" w:hint="eastAsia"/>
        </w:rPr>
        <w:t>.25</w:t>
      </w:r>
      <w:r>
        <w:rPr>
          <w:b w:val="0"/>
          <w:color w:val="auto"/>
          <w:bCs w:val="0"/>
          <w:rFonts w:ascii="Times New Roman" w:hAnsi="Times New Roman" w:eastAsia="仿宋_GB2312"/>
        </w:rPr>
        <w:t>%。项目产出类指标权重为</w:t>
      </w:r>
      <w:r>
        <w:rPr>
          <w:b w:val="0"/>
          <w:color w:val="auto"/>
          <w:bCs w:val="0"/>
          <w:rFonts w:ascii="Times New Roman" w:hAnsi="Times New Roman" w:eastAsia="仿宋_GB2312" w:hint="eastAsia"/>
        </w:rPr>
        <w:t>40</w:t>
      </w:r>
      <w:r>
        <w:rPr>
          <w:b w:val="0"/>
          <w:color w:val="auto"/>
          <w:bCs w:val="0"/>
          <w:rFonts w:ascii="Times New Roman" w:hAnsi="Times New Roman" w:eastAsia="仿宋_GB2312"/>
        </w:rPr>
        <w:t>分，得分为</w:t>
      </w:r>
      <w:r>
        <w:rPr>
          <w:b w:val="0"/>
          <w:color w:val="auto"/>
          <w:lang w:val="en-US" w:eastAsia="zh-CN"/>
          <w:bCs w:val="0"/>
          <w:rFonts w:ascii="Times New Roman" w:hAnsi="Times New Roman" w:eastAsia="仿宋_GB2312" w:hint="eastAsia"/>
        </w:rPr>
        <w:t>39.</w:t>
      </w:r>
      <w:r>
        <w:rPr>
          <w:b w:val="0"/>
          <w:color w:val="auto"/>
          <w:lang w:eastAsia="zh-CN"/>
          <w:bCs w:val="0"/>
          <w:rFonts w:ascii="Times New Roman" w:hAnsi="Times New Roman" w:eastAsia="仿宋_GB2312" w:hint="default"/>
        </w:rPr>
        <w:t>97</w:t>
      </w:r>
      <w:r>
        <w:rPr>
          <w:b w:val="0"/>
          <w:color w:val="auto"/>
          <w:bCs w:val="0"/>
          <w:rFonts w:ascii="Times New Roman" w:hAnsi="Times New Roman" w:eastAsia="仿宋_GB2312"/>
        </w:rPr>
        <w:t>分，得分率为</w:t>
      </w:r>
      <w:r>
        <w:rPr>
          <w:b w:val="0"/>
          <w:color w:val="auto"/>
          <w:lang w:val="en-US" w:eastAsia="zh-CN"/>
          <w:bCs w:val="0"/>
          <w:rFonts w:ascii="Times New Roman" w:hAnsi="Times New Roman" w:eastAsia="仿宋_GB2312" w:hint="eastAsia"/>
        </w:rPr>
        <w:t>9</w:t>
      </w:r>
      <w:r>
        <w:rPr>
          <w:b w:val="0"/>
          <w:color w:val="auto"/>
          <w:lang w:eastAsia="zh-CN"/>
          <w:bCs w:val="0"/>
          <w:rFonts w:ascii="Times New Roman" w:hAnsi="Times New Roman" w:eastAsia="仿宋_GB2312" w:hint="default"/>
        </w:rPr>
        <w:t>9</w:t>
      </w:r>
      <w:r>
        <w:rPr>
          <w:b w:val="0"/>
          <w:color w:val="auto"/>
          <w:lang w:val="en-US" w:eastAsia="zh-CN"/>
          <w:bCs w:val="0"/>
          <w:rFonts w:ascii="Times New Roman" w:hAnsi="Times New Roman" w:eastAsia="仿宋_GB2312" w:hint="eastAsia"/>
        </w:rPr>
        <w:t>.</w:t>
      </w:r>
      <w:r>
        <w:rPr>
          <w:b w:val="0"/>
          <w:color w:val="auto"/>
          <w:lang w:eastAsia="zh-CN"/>
          <w:bCs w:val="0"/>
          <w:rFonts w:ascii="Times New Roman" w:hAnsi="Times New Roman" w:eastAsia="仿宋_GB2312" w:hint="default"/>
        </w:rPr>
        <w:t>93</w:t>
      </w:r>
      <w:r>
        <w:rPr>
          <w:b w:val="0"/>
          <w:color w:val="auto"/>
          <w:bCs w:val="0"/>
          <w:rFonts w:ascii="Times New Roman" w:hAnsi="Times New Roman" w:eastAsia="仿宋_GB2312"/>
        </w:rPr>
        <w:t>%。项目效益类指标权重为</w:t>
      </w:r>
      <w:r>
        <w:rPr>
          <w:b w:val="0"/>
          <w:color w:val="auto"/>
          <w:bCs w:val="0"/>
          <w:rFonts w:ascii="Times New Roman" w:hAnsi="Times New Roman" w:eastAsia="仿宋_GB2312" w:hint="eastAsia"/>
        </w:rPr>
        <w:t>20</w:t>
      </w:r>
      <w:r>
        <w:rPr>
          <w:b w:val="0"/>
          <w:color w:val="auto"/>
          <w:bCs w:val="0"/>
          <w:rFonts w:ascii="Times New Roman" w:hAnsi="Times New Roman" w:eastAsia="仿宋_GB2312"/>
        </w:rPr>
        <w:t>分，得分为</w:t>
      </w:r>
      <w:r>
        <w:rPr>
          <w:b w:val="0"/>
          <w:color w:val="auto"/>
          <w:lang w:val="en-US" w:eastAsia="zh-CN"/>
          <w:bCs w:val="0"/>
          <w:rFonts w:ascii="Times New Roman" w:hAnsi="Times New Roman" w:eastAsia="仿宋_GB2312" w:hint="eastAsia"/>
        </w:rPr>
        <w:t>20</w:t>
      </w:r>
      <w:r>
        <w:rPr>
          <w:b w:val="0"/>
          <w:color w:val="auto"/>
          <w:bCs w:val="0"/>
          <w:rFonts w:ascii="Times New Roman" w:hAnsi="Times New Roman" w:eastAsia="仿宋_GB2312"/>
        </w:rPr>
        <w:t>分，得分率为</w:t>
      </w:r>
      <w:r>
        <w:rPr>
          <w:b w:val="0"/>
          <w:color w:val="auto"/>
          <w:lang w:val="en-US" w:eastAsia="zh-CN"/>
          <w:bCs w:val="0"/>
          <w:rFonts w:ascii="Times New Roman" w:hAnsi="Times New Roman" w:eastAsia="仿宋_GB2312" w:hint="eastAsia"/>
        </w:rPr>
        <w:t>100</w:t>
      </w:r>
      <w:r>
        <w:rPr>
          <w:b w:val="0"/>
          <w:color w:val="auto"/>
          <w:bCs w:val="0"/>
          <w:rFonts w:ascii="Times New Roman" w:hAnsi="Times New Roman" w:eastAsia="仿宋_GB2312"/>
        </w:rPr>
        <w:t>%。</w:t>
      </w:r>
    </w:p>
    <w:p>
      <w:pPr>
        <w:pStyle w:val="19"/>
        <w:pageBreakBefore w:val="0"/>
        <w:wordWrap w:val="1"/>
        <w:overflowPunct w:val="1"/>
        <w:topLinePunct w:val="0"/>
        <w:kinsoku w:val="1"/>
        <w:bidi w:val="0"/>
        <w:snapToGrid w:val="1"/>
        <w:spacing w:line="560" w:lineRule="exact"/>
        <w:rPr>
          <w:color w:val="auto"/>
          <w:sz w:val="30"/>
          <w:szCs w:val="30"/>
          <w:rFonts w:ascii="Times New Roman" w:hAnsi="Times New Roman" w:eastAsia="仿宋_GB2312"/>
        </w:rPr>
      </w:pPr>
      <w:r>
        <w:rPr>
          <w:color w:val="auto"/>
          <w:sz w:val="30"/>
          <w:szCs w:val="30"/>
          <w:rFonts w:ascii="Times New Roman" w:hAnsi="Times New Roman" w:eastAsia="仿宋_GB2312"/>
        </w:rPr>
        <w:t>表1综合评分表</w:t>
      </w:r>
    </w:p>
    <w:p>
      <w:pPr>
        <w:pageBreakBefore w:val="0"/>
        <w:wordWrap w:val="1"/>
        <w:overflowPunct w:val="1"/>
        <w:topLinePunct w:val="0"/>
        <w:kinsoku w:val="1"/>
        <w:bidi w:val="0"/>
        <w:snapToGrid w:val="1"/>
        <w:spacing w:line="560" w:lineRule="exact"/>
        <w:rPr>
          <w:color w:val="auto"/>
        </w:rPr>
      </w:pPr>
    </w:p>
    <w:p>
      <w:pPr>
        <w:pageBreakBefore w:val="0"/>
        <w:wordWrap w:val="1"/>
        <w:overflowPunct w:val="1"/>
        <w:topLinePunct w:val="0"/>
        <w:kinsoku w:val="1"/>
        <w:bidi w:val="0"/>
        <w:snapToGrid w:val="1"/>
        <w:spacing w:line="560" w:lineRule="exact"/>
        <w:rPr>
          <w:color w:val="auto"/>
        </w:rPr>
      </w:pPr>
    </w:p>
    <w:tbl>
      <w:tblPr>
        <w:tblStyle w:val="22"/>
        <w:tblOverlap w:val="never"/>
        <w:tblW w:w="9954" w:type="dxa"/>
        <w:tblInd w:type="dxa" w:w="0.000000"/>
        <w:tblLayout w:type="fixed"/>
        <w:tblpPr w:leftFromText="180" w:rightFromText="180" w:vertAnchor="text" w:horzAnchor="page" w:tblpX="1016"/>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type="dxa" w:w="0.000000"/>
          <w:bottom w:type="dxa" w:w="0.000000"/>
          <w:left w:type="dxa" w:w="108.000000"/>
          <w:right w:type="dxa" w:w="108.000000"/>
        </w:tblCellMar>
      </w:tblPr>
      <w:tblGrid>
        <w:gridCol w:w="1104.000000"/>
        <w:gridCol w:w="990.000000"/>
        <w:gridCol w:w="1283.000000"/>
        <w:gridCol w:w="1707.000000"/>
        <w:gridCol w:w="727.000000"/>
        <w:gridCol w:w="1044.000000"/>
        <w:gridCol w:w="924.000000"/>
        <w:gridCol w:w="1215.000000"/>
        <w:gridCol w:w="960.000000"/>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type="dxa" w:w="0.000000"/>
            <w:bottom w:type="dxa" w:w="0.000000"/>
            <w:left w:type="dxa" w:w="108.000000"/>
            <w:right w:type="dxa" w:w="108.000000"/>
          </w:tblCellMar>
          <w:tblLayout w:type="fixed"/>
        </w:tblPrEx>
        <w:trPr>
          <w:trHeight w:val="380" w:hRule="atLeast"/>
          <w:tblHeader/>
        </w:trPr>
        <w:tc>
          <w:tcPr>
            <w:tcW w:w="1104" w:type="dxa"/>
            <w:vAlign w:val="center"/>
            <w:shd w:val="clear" w:color="auto" w:fill="BFBFBF"/>
          </w:tcPr>
          <w:p>
            <w:pPr>
              <w:widowControl w:val="1"/>
              <w:keepNext w:val="0"/>
              <w:keepLines w:val="0"/>
              <w:pageBreakBefore w:val="0"/>
              <w:wordWrap w:val="1"/>
              <w:overflowPunct w:val="1"/>
              <w:topLinePunct w:val="0"/>
              <w:kinsoku w:val="1"/>
              <w:autoSpaceDE w:val="1"/>
              <w:autoSpaceDN w:val="1"/>
              <w:bidi w:val="0"/>
              <w:adjustRightInd w:val="1"/>
              <w:snapToGrid w:val="1"/>
              <w:spacing w:line="240" w:lineRule="auto"/>
              <w:rPr>
                <w:b w:val="1"/>
                <w:color w:val="auto"/>
                <w:sz w:val="22"/>
                <w:bCs/>
                <w:kern w:val="0"/>
                <w:szCs w:val="22"/>
              </w:rPr>
            </w:pPr>
            <w:r>
              <w:rPr>
                <w:b w:val="1"/>
                <w:color w:val="auto"/>
                <w:sz w:val="22"/>
                <w:bCs/>
                <w:kern w:val="0"/>
                <w:szCs w:val="22"/>
              </w:rPr>
              <w:t>一级指标</w:t>
            </w:r>
          </w:p>
        </w:tc>
        <w:tc>
          <w:tcPr>
            <w:tcW w:w="990" w:type="dxa"/>
            <w:vAlign w:val="center"/>
            <w:shd w:val="clear" w:color="auto" w:fill="BFBFBF"/>
          </w:tcPr>
          <w:p>
            <w:pPr>
              <w:widowControl w:val="1"/>
              <w:keepNext w:val="0"/>
              <w:keepLines w:val="0"/>
              <w:pageBreakBefore w:val="0"/>
              <w:wordWrap w:val="1"/>
              <w:overflowPunct w:val="1"/>
              <w:topLinePunct w:val="0"/>
              <w:kinsoku w:val="1"/>
              <w:autoSpaceDE w:val="1"/>
              <w:autoSpaceDN w:val="1"/>
              <w:bidi w:val="0"/>
              <w:adjustRightInd w:val="1"/>
              <w:snapToGrid w:val="1"/>
              <w:jc w:val="center"/>
              <w:spacing w:line="240" w:lineRule="auto"/>
              <w:rPr>
                <w:b w:val="1"/>
                <w:color w:val="auto"/>
                <w:sz w:val="22"/>
                <w:bCs/>
                <w:kern w:val="0"/>
                <w:szCs w:val="22"/>
              </w:rPr>
            </w:pPr>
            <w:r>
              <w:rPr>
                <w:b w:val="1"/>
                <w:color w:val="auto"/>
                <w:sz w:val="22"/>
                <w:bCs/>
                <w:kern w:val="0"/>
                <w:szCs w:val="22"/>
              </w:rPr>
              <w:t>分值</w:t>
            </w:r>
          </w:p>
        </w:tc>
        <w:tc>
          <w:tcPr>
            <w:tcW w:w="1283" w:type="dxa"/>
            <w:vAlign w:val="center"/>
            <w:shd w:val="clear" w:color="auto" w:fill="BFBFBF"/>
          </w:tcPr>
          <w:p>
            <w:pPr>
              <w:widowControl w:val="1"/>
              <w:keepNext w:val="0"/>
              <w:keepLines w:val="0"/>
              <w:pageBreakBefore w:val="0"/>
              <w:wordWrap w:val="1"/>
              <w:overflowPunct w:val="1"/>
              <w:topLinePunct w:val="0"/>
              <w:kinsoku w:val="1"/>
              <w:autoSpaceDE w:val="1"/>
              <w:autoSpaceDN w:val="1"/>
              <w:bidi w:val="0"/>
              <w:adjustRightInd w:val="1"/>
              <w:snapToGrid w:val="1"/>
              <w:jc w:val="center"/>
              <w:spacing w:line="240" w:lineRule="auto"/>
              <w:rPr>
                <w:b w:val="1"/>
                <w:color w:val="auto"/>
                <w:sz w:val="22"/>
                <w:bCs/>
                <w:kern w:val="0"/>
                <w:szCs w:val="22"/>
              </w:rPr>
            </w:pPr>
            <w:r>
              <w:rPr>
                <w:b w:val="1"/>
                <w:color w:val="auto"/>
                <w:sz w:val="22"/>
                <w:bCs/>
                <w:kern w:val="0"/>
                <w:szCs w:val="22"/>
              </w:rPr>
              <w:t>二级指标</w:t>
            </w:r>
          </w:p>
        </w:tc>
        <w:tc>
          <w:tcPr>
            <w:tcW w:w="1707" w:type="dxa"/>
            <w:vAlign w:val="center"/>
            <w:shd w:val="clear" w:color="auto" w:fill="BFBFBF"/>
          </w:tcPr>
          <w:p>
            <w:pPr>
              <w:widowControl w:val="1"/>
              <w:keepNext w:val="0"/>
              <w:keepLines w:val="0"/>
              <w:pageBreakBefore w:val="0"/>
              <w:wordWrap w:val="1"/>
              <w:overflowPunct w:val="1"/>
              <w:topLinePunct w:val="0"/>
              <w:kinsoku w:val="1"/>
              <w:autoSpaceDE w:val="1"/>
              <w:autoSpaceDN w:val="1"/>
              <w:bidi w:val="0"/>
              <w:adjustRightInd w:val="1"/>
              <w:snapToGrid w:val="1"/>
              <w:jc w:val="center"/>
              <w:spacing w:line="240" w:lineRule="auto"/>
              <w:rPr>
                <w:b w:val="1"/>
                <w:color w:val="auto"/>
                <w:sz w:val="22"/>
                <w:bCs/>
                <w:kern w:val="0"/>
                <w:szCs w:val="22"/>
              </w:rPr>
            </w:pPr>
            <w:r>
              <w:rPr>
                <w:b w:val="1"/>
                <w:color w:val="auto"/>
                <w:sz w:val="22"/>
                <w:bCs/>
                <w:kern w:val="0"/>
                <w:szCs w:val="22"/>
              </w:rPr>
              <w:t>三级指标</w:t>
            </w:r>
          </w:p>
        </w:tc>
        <w:tc>
          <w:tcPr>
            <w:tcW w:w="727" w:type="dxa"/>
            <w:vAlign w:val="center"/>
            <w:shd w:val="clear" w:color="auto" w:fill="BFBFBF"/>
          </w:tcPr>
          <w:p>
            <w:pPr>
              <w:widowControl w:val="1"/>
              <w:keepNext w:val="0"/>
              <w:keepLines w:val="0"/>
              <w:pageBreakBefore w:val="0"/>
              <w:wordWrap w:val="1"/>
              <w:overflowPunct w:val="1"/>
              <w:topLinePunct w:val="0"/>
              <w:kinsoku w:val="1"/>
              <w:autoSpaceDE w:val="1"/>
              <w:autoSpaceDN w:val="1"/>
              <w:bidi w:val="0"/>
              <w:adjustRightInd w:val="1"/>
              <w:snapToGrid w:val="1"/>
              <w:jc w:val="center"/>
              <w:spacing w:line="240" w:lineRule="auto"/>
              <w:rPr>
                <w:b w:val="1"/>
                <w:color w:val="auto"/>
                <w:sz w:val="22"/>
                <w:bCs/>
                <w:kern w:val="0"/>
                <w:szCs w:val="22"/>
              </w:rPr>
            </w:pPr>
            <w:r>
              <w:rPr>
                <w:b w:val="1"/>
                <w:color w:val="auto"/>
                <w:sz w:val="22"/>
                <w:bCs/>
                <w:kern w:val="0"/>
                <w:szCs w:val="22"/>
              </w:rPr>
              <w:t>权重</w:t>
            </w:r>
          </w:p>
        </w:tc>
        <w:tc>
          <w:tcPr>
            <w:tcW w:w="1044" w:type="dxa"/>
            <w:vAlign w:val="center"/>
            <w:shd w:val="clear" w:color="auto" w:fill="BFBFBF"/>
          </w:tcPr>
          <w:p>
            <w:pPr>
              <w:widowControl w:val="1"/>
              <w:keepNext w:val="0"/>
              <w:keepLines w:val="0"/>
              <w:pageBreakBefore w:val="0"/>
              <w:wordWrap w:val="1"/>
              <w:overflowPunct w:val="1"/>
              <w:topLinePunct w:val="0"/>
              <w:kinsoku w:val="1"/>
              <w:autoSpaceDE w:val="1"/>
              <w:autoSpaceDN w:val="1"/>
              <w:bidi w:val="0"/>
              <w:adjustRightInd w:val="1"/>
              <w:snapToGrid w:val="1"/>
              <w:jc w:val="center"/>
              <w:tabs>
                <w:tab w:val="left" w:pos="1333"/>
                <w:tab w:val="center" w:pos="3623"/>
              </w:tabs>
              <w:spacing w:line="240" w:lineRule="auto"/>
              <w:rPr>
                <w:b w:val="1"/>
                <w:color w:val="auto"/>
                <w:sz w:val="22"/>
                <w:bCs/>
                <w:kern w:val="0"/>
                <w:szCs w:val="22"/>
              </w:rPr>
            </w:pPr>
            <w:r>
              <w:rPr>
                <w:b w:val="1"/>
                <w:color w:val="auto"/>
                <w:sz w:val="22"/>
                <w:bCs/>
                <w:kern w:val="0"/>
                <w:szCs w:val="22"/>
              </w:rPr>
              <w:t>目标值</w:t>
            </w:r>
          </w:p>
        </w:tc>
        <w:tc>
          <w:tcPr>
            <w:tcW w:w="924" w:type="dxa"/>
            <w:vAlign w:val="center"/>
            <w:shd w:val="clear" w:color="auto" w:fill="BFBFBF"/>
          </w:tcPr>
          <w:p>
            <w:pPr>
              <w:widowControl w:val="1"/>
              <w:keepNext w:val="0"/>
              <w:keepLines w:val="0"/>
              <w:pageBreakBefore w:val="0"/>
              <w:wordWrap w:val="1"/>
              <w:overflowPunct w:val="1"/>
              <w:topLinePunct w:val="0"/>
              <w:kinsoku w:val="1"/>
              <w:autoSpaceDE w:val="1"/>
              <w:autoSpaceDN w:val="1"/>
              <w:bidi w:val="0"/>
              <w:adjustRightInd w:val="1"/>
              <w:snapToGrid w:val="1"/>
              <w:jc w:val="center"/>
              <w:tabs>
                <w:tab w:val="left" w:pos="1333"/>
                <w:tab w:val="center" w:pos="3623"/>
              </w:tabs>
              <w:spacing w:line="240" w:lineRule="auto"/>
              <w:rPr>
                <w:b w:val="1"/>
                <w:color w:val="auto"/>
                <w:sz w:val="22"/>
                <w:bCs/>
                <w:kern w:val="0"/>
                <w:szCs w:val="22"/>
              </w:rPr>
            </w:pPr>
            <w:r>
              <w:rPr>
                <w:b w:val="1"/>
                <w:color w:val="auto"/>
                <w:sz w:val="22"/>
                <w:bCs/>
                <w:kern w:val="0"/>
                <w:szCs w:val="22"/>
              </w:rPr>
              <w:t>业绩值</w:t>
            </w:r>
          </w:p>
        </w:tc>
        <w:tc>
          <w:tcPr>
            <w:tcW w:w="1215" w:type="dxa"/>
            <w:vAlign w:val="center"/>
            <w:shd w:val="clear" w:color="auto" w:fill="BFBFBF"/>
          </w:tcPr>
          <w:p>
            <w:pPr>
              <w:widowControl w:val="1"/>
              <w:keepNext w:val="0"/>
              <w:keepLines w:val="0"/>
              <w:pageBreakBefore w:val="0"/>
              <w:wordWrap w:val="1"/>
              <w:overflowPunct w:val="1"/>
              <w:topLinePunct w:val="0"/>
              <w:kinsoku w:val="1"/>
              <w:autoSpaceDE w:val="1"/>
              <w:autoSpaceDN w:val="1"/>
              <w:bidi w:val="0"/>
              <w:adjustRightInd w:val="1"/>
              <w:snapToGrid w:val="1"/>
              <w:jc w:val="center"/>
              <w:tabs>
                <w:tab w:val="left" w:pos="1333"/>
                <w:tab w:val="center" w:pos="3623"/>
              </w:tabs>
              <w:spacing w:line="240" w:lineRule="auto"/>
              <w:rPr>
                <w:b w:val="1"/>
                <w:color w:val="auto"/>
                <w:sz w:val="22"/>
                <w:bCs/>
                <w:kern w:val="0"/>
                <w:szCs w:val="22"/>
              </w:rPr>
            </w:pPr>
            <w:r>
              <w:rPr>
                <w:b w:val="1"/>
                <w:color w:val="auto"/>
                <w:sz w:val="22"/>
                <w:bCs/>
                <w:kern w:val="0"/>
                <w:szCs w:val="22"/>
              </w:rPr>
              <w:t>得分率</w:t>
            </w:r>
          </w:p>
        </w:tc>
        <w:tc>
          <w:tcPr>
            <w:tcW w:w="960" w:type="dxa"/>
            <w:vAlign w:val="center"/>
            <w:shd w:val="clear" w:color="auto" w:fill="BFBFBF"/>
          </w:tcPr>
          <w:p>
            <w:pPr>
              <w:widowControl w:val="1"/>
              <w:keepNext w:val="0"/>
              <w:keepLines w:val="0"/>
              <w:pageBreakBefore w:val="0"/>
              <w:wordWrap w:val="1"/>
              <w:overflowPunct w:val="1"/>
              <w:topLinePunct w:val="0"/>
              <w:kinsoku w:val="1"/>
              <w:autoSpaceDE w:val="1"/>
              <w:autoSpaceDN w:val="1"/>
              <w:bidi w:val="0"/>
              <w:adjustRightInd w:val="1"/>
              <w:snapToGrid w:val="1"/>
              <w:jc w:val="center"/>
              <w:tabs>
                <w:tab w:val="left" w:pos="1333"/>
                <w:tab w:val="center" w:pos="3623"/>
              </w:tabs>
              <w:spacing w:line="240" w:lineRule="auto"/>
              <w:rPr>
                <w:b w:val="1"/>
                <w:color w:val="auto"/>
                <w:sz w:val="22"/>
                <w:bCs/>
                <w:kern w:val="0"/>
                <w:szCs w:val="22"/>
              </w:rPr>
            </w:pPr>
            <w:r>
              <w:rPr>
                <w:b w:val="1"/>
                <w:color w:val="auto"/>
                <w:sz w:val="22"/>
                <w:bCs/>
                <w:kern w:val="0"/>
                <w:szCs w:val="22"/>
              </w:rPr>
              <w:t>得分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type="dxa" w:w="0.000000"/>
            <w:bottom w:type="dxa" w:w="0.000000"/>
            <w:left w:type="dxa" w:w="108.000000"/>
            <w:right w:type="dxa" w:w="108.000000"/>
          </w:tblCellMar>
          <w:tblLayout w:type="fixed"/>
        </w:tblPrEx>
        <w:trPr>
          <w:trHeight w:val="567" w:hRule="atLeast"/>
        </w:trPr>
        <w:tc>
          <w:tcPr>
            <w:tcW w:w="1104" w:type="dxa"/>
            <w:vMerge w:val="restart"/>
            <w:vAlign w:val="center"/>
            <w:shd w:val="clear" w:color="auto" w:fill="FFFFFF"/>
          </w:tcPr>
          <w:p>
            <w:pPr>
              <w:widowControl w:val="1"/>
              <w:keepNext w:val="0"/>
              <w:keepLines w:val="0"/>
              <w:pageBreakBefore w:val="0"/>
              <w:wordWrap w:val="1"/>
              <w:overflowPunct w:val="1"/>
              <w:topLinePunct w:val="0"/>
              <w:kinsoku w:val="1"/>
              <w:autoSpaceDE w:val="1"/>
              <w:autoSpaceDN w:val="1"/>
              <w:bidi w:val="0"/>
              <w:adjustRightInd w:val="1"/>
              <w:snapToGrid w:val="1"/>
              <w:jc w:val="center"/>
              <w:spacing w:line="240" w:lineRule="auto"/>
              <w:rPr>
                <w:color w:val="auto"/>
                <w:sz w:val="22"/>
                <w:kern w:val="0"/>
                <w:szCs w:val="22"/>
              </w:rPr>
            </w:pPr>
            <w:r>
              <w:rPr>
                <w:color w:val="auto"/>
                <w:sz w:val="22"/>
                <w:kern w:val="0"/>
                <w:szCs w:val="22"/>
              </w:rPr>
              <w:t>决策　</w:t>
            </w:r>
          </w:p>
          <w:p>
            <w:pPr>
              <w:widowControl w:val="1"/>
              <w:keepNext w:val="0"/>
              <w:keepLines w:val="0"/>
              <w:pageBreakBefore w:val="0"/>
              <w:wordWrap w:val="1"/>
              <w:overflowPunct w:val="1"/>
              <w:topLinePunct w:val="0"/>
              <w:kinsoku w:val="1"/>
              <w:autoSpaceDE w:val="1"/>
              <w:autoSpaceDN w:val="1"/>
              <w:bidi w:val="0"/>
              <w:adjustRightInd w:val="1"/>
              <w:snapToGrid w:val="1"/>
              <w:jc w:val="center"/>
              <w:spacing w:line="240" w:lineRule="auto"/>
              <w:rPr>
                <w:color w:val="auto"/>
                <w:sz w:val="22"/>
                <w:kern w:val="0"/>
                <w:szCs w:val="22"/>
              </w:rPr>
            </w:pPr>
            <w:r>
              <w:rPr>
                <w:color w:val="auto"/>
                <w:sz w:val="22"/>
                <w:kern w:val="0"/>
                <w:szCs w:val="22"/>
              </w:rPr>
              <w:t>　</w:t>
            </w:r>
          </w:p>
          <w:p>
            <w:pPr>
              <w:keepNext w:val="0"/>
              <w:keepLines w:val="0"/>
              <w:pageBreakBefore w:val="0"/>
              <w:wordWrap w:val="1"/>
              <w:overflowPunct w:val="1"/>
              <w:topLinePunct w:val="0"/>
              <w:kinsoku w:val="1"/>
              <w:autoSpaceDE w:val="1"/>
              <w:autoSpaceDN w:val="1"/>
              <w:bidi w:val="0"/>
              <w:adjustRightInd w:val="1"/>
              <w:snapToGrid w:val="1"/>
              <w:jc w:val="center"/>
              <w:spacing w:line="240" w:lineRule="auto"/>
              <w:rPr>
                <w:color w:val="auto"/>
                <w:sz w:val="22"/>
                <w:kern w:val="0"/>
                <w:szCs w:val="22"/>
              </w:rPr>
            </w:pPr>
            <w:r>
              <w:rPr>
                <w:color w:val="auto"/>
                <w:sz w:val="22"/>
                <w:kern w:val="0"/>
                <w:szCs w:val="22"/>
              </w:rPr>
              <w:t>　</w:t>
            </w:r>
          </w:p>
          <w:p>
            <w:pPr>
              <w:widowControl w:val="1"/>
              <w:keepNext w:val="0"/>
              <w:keepLines w:val="0"/>
              <w:pageBreakBefore w:val="0"/>
              <w:wordWrap w:val="1"/>
              <w:overflowPunct w:val="1"/>
              <w:topLinePunct w:val="0"/>
              <w:kinsoku w:val="1"/>
              <w:autoSpaceDE w:val="1"/>
              <w:autoSpaceDN w:val="1"/>
              <w:bidi w:val="0"/>
              <w:adjustRightInd w:val="1"/>
              <w:snapToGrid w:val="1"/>
              <w:jc w:val="center"/>
              <w:spacing w:line="240" w:lineRule="auto"/>
              <w:rPr>
                <w:color w:val="auto"/>
                <w:sz w:val="22"/>
                <w:kern w:val="0"/>
                <w:szCs w:val="22"/>
              </w:rPr>
            </w:pPr>
            <w:r>
              <w:rPr>
                <w:color w:val="auto"/>
                <w:sz w:val="22"/>
                <w:kern w:val="0"/>
                <w:szCs w:val="22"/>
              </w:rPr>
              <w:t>　</w:t>
            </w:r>
          </w:p>
        </w:tc>
        <w:tc>
          <w:tcPr>
            <w:tcW w:w="990" w:type="dxa"/>
            <w:vMerge w:val="restart"/>
            <w:vAlign w:val="center"/>
            <w:shd w:val="clear" w:color="auto" w:fill="FFFFFF"/>
          </w:tcPr>
          <w:p>
            <w:pPr>
              <w:widowControl w:val="1"/>
              <w:keepNext w:val="0"/>
              <w:keepLines w:val="0"/>
              <w:pageBreakBefore w:val="0"/>
              <w:wordWrap w:val="1"/>
              <w:overflowPunct w:val="1"/>
              <w:topLinePunct w:val="0"/>
              <w:kinsoku w:val="1"/>
              <w:autoSpaceDE w:val="1"/>
              <w:autoSpaceDN w:val="1"/>
              <w:bidi w:val="0"/>
              <w:adjustRightInd w:val="1"/>
              <w:snapToGrid w:val="1"/>
              <w:jc w:val="center"/>
              <w:spacing w:line="240" w:lineRule="auto"/>
              <w:rPr>
                <w:color w:val="auto"/>
                <w:sz w:val="22"/>
                <w:kern w:val="0"/>
                <w:szCs w:val="22"/>
              </w:rPr>
            </w:pPr>
            <w:r>
              <w:rPr>
                <w:color w:val="auto"/>
                <w:sz w:val="22"/>
                <w:kern w:val="0"/>
                <w:szCs w:val="22"/>
                <w:rFonts w:hint="eastAsia"/>
              </w:rPr>
              <w:t>20</w:t>
            </w:r>
            <w:r>
              <w:rPr>
                <w:color w:val="auto"/>
                <w:sz w:val="22"/>
                <w:kern w:val="0"/>
                <w:szCs w:val="22"/>
              </w:rPr>
              <w:t>分</w:t>
            </w:r>
          </w:p>
        </w:tc>
        <w:tc>
          <w:tcPr>
            <w:tcW w:w="1283" w:type="dxa"/>
            <w:vMerge w:val="restart"/>
            <w:vAlign w:val="center"/>
            <w:shd w:val="clear" w:color="auto" w:fill="FFFFFF"/>
          </w:tcPr>
          <w:p>
            <w:pPr>
              <w:widowControl w:val="1"/>
              <w:keepNext w:val="0"/>
              <w:keepLines w:val="0"/>
              <w:pageBreakBefore w:val="0"/>
              <w:wordWrap w:val="1"/>
              <w:overflowPunct w:val="1"/>
              <w:topLinePunct w:val="0"/>
              <w:kinsoku w:val="1"/>
              <w:autoSpaceDE w:val="1"/>
              <w:autoSpaceDN w:val="1"/>
              <w:bidi w:val="0"/>
              <w:adjustRightInd w:val="1"/>
              <w:snapToGrid w:val="1"/>
              <w:jc w:val="center"/>
              <w:spacing w:line="240" w:lineRule="auto"/>
              <w:rPr>
                <w:color w:val="auto"/>
                <w:sz w:val="22"/>
                <w:kern w:val="0"/>
                <w:szCs w:val="22"/>
              </w:rPr>
            </w:pPr>
            <w:r>
              <w:rPr>
                <w:color w:val="auto"/>
                <w:sz w:val="22"/>
                <w:kern w:val="0"/>
                <w:szCs w:val="22"/>
              </w:rPr>
              <w:t>项目立项　</w:t>
            </w:r>
          </w:p>
        </w:tc>
        <w:tc>
          <w:tcPr>
            <w:tcW w:w="1707" w:type="dxa"/>
            <w:vAlign w:val="center"/>
            <w:shd w:val="clear" w:color="auto" w:fill="FFFFFF"/>
          </w:tcPr>
          <w:p>
            <w:pPr>
              <w:widowControl w:val="1"/>
              <w:keepNext w:val="0"/>
              <w:keepLines w:val="0"/>
              <w:pageBreakBefore w:val="0"/>
              <w:wordWrap w:val="1"/>
              <w:overflowPunct w:val="1"/>
              <w:topLinePunct w:val="0"/>
              <w:kinsoku w:val="1"/>
              <w:autoSpaceDE w:val="1"/>
              <w:autoSpaceDN w:val="1"/>
              <w:bidi w:val="0"/>
              <w:adjustRightInd w:val="1"/>
              <w:snapToGrid w:val="1"/>
              <w:jc w:val="center"/>
              <w:spacing w:line="240" w:lineRule="auto"/>
              <w:rPr>
                <w:color w:val="auto"/>
                <w:sz w:val="22"/>
                <w:kern w:val="0"/>
                <w:szCs w:val="22"/>
              </w:rPr>
            </w:pPr>
            <w:r>
              <w:rPr>
                <w:color w:val="auto"/>
                <w:sz w:val="22"/>
                <w:kern w:val="0"/>
                <w:szCs w:val="22"/>
              </w:rPr>
              <w:t>立项依据</w:t>
            </w:r>
          </w:p>
          <w:p>
            <w:pPr>
              <w:widowControl w:val="1"/>
              <w:keepNext w:val="0"/>
              <w:keepLines w:val="0"/>
              <w:pageBreakBefore w:val="0"/>
              <w:wordWrap w:val="1"/>
              <w:overflowPunct w:val="1"/>
              <w:topLinePunct w:val="0"/>
              <w:kinsoku w:val="1"/>
              <w:autoSpaceDE w:val="1"/>
              <w:autoSpaceDN w:val="1"/>
              <w:bidi w:val="0"/>
              <w:adjustRightInd w:val="1"/>
              <w:snapToGrid w:val="1"/>
              <w:jc w:val="center"/>
              <w:spacing w:line="240" w:lineRule="auto"/>
              <w:rPr>
                <w:color w:val="auto"/>
                <w:sz w:val="22"/>
                <w:kern w:val="0"/>
                <w:szCs w:val="22"/>
              </w:rPr>
            </w:pPr>
            <w:r>
              <w:rPr>
                <w:color w:val="auto"/>
                <w:sz w:val="22"/>
                <w:kern w:val="0"/>
                <w:szCs w:val="22"/>
              </w:rPr>
              <w:t>充分性</w:t>
            </w:r>
          </w:p>
        </w:tc>
        <w:tc>
          <w:tcPr>
            <w:tcW w:w="727" w:type="dxa"/>
            <w:vAlign w:val="center"/>
            <w:shd w:val="clear" w:color="auto" w:fill="FFFFFF"/>
          </w:tcPr>
          <w:p>
            <w:pPr>
              <w:widowControl w:val="1"/>
              <w:keepNext w:val="0"/>
              <w:keepLines w:val="0"/>
              <w:pageBreakBefore w:val="0"/>
              <w:wordWrap w:val="1"/>
              <w:overflowPunct w:val="1"/>
              <w:topLinePunct w:val="0"/>
              <w:kinsoku w:val="1"/>
              <w:autoSpaceDE w:val="1"/>
              <w:autoSpaceDN w:val="1"/>
              <w:bidi w:val="0"/>
              <w:adjustRightInd w:val="1"/>
              <w:snapToGrid w:val="1"/>
              <w:jc w:val="center"/>
              <w:spacing w:line="240" w:lineRule="auto"/>
              <w:rPr>
                <w:color w:val="auto"/>
                <w:sz w:val="22"/>
                <w:kern w:val="0"/>
                <w:szCs w:val="22"/>
              </w:rPr>
            </w:pPr>
            <w:r>
              <w:rPr>
                <w:color w:val="auto"/>
                <w:sz w:val="22"/>
                <w:kern w:val="0"/>
                <w:szCs w:val="22"/>
                <w:rFonts w:hint="eastAsia"/>
              </w:rPr>
              <w:t>3</w:t>
            </w:r>
          </w:p>
        </w:tc>
        <w:tc>
          <w:tcPr>
            <w:tcW w:w="1044" w:type="dxa"/>
            <w:vAlign w:val="center"/>
            <w:shd w:val="clear" w:color="auto" w:fill="FFFFFF"/>
          </w:tcPr>
          <w:p>
            <w:pPr>
              <w:widowControl w:val="1"/>
              <w:keepNext w:val="0"/>
              <w:keepLines w:val="0"/>
              <w:pageBreakBefore w:val="0"/>
              <w:wordWrap w:val="1"/>
              <w:overflowPunct w:val="1"/>
              <w:topLinePunct w:val="0"/>
              <w:kinsoku w:val="1"/>
              <w:autoSpaceDE w:val="1"/>
              <w:autoSpaceDN w:val="1"/>
              <w:bidi w:val="0"/>
              <w:adjustRightInd w:val="1"/>
              <w:snapToGrid w:val="1"/>
              <w:jc w:val="center"/>
              <w:spacing w:line="240" w:lineRule="auto"/>
              <w:rPr>
                <w:color w:val="auto"/>
                <w:sz w:val="22"/>
                <w:kern w:val="0"/>
                <w:szCs w:val="22"/>
              </w:rPr>
            </w:pPr>
            <w:r>
              <w:rPr>
                <w:color w:val="auto"/>
                <w:sz w:val="22"/>
                <w:kern w:val="0"/>
                <w:szCs w:val="22"/>
              </w:rPr>
              <w:t>充分</w:t>
            </w:r>
          </w:p>
        </w:tc>
        <w:tc>
          <w:tcPr>
            <w:tcW w:w="924" w:type="dxa"/>
            <w:vAlign w:val="center"/>
            <w:shd w:val="clear" w:color="auto" w:fill="FFFFFF"/>
          </w:tcPr>
          <w:p>
            <w:pPr>
              <w:widowControl w:val="1"/>
              <w:keepNext w:val="0"/>
              <w:keepLines w:val="0"/>
              <w:pageBreakBefore w:val="0"/>
              <w:wordWrap w:val="1"/>
              <w:overflowPunct w:val="1"/>
              <w:topLinePunct w:val="0"/>
              <w:kinsoku w:val="1"/>
              <w:autoSpaceDE w:val="1"/>
              <w:autoSpaceDN w:val="1"/>
              <w:bidi w:val="0"/>
              <w:adjustRightInd w:val="1"/>
              <w:snapToGrid w:val="1"/>
              <w:jc w:val="center"/>
              <w:spacing w:line="240" w:lineRule="auto"/>
              <w:rPr>
                <w:color w:val="auto"/>
                <w:sz w:val="22"/>
                <w:kern w:val="0"/>
                <w:szCs w:val="22"/>
              </w:rPr>
            </w:pPr>
            <w:r>
              <w:rPr>
                <w:color w:val="auto"/>
                <w:sz w:val="22"/>
                <w:kern w:val="0"/>
                <w:szCs w:val="22"/>
              </w:rPr>
              <w:t>充分</w:t>
            </w:r>
          </w:p>
        </w:tc>
        <w:tc>
          <w:tcPr>
            <w:tcW w:w="1215" w:type="dxa"/>
            <w:vAlign w:val="center"/>
            <w:shd w:val="clear" w:color="auto" w:fill="FFFFFF"/>
          </w:tcPr>
          <w:p>
            <w:pPr>
              <w:widowControl w:val="1"/>
              <w:keepNext w:val="0"/>
              <w:keepLines w:val="0"/>
              <w:pageBreakBefore w:val="0"/>
              <w:wordWrap w:val="1"/>
              <w:overflowPunct w:val="1"/>
              <w:topLinePunct w:val="0"/>
              <w:kinsoku w:val="1"/>
              <w:autoSpaceDE w:val="1"/>
              <w:autoSpaceDN w:val="1"/>
              <w:bidi w:val="0"/>
              <w:adjustRightInd w:val="1"/>
              <w:snapToGrid w:val="1"/>
              <w:jc w:val="center"/>
              <w:spacing w:line="240" w:lineRule="auto"/>
              <w:rPr>
                <w:color w:val="auto"/>
                <w:sz w:val="22"/>
                <w:kern w:val="0"/>
                <w:szCs w:val="22"/>
              </w:rPr>
            </w:pPr>
            <w:r>
              <w:rPr>
                <w:color w:val="auto"/>
                <w:sz w:val="22"/>
                <w:kern w:val="0"/>
                <w:szCs w:val="22"/>
              </w:rPr>
              <w:t>100%</w:t>
            </w:r>
          </w:p>
        </w:tc>
        <w:tc>
          <w:tcPr>
            <w:tcW w:w="960" w:type="dxa"/>
            <w:vAlign w:val="center"/>
            <w:shd w:val="clear" w:color="auto" w:fill="FFFFFF"/>
          </w:tcPr>
          <w:p>
            <w:pPr>
              <w:widowControl w:val="1"/>
              <w:keepNext w:val="0"/>
              <w:keepLines w:val="0"/>
              <w:pageBreakBefore w:val="0"/>
              <w:wordWrap w:val="1"/>
              <w:overflowPunct w:val="1"/>
              <w:topLinePunct w:val="0"/>
              <w:kinsoku w:val="1"/>
              <w:autoSpaceDE w:val="1"/>
              <w:autoSpaceDN w:val="1"/>
              <w:bidi w:val="0"/>
              <w:adjustRightInd w:val="1"/>
              <w:snapToGrid w:val="1"/>
              <w:jc w:val="center"/>
              <w:spacing w:line="240" w:lineRule="auto"/>
              <w:rPr>
                <w:color w:val="auto"/>
                <w:sz w:val="22"/>
                <w:kern w:val="0"/>
                <w:szCs w:val="22"/>
              </w:rPr>
            </w:pPr>
            <w:r>
              <w:rPr>
                <w:color w:val="auto"/>
                <w:sz w:val="22"/>
                <w:kern w:val="0"/>
                <w:szCs w:val="22"/>
                <w:rFonts w:hint="eastAsia"/>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type="dxa" w:w="0.000000"/>
            <w:bottom w:type="dxa" w:w="0.000000"/>
            <w:left w:type="dxa" w:w="108.000000"/>
            <w:right w:type="dxa" w:w="108.000000"/>
          </w:tblCellMar>
          <w:tblLayout w:type="fixed"/>
        </w:tblPrEx>
        <w:trPr>
          <w:trHeight w:val="567" w:hRule="atLeast"/>
        </w:trPr>
        <w:tc>
          <w:tcPr>
            <w:tcW w:w="1104" w:type="dxa"/>
            <w:vMerge w:val="continue"/>
            <w:vAlign w:val="center"/>
            <w:shd w:val="clear" w:color="auto" w:fill="FFFFFF"/>
          </w:tcPr>
          <w:p>
            <w:pPr>
              <w:keepNext w:val="0"/>
              <w:keepLines w:val="0"/>
              <w:pageBreakBefore w:val="0"/>
              <w:wordWrap w:val="1"/>
              <w:overflowPunct w:val="1"/>
              <w:topLinePunct w:val="0"/>
              <w:kinsoku w:val="1"/>
              <w:autoSpaceDE w:val="1"/>
              <w:autoSpaceDN w:val="1"/>
              <w:bidi w:val="0"/>
              <w:adjustRightInd w:val="1"/>
              <w:snapToGrid w:val="1"/>
              <w:jc w:val="center"/>
              <w:spacing w:line="240" w:lineRule="auto"/>
              <w:rPr>
                <w:color w:val="auto"/>
                <w:sz w:val="22"/>
                <w:kern w:val="0"/>
                <w:szCs w:val="22"/>
              </w:rPr>
            </w:pPr>
          </w:p>
        </w:tc>
        <w:tc>
          <w:tcPr>
            <w:tcW w:w="990" w:type="dxa"/>
            <w:vMerge w:val="continue"/>
            <w:vAlign w:val="center"/>
            <w:shd w:val="clear" w:color="auto" w:fill="FFFFFF"/>
          </w:tcPr>
          <w:p>
            <w:pPr>
              <w:widowControl w:val="1"/>
              <w:keepNext w:val="0"/>
              <w:keepLines w:val="0"/>
              <w:pageBreakBefore w:val="0"/>
              <w:wordWrap w:val="1"/>
              <w:overflowPunct w:val="1"/>
              <w:topLinePunct w:val="0"/>
              <w:kinsoku w:val="1"/>
              <w:autoSpaceDE w:val="1"/>
              <w:autoSpaceDN w:val="1"/>
              <w:bidi w:val="0"/>
              <w:adjustRightInd w:val="1"/>
              <w:snapToGrid w:val="1"/>
              <w:jc w:val="center"/>
              <w:spacing w:line="240" w:lineRule="auto"/>
              <w:rPr>
                <w:color w:val="auto"/>
                <w:sz w:val="22"/>
                <w:kern w:val="0"/>
                <w:szCs w:val="22"/>
              </w:rPr>
            </w:pPr>
          </w:p>
        </w:tc>
        <w:tc>
          <w:tcPr>
            <w:tcW w:w="1283" w:type="dxa"/>
            <w:vMerge w:val="continue"/>
            <w:vAlign w:val="center"/>
            <w:shd w:val="clear" w:color="auto" w:fill="FFFFFF"/>
          </w:tcPr>
          <w:p>
            <w:pPr>
              <w:widowControl w:val="1"/>
              <w:keepNext w:val="0"/>
              <w:keepLines w:val="0"/>
              <w:pageBreakBefore w:val="0"/>
              <w:wordWrap w:val="1"/>
              <w:overflowPunct w:val="1"/>
              <w:topLinePunct w:val="0"/>
              <w:kinsoku w:val="1"/>
              <w:autoSpaceDE w:val="1"/>
              <w:autoSpaceDN w:val="1"/>
              <w:bidi w:val="0"/>
              <w:adjustRightInd w:val="1"/>
              <w:snapToGrid w:val="1"/>
              <w:jc w:val="center"/>
              <w:spacing w:line="240" w:lineRule="auto"/>
              <w:rPr>
                <w:color w:val="auto"/>
                <w:sz w:val="22"/>
                <w:kern w:val="0"/>
                <w:szCs w:val="22"/>
              </w:rPr>
            </w:pPr>
          </w:p>
        </w:tc>
        <w:tc>
          <w:tcPr>
            <w:tcW w:w="1707" w:type="dxa"/>
            <w:vAlign w:val="center"/>
            <w:shd w:val="clear" w:color="auto" w:fill="FFFFFF"/>
          </w:tcPr>
          <w:p>
            <w:pPr>
              <w:widowControl w:val="1"/>
              <w:keepNext w:val="0"/>
              <w:keepLines w:val="0"/>
              <w:pageBreakBefore w:val="0"/>
              <w:wordWrap w:val="1"/>
              <w:overflowPunct w:val="1"/>
              <w:topLinePunct w:val="0"/>
              <w:kinsoku w:val="1"/>
              <w:autoSpaceDE w:val="1"/>
              <w:autoSpaceDN w:val="1"/>
              <w:bidi w:val="0"/>
              <w:adjustRightInd w:val="1"/>
              <w:snapToGrid w:val="1"/>
              <w:jc w:val="center"/>
              <w:spacing w:line="240" w:lineRule="auto"/>
              <w:rPr>
                <w:color w:val="auto"/>
                <w:sz w:val="22"/>
                <w:kern w:val="0"/>
                <w:szCs w:val="22"/>
              </w:rPr>
            </w:pPr>
            <w:r>
              <w:rPr>
                <w:color w:val="auto"/>
                <w:sz w:val="22"/>
                <w:kern w:val="0"/>
                <w:szCs w:val="22"/>
              </w:rPr>
              <w:t>立项程序</w:t>
            </w:r>
          </w:p>
          <w:p>
            <w:pPr>
              <w:widowControl w:val="1"/>
              <w:keepNext w:val="0"/>
              <w:keepLines w:val="0"/>
              <w:pageBreakBefore w:val="0"/>
              <w:wordWrap w:val="1"/>
              <w:overflowPunct w:val="1"/>
              <w:topLinePunct w:val="0"/>
              <w:kinsoku w:val="1"/>
              <w:autoSpaceDE w:val="1"/>
              <w:autoSpaceDN w:val="1"/>
              <w:bidi w:val="0"/>
              <w:adjustRightInd w:val="1"/>
              <w:snapToGrid w:val="1"/>
              <w:jc w:val="center"/>
              <w:spacing w:line="240" w:lineRule="auto"/>
              <w:rPr>
                <w:color w:val="auto"/>
                <w:sz w:val="22"/>
                <w:kern w:val="0"/>
                <w:szCs w:val="22"/>
              </w:rPr>
            </w:pPr>
            <w:r>
              <w:rPr>
                <w:color w:val="auto"/>
                <w:sz w:val="22"/>
                <w:kern w:val="0"/>
                <w:szCs w:val="22"/>
              </w:rPr>
              <w:t>规范性</w:t>
            </w:r>
          </w:p>
        </w:tc>
        <w:tc>
          <w:tcPr>
            <w:tcW w:w="727" w:type="dxa"/>
            <w:vAlign w:val="center"/>
            <w:shd w:val="clear" w:color="auto" w:fill="FFFFFF"/>
          </w:tcPr>
          <w:p>
            <w:pPr>
              <w:widowControl w:val="1"/>
              <w:keepNext w:val="0"/>
              <w:keepLines w:val="0"/>
              <w:pageBreakBefore w:val="0"/>
              <w:wordWrap w:val="1"/>
              <w:overflowPunct w:val="1"/>
              <w:topLinePunct w:val="0"/>
              <w:kinsoku w:val="1"/>
              <w:autoSpaceDE w:val="1"/>
              <w:autoSpaceDN w:val="1"/>
              <w:bidi w:val="0"/>
              <w:adjustRightInd w:val="1"/>
              <w:snapToGrid w:val="1"/>
              <w:jc w:val="center"/>
              <w:spacing w:line="240" w:lineRule="auto"/>
              <w:rPr>
                <w:color w:val="auto"/>
                <w:sz w:val="22"/>
                <w:kern w:val="0"/>
                <w:szCs w:val="22"/>
              </w:rPr>
            </w:pPr>
            <w:r>
              <w:rPr>
                <w:color w:val="auto"/>
                <w:sz w:val="22"/>
                <w:kern w:val="0"/>
                <w:szCs w:val="22"/>
                <w:rFonts w:hint="eastAsia"/>
              </w:rPr>
              <w:t>3</w:t>
            </w:r>
          </w:p>
        </w:tc>
        <w:tc>
          <w:tcPr>
            <w:tcW w:w="1044" w:type="dxa"/>
            <w:vAlign w:val="center"/>
            <w:shd w:val="clear" w:color="auto" w:fill="FFFFFF"/>
          </w:tcPr>
          <w:p>
            <w:pPr>
              <w:widowControl w:val="1"/>
              <w:keepNext w:val="0"/>
              <w:keepLines w:val="0"/>
              <w:pageBreakBefore w:val="0"/>
              <w:wordWrap w:val="1"/>
              <w:overflowPunct w:val="1"/>
              <w:topLinePunct w:val="0"/>
              <w:kinsoku w:val="1"/>
              <w:autoSpaceDE w:val="1"/>
              <w:autoSpaceDN w:val="1"/>
              <w:bidi w:val="0"/>
              <w:adjustRightInd w:val="1"/>
              <w:snapToGrid w:val="1"/>
              <w:jc w:val="center"/>
              <w:spacing w:line="240" w:lineRule="auto"/>
              <w:rPr>
                <w:color w:val="auto"/>
                <w:sz w:val="22"/>
                <w:kern w:val="0"/>
                <w:szCs w:val="22"/>
              </w:rPr>
            </w:pPr>
            <w:r>
              <w:rPr>
                <w:color w:val="auto"/>
                <w:sz w:val="22"/>
                <w:kern w:val="0"/>
                <w:szCs w:val="22"/>
              </w:rPr>
              <w:t>规范</w:t>
            </w:r>
          </w:p>
        </w:tc>
        <w:tc>
          <w:tcPr>
            <w:tcW w:w="924" w:type="dxa"/>
            <w:vAlign w:val="center"/>
            <w:shd w:val="clear" w:color="auto" w:fill="FFFFFF"/>
          </w:tcPr>
          <w:p>
            <w:pPr>
              <w:widowControl w:val="1"/>
              <w:keepNext w:val="0"/>
              <w:keepLines w:val="0"/>
              <w:pageBreakBefore w:val="0"/>
              <w:wordWrap w:val="1"/>
              <w:overflowPunct w:val="1"/>
              <w:topLinePunct w:val="0"/>
              <w:kinsoku w:val="1"/>
              <w:autoSpaceDE w:val="1"/>
              <w:autoSpaceDN w:val="1"/>
              <w:bidi w:val="0"/>
              <w:adjustRightInd w:val="1"/>
              <w:snapToGrid w:val="1"/>
              <w:jc w:val="center"/>
              <w:spacing w:line="240" w:lineRule="auto"/>
              <w:rPr>
                <w:color w:val="auto"/>
                <w:sz w:val="22"/>
                <w:kern w:val="0"/>
                <w:szCs w:val="22"/>
              </w:rPr>
            </w:pPr>
            <w:r>
              <w:rPr>
                <w:color w:val="auto"/>
                <w:sz w:val="22"/>
                <w:kern w:val="0"/>
                <w:szCs w:val="22"/>
              </w:rPr>
              <w:t>规范</w:t>
            </w:r>
          </w:p>
        </w:tc>
        <w:tc>
          <w:tcPr>
            <w:tcW w:w="1215" w:type="dxa"/>
            <w:vAlign w:val="center"/>
            <w:shd w:val="clear" w:color="auto" w:fill="FFFFFF"/>
          </w:tcPr>
          <w:p>
            <w:pPr>
              <w:widowControl w:val="1"/>
              <w:keepNext w:val="0"/>
              <w:keepLines w:val="0"/>
              <w:pageBreakBefore w:val="0"/>
              <w:wordWrap w:val="1"/>
              <w:overflowPunct w:val="1"/>
              <w:topLinePunct w:val="0"/>
              <w:kinsoku w:val="1"/>
              <w:autoSpaceDE w:val="1"/>
              <w:autoSpaceDN w:val="1"/>
              <w:bidi w:val="0"/>
              <w:adjustRightInd w:val="1"/>
              <w:snapToGrid w:val="1"/>
              <w:jc w:val="center"/>
              <w:spacing w:line="240" w:lineRule="auto"/>
              <w:rPr>
                <w:color w:val="auto"/>
                <w:sz w:val="22"/>
                <w:kern w:val="0"/>
                <w:szCs w:val="22"/>
              </w:rPr>
            </w:pPr>
            <w:r>
              <w:rPr>
                <w:color w:val="auto"/>
                <w:sz w:val="22"/>
                <w:kern w:val="0"/>
                <w:szCs w:val="22"/>
              </w:rPr>
              <w:t>100%</w:t>
            </w:r>
          </w:p>
        </w:tc>
        <w:tc>
          <w:tcPr>
            <w:tcW w:w="960" w:type="dxa"/>
            <w:vAlign w:val="center"/>
            <w:shd w:val="clear" w:color="auto" w:fill="FFFFFF"/>
          </w:tcPr>
          <w:p>
            <w:pPr>
              <w:widowControl w:val="1"/>
              <w:keepNext w:val="0"/>
              <w:keepLines w:val="0"/>
              <w:pageBreakBefore w:val="0"/>
              <w:wordWrap w:val="1"/>
              <w:overflowPunct w:val="1"/>
              <w:topLinePunct w:val="0"/>
              <w:kinsoku w:val="1"/>
              <w:autoSpaceDE w:val="1"/>
              <w:autoSpaceDN w:val="1"/>
              <w:bidi w:val="0"/>
              <w:adjustRightInd w:val="1"/>
              <w:snapToGrid w:val="1"/>
              <w:jc w:val="center"/>
              <w:spacing w:line="240" w:lineRule="auto"/>
              <w:rPr>
                <w:color w:val="auto"/>
                <w:sz w:val="22"/>
                <w:kern w:val="0"/>
                <w:szCs w:val="22"/>
              </w:rPr>
            </w:pPr>
            <w:r>
              <w:rPr>
                <w:color w:val="auto"/>
                <w:sz w:val="22"/>
                <w:kern w:val="0"/>
                <w:szCs w:val="22"/>
                <w:rFonts w:hint="eastAsia"/>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type="dxa" w:w="0.000000"/>
            <w:bottom w:type="dxa" w:w="0.000000"/>
            <w:left w:type="dxa" w:w="108.000000"/>
            <w:right w:type="dxa" w:w="108.000000"/>
          </w:tblCellMar>
          <w:tblLayout w:type="fixed"/>
        </w:tblPrEx>
        <w:trPr>
          <w:trHeight w:val="567" w:hRule="atLeast"/>
        </w:trPr>
        <w:tc>
          <w:tcPr>
            <w:tcW w:w="1104" w:type="dxa"/>
            <w:vMerge w:val="continue"/>
            <w:vAlign w:val="center"/>
            <w:shd w:val="clear" w:color="auto" w:fill="FFFFFF"/>
          </w:tcPr>
          <w:p>
            <w:pPr>
              <w:keepNext w:val="0"/>
              <w:keepLines w:val="0"/>
              <w:pageBreakBefore w:val="0"/>
              <w:wordWrap w:val="1"/>
              <w:overflowPunct w:val="1"/>
              <w:topLinePunct w:val="0"/>
              <w:kinsoku w:val="1"/>
              <w:autoSpaceDE w:val="1"/>
              <w:autoSpaceDN w:val="1"/>
              <w:bidi w:val="0"/>
              <w:adjustRightInd w:val="1"/>
              <w:snapToGrid w:val="1"/>
              <w:jc w:val="center"/>
              <w:spacing w:line="240" w:lineRule="auto"/>
              <w:rPr>
                <w:color w:val="auto"/>
                <w:sz w:val="22"/>
                <w:kern w:val="0"/>
                <w:szCs w:val="22"/>
              </w:rPr>
            </w:pPr>
          </w:p>
        </w:tc>
        <w:tc>
          <w:tcPr>
            <w:tcW w:w="990" w:type="dxa"/>
            <w:vMerge w:val="continue"/>
            <w:vAlign w:val="center"/>
            <w:shd w:val="clear" w:color="auto" w:fill="FFFFFF"/>
          </w:tcPr>
          <w:p>
            <w:pPr>
              <w:widowControl w:val="1"/>
              <w:keepNext w:val="0"/>
              <w:keepLines w:val="0"/>
              <w:pageBreakBefore w:val="0"/>
              <w:wordWrap w:val="1"/>
              <w:overflowPunct w:val="1"/>
              <w:topLinePunct w:val="0"/>
              <w:kinsoku w:val="1"/>
              <w:autoSpaceDE w:val="1"/>
              <w:autoSpaceDN w:val="1"/>
              <w:bidi w:val="0"/>
              <w:adjustRightInd w:val="1"/>
              <w:snapToGrid w:val="1"/>
              <w:jc w:val="center"/>
              <w:spacing w:line="240" w:lineRule="auto"/>
              <w:rPr>
                <w:color w:val="auto"/>
                <w:sz w:val="22"/>
                <w:kern w:val="0"/>
                <w:szCs w:val="22"/>
              </w:rPr>
            </w:pPr>
          </w:p>
        </w:tc>
        <w:tc>
          <w:tcPr>
            <w:tcW w:w="1283" w:type="dxa"/>
            <w:vMerge w:val="restart"/>
            <w:vAlign w:val="center"/>
            <w:shd w:val="clear" w:color="auto" w:fill="FFFFFF"/>
          </w:tcPr>
          <w:p>
            <w:pPr>
              <w:widowControl w:val="1"/>
              <w:keepNext w:val="0"/>
              <w:keepLines w:val="0"/>
              <w:pageBreakBefore w:val="0"/>
              <w:wordWrap w:val="1"/>
              <w:overflowPunct w:val="1"/>
              <w:topLinePunct w:val="0"/>
              <w:kinsoku w:val="1"/>
              <w:autoSpaceDE w:val="1"/>
              <w:autoSpaceDN w:val="1"/>
              <w:bidi w:val="0"/>
              <w:adjustRightInd w:val="1"/>
              <w:snapToGrid w:val="1"/>
              <w:jc w:val="center"/>
              <w:spacing w:line="240" w:lineRule="auto"/>
              <w:rPr>
                <w:color w:val="auto"/>
                <w:sz w:val="22"/>
                <w:kern w:val="0"/>
                <w:szCs w:val="22"/>
              </w:rPr>
            </w:pPr>
            <w:r>
              <w:rPr>
                <w:color w:val="auto"/>
                <w:sz w:val="22"/>
                <w:kern w:val="0"/>
                <w:szCs w:val="22"/>
              </w:rPr>
              <w:t>绩效目标　</w:t>
            </w:r>
          </w:p>
        </w:tc>
        <w:tc>
          <w:tcPr>
            <w:tcW w:w="1707" w:type="dxa"/>
            <w:vAlign w:val="center"/>
            <w:shd w:val="clear" w:color="auto" w:fill="FFFFFF"/>
          </w:tcPr>
          <w:p>
            <w:pPr>
              <w:widowControl w:val="1"/>
              <w:keepNext w:val="0"/>
              <w:keepLines w:val="0"/>
              <w:pageBreakBefore w:val="0"/>
              <w:wordWrap w:val="1"/>
              <w:overflowPunct w:val="1"/>
              <w:topLinePunct w:val="0"/>
              <w:kinsoku w:val="1"/>
              <w:autoSpaceDE w:val="1"/>
              <w:autoSpaceDN w:val="1"/>
              <w:bidi w:val="0"/>
              <w:adjustRightInd w:val="1"/>
              <w:snapToGrid w:val="1"/>
              <w:jc w:val="center"/>
              <w:spacing w:line="240" w:lineRule="auto"/>
              <w:rPr>
                <w:color w:val="auto"/>
                <w:sz w:val="22"/>
                <w:kern w:val="0"/>
                <w:szCs w:val="22"/>
              </w:rPr>
            </w:pPr>
            <w:r>
              <w:rPr>
                <w:color w:val="auto"/>
                <w:sz w:val="22"/>
                <w:kern w:val="0"/>
                <w:szCs w:val="22"/>
              </w:rPr>
              <w:t>绩效目标</w:t>
            </w:r>
          </w:p>
          <w:p>
            <w:pPr>
              <w:widowControl w:val="1"/>
              <w:keepNext w:val="0"/>
              <w:keepLines w:val="0"/>
              <w:pageBreakBefore w:val="0"/>
              <w:wordWrap w:val="1"/>
              <w:overflowPunct w:val="1"/>
              <w:topLinePunct w:val="0"/>
              <w:kinsoku w:val="1"/>
              <w:autoSpaceDE w:val="1"/>
              <w:autoSpaceDN w:val="1"/>
              <w:bidi w:val="0"/>
              <w:adjustRightInd w:val="1"/>
              <w:snapToGrid w:val="1"/>
              <w:jc w:val="center"/>
              <w:spacing w:line="240" w:lineRule="auto"/>
              <w:rPr>
                <w:color w:val="auto"/>
                <w:sz w:val="22"/>
                <w:kern w:val="0"/>
                <w:szCs w:val="22"/>
              </w:rPr>
            </w:pPr>
            <w:r>
              <w:rPr>
                <w:color w:val="auto"/>
                <w:sz w:val="22"/>
                <w:kern w:val="0"/>
                <w:szCs w:val="22"/>
              </w:rPr>
              <w:t>合理性</w:t>
            </w:r>
          </w:p>
        </w:tc>
        <w:tc>
          <w:tcPr>
            <w:tcW w:w="727" w:type="dxa"/>
            <w:vAlign w:val="center"/>
            <w:shd w:val="clear" w:color="000000" w:fill="FFFFFF"/>
          </w:tcPr>
          <w:p>
            <w:pPr>
              <w:widowControl w:val="1"/>
              <w:keepNext w:val="0"/>
              <w:keepLines w:val="0"/>
              <w:pageBreakBefore w:val="0"/>
              <w:wordWrap w:val="1"/>
              <w:overflowPunct w:val="1"/>
              <w:topLinePunct w:val="0"/>
              <w:kinsoku w:val="1"/>
              <w:autoSpaceDE w:val="1"/>
              <w:autoSpaceDN w:val="1"/>
              <w:bidi w:val="0"/>
              <w:adjustRightInd w:val="1"/>
              <w:snapToGrid w:val="1"/>
              <w:jc w:val="center"/>
              <w:spacing w:line="240" w:lineRule="auto"/>
              <w:rPr>
                <w:color w:val="auto"/>
                <w:sz w:val="22"/>
                <w:kern w:val="0"/>
                <w:szCs w:val="22"/>
              </w:rPr>
            </w:pPr>
            <w:r>
              <w:rPr>
                <w:color w:val="auto"/>
                <w:sz w:val="22"/>
                <w:kern w:val="0"/>
                <w:szCs w:val="22"/>
                <w:rFonts w:hint="eastAsia"/>
              </w:rPr>
              <w:t>4</w:t>
            </w:r>
          </w:p>
        </w:tc>
        <w:tc>
          <w:tcPr>
            <w:tcW w:w="1044" w:type="dxa"/>
            <w:vAlign w:val="center"/>
            <w:shd w:val="clear" w:color="000000" w:fill="FFFFFF"/>
          </w:tcPr>
          <w:p>
            <w:pPr>
              <w:widowControl w:val="1"/>
              <w:keepNext w:val="0"/>
              <w:keepLines w:val="0"/>
              <w:pageBreakBefore w:val="0"/>
              <w:wordWrap w:val="1"/>
              <w:overflowPunct w:val="1"/>
              <w:topLinePunct w:val="0"/>
              <w:kinsoku w:val="1"/>
              <w:autoSpaceDE w:val="1"/>
              <w:autoSpaceDN w:val="1"/>
              <w:bidi w:val="0"/>
              <w:adjustRightInd w:val="1"/>
              <w:snapToGrid w:val="1"/>
              <w:jc w:val="center"/>
              <w:spacing w:line="240" w:lineRule="auto"/>
              <w:rPr>
                <w:color w:val="auto"/>
                <w:sz w:val="22"/>
                <w:kern w:val="0"/>
                <w:szCs w:val="22"/>
              </w:rPr>
            </w:pPr>
            <w:r>
              <w:rPr>
                <w:color w:val="auto"/>
                <w:sz w:val="22"/>
                <w:kern w:val="0"/>
                <w:szCs w:val="22"/>
              </w:rPr>
              <w:t>合理</w:t>
            </w:r>
          </w:p>
        </w:tc>
        <w:tc>
          <w:tcPr>
            <w:tcW w:w="924" w:type="dxa"/>
            <w:vAlign w:val="center"/>
            <w:shd w:val="clear" w:color="000000" w:fill="FFFFFF"/>
          </w:tcPr>
          <w:p>
            <w:pPr>
              <w:widowControl w:val="1"/>
              <w:keepNext w:val="0"/>
              <w:keepLines w:val="0"/>
              <w:pageBreakBefore w:val="0"/>
              <w:wordWrap w:val="1"/>
              <w:overflowPunct w:val="1"/>
              <w:topLinePunct w:val="0"/>
              <w:kinsoku w:val="1"/>
              <w:autoSpaceDE w:val="1"/>
              <w:autoSpaceDN w:val="1"/>
              <w:bidi w:val="0"/>
              <w:adjustRightInd w:val="1"/>
              <w:snapToGrid w:val="1"/>
              <w:jc w:val="center"/>
              <w:spacing w:line="240" w:lineRule="auto"/>
              <w:rPr>
                <w:color w:val="auto"/>
                <w:sz w:val="22"/>
                <w:kern w:val="0"/>
                <w:szCs w:val="22"/>
              </w:rPr>
            </w:pPr>
            <w:r>
              <w:rPr>
                <w:color w:val="auto"/>
                <w:sz w:val="22"/>
                <w:kern w:val="0"/>
                <w:szCs w:val="22"/>
              </w:rPr>
              <w:t>合理</w:t>
            </w:r>
          </w:p>
        </w:tc>
        <w:tc>
          <w:tcPr>
            <w:tcW w:w="1215" w:type="dxa"/>
            <w:vAlign w:val="center"/>
            <w:shd w:val="clear" w:color="000000" w:fill="FFFFFF"/>
          </w:tcPr>
          <w:p>
            <w:pPr>
              <w:widowControl w:val="1"/>
              <w:keepNext w:val="0"/>
              <w:keepLines w:val="0"/>
              <w:pageBreakBefore w:val="0"/>
              <w:wordWrap w:val="1"/>
              <w:overflowPunct w:val="1"/>
              <w:topLinePunct w:val="0"/>
              <w:kinsoku w:val="1"/>
              <w:autoSpaceDE w:val="1"/>
              <w:autoSpaceDN w:val="1"/>
              <w:bidi w:val="0"/>
              <w:adjustRightInd w:val="1"/>
              <w:snapToGrid w:val="1"/>
              <w:jc w:val="center"/>
              <w:spacing w:line="240" w:lineRule="auto"/>
              <w:rPr>
                <w:color w:val="auto"/>
                <w:sz w:val="22"/>
                <w:kern w:val="0"/>
                <w:szCs w:val="22"/>
              </w:rPr>
            </w:pPr>
            <w:r>
              <w:rPr>
                <w:color w:val="auto"/>
                <w:sz w:val="22"/>
                <w:kern w:val="0"/>
                <w:szCs w:val="22"/>
              </w:rPr>
              <w:t>100%</w:t>
            </w:r>
          </w:p>
        </w:tc>
        <w:tc>
          <w:tcPr>
            <w:tcW w:w="960" w:type="dxa"/>
            <w:vAlign w:val="center"/>
            <w:shd w:val="clear" w:color="000000" w:fill="FFFFFF"/>
          </w:tcPr>
          <w:p>
            <w:pPr>
              <w:widowControl w:val="1"/>
              <w:keepNext w:val="0"/>
              <w:keepLines w:val="0"/>
              <w:pageBreakBefore w:val="0"/>
              <w:wordWrap w:val="1"/>
              <w:overflowPunct w:val="1"/>
              <w:topLinePunct w:val="0"/>
              <w:kinsoku w:val="1"/>
              <w:autoSpaceDE w:val="1"/>
              <w:autoSpaceDN w:val="1"/>
              <w:bidi w:val="0"/>
              <w:adjustRightInd w:val="1"/>
              <w:snapToGrid w:val="1"/>
              <w:jc w:val="center"/>
              <w:spacing w:line="240" w:lineRule="auto"/>
              <w:rPr>
                <w:color w:val="auto"/>
                <w:sz w:val="22"/>
                <w:kern w:val="0"/>
                <w:szCs w:val="22"/>
              </w:rPr>
            </w:pPr>
            <w:r>
              <w:rPr>
                <w:color w:val="auto"/>
                <w:sz w:val="22"/>
                <w:kern w:val="0"/>
                <w:szCs w:val="22"/>
                <w:rFonts w:hint="eastAsia"/>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type="dxa" w:w="0.000000"/>
            <w:bottom w:type="dxa" w:w="0.000000"/>
            <w:left w:type="dxa" w:w="108.000000"/>
            <w:right w:type="dxa" w:w="108.000000"/>
          </w:tblCellMar>
          <w:tblLayout w:type="fixed"/>
        </w:tblPrEx>
        <w:trPr>
          <w:trHeight w:val="567" w:hRule="atLeast"/>
        </w:trPr>
        <w:tc>
          <w:tcPr>
            <w:tcW w:w="1104" w:type="dxa"/>
            <w:vMerge w:val="continue"/>
            <w:vAlign w:val="center"/>
            <w:shd w:val="clear" w:color="auto" w:fill="FFFFFF"/>
          </w:tcPr>
          <w:p>
            <w:pPr>
              <w:widowControl w:val="1"/>
              <w:keepNext w:val="0"/>
              <w:keepLines w:val="0"/>
              <w:pageBreakBefore w:val="0"/>
              <w:wordWrap w:val="1"/>
              <w:overflowPunct w:val="1"/>
              <w:topLinePunct w:val="0"/>
              <w:kinsoku w:val="1"/>
              <w:autoSpaceDE w:val="1"/>
              <w:autoSpaceDN w:val="1"/>
              <w:bidi w:val="0"/>
              <w:adjustRightInd w:val="1"/>
              <w:snapToGrid w:val="1"/>
              <w:jc w:val="center"/>
              <w:spacing w:line="240" w:lineRule="auto"/>
              <w:rPr>
                <w:color w:val="auto"/>
                <w:sz w:val="22"/>
                <w:kern w:val="0"/>
                <w:szCs w:val="22"/>
              </w:rPr>
            </w:pPr>
          </w:p>
        </w:tc>
        <w:tc>
          <w:tcPr>
            <w:tcW w:w="990" w:type="dxa"/>
            <w:vMerge w:val="continue"/>
            <w:vAlign w:val="center"/>
            <w:shd w:val="clear" w:color="auto" w:fill="FFFFFF"/>
          </w:tcPr>
          <w:p>
            <w:pPr>
              <w:widowControl w:val="1"/>
              <w:keepNext w:val="0"/>
              <w:keepLines w:val="0"/>
              <w:pageBreakBefore w:val="0"/>
              <w:wordWrap w:val="1"/>
              <w:overflowPunct w:val="1"/>
              <w:topLinePunct w:val="0"/>
              <w:kinsoku w:val="1"/>
              <w:autoSpaceDE w:val="1"/>
              <w:autoSpaceDN w:val="1"/>
              <w:bidi w:val="0"/>
              <w:adjustRightInd w:val="1"/>
              <w:snapToGrid w:val="1"/>
              <w:jc w:val="center"/>
              <w:spacing w:line="240" w:lineRule="auto"/>
              <w:rPr>
                <w:color w:val="auto"/>
                <w:sz w:val="22"/>
                <w:kern w:val="0"/>
                <w:szCs w:val="22"/>
              </w:rPr>
            </w:pPr>
          </w:p>
        </w:tc>
        <w:tc>
          <w:tcPr>
            <w:tcW w:w="1283" w:type="dxa"/>
            <w:vMerge w:val="continue"/>
            <w:vAlign w:val="center"/>
            <w:shd w:val="clear" w:color="auto" w:fill="FFFFFF"/>
          </w:tcPr>
          <w:p>
            <w:pPr>
              <w:widowControl w:val="1"/>
              <w:keepNext w:val="0"/>
              <w:keepLines w:val="0"/>
              <w:pageBreakBefore w:val="0"/>
              <w:wordWrap w:val="1"/>
              <w:overflowPunct w:val="1"/>
              <w:topLinePunct w:val="0"/>
              <w:kinsoku w:val="1"/>
              <w:autoSpaceDE w:val="1"/>
              <w:autoSpaceDN w:val="1"/>
              <w:bidi w:val="0"/>
              <w:adjustRightInd w:val="1"/>
              <w:snapToGrid w:val="1"/>
              <w:jc w:val="center"/>
              <w:spacing w:line="240" w:lineRule="auto"/>
              <w:rPr>
                <w:color w:val="auto"/>
                <w:sz w:val="22"/>
                <w:kern w:val="0"/>
                <w:szCs w:val="22"/>
              </w:rPr>
            </w:pPr>
          </w:p>
        </w:tc>
        <w:tc>
          <w:tcPr>
            <w:tcW w:w="1707" w:type="dxa"/>
            <w:vAlign w:val="center"/>
            <w:shd w:val="clear" w:color="auto" w:fill="FFFFFF"/>
          </w:tcPr>
          <w:p>
            <w:pPr>
              <w:widowControl w:val="1"/>
              <w:keepNext w:val="0"/>
              <w:keepLines w:val="0"/>
              <w:pageBreakBefore w:val="0"/>
              <w:wordWrap w:val="1"/>
              <w:overflowPunct w:val="1"/>
              <w:topLinePunct w:val="0"/>
              <w:kinsoku w:val="1"/>
              <w:autoSpaceDE w:val="1"/>
              <w:autoSpaceDN w:val="1"/>
              <w:bidi w:val="0"/>
              <w:adjustRightInd w:val="1"/>
              <w:snapToGrid w:val="1"/>
              <w:jc w:val="center"/>
              <w:spacing w:line="240" w:lineRule="auto"/>
              <w:rPr>
                <w:color w:val="auto"/>
                <w:sz w:val="22"/>
                <w:kern w:val="0"/>
                <w:szCs w:val="22"/>
              </w:rPr>
            </w:pPr>
            <w:r>
              <w:rPr>
                <w:color w:val="auto"/>
                <w:sz w:val="22"/>
                <w:kern w:val="0"/>
                <w:szCs w:val="22"/>
              </w:rPr>
              <w:t>绩效指标</w:t>
            </w:r>
          </w:p>
          <w:p>
            <w:pPr>
              <w:widowControl w:val="1"/>
              <w:keepNext w:val="0"/>
              <w:keepLines w:val="0"/>
              <w:pageBreakBefore w:val="0"/>
              <w:wordWrap w:val="1"/>
              <w:overflowPunct w:val="1"/>
              <w:topLinePunct w:val="0"/>
              <w:kinsoku w:val="1"/>
              <w:autoSpaceDE w:val="1"/>
              <w:autoSpaceDN w:val="1"/>
              <w:bidi w:val="0"/>
              <w:adjustRightInd w:val="1"/>
              <w:snapToGrid w:val="1"/>
              <w:jc w:val="center"/>
              <w:spacing w:line="240" w:lineRule="auto"/>
              <w:rPr>
                <w:color w:val="auto"/>
                <w:sz w:val="22"/>
                <w:kern w:val="0"/>
                <w:szCs w:val="22"/>
              </w:rPr>
            </w:pPr>
            <w:r>
              <w:rPr>
                <w:color w:val="auto"/>
                <w:sz w:val="22"/>
                <w:kern w:val="0"/>
                <w:szCs w:val="22"/>
              </w:rPr>
              <w:t>明确性</w:t>
            </w:r>
          </w:p>
        </w:tc>
        <w:tc>
          <w:tcPr>
            <w:tcW w:w="727" w:type="dxa"/>
            <w:vAlign w:val="center"/>
            <w:shd w:val="clear" w:color="000000" w:fill="FFFFFF"/>
          </w:tcPr>
          <w:p>
            <w:pPr>
              <w:widowControl w:val="1"/>
              <w:keepNext w:val="0"/>
              <w:keepLines w:val="0"/>
              <w:pageBreakBefore w:val="0"/>
              <w:wordWrap w:val="1"/>
              <w:overflowPunct w:val="1"/>
              <w:topLinePunct w:val="0"/>
              <w:kinsoku w:val="1"/>
              <w:autoSpaceDE w:val="1"/>
              <w:autoSpaceDN w:val="1"/>
              <w:bidi w:val="0"/>
              <w:adjustRightInd w:val="1"/>
              <w:snapToGrid w:val="1"/>
              <w:jc w:val="center"/>
              <w:spacing w:line="240" w:lineRule="auto"/>
              <w:rPr>
                <w:color w:val="auto"/>
                <w:sz w:val="22"/>
                <w:kern w:val="0"/>
                <w:szCs w:val="22"/>
              </w:rPr>
            </w:pPr>
            <w:r>
              <w:rPr>
                <w:color w:val="auto"/>
                <w:sz w:val="22"/>
                <w:kern w:val="0"/>
                <w:szCs w:val="22"/>
                <w:rFonts w:hint="eastAsia"/>
              </w:rPr>
              <w:t>3</w:t>
            </w:r>
          </w:p>
        </w:tc>
        <w:tc>
          <w:tcPr>
            <w:tcW w:w="1044" w:type="dxa"/>
            <w:vAlign w:val="center"/>
            <w:shd w:val="clear" w:color="000000" w:fill="FFFFFF"/>
          </w:tcPr>
          <w:p>
            <w:pPr>
              <w:widowControl w:val="1"/>
              <w:keepNext w:val="0"/>
              <w:keepLines w:val="0"/>
              <w:pageBreakBefore w:val="0"/>
              <w:wordWrap w:val="1"/>
              <w:overflowPunct w:val="1"/>
              <w:topLinePunct w:val="0"/>
              <w:kinsoku w:val="1"/>
              <w:autoSpaceDE w:val="1"/>
              <w:autoSpaceDN w:val="1"/>
              <w:bidi w:val="0"/>
              <w:adjustRightInd w:val="1"/>
              <w:snapToGrid w:val="1"/>
              <w:jc w:val="center"/>
              <w:spacing w:line="240" w:lineRule="auto"/>
              <w:rPr>
                <w:color w:val="auto"/>
                <w:sz w:val="22"/>
                <w:kern w:val="0"/>
                <w:szCs w:val="22"/>
              </w:rPr>
            </w:pPr>
            <w:r>
              <w:rPr>
                <w:color w:val="auto"/>
                <w:sz w:val="22"/>
                <w:kern w:val="0"/>
                <w:szCs w:val="22"/>
              </w:rPr>
              <w:t>明确</w:t>
            </w:r>
          </w:p>
        </w:tc>
        <w:tc>
          <w:tcPr>
            <w:tcW w:w="924" w:type="dxa"/>
            <w:vAlign w:val="center"/>
            <w:shd w:val="clear" w:color="000000" w:fill="FFFFFF"/>
          </w:tcPr>
          <w:p>
            <w:pPr>
              <w:widowControl w:val="1"/>
              <w:keepNext w:val="0"/>
              <w:keepLines w:val="0"/>
              <w:pageBreakBefore w:val="0"/>
              <w:wordWrap w:val="1"/>
              <w:overflowPunct w:val="1"/>
              <w:topLinePunct w:val="0"/>
              <w:kinsoku w:val="1"/>
              <w:autoSpaceDE w:val="1"/>
              <w:autoSpaceDN w:val="1"/>
              <w:bidi w:val="0"/>
              <w:adjustRightInd w:val="1"/>
              <w:snapToGrid w:val="1"/>
              <w:jc w:val="center"/>
              <w:spacing w:line="240" w:lineRule="auto"/>
              <w:rPr>
                <w:color w:val="auto"/>
                <w:sz w:val="22"/>
                <w:kern w:val="0"/>
                <w:szCs w:val="22"/>
              </w:rPr>
            </w:pPr>
            <w:r>
              <w:rPr>
                <w:color w:val="auto"/>
                <w:sz w:val="22"/>
                <w:kern w:val="0"/>
                <w:szCs w:val="22"/>
              </w:rPr>
              <w:t>明确</w:t>
            </w:r>
          </w:p>
        </w:tc>
        <w:tc>
          <w:tcPr>
            <w:tcW w:w="1215" w:type="dxa"/>
            <w:vAlign w:val="center"/>
            <w:shd w:val="clear" w:color="000000" w:fill="FFFFFF"/>
          </w:tcPr>
          <w:p>
            <w:pPr>
              <w:widowControl w:val="1"/>
              <w:keepNext w:val="0"/>
              <w:keepLines w:val="0"/>
              <w:pageBreakBefore w:val="0"/>
              <w:wordWrap w:val="1"/>
              <w:overflowPunct w:val="1"/>
              <w:topLinePunct w:val="0"/>
              <w:kinsoku w:val="1"/>
              <w:autoSpaceDE w:val="1"/>
              <w:autoSpaceDN w:val="1"/>
              <w:bidi w:val="0"/>
              <w:adjustRightInd w:val="1"/>
              <w:snapToGrid w:val="1"/>
              <w:jc w:val="center"/>
              <w:spacing w:line="240" w:lineRule="auto"/>
              <w:rPr>
                <w:color w:val="auto"/>
                <w:sz w:val="22"/>
                <w:kern w:val="0"/>
                <w:szCs w:val="22"/>
              </w:rPr>
            </w:pPr>
            <w:r>
              <w:rPr>
                <w:color w:val="auto"/>
                <w:sz w:val="22"/>
                <w:kern w:val="0"/>
                <w:szCs w:val="22"/>
              </w:rPr>
              <w:t>100%</w:t>
            </w:r>
          </w:p>
        </w:tc>
        <w:tc>
          <w:tcPr>
            <w:tcW w:w="960" w:type="dxa"/>
            <w:vAlign w:val="center"/>
            <w:shd w:val="clear" w:color="000000" w:fill="FFFFFF"/>
          </w:tcPr>
          <w:p>
            <w:pPr>
              <w:widowControl w:val="1"/>
              <w:keepNext w:val="0"/>
              <w:keepLines w:val="0"/>
              <w:pageBreakBefore w:val="0"/>
              <w:wordWrap w:val="1"/>
              <w:overflowPunct w:val="1"/>
              <w:topLinePunct w:val="0"/>
              <w:kinsoku w:val="1"/>
              <w:autoSpaceDE w:val="1"/>
              <w:autoSpaceDN w:val="1"/>
              <w:bidi w:val="0"/>
              <w:adjustRightInd w:val="1"/>
              <w:snapToGrid w:val="1"/>
              <w:jc w:val="center"/>
              <w:spacing w:line="240" w:lineRule="auto"/>
              <w:rPr>
                <w:color w:val="auto"/>
                <w:sz w:val="22"/>
                <w:kern w:val="0"/>
                <w:szCs w:val="22"/>
              </w:rPr>
            </w:pPr>
            <w:r>
              <w:rPr>
                <w:color w:val="auto"/>
                <w:sz w:val="22"/>
                <w:kern w:val="0"/>
                <w:szCs w:val="22"/>
                <w:rFonts w:hint="eastAsia"/>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type="dxa" w:w="0.000000"/>
            <w:bottom w:type="dxa" w:w="0.000000"/>
            <w:left w:type="dxa" w:w="108.000000"/>
            <w:right w:type="dxa" w:w="108.000000"/>
          </w:tblCellMar>
          <w:tblLayout w:type="fixed"/>
        </w:tblPrEx>
        <w:trPr>
          <w:trHeight w:val="567" w:hRule="atLeast"/>
        </w:trPr>
        <w:tc>
          <w:tcPr>
            <w:tcW w:w="1104" w:type="dxa"/>
            <w:vMerge w:val="continue"/>
            <w:vAlign w:val="center"/>
            <w:shd w:val="clear" w:color="auto" w:fill="FFFFFF"/>
          </w:tcPr>
          <w:p>
            <w:pPr>
              <w:keepNext w:val="0"/>
              <w:keepLines w:val="0"/>
              <w:pageBreakBefore w:val="0"/>
              <w:wordWrap w:val="1"/>
              <w:overflowPunct w:val="1"/>
              <w:topLinePunct w:val="0"/>
              <w:kinsoku w:val="1"/>
              <w:autoSpaceDE w:val="1"/>
              <w:autoSpaceDN w:val="1"/>
              <w:bidi w:val="0"/>
              <w:adjustRightInd w:val="1"/>
              <w:snapToGrid w:val="1"/>
              <w:jc w:val="center"/>
              <w:spacing w:line="240" w:lineRule="auto"/>
              <w:rPr>
                <w:color w:val="auto"/>
                <w:sz w:val="22"/>
                <w:kern w:val="0"/>
                <w:szCs w:val="22"/>
              </w:rPr>
            </w:pPr>
          </w:p>
        </w:tc>
        <w:tc>
          <w:tcPr>
            <w:tcW w:w="990" w:type="dxa"/>
            <w:vMerge w:val="continue"/>
            <w:vAlign w:val="center"/>
            <w:shd w:val="clear" w:color="auto" w:fill="FFFFFF"/>
          </w:tcPr>
          <w:p>
            <w:pPr>
              <w:keepNext w:val="0"/>
              <w:keepLines w:val="0"/>
              <w:pageBreakBefore w:val="0"/>
              <w:wordWrap w:val="1"/>
              <w:overflowPunct w:val="1"/>
              <w:topLinePunct w:val="0"/>
              <w:kinsoku w:val="1"/>
              <w:autoSpaceDE w:val="1"/>
              <w:autoSpaceDN w:val="1"/>
              <w:bidi w:val="0"/>
              <w:adjustRightInd w:val="1"/>
              <w:snapToGrid w:val="1"/>
              <w:jc w:val="center"/>
              <w:spacing w:line="240" w:lineRule="auto"/>
              <w:rPr>
                <w:color w:val="auto"/>
                <w:sz w:val="22"/>
                <w:kern w:val="0"/>
                <w:szCs w:val="22"/>
              </w:rPr>
            </w:pPr>
          </w:p>
        </w:tc>
        <w:tc>
          <w:tcPr>
            <w:tcW w:w="1283" w:type="dxa"/>
            <w:vMerge w:val="restart"/>
            <w:vAlign w:val="center"/>
            <w:shd w:val="clear" w:color="auto" w:fill="FFFFFF"/>
          </w:tcPr>
          <w:p>
            <w:pPr>
              <w:widowControl w:val="1"/>
              <w:keepNext w:val="0"/>
              <w:keepLines w:val="0"/>
              <w:pageBreakBefore w:val="0"/>
              <w:wordWrap w:val="1"/>
              <w:overflowPunct w:val="1"/>
              <w:topLinePunct w:val="0"/>
              <w:kinsoku w:val="1"/>
              <w:autoSpaceDE w:val="1"/>
              <w:autoSpaceDN w:val="1"/>
              <w:bidi w:val="0"/>
              <w:adjustRightInd w:val="1"/>
              <w:snapToGrid w:val="1"/>
              <w:jc w:val="center"/>
              <w:spacing w:line="240" w:lineRule="auto"/>
              <w:rPr>
                <w:color w:val="auto"/>
                <w:sz w:val="22"/>
                <w:kern w:val="0"/>
                <w:szCs w:val="22"/>
              </w:rPr>
            </w:pPr>
            <w:r>
              <w:rPr>
                <w:color w:val="auto"/>
                <w:sz w:val="22"/>
                <w:kern w:val="0"/>
                <w:szCs w:val="22"/>
              </w:rPr>
              <w:t>资金投入</w:t>
            </w:r>
          </w:p>
        </w:tc>
        <w:tc>
          <w:tcPr>
            <w:tcW w:w="1707" w:type="dxa"/>
            <w:vAlign w:val="center"/>
            <w:shd w:val="clear" w:color="auto" w:fill="FFFFFF"/>
          </w:tcPr>
          <w:p>
            <w:pPr>
              <w:widowControl w:val="1"/>
              <w:keepNext w:val="0"/>
              <w:keepLines w:val="0"/>
              <w:pageBreakBefore w:val="0"/>
              <w:wordWrap w:val="1"/>
              <w:overflowPunct w:val="1"/>
              <w:topLinePunct w:val="0"/>
              <w:kinsoku w:val="1"/>
              <w:autoSpaceDE w:val="1"/>
              <w:autoSpaceDN w:val="1"/>
              <w:bidi w:val="0"/>
              <w:adjustRightInd w:val="1"/>
              <w:snapToGrid w:val="1"/>
              <w:jc w:val="center"/>
              <w:spacing w:line="240" w:lineRule="auto"/>
              <w:rPr>
                <w:color w:val="auto"/>
                <w:sz w:val="22"/>
                <w:kern w:val="0"/>
                <w:szCs w:val="22"/>
              </w:rPr>
            </w:pPr>
            <w:r>
              <w:rPr>
                <w:color w:val="auto"/>
                <w:sz w:val="22"/>
                <w:kern w:val="0"/>
                <w:szCs w:val="22"/>
              </w:rPr>
              <w:t>预算编制</w:t>
            </w:r>
          </w:p>
          <w:p>
            <w:pPr>
              <w:widowControl w:val="1"/>
              <w:keepNext w:val="0"/>
              <w:keepLines w:val="0"/>
              <w:pageBreakBefore w:val="0"/>
              <w:wordWrap w:val="1"/>
              <w:overflowPunct w:val="1"/>
              <w:topLinePunct w:val="0"/>
              <w:kinsoku w:val="1"/>
              <w:autoSpaceDE w:val="1"/>
              <w:autoSpaceDN w:val="1"/>
              <w:bidi w:val="0"/>
              <w:adjustRightInd w:val="1"/>
              <w:snapToGrid w:val="1"/>
              <w:jc w:val="center"/>
              <w:spacing w:line="240" w:lineRule="auto"/>
              <w:rPr>
                <w:color w:val="auto"/>
                <w:sz w:val="22"/>
                <w:kern w:val="0"/>
                <w:szCs w:val="22"/>
              </w:rPr>
            </w:pPr>
            <w:r>
              <w:rPr>
                <w:color w:val="auto"/>
                <w:sz w:val="22"/>
                <w:kern w:val="0"/>
                <w:szCs w:val="22"/>
              </w:rPr>
              <w:t>科学性</w:t>
            </w:r>
          </w:p>
        </w:tc>
        <w:tc>
          <w:tcPr>
            <w:tcW w:w="727" w:type="dxa"/>
            <w:vAlign w:val="center"/>
            <w:shd w:val="clear" w:color="auto" w:fill="FFFFFF"/>
          </w:tcPr>
          <w:p>
            <w:pPr>
              <w:widowControl w:val="1"/>
              <w:keepNext w:val="0"/>
              <w:keepLines w:val="0"/>
              <w:pageBreakBefore w:val="0"/>
              <w:wordWrap w:val="1"/>
              <w:overflowPunct w:val="1"/>
              <w:topLinePunct w:val="0"/>
              <w:kinsoku w:val="1"/>
              <w:autoSpaceDE w:val="1"/>
              <w:autoSpaceDN w:val="1"/>
              <w:bidi w:val="0"/>
              <w:adjustRightInd w:val="1"/>
              <w:snapToGrid w:val="1"/>
              <w:jc w:val="center"/>
              <w:spacing w:line="240" w:lineRule="auto"/>
              <w:rPr>
                <w:color w:val="auto"/>
                <w:sz w:val="22"/>
                <w:kern w:val="0"/>
                <w:szCs w:val="22"/>
              </w:rPr>
            </w:pPr>
            <w:r>
              <w:rPr>
                <w:color w:val="auto"/>
                <w:sz w:val="22"/>
                <w:kern w:val="0"/>
                <w:szCs w:val="22"/>
                <w:rFonts w:hint="eastAsia"/>
              </w:rPr>
              <w:t>4</w:t>
            </w:r>
          </w:p>
        </w:tc>
        <w:tc>
          <w:tcPr>
            <w:tcW w:w="1044" w:type="dxa"/>
            <w:vAlign w:val="center"/>
            <w:shd w:val="clear" w:color="auto" w:fill="FFFFFF"/>
          </w:tcPr>
          <w:p>
            <w:pPr>
              <w:widowControl w:val="1"/>
              <w:keepNext w:val="0"/>
              <w:keepLines w:val="0"/>
              <w:pageBreakBefore w:val="0"/>
              <w:wordWrap w:val="1"/>
              <w:overflowPunct w:val="1"/>
              <w:topLinePunct w:val="0"/>
              <w:kinsoku w:val="1"/>
              <w:autoSpaceDE w:val="1"/>
              <w:autoSpaceDN w:val="1"/>
              <w:bidi w:val="0"/>
              <w:adjustRightInd w:val="1"/>
              <w:snapToGrid w:val="1"/>
              <w:jc w:val="center"/>
              <w:spacing w:line="240" w:lineRule="auto"/>
              <w:rPr>
                <w:color w:val="auto"/>
                <w:sz w:val="22"/>
                <w:kern w:val="0"/>
                <w:szCs w:val="22"/>
              </w:rPr>
            </w:pPr>
            <w:r>
              <w:rPr>
                <w:color w:val="auto"/>
                <w:sz w:val="22"/>
                <w:kern w:val="0"/>
                <w:szCs w:val="22"/>
              </w:rPr>
              <w:t>科学</w:t>
            </w:r>
          </w:p>
        </w:tc>
        <w:tc>
          <w:tcPr>
            <w:tcW w:w="924" w:type="dxa"/>
            <w:vAlign w:val="center"/>
            <w:shd w:val="clear" w:color="auto" w:fill="FFFFFF"/>
          </w:tcPr>
          <w:p>
            <w:pPr>
              <w:widowControl w:val="1"/>
              <w:keepNext w:val="0"/>
              <w:keepLines w:val="0"/>
              <w:pageBreakBefore w:val="0"/>
              <w:wordWrap w:val="1"/>
              <w:overflowPunct w:val="1"/>
              <w:topLinePunct w:val="0"/>
              <w:kinsoku w:val="1"/>
              <w:autoSpaceDE w:val="1"/>
              <w:autoSpaceDN w:val="1"/>
              <w:bidi w:val="0"/>
              <w:adjustRightInd w:val="1"/>
              <w:snapToGrid w:val="1"/>
              <w:jc w:val="center"/>
              <w:spacing w:line="240" w:lineRule="auto"/>
              <w:rPr>
                <w:color w:val="auto"/>
                <w:sz w:val="22"/>
                <w:kern w:val="0"/>
                <w:szCs w:val="22"/>
              </w:rPr>
            </w:pPr>
            <w:r>
              <w:rPr>
                <w:color w:val="auto"/>
                <w:sz w:val="22"/>
                <w:kern w:val="0"/>
                <w:szCs w:val="22"/>
              </w:rPr>
              <w:t>科学</w:t>
            </w:r>
          </w:p>
        </w:tc>
        <w:tc>
          <w:tcPr>
            <w:tcW w:w="1215" w:type="dxa"/>
            <w:vAlign w:val="center"/>
            <w:shd w:val="clear" w:color="auto" w:fill="FFFFFF"/>
          </w:tcPr>
          <w:p>
            <w:pPr>
              <w:widowControl w:val="1"/>
              <w:keepNext w:val="0"/>
              <w:keepLines w:val="0"/>
              <w:pageBreakBefore w:val="0"/>
              <w:wordWrap w:val="1"/>
              <w:overflowPunct w:val="1"/>
              <w:topLinePunct w:val="0"/>
              <w:kinsoku w:val="1"/>
              <w:autoSpaceDE w:val="1"/>
              <w:autoSpaceDN w:val="1"/>
              <w:bidi w:val="0"/>
              <w:adjustRightInd w:val="1"/>
              <w:snapToGrid w:val="1"/>
              <w:jc w:val="center"/>
              <w:spacing w:line="240" w:lineRule="auto"/>
              <w:rPr>
                <w:color w:val="auto"/>
                <w:sz w:val="22"/>
                <w:kern w:val="0"/>
                <w:szCs w:val="22"/>
              </w:rPr>
            </w:pPr>
            <w:r>
              <w:rPr>
                <w:color w:val="auto"/>
                <w:sz w:val="22"/>
                <w:kern w:val="0"/>
                <w:szCs w:val="22"/>
              </w:rPr>
              <w:t>100%</w:t>
            </w:r>
          </w:p>
        </w:tc>
        <w:tc>
          <w:tcPr>
            <w:tcW w:w="960" w:type="dxa"/>
            <w:vAlign w:val="center"/>
            <w:shd w:val="clear" w:color="auto" w:fill="FFFFFF"/>
          </w:tcPr>
          <w:p>
            <w:pPr>
              <w:widowControl w:val="1"/>
              <w:keepNext w:val="0"/>
              <w:keepLines w:val="0"/>
              <w:pageBreakBefore w:val="0"/>
              <w:wordWrap w:val="1"/>
              <w:overflowPunct w:val="1"/>
              <w:topLinePunct w:val="0"/>
              <w:kinsoku w:val="1"/>
              <w:autoSpaceDE w:val="1"/>
              <w:autoSpaceDN w:val="1"/>
              <w:bidi w:val="0"/>
              <w:adjustRightInd w:val="1"/>
              <w:snapToGrid w:val="1"/>
              <w:jc w:val="center"/>
              <w:spacing w:line="240" w:lineRule="auto"/>
              <w:rPr>
                <w:color w:val="auto"/>
                <w:sz w:val="22"/>
                <w:kern w:val="0"/>
                <w:szCs w:val="22"/>
              </w:rPr>
            </w:pPr>
            <w:r>
              <w:rPr>
                <w:color w:val="auto"/>
                <w:sz w:val="22"/>
                <w:kern w:val="0"/>
                <w:szCs w:val="22"/>
                <w:rFonts w:hint="eastAsia"/>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type="dxa" w:w="0.000000"/>
            <w:bottom w:type="dxa" w:w="0.000000"/>
            <w:left w:type="dxa" w:w="108.000000"/>
            <w:right w:type="dxa" w:w="108.000000"/>
          </w:tblCellMar>
          <w:tblLayout w:type="fixed"/>
        </w:tblPrEx>
        <w:trPr>
          <w:trHeight w:val="567" w:hRule="atLeast"/>
        </w:trPr>
        <w:tc>
          <w:tcPr>
            <w:tcW w:w="1104" w:type="dxa"/>
            <w:vMerge w:val="continue"/>
            <w:vAlign w:val="center"/>
            <w:shd w:val="clear" w:color="auto" w:fill="FFFFFF"/>
          </w:tcPr>
          <w:p>
            <w:pPr>
              <w:widowControl w:val="1"/>
              <w:keepNext w:val="0"/>
              <w:keepLines w:val="0"/>
              <w:pageBreakBefore w:val="0"/>
              <w:wordWrap w:val="1"/>
              <w:overflowPunct w:val="1"/>
              <w:topLinePunct w:val="0"/>
              <w:kinsoku w:val="1"/>
              <w:autoSpaceDE w:val="1"/>
              <w:autoSpaceDN w:val="1"/>
              <w:bidi w:val="0"/>
              <w:adjustRightInd w:val="1"/>
              <w:snapToGrid w:val="1"/>
              <w:jc w:val="center"/>
              <w:spacing w:line="240" w:lineRule="auto"/>
              <w:rPr>
                <w:color w:val="auto"/>
                <w:sz w:val="22"/>
                <w:kern w:val="0"/>
                <w:szCs w:val="22"/>
              </w:rPr>
            </w:pPr>
          </w:p>
        </w:tc>
        <w:tc>
          <w:tcPr>
            <w:tcW w:w="990" w:type="dxa"/>
            <w:vMerge w:val="continue"/>
            <w:vAlign w:val="center"/>
            <w:shd w:val="clear" w:color="auto" w:fill="FFFFFF"/>
          </w:tcPr>
          <w:p>
            <w:pPr>
              <w:widowControl w:val="1"/>
              <w:keepNext w:val="0"/>
              <w:keepLines w:val="0"/>
              <w:pageBreakBefore w:val="0"/>
              <w:wordWrap w:val="1"/>
              <w:overflowPunct w:val="1"/>
              <w:topLinePunct w:val="0"/>
              <w:kinsoku w:val="1"/>
              <w:autoSpaceDE w:val="1"/>
              <w:autoSpaceDN w:val="1"/>
              <w:bidi w:val="0"/>
              <w:adjustRightInd w:val="1"/>
              <w:snapToGrid w:val="1"/>
              <w:jc w:val="center"/>
              <w:spacing w:line="240" w:lineRule="auto"/>
              <w:rPr>
                <w:color w:val="auto"/>
                <w:sz w:val="22"/>
                <w:kern w:val="0"/>
                <w:szCs w:val="22"/>
              </w:rPr>
            </w:pPr>
          </w:p>
        </w:tc>
        <w:tc>
          <w:tcPr>
            <w:tcW w:w="1283" w:type="dxa"/>
            <w:vMerge w:val="continue"/>
            <w:vAlign w:val="center"/>
            <w:shd w:val="clear" w:color="auto" w:fill="FFFFFF"/>
          </w:tcPr>
          <w:p>
            <w:pPr>
              <w:widowControl w:val="1"/>
              <w:keepNext w:val="0"/>
              <w:keepLines w:val="0"/>
              <w:pageBreakBefore w:val="0"/>
              <w:wordWrap w:val="1"/>
              <w:overflowPunct w:val="1"/>
              <w:topLinePunct w:val="0"/>
              <w:kinsoku w:val="1"/>
              <w:autoSpaceDE w:val="1"/>
              <w:autoSpaceDN w:val="1"/>
              <w:bidi w:val="0"/>
              <w:adjustRightInd w:val="1"/>
              <w:snapToGrid w:val="1"/>
              <w:jc w:val="center"/>
              <w:spacing w:line="240" w:lineRule="auto"/>
              <w:rPr>
                <w:color w:val="auto"/>
                <w:sz w:val="22"/>
                <w:kern w:val="0"/>
                <w:szCs w:val="22"/>
              </w:rPr>
            </w:pPr>
          </w:p>
        </w:tc>
        <w:tc>
          <w:tcPr>
            <w:tcW w:w="1707" w:type="dxa"/>
            <w:vAlign w:val="center"/>
            <w:shd w:val="clear" w:color="auto" w:fill="FFFFFF"/>
          </w:tcPr>
          <w:p>
            <w:pPr>
              <w:widowControl w:val="1"/>
              <w:keepNext w:val="0"/>
              <w:keepLines w:val="0"/>
              <w:pageBreakBefore w:val="0"/>
              <w:wordWrap w:val="1"/>
              <w:overflowPunct w:val="1"/>
              <w:topLinePunct w:val="0"/>
              <w:kinsoku w:val="1"/>
              <w:autoSpaceDE w:val="1"/>
              <w:autoSpaceDN w:val="1"/>
              <w:bidi w:val="0"/>
              <w:adjustRightInd w:val="1"/>
              <w:snapToGrid w:val="1"/>
              <w:jc w:val="center"/>
              <w:spacing w:line="240" w:lineRule="auto"/>
              <w:rPr>
                <w:color w:val="auto"/>
                <w:sz w:val="22"/>
                <w:kern w:val="0"/>
                <w:szCs w:val="22"/>
              </w:rPr>
            </w:pPr>
            <w:r>
              <w:rPr>
                <w:color w:val="auto"/>
                <w:sz w:val="22"/>
                <w:kern w:val="0"/>
                <w:szCs w:val="22"/>
              </w:rPr>
              <w:t>资金分配</w:t>
            </w:r>
          </w:p>
          <w:p>
            <w:pPr>
              <w:widowControl w:val="1"/>
              <w:keepNext w:val="0"/>
              <w:keepLines w:val="0"/>
              <w:pageBreakBefore w:val="0"/>
              <w:wordWrap w:val="1"/>
              <w:overflowPunct w:val="1"/>
              <w:topLinePunct w:val="0"/>
              <w:kinsoku w:val="1"/>
              <w:autoSpaceDE w:val="1"/>
              <w:autoSpaceDN w:val="1"/>
              <w:bidi w:val="0"/>
              <w:adjustRightInd w:val="1"/>
              <w:snapToGrid w:val="1"/>
              <w:jc w:val="center"/>
              <w:spacing w:line="240" w:lineRule="auto"/>
              <w:rPr>
                <w:color w:val="auto"/>
                <w:sz w:val="22"/>
                <w:kern w:val="0"/>
                <w:szCs w:val="22"/>
              </w:rPr>
            </w:pPr>
            <w:r>
              <w:rPr>
                <w:color w:val="auto"/>
                <w:sz w:val="22"/>
                <w:kern w:val="0"/>
                <w:szCs w:val="22"/>
              </w:rPr>
              <w:t>合理性</w:t>
            </w:r>
          </w:p>
        </w:tc>
        <w:tc>
          <w:tcPr>
            <w:tcW w:w="727" w:type="dxa"/>
            <w:vAlign w:val="center"/>
            <w:shd w:val="clear" w:color="auto" w:fill="FFFFFF"/>
          </w:tcPr>
          <w:p>
            <w:pPr>
              <w:widowControl w:val="1"/>
              <w:keepNext w:val="0"/>
              <w:keepLines w:val="0"/>
              <w:pageBreakBefore w:val="0"/>
              <w:wordWrap w:val="1"/>
              <w:overflowPunct w:val="1"/>
              <w:topLinePunct w:val="0"/>
              <w:kinsoku w:val="1"/>
              <w:autoSpaceDE w:val="1"/>
              <w:autoSpaceDN w:val="1"/>
              <w:bidi w:val="0"/>
              <w:adjustRightInd w:val="1"/>
              <w:snapToGrid w:val="1"/>
              <w:jc w:val="center"/>
              <w:spacing w:line="240" w:lineRule="auto"/>
              <w:rPr>
                <w:color w:val="auto"/>
                <w:sz w:val="22"/>
                <w:kern w:val="0"/>
                <w:szCs w:val="22"/>
              </w:rPr>
            </w:pPr>
            <w:r>
              <w:rPr>
                <w:color w:val="auto"/>
                <w:sz w:val="22"/>
                <w:kern w:val="0"/>
                <w:szCs w:val="22"/>
                <w:rFonts w:hint="eastAsia"/>
              </w:rPr>
              <w:t>3</w:t>
            </w:r>
          </w:p>
        </w:tc>
        <w:tc>
          <w:tcPr>
            <w:tcW w:w="1044" w:type="dxa"/>
            <w:vAlign w:val="center"/>
            <w:shd w:val="clear" w:color="auto" w:fill="FFFFFF"/>
          </w:tcPr>
          <w:p>
            <w:pPr>
              <w:widowControl w:val="1"/>
              <w:keepNext w:val="0"/>
              <w:keepLines w:val="0"/>
              <w:pageBreakBefore w:val="0"/>
              <w:wordWrap w:val="1"/>
              <w:overflowPunct w:val="1"/>
              <w:topLinePunct w:val="0"/>
              <w:kinsoku w:val="1"/>
              <w:autoSpaceDE w:val="1"/>
              <w:autoSpaceDN w:val="1"/>
              <w:bidi w:val="0"/>
              <w:adjustRightInd w:val="1"/>
              <w:snapToGrid w:val="1"/>
              <w:jc w:val="center"/>
              <w:spacing w:line="240" w:lineRule="auto"/>
              <w:rPr>
                <w:color w:val="auto"/>
                <w:sz w:val="22"/>
                <w:kern w:val="0"/>
                <w:szCs w:val="22"/>
              </w:rPr>
            </w:pPr>
            <w:r>
              <w:rPr>
                <w:color w:val="auto"/>
                <w:sz w:val="22"/>
                <w:kern w:val="0"/>
                <w:szCs w:val="22"/>
              </w:rPr>
              <w:t>合理</w:t>
            </w:r>
          </w:p>
        </w:tc>
        <w:tc>
          <w:tcPr>
            <w:tcW w:w="924" w:type="dxa"/>
            <w:vAlign w:val="center"/>
            <w:shd w:val="clear" w:color="auto" w:fill="FFFFFF"/>
          </w:tcPr>
          <w:p>
            <w:pPr>
              <w:widowControl w:val="1"/>
              <w:keepNext w:val="0"/>
              <w:keepLines w:val="0"/>
              <w:pageBreakBefore w:val="0"/>
              <w:wordWrap w:val="1"/>
              <w:overflowPunct w:val="1"/>
              <w:topLinePunct w:val="0"/>
              <w:kinsoku w:val="1"/>
              <w:autoSpaceDE w:val="1"/>
              <w:autoSpaceDN w:val="1"/>
              <w:bidi w:val="0"/>
              <w:adjustRightInd w:val="1"/>
              <w:snapToGrid w:val="1"/>
              <w:jc w:val="center"/>
              <w:spacing w:line="240" w:lineRule="auto"/>
              <w:rPr>
                <w:color w:val="auto"/>
                <w:sz w:val="22"/>
                <w:kern w:val="0"/>
                <w:szCs w:val="22"/>
              </w:rPr>
            </w:pPr>
            <w:r>
              <w:rPr>
                <w:color w:val="auto"/>
                <w:sz w:val="22"/>
                <w:kern w:val="0"/>
                <w:szCs w:val="22"/>
              </w:rPr>
              <w:t>合理</w:t>
            </w:r>
          </w:p>
        </w:tc>
        <w:tc>
          <w:tcPr>
            <w:tcW w:w="1215" w:type="dxa"/>
            <w:vAlign w:val="center"/>
            <w:shd w:val="clear" w:color="auto" w:fill="FFFFFF"/>
          </w:tcPr>
          <w:p>
            <w:pPr>
              <w:widowControl w:val="1"/>
              <w:keepNext w:val="0"/>
              <w:keepLines w:val="0"/>
              <w:pageBreakBefore w:val="0"/>
              <w:wordWrap w:val="1"/>
              <w:overflowPunct w:val="1"/>
              <w:topLinePunct w:val="0"/>
              <w:kinsoku w:val="1"/>
              <w:autoSpaceDE w:val="1"/>
              <w:autoSpaceDN w:val="1"/>
              <w:bidi w:val="0"/>
              <w:adjustRightInd w:val="1"/>
              <w:snapToGrid w:val="1"/>
              <w:jc w:val="center"/>
              <w:spacing w:line="240" w:lineRule="auto"/>
              <w:rPr>
                <w:color w:val="auto"/>
                <w:sz w:val="22"/>
                <w:kern w:val="0"/>
                <w:szCs w:val="22"/>
              </w:rPr>
            </w:pPr>
            <w:r>
              <w:rPr>
                <w:color w:val="auto"/>
                <w:sz w:val="22"/>
                <w:kern w:val="0"/>
                <w:szCs w:val="22"/>
              </w:rPr>
              <w:t>100%</w:t>
            </w:r>
          </w:p>
        </w:tc>
        <w:tc>
          <w:tcPr>
            <w:tcW w:w="960" w:type="dxa"/>
            <w:vAlign w:val="center"/>
            <w:shd w:val="clear" w:color="auto" w:fill="FFFFFF"/>
          </w:tcPr>
          <w:p>
            <w:pPr>
              <w:widowControl w:val="1"/>
              <w:keepNext w:val="0"/>
              <w:keepLines w:val="0"/>
              <w:pageBreakBefore w:val="0"/>
              <w:wordWrap w:val="1"/>
              <w:overflowPunct w:val="1"/>
              <w:topLinePunct w:val="0"/>
              <w:kinsoku w:val="1"/>
              <w:autoSpaceDE w:val="1"/>
              <w:autoSpaceDN w:val="1"/>
              <w:bidi w:val="0"/>
              <w:adjustRightInd w:val="1"/>
              <w:snapToGrid w:val="1"/>
              <w:jc w:val="center"/>
              <w:spacing w:line="240" w:lineRule="auto"/>
              <w:rPr>
                <w:color w:val="auto"/>
                <w:sz w:val="22"/>
                <w:kern w:val="0"/>
                <w:szCs w:val="22"/>
              </w:rPr>
            </w:pPr>
            <w:r>
              <w:rPr>
                <w:color w:val="auto"/>
                <w:sz w:val="22"/>
                <w:kern w:val="0"/>
                <w:szCs w:val="22"/>
                <w:rFonts w:hint="eastAsia"/>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type="dxa" w:w="0.000000"/>
            <w:bottom w:type="dxa" w:w="0.000000"/>
            <w:left w:type="dxa" w:w="108.000000"/>
            <w:right w:type="dxa" w:w="108.000000"/>
          </w:tblCellMar>
          <w:tblLayout w:type="fixed"/>
        </w:tblPrEx>
        <w:trPr>
          <w:trHeight w:val="567" w:hRule="atLeast"/>
        </w:trPr>
        <w:tc>
          <w:tcPr>
            <w:tcW w:w="1104" w:type="dxa"/>
            <w:vMerge w:val="restart"/>
            <w:vAlign w:val="center"/>
            <w:shd w:val="clear" w:color="auto" w:fill="FFFFFF"/>
          </w:tcPr>
          <w:p>
            <w:pPr>
              <w:keepNext w:val="0"/>
              <w:keepLines w:val="0"/>
              <w:pageBreakBefore w:val="0"/>
              <w:wordWrap w:val="1"/>
              <w:overflowPunct w:val="1"/>
              <w:topLinePunct w:val="0"/>
              <w:kinsoku w:val="1"/>
              <w:autoSpaceDE w:val="1"/>
              <w:autoSpaceDN w:val="1"/>
              <w:bidi w:val="0"/>
              <w:adjustRightInd w:val="1"/>
              <w:snapToGrid w:val="1"/>
              <w:jc w:val="center"/>
              <w:spacing w:line="240" w:lineRule="auto"/>
              <w:rPr>
                <w:color w:val="auto"/>
                <w:sz w:val="22"/>
                <w:kern w:val="0"/>
                <w:szCs w:val="22"/>
              </w:rPr>
            </w:pPr>
            <w:r>
              <w:rPr>
                <w:color w:val="auto"/>
                <w:sz w:val="22"/>
                <w:kern w:val="0"/>
                <w:szCs w:val="22"/>
              </w:rPr>
              <w:t>过程</w:t>
            </w:r>
          </w:p>
          <w:p>
            <w:pPr>
              <w:keepNext w:val="0"/>
              <w:keepLines w:val="0"/>
              <w:pageBreakBefore w:val="0"/>
              <w:wordWrap w:val="1"/>
              <w:overflowPunct w:val="1"/>
              <w:topLinePunct w:val="0"/>
              <w:kinsoku w:val="1"/>
              <w:autoSpaceDE w:val="1"/>
              <w:autoSpaceDN w:val="1"/>
              <w:bidi w:val="0"/>
              <w:adjustRightInd w:val="1"/>
              <w:snapToGrid w:val="1"/>
              <w:jc w:val="center"/>
              <w:spacing w:line="240" w:lineRule="auto"/>
              <w:rPr>
                <w:color w:val="auto"/>
                <w:sz w:val="22"/>
                <w:kern w:val="0"/>
                <w:szCs w:val="22"/>
              </w:rPr>
            </w:pPr>
            <w:r>
              <w:rPr>
                <w:color w:val="auto"/>
                <w:sz w:val="22"/>
                <w:kern w:val="0"/>
                <w:szCs w:val="22"/>
              </w:rPr>
              <w:t>　</w:t>
            </w:r>
          </w:p>
        </w:tc>
        <w:tc>
          <w:tcPr>
            <w:tcW w:w="990" w:type="dxa"/>
            <w:vMerge w:val="restart"/>
            <w:vAlign w:val="center"/>
            <w:shd w:val="clear" w:color="auto" w:fill="FFFFFF"/>
          </w:tcPr>
          <w:p>
            <w:pPr>
              <w:widowControl w:val="1"/>
              <w:keepNext w:val="0"/>
              <w:keepLines w:val="0"/>
              <w:pageBreakBefore w:val="0"/>
              <w:wordWrap w:val="1"/>
              <w:overflowPunct w:val="1"/>
              <w:topLinePunct w:val="0"/>
              <w:kinsoku w:val="1"/>
              <w:autoSpaceDE w:val="1"/>
              <w:autoSpaceDN w:val="1"/>
              <w:bidi w:val="0"/>
              <w:adjustRightInd w:val="1"/>
              <w:snapToGrid w:val="1"/>
              <w:jc w:val="center"/>
              <w:spacing w:line="240" w:lineRule="auto"/>
              <w:rPr>
                <w:color w:val="auto"/>
                <w:sz w:val="22"/>
                <w:kern w:val="0"/>
                <w:szCs w:val="22"/>
              </w:rPr>
            </w:pPr>
            <w:r>
              <w:rPr>
                <w:color w:val="auto"/>
                <w:sz w:val="22"/>
                <w:kern w:val="0"/>
                <w:szCs w:val="22"/>
                <w:rFonts w:hint="eastAsia"/>
              </w:rPr>
              <w:t>20</w:t>
            </w:r>
            <w:r>
              <w:rPr>
                <w:color w:val="auto"/>
                <w:sz w:val="22"/>
                <w:kern w:val="0"/>
                <w:szCs w:val="22"/>
              </w:rPr>
              <w:t>分</w:t>
            </w:r>
          </w:p>
        </w:tc>
        <w:tc>
          <w:tcPr>
            <w:tcW w:w="1283" w:type="dxa"/>
            <w:vMerge w:val="restart"/>
            <w:vAlign w:val="center"/>
            <w:shd w:val="clear" w:color="auto" w:fill="FFFFFF"/>
          </w:tcPr>
          <w:p>
            <w:pPr>
              <w:widowControl w:val="1"/>
              <w:keepNext w:val="0"/>
              <w:keepLines w:val="0"/>
              <w:pageBreakBefore w:val="0"/>
              <w:wordWrap w:val="1"/>
              <w:overflowPunct w:val="1"/>
              <w:topLinePunct w:val="0"/>
              <w:kinsoku w:val="1"/>
              <w:autoSpaceDE w:val="1"/>
              <w:autoSpaceDN w:val="1"/>
              <w:bidi w:val="0"/>
              <w:adjustRightInd w:val="1"/>
              <w:snapToGrid w:val="1"/>
              <w:jc w:val="center"/>
              <w:spacing w:line="240" w:lineRule="auto"/>
              <w:rPr>
                <w:color w:val="auto"/>
                <w:sz w:val="22"/>
                <w:kern w:val="0"/>
                <w:szCs w:val="22"/>
              </w:rPr>
            </w:pPr>
            <w:r>
              <w:rPr>
                <w:color w:val="auto"/>
                <w:sz w:val="22"/>
                <w:kern w:val="0"/>
                <w:szCs w:val="22"/>
              </w:rPr>
              <w:t>资金管理</w:t>
            </w:r>
          </w:p>
        </w:tc>
        <w:tc>
          <w:tcPr>
            <w:tcW w:w="1707" w:type="dxa"/>
            <w:vAlign w:val="center"/>
            <w:shd w:val="clear" w:color="auto" w:fill="FFFFFF"/>
          </w:tcPr>
          <w:p>
            <w:pPr>
              <w:widowControl w:val="1"/>
              <w:keepNext w:val="0"/>
              <w:keepLines w:val="0"/>
              <w:pageBreakBefore w:val="0"/>
              <w:wordWrap w:val="1"/>
              <w:overflowPunct w:val="1"/>
              <w:topLinePunct w:val="0"/>
              <w:kinsoku w:val="1"/>
              <w:autoSpaceDE w:val="1"/>
              <w:autoSpaceDN w:val="1"/>
              <w:bidi w:val="0"/>
              <w:adjustRightInd w:val="1"/>
              <w:snapToGrid w:val="1"/>
              <w:jc w:val="center"/>
              <w:spacing w:line="240" w:lineRule="auto"/>
              <w:rPr>
                <w:color w:val="auto"/>
                <w:sz w:val="22"/>
                <w:kern w:val="0"/>
                <w:szCs w:val="22"/>
              </w:rPr>
            </w:pPr>
            <w:r>
              <w:rPr>
                <w:color w:val="auto"/>
                <w:sz w:val="22"/>
                <w:kern w:val="0"/>
                <w:szCs w:val="22"/>
              </w:rPr>
              <w:t>资金到位率</w:t>
            </w:r>
          </w:p>
        </w:tc>
        <w:tc>
          <w:tcPr>
            <w:tcW w:w="727" w:type="dxa"/>
            <w:vAlign w:val="center"/>
            <w:shd w:val="clear" w:color="000000" w:fill="FFFFFF"/>
          </w:tcPr>
          <w:p>
            <w:pPr>
              <w:widowControl w:val="1"/>
              <w:keepNext w:val="0"/>
              <w:keepLines w:val="0"/>
              <w:pageBreakBefore w:val="0"/>
              <w:wordWrap w:val="1"/>
              <w:overflowPunct w:val="1"/>
              <w:topLinePunct w:val="0"/>
              <w:kinsoku w:val="1"/>
              <w:autoSpaceDE w:val="1"/>
              <w:autoSpaceDN w:val="1"/>
              <w:bidi w:val="0"/>
              <w:adjustRightInd w:val="1"/>
              <w:snapToGrid w:val="1"/>
              <w:jc w:val="center"/>
              <w:spacing w:line="240" w:lineRule="auto"/>
              <w:rPr>
                <w:color w:val="auto"/>
                <w:sz w:val="22"/>
                <w:kern w:val="0"/>
                <w:szCs w:val="22"/>
              </w:rPr>
            </w:pPr>
            <w:r>
              <w:rPr>
                <w:color w:val="auto"/>
                <w:sz w:val="22"/>
                <w:kern w:val="0"/>
                <w:szCs w:val="22"/>
                <w:rFonts w:hint="eastAsia"/>
              </w:rPr>
              <w:t>4</w:t>
            </w:r>
          </w:p>
        </w:tc>
        <w:tc>
          <w:tcPr>
            <w:tcW w:w="1044" w:type="dxa"/>
            <w:vAlign w:val="center"/>
            <w:shd w:val="clear" w:color="000000" w:fill="FFFFFF"/>
          </w:tcPr>
          <w:p>
            <w:pPr>
              <w:widowControl w:val="1"/>
              <w:keepNext w:val="0"/>
              <w:keepLines w:val="0"/>
              <w:pageBreakBefore w:val="0"/>
              <w:wordWrap w:val="1"/>
              <w:overflowPunct w:val="1"/>
              <w:topLinePunct w:val="0"/>
              <w:kinsoku w:val="1"/>
              <w:autoSpaceDE w:val="1"/>
              <w:autoSpaceDN w:val="1"/>
              <w:bidi w:val="0"/>
              <w:adjustRightInd w:val="1"/>
              <w:snapToGrid w:val="1"/>
              <w:jc w:val="center"/>
              <w:spacing w:line="240" w:lineRule="auto"/>
              <w:rPr>
                <w:color w:val="auto"/>
                <w:sz w:val="22"/>
                <w:kern w:val="0"/>
                <w:szCs w:val="22"/>
              </w:rPr>
            </w:pPr>
            <w:r>
              <w:rPr>
                <w:color w:val="auto"/>
                <w:sz w:val="22"/>
                <w:kern w:val="0"/>
                <w:szCs w:val="22"/>
              </w:rPr>
              <w:t>100%</w:t>
            </w:r>
          </w:p>
        </w:tc>
        <w:tc>
          <w:tcPr>
            <w:tcW w:w="924" w:type="dxa"/>
            <w:vAlign w:val="center"/>
            <w:shd w:val="clear" w:color="000000" w:fill="FFFFFF"/>
          </w:tcPr>
          <w:p>
            <w:pPr>
              <w:widowControl w:val="1"/>
              <w:keepNext w:val="0"/>
              <w:keepLines w:val="0"/>
              <w:pageBreakBefore w:val="0"/>
              <w:wordWrap w:val="1"/>
              <w:overflowPunct w:val="1"/>
              <w:topLinePunct w:val="0"/>
              <w:kinsoku w:val="1"/>
              <w:autoSpaceDE w:val="1"/>
              <w:autoSpaceDN w:val="1"/>
              <w:bidi w:val="0"/>
              <w:adjustRightInd w:val="1"/>
              <w:snapToGrid w:val="1"/>
              <w:jc w:val="center"/>
              <w:spacing w:line="240" w:lineRule="auto"/>
              <w:rPr>
                <w:color w:val="auto"/>
                <w:sz w:val="22"/>
                <w:kern w:val="0"/>
                <w:szCs w:val="22"/>
              </w:rPr>
            </w:pPr>
            <w:r>
              <w:rPr>
                <w:color w:val="auto"/>
                <w:sz w:val="22"/>
                <w:kern w:val="0"/>
                <w:szCs w:val="22"/>
              </w:rPr>
              <w:t>100%</w:t>
            </w:r>
          </w:p>
        </w:tc>
        <w:tc>
          <w:tcPr>
            <w:tcW w:w="1215" w:type="dxa"/>
            <w:vAlign w:val="center"/>
            <w:shd w:val="clear" w:color="000000" w:fill="FFFFFF"/>
          </w:tcPr>
          <w:p>
            <w:pPr>
              <w:widowControl w:val="1"/>
              <w:keepNext w:val="0"/>
              <w:keepLines w:val="0"/>
              <w:pageBreakBefore w:val="0"/>
              <w:wordWrap w:val="1"/>
              <w:overflowPunct w:val="1"/>
              <w:topLinePunct w:val="0"/>
              <w:kinsoku w:val="1"/>
              <w:autoSpaceDE w:val="1"/>
              <w:autoSpaceDN w:val="1"/>
              <w:bidi w:val="0"/>
              <w:adjustRightInd w:val="1"/>
              <w:snapToGrid w:val="1"/>
              <w:jc w:val="center"/>
              <w:spacing w:line="240" w:lineRule="auto"/>
              <w:rPr>
                <w:color w:val="auto"/>
                <w:sz w:val="22"/>
                <w:kern w:val="0"/>
                <w:szCs w:val="22"/>
              </w:rPr>
            </w:pPr>
            <w:r>
              <w:rPr>
                <w:color w:val="auto"/>
                <w:sz w:val="22"/>
                <w:kern w:val="0"/>
                <w:szCs w:val="22"/>
              </w:rPr>
              <w:t>100%</w:t>
            </w:r>
          </w:p>
        </w:tc>
        <w:tc>
          <w:tcPr>
            <w:tcW w:w="960" w:type="dxa"/>
            <w:vAlign w:val="center"/>
            <w:shd w:val="clear" w:color="000000" w:fill="FFFFFF"/>
          </w:tcPr>
          <w:p>
            <w:pPr>
              <w:widowControl w:val="1"/>
              <w:keepNext w:val="0"/>
              <w:keepLines w:val="0"/>
              <w:pageBreakBefore w:val="0"/>
              <w:wordWrap w:val="1"/>
              <w:overflowPunct w:val="1"/>
              <w:topLinePunct w:val="0"/>
              <w:kinsoku w:val="1"/>
              <w:autoSpaceDE w:val="1"/>
              <w:autoSpaceDN w:val="1"/>
              <w:bidi w:val="0"/>
              <w:adjustRightInd w:val="1"/>
              <w:snapToGrid w:val="1"/>
              <w:jc w:val="center"/>
              <w:spacing w:line="240" w:lineRule="auto"/>
              <w:rPr>
                <w:color w:val="auto"/>
                <w:sz w:val="22"/>
                <w:kern w:val="0"/>
                <w:szCs w:val="22"/>
              </w:rPr>
            </w:pPr>
            <w:r>
              <w:rPr>
                <w:color w:val="auto"/>
                <w:sz w:val="22"/>
                <w:kern w:val="0"/>
                <w:szCs w:val="22"/>
                <w:rFonts w:hint="eastAsia"/>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type="dxa" w:w="0.000000"/>
            <w:bottom w:type="dxa" w:w="0.000000"/>
            <w:left w:type="dxa" w:w="108.000000"/>
            <w:right w:type="dxa" w:w="108.000000"/>
          </w:tblCellMar>
          <w:tblLayout w:type="fixed"/>
        </w:tblPrEx>
        <w:trPr>
          <w:trHeight w:val="567" w:hRule="atLeast"/>
        </w:trPr>
        <w:tc>
          <w:tcPr>
            <w:tcW w:w="1104" w:type="dxa"/>
            <w:vMerge w:val="continue"/>
            <w:vAlign w:val="center"/>
            <w:shd w:val="clear" w:color="auto" w:fill="FFFFFF"/>
          </w:tcPr>
          <w:p>
            <w:pPr>
              <w:keepNext w:val="0"/>
              <w:keepLines w:val="0"/>
              <w:pageBreakBefore w:val="0"/>
              <w:wordWrap w:val="1"/>
              <w:overflowPunct w:val="1"/>
              <w:topLinePunct w:val="0"/>
              <w:kinsoku w:val="1"/>
              <w:autoSpaceDE w:val="1"/>
              <w:autoSpaceDN w:val="1"/>
              <w:bidi w:val="0"/>
              <w:adjustRightInd w:val="1"/>
              <w:snapToGrid w:val="1"/>
              <w:jc w:val="center"/>
              <w:spacing w:line="240" w:lineRule="auto"/>
              <w:rPr>
                <w:color w:val="auto"/>
                <w:sz w:val="22"/>
                <w:kern w:val="0"/>
                <w:szCs w:val="22"/>
              </w:rPr>
            </w:pPr>
          </w:p>
        </w:tc>
        <w:tc>
          <w:tcPr>
            <w:tcW w:w="990" w:type="dxa"/>
            <w:vMerge w:val="continue"/>
            <w:vAlign w:val="center"/>
            <w:shd w:val="clear" w:color="auto" w:fill="FFFFFF"/>
          </w:tcPr>
          <w:p>
            <w:pPr>
              <w:keepNext w:val="0"/>
              <w:keepLines w:val="0"/>
              <w:pageBreakBefore w:val="0"/>
              <w:wordWrap w:val="1"/>
              <w:overflowPunct w:val="1"/>
              <w:topLinePunct w:val="0"/>
              <w:kinsoku w:val="1"/>
              <w:autoSpaceDE w:val="1"/>
              <w:autoSpaceDN w:val="1"/>
              <w:bidi w:val="0"/>
              <w:adjustRightInd w:val="1"/>
              <w:snapToGrid w:val="1"/>
              <w:jc w:val="center"/>
              <w:spacing w:line="240" w:lineRule="auto"/>
              <w:rPr>
                <w:color w:val="auto"/>
                <w:sz w:val="22"/>
                <w:kern w:val="0"/>
                <w:szCs w:val="22"/>
              </w:rPr>
            </w:pPr>
          </w:p>
        </w:tc>
        <w:tc>
          <w:tcPr>
            <w:tcW w:w="1283" w:type="dxa"/>
            <w:vMerge w:val="continue"/>
            <w:vAlign w:val="center"/>
            <w:shd w:val="clear" w:color="auto" w:fill="FFFFFF"/>
          </w:tcPr>
          <w:p>
            <w:pPr>
              <w:keepNext w:val="0"/>
              <w:keepLines w:val="0"/>
              <w:pageBreakBefore w:val="0"/>
              <w:wordWrap w:val="1"/>
              <w:overflowPunct w:val="1"/>
              <w:topLinePunct w:val="0"/>
              <w:kinsoku w:val="1"/>
              <w:autoSpaceDE w:val="1"/>
              <w:autoSpaceDN w:val="1"/>
              <w:bidi w:val="0"/>
              <w:adjustRightInd w:val="1"/>
              <w:snapToGrid w:val="1"/>
              <w:jc w:val="center"/>
              <w:spacing w:line="240" w:lineRule="auto"/>
              <w:rPr>
                <w:color w:val="auto"/>
                <w:sz w:val="22"/>
                <w:kern w:val="0"/>
                <w:szCs w:val="22"/>
              </w:rPr>
            </w:pPr>
          </w:p>
        </w:tc>
        <w:tc>
          <w:tcPr>
            <w:tcW w:w="1707" w:type="dxa"/>
            <w:vAlign w:val="center"/>
            <w:shd w:val="clear" w:color="auto" w:fill="FFFFFF"/>
          </w:tcPr>
          <w:p>
            <w:pPr>
              <w:widowControl w:val="1"/>
              <w:keepNext w:val="0"/>
              <w:keepLines w:val="0"/>
              <w:pageBreakBefore w:val="0"/>
              <w:wordWrap w:val="1"/>
              <w:overflowPunct w:val="1"/>
              <w:topLinePunct w:val="0"/>
              <w:kinsoku w:val="1"/>
              <w:autoSpaceDE w:val="1"/>
              <w:autoSpaceDN w:val="1"/>
              <w:bidi w:val="0"/>
              <w:adjustRightInd w:val="1"/>
              <w:snapToGrid w:val="1"/>
              <w:jc w:val="center"/>
              <w:spacing w:line="240" w:lineRule="auto"/>
              <w:rPr>
                <w:color w:val="auto"/>
                <w:sz w:val="22"/>
                <w:kern w:val="0"/>
                <w:szCs w:val="22"/>
              </w:rPr>
            </w:pPr>
            <w:r>
              <w:rPr>
                <w:color w:val="auto"/>
                <w:sz w:val="22"/>
                <w:kern w:val="0"/>
                <w:szCs w:val="22"/>
              </w:rPr>
              <w:t>预算执行率</w:t>
            </w:r>
          </w:p>
        </w:tc>
        <w:tc>
          <w:tcPr>
            <w:tcW w:w="727" w:type="dxa"/>
            <w:vAlign w:val="center"/>
            <w:shd w:val="clear" w:color="auto" w:fill="FFFFFF"/>
          </w:tcPr>
          <w:p>
            <w:pPr>
              <w:widowControl w:val="1"/>
              <w:keepNext w:val="0"/>
              <w:keepLines w:val="0"/>
              <w:pageBreakBefore w:val="0"/>
              <w:wordWrap w:val="1"/>
              <w:overflowPunct w:val="1"/>
              <w:topLinePunct w:val="0"/>
              <w:kinsoku w:val="1"/>
              <w:autoSpaceDE w:val="1"/>
              <w:autoSpaceDN w:val="1"/>
              <w:bidi w:val="0"/>
              <w:adjustRightInd w:val="1"/>
              <w:snapToGrid w:val="1"/>
              <w:jc w:val="center"/>
              <w:spacing w:line="240" w:lineRule="auto"/>
              <w:rPr>
                <w:color w:val="auto"/>
                <w:sz w:val="22"/>
                <w:kern w:val="0"/>
                <w:szCs w:val="22"/>
              </w:rPr>
            </w:pPr>
            <w:r>
              <w:rPr>
                <w:color w:val="auto"/>
                <w:sz w:val="22"/>
                <w:kern w:val="0"/>
                <w:szCs w:val="22"/>
                <w:rFonts w:hint="eastAsia"/>
              </w:rPr>
              <w:t>4</w:t>
            </w:r>
          </w:p>
        </w:tc>
        <w:tc>
          <w:tcPr>
            <w:tcW w:w="1044" w:type="dxa"/>
            <w:vAlign w:val="center"/>
            <w:shd w:val="clear" w:color="auto" w:fill="FFFFFF"/>
          </w:tcPr>
          <w:p>
            <w:pPr>
              <w:widowControl w:val="1"/>
              <w:keepNext w:val="0"/>
              <w:keepLines w:val="0"/>
              <w:pageBreakBefore w:val="0"/>
              <w:wordWrap w:val="1"/>
              <w:overflowPunct w:val="1"/>
              <w:topLinePunct w:val="0"/>
              <w:kinsoku w:val="1"/>
              <w:autoSpaceDE w:val="1"/>
              <w:autoSpaceDN w:val="1"/>
              <w:bidi w:val="0"/>
              <w:adjustRightInd w:val="1"/>
              <w:snapToGrid w:val="1"/>
              <w:jc w:val="center"/>
              <w:spacing w:line="240" w:lineRule="auto"/>
              <w:rPr>
                <w:color w:val="auto"/>
                <w:sz w:val="22"/>
                <w:kern w:val="0"/>
                <w:szCs w:val="22"/>
              </w:rPr>
            </w:pPr>
            <w:r>
              <w:rPr>
                <w:color w:val="auto"/>
                <w:sz w:val="22"/>
                <w:kern w:val="0"/>
                <w:szCs w:val="22"/>
              </w:rPr>
              <w:t>100%</w:t>
            </w:r>
          </w:p>
        </w:tc>
        <w:tc>
          <w:tcPr>
            <w:tcW w:w="924" w:type="dxa"/>
            <w:vAlign w:val="center"/>
            <w:shd w:val="clear" w:color="auto" w:fill="FFFFFF"/>
          </w:tcPr>
          <w:p>
            <w:pPr>
              <w:widowControl w:val="1"/>
              <w:keepNext w:val="0"/>
              <w:keepLines w:val="0"/>
              <w:pageBreakBefore w:val="0"/>
              <w:wordWrap w:val="1"/>
              <w:overflowPunct w:val="1"/>
              <w:topLinePunct w:val="0"/>
              <w:kinsoku w:val="1"/>
              <w:autoSpaceDE w:val="1"/>
              <w:autoSpaceDN w:val="1"/>
              <w:bidi w:val="0"/>
              <w:adjustRightInd w:val="1"/>
              <w:snapToGrid w:val="1"/>
              <w:jc w:val="center"/>
              <w:spacing w:line="240" w:lineRule="auto"/>
              <w:rPr>
                <w:color w:val="auto"/>
                <w:sz w:val="22"/>
                <w:lang w:val="en-US" w:eastAsia="zh-CN"/>
                <w:kern w:val="0"/>
                <w:szCs w:val="22"/>
                <w:rFonts w:eastAsia="宋体" w:hint="default"/>
              </w:rPr>
            </w:pPr>
            <w:r>
              <w:rPr>
                <w:color w:val="auto"/>
                <w:sz w:val="22"/>
                <w:lang w:val="en-US" w:eastAsia="zh-CN"/>
                <w:kern w:val="0"/>
                <w:szCs w:val="22"/>
                <w:rFonts w:hint="eastAsia"/>
              </w:rPr>
              <w:t>96.18%</w:t>
            </w:r>
          </w:p>
        </w:tc>
        <w:tc>
          <w:tcPr>
            <w:tcW w:w="1215" w:type="dxa"/>
            <w:vAlign w:val="center"/>
            <w:shd w:val="clear" w:color="auto" w:fill="FFFFFF"/>
          </w:tcPr>
          <w:p>
            <w:pPr>
              <w:widowControl w:val="1"/>
              <w:keepNext w:val="0"/>
              <w:keepLines w:val="0"/>
              <w:pageBreakBefore w:val="0"/>
              <w:wordWrap w:val="1"/>
              <w:overflowPunct w:val="1"/>
              <w:topLinePunct w:val="0"/>
              <w:kinsoku w:val="1"/>
              <w:autoSpaceDE w:val="1"/>
              <w:autoSpaceDN w:val="1"/>
              <w:bidi w:val="0"/>
              <w:adjustRightInd w:val="1"/>
              <w:snapToGrid w:val="1"/>
              <w:jc w:val="center"/>
              <w:spacing w:line="240" w:lineRule="auto"/>
              <w:rPr>
                <w:color w:val="auto"/>
                <w:sz w:val="22"/>
                <w:kern w:val="0"/>
                <w:szCs w:val="22"/>
              </w:rPr>
            </w:pPr>
            <w:r>
              <w:rPr>
                <w:color w:val="auto"/>
                <w:sz w:val="22"/>
                <w:lang w:val="en-US" w:eastAsia="zh-CN"/>
                <w:kern w:val="0"/>
                <w:szCs w:val="22"/>
                <w:rFonts w:hint="eastAsia"/>
              </w:rPr>
              <w:t>96.18%</w:t>
            </w:r>
          </w:p>
        </w:tc>
        <w:tc>
          <w:tcPr>
            <w:tcW w:w="960" w:type="dxa"/>
            <w:vAlign w:val="center"/>
            <w:shd w:val="clear" w:color="auto" w:fill="FFFFFF"/>
          </w:tcPr>
          <w:p>
            <w:pPr>
              <w:widowControl w:val="1"/>
              <w:keepNext w:val="0"/>
              <w:keepLines w:val="0"/>
              <w:pageBreakBefore w:val="0"/>
              <w:wordWrap w:val="1"/>
              <w:overflowPunct w:val="1"/>
              <w:topLinePunct w:val="0"/>
              <w:kinsoku w:val="1"/>
              <w:autoSpaceDE w:val="1"/>
              <w:autoSpaceDN w:val="1"/>
              <w:bidi w:val="0"/>
              <w:adjustRightInd w:val="1"/>
              <w:snapToGrid w:val="1"/>
              <w:jc w:val="center"/>
              <w:spacing w:line="240" w:lineRule="auto"/>
              <w:rPr>
                <w:color w:val="auto"/>
                <w:sz w:val="22"/>
                <w:lang w:val="en-US" w:eastAsia="zh-CN"/>
                <w:kern w:val="0"/>
                <w:szCs w:val="22"/>
                <w:rFonts w:eastAsia="宋体" w:hint="default"/>
              </w:rPr>
            </w:pPr>
            <w:r>
              <w:rPr>
                <w:color w:val="auto"/>
                <w:sz w:val="22"/>
                <w:lang w:val="en-US" w:eastAsia="zh-CN"/>
                <w:kern w:val="0"/>
                <w:szCs w:val="22"/>
                <w:rFonts w:hint="eastAsia"/>
              </w:rPr>
              <w:t>3.85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type="dxa" w:w="0.000000"/>
            <w:bottom w:type="dxa" w:w="0.000000"/>
            <w:left w:type="dxa" w:w="108.000000"/>
            <w:right w:type="dxa" w:w="108.000000"/>
          </w:tblCellMar>
          <w:tblLayout w:type="fixed"/>
        </w:tblPrEx>
        <w:trPr>
          <w:trHeight w:val="567" w:hRule="atLeast"/>
        </w:trPr>
        <w:tc>
          <w:tcPr>
            <w:tcW w:w="1104" w:type="dxa"/>
            <w:vMerge w:val="continue"/>
            <w:vAlign w:val="center"/>
            <w:shd w:val="clear" w:color="auto" w:fill="FFFFFF"/>
          </w:tcPr>
          <w:p>
            <w:pPr>
              <w:keepNext w:val="0"/>
              <w:keepLines w:val="0"/>
              <w:pageBreakBefore w:val="0"/>
              <w:wordWrap w:val="1"/>
              <w:overflowPunct w:val="1"/>
              <w:topLinePunct w:val="0"/>
              <w:kinsoku w:val="1"/>
              <w:autoSpaceDE w:val="1"/>
              <w:autoSpaceDN w:val="1"/>
              <w:bidi w:val="0"/>
              <w:adjustRightInd w:val="1"/>
              <w:snapToGrid w:val="1"/>
              <w:jc w:val="center"/>
              <w:spacing w:line="240" w:lineRule="auto"/>
              <w:rPr>
                <w:color w:val="auto"/>
                <w:sz w:val="22"/>
                <w:kern w:val="0"/>
                <w:szCs w:val="22"/>
              </w:rPr>
            </w:pPr>
          </w:p>
        </w:tc>
        <w:tc>
          <w:tcPr>
            <w:tcW w:w="990" w:type="dxa"/>
            <w:vMerge w:val="continue"/>
            <w:vAlign w:val="center"/>
            <w:shd w:val="clear" w:color="auto" w:fill="FFFFFF"/>
          </w:tcPr>
          <w:p>
            <w:pPr>
              <w:widowControl w:val="1"/>
              <w:keepNext w:val="0"/>
              <w:keepLines w:val="0"/>
              <w:pageBreakBefore w:val="0"/>
              <w:wordWrap w:val="1"/>
              <w:overflowPunct w:val="1"/>
              <w:topLinePunct w:val="0"/>
              <w:kinsoku w:val="1"/>
              <w:autoSpaceDE w:val="1"/>
              <w:autoSpaceDN w:val="1"/>
              <w:bidi w:val="0"/>
              <w:adjustRightInd w:val="1"/>
              <w:snapToGrid w:val="1"/>
              <w:jc w:val="center"/>
              <w:spacing w:line="240" w:lineRule="auto"/>
              <w:rPr>
                <w:color w:val="auto"/>
                <w:sz w:val="22"/>
                <w:kern w:val="0"/>
                <w:szCs w:val="22"/>
              </w:rPr>
            </w:pPr>
          </w:p>
        </w:tc>
        <w:tc>
          <w:tcPr>
            <w:tcW w:w="1283" w:type="dxa"/>
            <w:vAlign w:val="center"/>
            <w:shd w:val="clear" w:color="auto" w:fill="FFFFFF"/>
          </w:tcPr>
          <w:p>
            <w:pPr>
              <w:widowControl w:val="1"/>
              <w:keepNext w:val="0"/>
              <w:keepLines w:val="0"/>
              <w:pageBreakBefore w:val="0"/>
              <w:wordWrap w:val="1"/>
              <w:overflowPunct w:val="1"/>
              <w:topLinePunct w:val="0"/>
              <w:kinsoku w:val="1"/>
              <w:autoSpaceDE w:val="1"/>
              <w:autoSpaceDN w:val="1"/>
              <w:bidi w:val="0"/>
              <w:adjustRightInd w:val="1"/>
              <w:snapToGrid w:val="1"/>
              <w:jc w:val="center"/>
              <w:spacing w:line="240" w:lineRule="auto"/>
              <w:rPr>
                <w:color w:val="auto"/>
                <w:sz w:val="22"/>
                <w:kern w:val="0"/>
                <w:szCs w:val="22"/>
              </w:rPr>
            </w:pPr>
            <w:r>
              <w:rPr>
                <w:color w:val="auto"/>
                <w:sz w:val="22"/>
                <w:kern w:val="0"/>
                <w:szCs w:val="22"/>
              </w:rPr>
              <w:t>资金管理</w:t>
            </w:r>
          </w:p>
        </w:tc>
        <w:tc>
          <w:tcPr>
            <w:tcW w:w="1707" w:type="dxa"/>
            <w:vAlign w:val="center"/>
            <w:shd w:val="clear" w:color="auto" w:fill="FFFFFF"/>
          </w:tcPr>
          <w:p>
            <w:pPr>
              <w:widowControl w:val="1"/>
              <w:keepNext w:val="0"/>
              <w:keepLines w:val="0"/>
              <w:pageBreakBefore w:val="0"/>
              <w:wordWrap w:val="1"/>
              <w:overflowPunct w:val="1"/>
              <w:topLinePunct w:val="0"/>
              <w:kinsoku w:val="1"/>
              <w:autoSpaceDE w:val="1"/>
              <w:autoSpaceDN w:val="1"/>
              <w:bidi w:val="0"/>
              <w:adjustRightInd w:val="1"/>
              <w:snapToGrid w:val="1"/>
              <w:jc w:val="center"/>
              <w:spacing w:line="240" w:lineRule="auto"/>
              <w:rPr>
                <w:color w:val="auto"/>
                <w:sz w:val="22"/>
                <w:kern w:val="0"/>
                <w:szCs w:val="22"/>
              </w:rPr>
            </w:pPr>
            <w:r>
              <w:rPr>
                <w:color w:val="auto"/>
                <w:sz w:val="22"/>
                <w:kern w:val="0"/>
                <w:szCs w:val="22"/>
              </w:rPr>
              <w:t>资金使用</w:t>
            </w:r>
          </w:p>
          <w:p>
            <w:pPr>
              <w:widowControl w:val="1"/>
              <w:keepNext w:val="0"/>
              <w:keepLines w:val="0"/>
              <w:pageBreakBefore w:val="0"/>
              <w:wordWrap w:val="1"/>
              <w:overflowPunct w:val="1"/>
              <w:topLinePunct w:val="0"/>
              <w:kinsoku w:val="1"/>
              <w:autoSpaceDE w:val="1"/>
              <w:autoSpaceDN w:val="1"/>
              <w:bidi w:val="0"/>
              <w:adjustRightInd w:val="1"/>
              <w:snapToGrid w:val="1"/>
              <w:jc w:val="center"/>
              <w:spacing w:line="240" w:lineRule="auto"/>
              <w:rPr>
                <w:color w:val="auto"/>
                <w:sz w:val="22"/>
                <w:kern w:val="0"/>
                <w:szCs w:val="22"/>
              </w:rPr>
            </w:pPr>
            <w:r>
              <w:rPr>
                <w:color w:val="auto"/>
                <w:sz w:val="22"/>
                <w:kern w:val="0"/>
                <w:szCs w:val="22"/>
              </w:rPr>
              <w:t>合规性</w:t>
            </w:r>
          </w:p>
        </w:tc>
        <w:tc>
          <w:tcPr>
            <w:tcW w:w="727" w:type="dxa"/>
            <w:vAlign w:val="center"/>
            <w:shd w:val="clear" w:color="000000" w:fill="FFFFFF"/>
          </w:tcPr>
          <w:p>
            <w:pPr>
              <w:widowControl w:val="1"/>
              <w:keepNext w:val="0"/>
              <w:keepLines w:val="0"/>
              <w:pageBreakBefore w:val="0"/>
              <w:wordWrap w:val="1"/>
              <w:overflowPunct w:val="1"/>
              <w:topLinePunct w:val="0"/>
              <w:kinsoku w:val="1"/>
              <w:autoSpaceDE w:val="1"/>
              <w:autoSpaceDN w:val="1"/>
              <w:bidi w:val="0"/>
              <w:adjustRightInd w:val="1"/>
              <w:snapToGrid w:val="1"/>
              <w:jc w:val="center"/>
              <w:spacing w:line="240" w:lineRule="auto"/>
              <w:rPr>
                <w:color w:val="auto"/>
                <w:sz w:val="22"/>
                <w:kern w:val="0"/>
                <w:szCs w:val="22"/>
              </w:rPr>
            </w:pPr>
            <w:r>
              <w:rPr>
                <w:color w:val="auto"/>
                <w:sz w:val="22"/>
                <w:kern w:val="0"/>
                <w:szCs w:val="22"/>
                <w:rFonts w:hint="eastAsia"/>
              </w:rPr>
              <w:t>4</w:t>
            </w:r>
          </w:p>
        </w:tc>
        <w:tc>
          <w:tcPr>
            <w:tcW w:w="1044" w:type="dxa"/>
            <w:vAlign w:val="center"/>
            <w:shd w:val="clear" w:color="000000" w:fill="FFFFFF"/>
          </w:tcPr>
          <w:p>
            <w:pPr>
              <w:widowControl w:val="1"/>
              <w:keepNext w:val="0"/>
              <w:keepLines w:val="0"/>
              <w:pageBreakBefore w:val="0"/>
              <w:wordWrap w:val="1"/>
              <w:overflowPunct w:val="1"/>
              <w:topLinePunct w:val="0"/>
              <w:kinsoku w:val="1"/>
              <w:autoSpaceDE w:val="1"/>
              <w:autoSpaceDN w:val="1"/>
              <w:bidi w:val="0"/>
              <w:adjustRightInd w:val="1"/>
              <w:snapToGrid w:val="1"/>
              <w:jc w:val="center"/>
              <w:spacing w:line="240" w:lineRule="auto"/>
              <w:rPr>
                <w:color w:val="auto"/>
                <w:sz w:val="22"/>
                <w:kern w:val="0"/>
                <w:szCs w:val="22"/>
              </w:rPr>
            </w:pPr>
            <w:r>
              <w:rPr>
                <w:color w:val="auto"/>
                <w:sz w:val="22"/>
                <w:kern w:val="0"/>
                <w:szCs w:val="22"/>
              </w:rPr>
              <w:t>合格</w:t>
            </w:r>
          </w:p>
        </w:tc>
        <w:tc>
          <w:tcPr>
            <w:tcW w:w="924" w:type="dxa"/>
            <w:vAlign w:val="center"/>
            <w:shd w:val="clear" w:color="000000" w:fill="FFFFFF"/>
          </w:tcPr>
          <w:p>
            <w:pPr>
              <w:widowControl w:val="1"/>
              <w:keepNext w:val="0"/>
              <w:keepLines w:val="0"/>
              <w:pageBreakBefore w:val="0"/>
              <w:wordWrap w:val="1"/>
              <w:overflowPunct w:val="1"/>
              <w:topLinePunct w:val="0"/>
              <w:kinsoku w:val="1"/>
              <w:autoSpaceDE w:val="1"/>
              <w:autoSpaceDN w:val="1"/>
              <w:bidi w:val="0"/>
              <w:adjustRightInd w:val="1"/>
              <w:snapToGrid w:val="1"/>
              <w:jc w:val="center"/>
              <w:spacing w:line="240" w:lineRule="auto"/>
              <w:rPr>
                <w:color w:val="auto"/>
                <w:sz w:val="22"/>
                <w:kern w:val="0"/>
                <w:szCs w:val="22"/>
              </w:rPr>
            </w:pPr>
            <w:r>
              <w:rPr>
                <w:color w:val="auto"/>
                <w:sz w:val="22"/>
                <w:kern w:val="0"/>
                <w:szCs w:val="22"/>
              </w:rPr>
              <w:t>合格</w:t>
            </w:r>
          </w:p>
        </w:tc>
        <w:tc>
          <w:tcPr>
            <w:tcW w:w="1215" w:type="dxa"/>
            <w:vAlign w:val="center"/>
            <w:shd w:val="clear" w:color="000000" w:fill="FFFFFF"/>
          </w:tcPr>
          <w:p>
            <w:pPr>
              <w:widowControl w:val="1"/>
              <w:keepNext w:val="0"/>
              <w:keepLines w:val="0"/>
              <w:pageBreakBefore w:val="0"/>
              <w:wordWrap w:val="1"/>
              <w:overflowPunct w:val="1"/>
              <w:topLinePunct w:val="0"/>
              <w:kinsoku w:val="1"/>
              <w:autoSpaceDE w:val="1"/>
              <w:autoSpaceDN w:val="1"/>
              <w:bidi w:val="0"/>
              <w:adjustRightInd w:val="1"/>
              <w:snapToGrid w:val="1"/>
              <w:jc w:val="center"/>
              <w:spacing w:line="240" w:lineRule="auto"/>
              <w:rPr>
                <w:color w:val="auto"/>
                <w:sz w:val="22"/>
                <w:kern w:val="0"/>
                <w:szCs w:val="22"/>
              </w:rPr>
            </w:pPr>
            <w:r>
              <w:rPr>
                <w:color w:val="auto"/>
                <w:sz w:val="22"/>
                <w:kern w:val="0"/>
                <w:szCs w:val="22"/>
              </w:rPr>
              <w:t>100%</w:t>
            </w:r>
          </w:p>
        </w:tc>
        <w:tc>
          <w:tcPr>
            <w:tcW w:w="960" w:type="dxa"/>
            <w:vAlign w:val="center"/>
            <w:shd w:val="clear" w:color="000000" w:fill="FFFFFF"/>
          </w:tcPr>
          <w:p>
            <w:pPr>
              <w:widowControl w:val="1"/>
              <w:keepNext w:val="0"/>
              <w:keepLines w:val="0"/>
              <w:pageBreakBefore w:val="0"/>
              <w:wordWrap w:val="1"/>
              <w:overflowPunct w:val="1"/>
              <w:topLinePunct w:val="0"/>
              <w:kinsoku w:val="1"/>
              <w:autoSpaceDE w:val="1"/>
              <w:autoSpaceDN w:val="1"/>
              <w:bidi w:val="0"/>
              <w:adjustRightInd w:val="1"/>
              <w:snapToGrid w:val="1"/>
              <w:jc w:val="center"/>
              <w:spacing w:line="240" w:lineRule="auto"/>
              <w:rPr>
                <w:color w:val="auto"/>
                <w:sz w:val="22"/>
                <w:kern w:val="0"/>
                <w:szCs w:val="22"/>
              </w:rPr>
            </w:pPr>
            <w:r>
              <w:rPr>
                <w:color w:val="auto"/>
                <w:sz w:val="22"/>
                <w:kern w:val="0"/>
                <w:szCs w:val="22"/>
                <w:rFonts w:hint="eastAsia"/>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type="dxa" w:w="0.000000"/>
            <w:bottom w:type="dxa" w:w="0.000000"/>
            <w:left w:type="dxa" w:w="108.000000"/>
            <w:right w:type="dxa" w:w="108.000000"/>
          </w:tblCellMar>
          <w:tblLayout w:type="fixed"/>
        </w:tblPrEx>
        <w:trPr>
          <w:trHeight w:val="567" w:hRule="atLeast"/>
        </w:trPr>
        <w:tc>
          <w:tcPr>
            <w:tcW w:w="1104" w:type="dxa"/>
            <w:vMerge w:val="continue"/>
            <w:vAlign w:val="center"/>
            <w:shd w:val="clear" w:color="auto" w:fill="FFFFFF"/>
          </w:tcPr>
          <w:p>
            <w:pPr>
              <w:keepNext w:val="0"/>
              <w:keepLines w:val="0"/>
              <w:pageBreakBefore w:val="0"/>
              <w:wordWrap w:val="1"/>
              <w:overflowPunct w:val="1"/>
              <w:topLinePunct w:val="0"/>
              <w:kinsoku w:val="1"/>
              <w:autoSpaceDE w:val="1"/>
              <w:autoSpaceDN w:val="1"/>
              <w:bidi w:val="0"/>
              <w:adjustRightInd w:val="1"/>
              <w:snapToGrid w:val="1"/>
              <w:jc w:val="center"/>
              <w:spacing w:line="240" w:lineRule="auto"/>
              <w:rPr>
                <w:color w:val="auto"/>
                <w:sz w:val="22"/>
                <w:kern w:val="0"/>
                <w:szCs w:val="22"/>
              </w:rPr>
            </w:pPr>
          </w:p>
        </w:tc>
        <w:tc>
          <w:tcPr>
            <w:tcW w:w="990" w:type="dxa"/>
            <w:vMerge w:val="continue"/>
            <w:vAlign w:val="center"/>
            <w:shd w:val="clear" w:color="auto" w:fill="FFFFFF"/>
          </w:tcPr>
          <w:p>
            <w:pPr>
              <w:keepNext w:val="0"/>
              <w:keepLines w:val="0"/>
              <w:pageBreakBefore w:val="0"/>
              <w:wordWrap w:val="1"/>
              <w:overflowPunct w:val="1"/>
              <w:topLinePunct w:val="0"/>
              <w:kinsoku w:val="1"/>
              <w:autoSpaceDE w:val="1"/>
              <w:autoSpaceDN w:val="1"/>
              <w:bidi w:val="0"/>
              <w:adjustRightInd w:val="1"/>
              <w:snapToGrid w:val="1"/>
              <w:jc w:val="center"/>
              <w:spacing w:line="240" w:lineRule="auto"/>
              <w:rPr>
                <w:color w:val="auto"/>
                <w:sz w:val="22"/>
                <w:kern w:val="0"/>
                <w:szCs w:val="22"/>
              </w:rPr>
            </w:pPr>
          </w:p>
        </w:tc>
        <w:tc>
          <w:tcPr>
            <w:tcW w:w="1283" w:type="dxa"/>
            <w:vMerge w:val="restart"/>
            <w:vAlign w:val="center"/>
            <w:shd w:val="clear" w:color="auto" w:fill="FFFFFF"/>
          </w:tcPr>
          <w:p>
            <w:pPr>
              <w:widowControl w:val="1"/>
              <w:keepNext w:val="0"/>
              <w:keepLines w:val="0"/>
              <w:pageBreakBefore w:val="0"/>
              <w:wordWrap w:val="1"/>
              <w:overflowPunct w:val="1"/>
              <w:topLinePunct w:val="0"/>
              <w:kinsoku w:val="1"/>
              <w:autoSpaceDE w:val="1"/>
              <w:autoSpaceDN w:val="1"/>
              <w:bidi w:val="0"/>
              <w:adjustRightInd w:val="1"/>
              <w:snapToGrid w:val="1"/>
              <w:jc w:val="center"/>
              <w:spacing w:line="240" w:lineRule="auto"/>
              <w:rPr>
                <w:color w:val="auto"/>
                <w:sz w:val="22"/>
                <w:kern w:val="0"/>
                <w:szCs w:val="22"/>
              </w:rPr>
            </w:pPr>
            <w:r>
              <w:rPr>
                <w:color w:val="auto"/>
                <w:sz w:val="22"/>
                <w:kern w:val="0"/>
                <w:szCs w:val="22"/>
              </w:rPr>
              <w:t>组织实施</w:t>
            </w:r>
          </w:p>
        </w:tc>
        <w:tc>
          <w:tcPr>
            <w:tcW w:w="1707" w:type="dxa"/>
            <w:vAlign w:val="center"/>
            <w:shd w:val="clear" w:color="auto" w:fill="FFFFFF"/>
          </w:tcPr>
          <w:p>
            <w:pPr>
              <w:widowControl w:val="1"/>
              <w:keepNext w:val="0"/>
              <w:keepLines w:val="0"/>
              <w:pageBreakBefore w:val="0"/>
              <w:wordWrap w:val="1"/>
              <w:overflowPunct w:val="1"/>
              <w:topLinePunct w:val="0"/>
              <w:kinsoku w:val="1"/>
              <w:autoSpaceDE w:val="1"/>
              <w:autoSpaceDN w:val="1"/>
              <w:bidi w:val="0"/>
              <w:adjustRightInd w:val="1"/>
              <w:snapToGrid w:val="1"/>
              <w:jc w:val="center"/>
              <w:spacing w:line="240" w:lineRule="auto"/>
              <w:rPr>
                <w:color w:val="auto"/>
                <w:sz w:val="22"/>
                <w:kern w:val="0"/>
                <w:szCs w:val="22"/>
              </w:rPr>
            </w:pPr>
            <w:r>
              <w:rPr>
                <w:color w:val="auto"/>
                <w:sz w:val="22"/>
                <w:kern w:val="0"/>
                <w:szCs w:val="22"/>
              </w:rPr>
              <w:t>管理制度</w:t>
            </w:r>
          </w:p>
          <w:p>
            <w:pPr>
              <w:widowControl w:val="1"/>
              <w:keepNext w:val="0"/>
              <w:keepLines w:val="0"/>
              <w:pageBreakBefore w:val="0"/>
              <w:wordWrap w:val="1"/>
              <w:overflowPunct w:val="1"/>
              <w:topLinePunct w:val="0"/>
              <w:kinsoku w:val="1"/>
              <w:autoSpaceDE w:val="1"/>
              <w:autoSpaceDN w:val="1"/>
              <w:bidi w:val="0"/>
              <w:adjustRightInd w:val="1"/>
              <w:snapToGrid w:val="1"/>
              <w:jc w:val="center"/>
              <w:spacing w:line="240" w:lineRule="auto"/>
              <w:rPr>
                <w:color w:val="auto"/>
                <w:sz w:val="22"/>
                <w:kern w:val="0"/>
                <w:szCs w:val="22"/>
              </w:rPr>
            </w:pPr>
            <w:r>
              <w:rPr>
                <w:color w:val="auto"/>
                <w:sz w:val="22"/>
                <w:kern w:val="0"/>
                <w:szCs w:val="22"/>
              </w:rPr>
              <w:t>健全性</w:t>
            </w:r>
          </w:p>
        </w:tc>
        <w:tc>
          <w:tcPr>
            <w:tcW w:w="727" w:type="dxa"/>
            <w:vAlign w:val="center"/>
            <w:shd w:val="clear" w:color="000000" w:fill="FFFFFF"/>
          </w:tcPr>
          <w:p>
            <w:pPr>
              <w:widowControl w:val="1"/>
              <w:keepNext w:val="0"/>
              <w:keepLines w:val="0"/>
              <w:pageBreakBefore w:val="0"/>
              <w:wordWrap w:val="1"/>
              <w:overflowPunct w:val="1"/>
              <w:topLinePunct w:val="0"/>
              <w:kinsoku w:val="1"/>
              <w:autoSpaceDE w:val="1"/>
              <w:autoSpaceDN w:val="1"/>
              <w:bidi w:val="0"/>
              <w:adjustRightInd w:val="1"/>
              <w:snapToGrid w:val="1"/>
              <w:jc w:val="center"/>
              <w:spacing w:line="240" w:lineRule="auto"/>
              <w:rPr>
                <w:color w:val="auto"/>
                <w:sz w:val="22"/>
                <w:kern w:val="0"/>
                <w:szCs w:val="22"/>
              </w:rPr>
            </w:pPr>
            <w:r>
              <w:rPr>
                <w:color w:val="auto"/>
                <w:sz w:val="22"/>
                <w:kern w:val="0"/>
                <w:szCs w:val="22"/>
                <w:rFonts w:hint="eastAsia"/>
              </w:rPr>
              <w:t>4</w:t>
            </w:r>
          </w:p>
        </w:tc>
        <w:tc>
          <w:tcPr>
            <w:tcW w:w="1044" w:type="dxa"/>
            <w:vAlign w:val="center"/>
            <w:shd w:val="clear" w:color="000000" w:fill="FFFFFF"/>
          </w:tcPr>
          <w:p>
            <w:pPr>
              <w:widowControl w:val="1"/>
              <w:keepNext w:val="0"/>
              <w:keepLines w:val="0"/>
              <w:pageBreakBefore w:val="0"/>
              <w:wordWrap w:val="1"/>
              <w:overflowPunct w:val="1"/>
              <w:topLinePunct w:val="0"/>
              <w:kinsoku w:val="1"/>
              <w:autoSpaceDE w:val="1"/>
              <w:autoSpaceDN w:val="1"/>
              <w:bidi w:val="0"/>
              <w:adjustRightInd w:val="1"/>
              <w:snapToGrid w:val="1"/>
              <w:jc w:val="center"/>
              <w:spacing w:line="240" w:lineRule="auto"/>
              <w:rPr>
                <w:color w:val="auto"/>
                <w:sz w:val="22"/>
                <w:kern w:val="0"/>
                <w:szCs w:val="22"/>
              </w:rPr>
            </w:pPr>
            <w:r>
              <w:rPr>
                <w:color w:val="auto"/>
                <w:sz w:val="22"/>
                <w:kern w:val="0"/>
                <w:szCs w:val="22"/>
              </w:rPr>
              <w:t>健全</w:t>
            </w:r>
          </w:p>
        </w:tc>
        <w:tc>
          <w:tcPr>
            <w:tcW w:w="924" w:type="dxa"/>
            <w:vAlign w:val="center"/>
            <w:shd w:val="clear" w:color="000000" w:fill="FFFFFF"/>
          </w:tcPr>
          <w:p>
            <w:pPr>
              <w:widowControl w:val="1"/>
              <w:keepNext w:val="0"/>
              <w:keepLines w:val="0"/>
              <w:pageBreakBefore w:val="0"/>
              <w:wordWrap w:val="1"/>
              <w:overflowPunct w:val="1"/>
              <w:topLinePunct w:val="0"/>
              <w:kinsoku w:val="1"/>
              <w:autoSpaceDE w:val="1"/>
              <w:autoSpaceDN w:val="1"/>
              <w:bidi w:val="0"/>
              <w:adjustRightInd w:val="1"/>
              <w:snapToGrid w:val="1"/>
              <w:jc w:val="center"/>
              <w:spacing w:line="240" w:lineRule="auto"/>
              <w:rPr>
                <w:color w:val="auto"/>
                <w:sz w:val="22"/>
                <w:kern w:val="0"/>
                <w:szCs w:val="22"/>
              </w:rPr>
            </w:pPr>
            <w:r>
              <w:rPr>
                <w:color w:val="auto"/>
                <w:sz w:val="22"/>
                <w:kern w:val="0"/>
                <w:szCs w:val="22"/>
              </w:rPr>
              <w:t>健全</w:t>
            </w:r>
          </w:p>
        </w:tc>
        <w:tc>
          <w:tcPr>
            <w:tcW w:w="1215" w:type="dxa"/>
            <w:vAlign w:val="center"/>
            <w:shd w:val="clear" w:color="000000" w:fill="FFFFFF"/>
          </w:tcPr>
          <w:p>
            <w:pPr>
              <w:widowControl w:val="1"/>
              <w:keepNext w:val="0"/>
              <w:keepLines w:val="0"/>
              <w:pageBreakBefore w:val="0"/>
              <w:wordWrap w:val="1"/>
              <w:overflowPunct w:val="1"/>
              <w:topLinePunct w:val="0"/>
              <w:kinsoku w:val="1"/>
              <w:autoSpaceDE w:val="1"/>
              <w:autoSpaceDN w:val="1"/>
              <w:bidi w:val="0"/>
              <w:adjustRightInd w:val="1"/>
              <w:snapToGrid w:val="1"/>
              <w:jc w:val="center"/>
              <w:spacing w:line="240" w:lineRule="auto"/>
              <w:rPr>
                <w:color w:val="auto"/>
                <w:sz w:val="22"/>
                <w:kern w:val="0"/>
                <w:szCs w:val="22"/>
              </w:rPr>
            </w:pPr>
            <w:r>
              <w:rPr>
                <w:color w:val="auto"/>
                <w:sz w:val="22"/>
                <w:lang w:eastAsia="zh-CN"/>
                <w:kern w:val="0"/>
                <w:szCs w:val="22"/>
                <w:rFonts w:hint="default"/>
              </w:rPr>
              <w:t>100</w:t>
            </w:r>
            <w:r>
              <w:rPr>
                <w:color w:val="auto"/>
                <w:sz w:val="22"/>
                <w:kern w:val="0"/>
                <w:szCs w:val="22"/>
              </w:rPr>
              <w:t>%</w:t>
            </w:r>
          </w:p>
        </w:tc>
        <w:tc>
          <w:tcPr>
            <w:tcW w:w="960" w:type="dxa"/>
            <w:vAlign w:val="center"/>
            <w:shd w:val="clear" w:color="000000" w:fill="FFFFFF"/>
          </w:tcPr>
          <w:p>
            <w:pPr>
              <w:widowControl w:val="1"/>
              <w:keepNext w:val="0"/>
              <w:keepLines w:val="0"/>
              <w:pageBreakBefore w:val="0"/>
              <w:wordWrap w:val="1"/>
              <w:overflowPunct w:val="1"/>
              <w:topLinePunct w:val="0"/>
              <w:kinsoku w:val="1"/>
              <w:autoSpaceDE w:val="1"/>
              <w:autoSpaceDN w:val="1"/>
              <w:bidi w:val="0"/>
              <w:adjustRightInd w:val="1"/>
              <w:snapToGrid w:val="1"/>
              <w:jc w:val="center"/>
              <w:spacing w:line="240" w:lineRule="auto"/>
              <w:rPr>
                <w:color w:val="auto"/>
                <w:sz w:val="22"/>
                <w:lang w:eastAsia="zh-CN"/>
                <w:kern w:val="0"/>
                <w:szCs w:val="22"/>
                <w:rFonts w:eastAsia="宋体" w:hint="default"/>
              </w:rPr>
            </w:pPr>
            <w:r>
              <w:rPr>
                <w:color w:val="auto"/>
                <w:sz w:val="22"/>
                <w:lang w:eastAsia="zh-CN"/>
                <w:kern w:val="0"/>
                <w:szCs w:val="22"/>
                <w:rFonts w:hint="default"/>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type="dxa" w:w="0.000000"/>
            <w:bottom w:type="dxa" w:w="0.000000"/>
            <w:left w:type="dxa" w:w="108.000000"/>
            <w:right w:type="dxa" w:w="108.000000"/>
          </w:tblCellMar>
          <w:tblLayout w:type="fixed"/>
        </w:tblPrEx>
        <w:trPr>
          <w:trHeight w:val="567" w:hRule="atLeast"/>
        </w:trPr>
        <w:tc>
          <w:tcPr>
            <w:tcW w:w="1104" w:type="dxa"/>
            <w:vMerge w:val="continue"/>
            <w:vAlign w:val="center"/>
            <w:shd w:val="clear" w:color="auto" w:fill="FFFFFF"/>
          </w:tcPr>
          <w:p>
            <w:pPr>
              <w:widowControl w:val="1"/>
              <w:keepNext w:val="0"/>
              <w:keepLines w:val="0"/>
              <w:pageBreakBefore w:val="0"/>
              <w:wordWrap w:val="1"/>
              <w:overflowPunct w:val="1"/>
              <w:topLinePunct w:val="0"/>
              <w:kinsoku w:val="1"/>
              <w:autoSpaceDE w:val="1"/>
              <w:autoSpaceDN w:val="1"/>
              <w:bidi w:val="0"/>
              <w:adjustRightInd w:val="1"/>
              <w:snapToGrid w:val="1"/>
              <w:jc w:val="center"/>
              <w:spacing w:line="240" w:lineRule="auto"/>
              <w:rPr>
                <w:color w:val="auto"/>
                <w:sz w:val="22"/>
                <w:kern w:val="0"/>
                <w:szCs w:val="22"/>
              </w:rPr>
            </w:pPr>
          </w:p>
        </w:tc>
        <w:tc>
          <w:tcPr>
            <w:tcW w:w="990" w:type="dxa"/>
            <w:vMerge w:val="continue"/>
            <w:vAlign w:val="center"/>
            <w:shd w:val="clear" w:color="auto" w:fill="FFFFFF"/>
          </w:tcPr>
          <w:p>
            <w:pPr>
              <w:widowControl w:val="1"/>
              <w:keepNext w:val="0"/>
              <w:keepLines w:val="0"/>
              <w:pageBreakBefore w:val="0"/>
              <w:wordWrap w:val="1"/>
              <w:overflowPunct w:val="1"/>
              <w:topLinePunct w:val="0"/>
              <w:kinsoku w:val="1"/>
              <w:autoSpaceDE w:val="1"/>
              <w:autoSpaceDN w:val="1"/>
              <w:bidi w:val="0"/>
              <w:adjustRightInd w:val="1"/>
              <w:snapToGrid w:val="1"/>
              <w:jc w:val="center"/>
              <w:spacing w:line="240" w:lineRule="auto"/>
              <w:rPr>
                <w:color w:val="auto"/>
                <w:sz w:val="22"/>
                <w:kern w:val="0"/>
                <w:szCs w:val="22"/>
              </w:rPr>
            </w:pPr>
          </w:p>
        </w:tc>
        <w:tc>
          <w:tcPr>
            <w:tcW w:w="1283" w:type="dxa"/>
            <w:vMerge w:val="continue"/>
            <w:vAlign w:val="center"/>
            <w:shd w:val="clear" w:color="auto" w:fill="FFFFFF"/>
          </w:tcPr>
          <w:p>
            <w:pPr>
              <w:widowControl w:val="1"/>
              <w:keepNext w:val="0"/>
              <w:keepLines w:val="0"/>
              <w:pageBreakBefore w:val="0"/>
              <w:wordWrap w:val="1"/>
              <w:overflowPunct w:val="1"/>
              <w:topLinePunct w:val="0"/>
              <w:kinsoku w:val="1"/>
              <w:autoSpaceDE w:val="1"/>
              <w:autoSpaceDN w:val="1"/>
              <w:bidi w:val="0"/>
              <w:adjustRightInd w:val="1"/>
              <w:snapToGrid w:val="1"/>
              <w:jc w:val="center"/>
              <w:spacing w:line="240" w:lineRule="auto"/>
              <w:rPr>
                <w:color w:val="auto"/>
                <w:sz w:val="22"/>
                <w:kern w:val="0"/>
                <w:szCs w:val="22"/>
              </w:rPr>
            </w:pPr>
          </w:p>
        </w:tc>
        <w:tc>
          <w:tcPr>
            <w:tcW w:w="1707" w:type="dxa"/>
            <w:vAlign w:val="center"/>
            <w:shd w:val="clear" w:color="auto" w:fill="FFFFFF"/>
          </w:tcPr>
          <w:p>
            <w:pPr>
              <w:widowControl w:val="1"/>
              <w:keepNext w:val="0"/>
              <w:keepLines w:val="0"/>
              <w:pageBreakBefore w:val="0"/>
              <w:wordWrap w:val="1"/>
              <w:overflowPunct w:val="1"/>
              <w:topLinePunct w:val="0"/>
              <w:kinsoku w:val="1"/>
              <w:autoSpaceDE w:val="1"/>
              <w:autoSpaceDN w:val="1"/>
              <w:bidi w:val="0"/>
              <w:adjustRightInd w:val="1"/>
              <w:snapToGrid w:val="1"/>
              <w:jc w:val="center"/>
              <w:spacing w:line="240" w:lineRule="auto"/>
              <w:rPr>
                <w:color w:val="auto"/>
                <w:sz w:val="22"/>
                <w:kern w:val="0"/>
                <w:szCs w:val="22"/>
              </w:rPr>
            </w:pPr>
            <w:r>
              <w:rPr>
                <w:color w:val="auto"/>
                <w:sz w:val="22"/>
                <w:kern w:val="0"/>
                <w:szCs w:val="22"/>
              </w:rPr>
              <w:t>制度执行</w:t>
            </w:r>
          </w:p>
          <w:p>
            <w:pPr>
              <w:widowControl w:val="1"/>
              <w:keepNext w:val="0"/>
              <w:keepLines w:val="0"/>
              <w:pageBreakBefore w:val="0"/>
              <w:wordWrap w:val="1"/>
              <w:overflowPunct w:val="1"/>
              <w:topLinePunct w:val="0"/>
              <w:kinsoku w:val="1"/>
              <w:autoSpaceDE w:val="1"/>
              <w:autoSpaceDN w:val="1"/>
              <w:bidi w:val="0"/>
              <w:adjustRightInd w:val="1"/>
              <w:snapToGrid w:val="1"/>
              <w:jc w:val="center"/>
              <w:spacing w:line="240" w:lineRule="auto"/>
              <w:rPr>
                <w:color w:val="auto"/>
                <w:sz w:val="22"/>
                <w:kern w:val="0"/>
                <w:szCs w:val="22"/>
              </w:rPr>
            </w:pPr>
            <w:r>
              <w:rPr>
                <w:color w:val="auto"/>
                <w:sz w:val="22"/>
                <w:kern w:val="0"/>
                <w:szCs w:val="22"/>
              </w:rPr>
              <w:t>有效性</w:t>
            </w:r>
          </w:p>
        </w:tc>
        <w:tc>
          <w:tcPr>
            <w:tcW w:w="727" w:type="dxa"/>
            <w:vAlign w:val="center"/>
            <w:shd w:val="clear" w:color="000000" w:fill="FFFFFF"/>
          </w:tcPr>
          <w:p>
            <w:pPr>
              <w:widowControl w:val="1"/>
              <w:keepNext w:val="0"/>
              <w:keepLines w:val="0"/>
              <w:pageBreakBefore w:val="0"/>
              <w:wordWrap w:val="1"/>
              <w:overflowPunct w:val="1"/>
              <w:topLinePunct w:val="0"/>
              <w:kinsoku w:val="1"/>
              <w:autoSpaceDE w:val="1"/>
              <w:autoSpaceDN w:val="1"/>
              <w:bidi w:val="0"/>
              <w:adjustRightInd w:val="1"/>
              <w:snapToGrid w:val="1"/>
              <w:jc w:val="center"/>
              <w:spacing w:line="240" w:lineRule="auto"/>
              <w:rPr>
                <w:color w:val="auto"/>
                <w:sz w:val="22"/>
                <w:kern w:val="0"/>
                <w:szCs w:val="22"/>
              </w:rPr>
            </w:pPr>
            <w:r>
              <w:rPr>
                <w:color w:val="auto"/>
                <w:sz w:val="22"/>
                <w:kern w:val="0"/>
                <w:szCs w:val="22"/>
                <w:rFonts w:hint="eastAsia"/>
              </w:rPr>
              <w:t>4</w:t>
            </w:r>
          </w:p>
        </w:tc>
        <w:tc>
          <w:tcPr>
            <w:tcW w:w="1044" w:type="dxa"/>
            <w:vAlign w:val="center"/>
            <w:shd w:val="clear" w:color="000000" w:fill="FFFFFF"/>
          </w:tcPr>
          <w:p>
            <w:pPr>
              <w:widowControl w:val="1"/>
              <w:keepNext w:val="0"/>
              <w:keepLines w:val="0"/>
              <w:pageBreakBefore w:val="0"/>
              <w:wordWrap w:val="1"/>
              <w:overflowPunct w:val="1"/>
              <w:topLinePunct w:val="0"/>
              <w:kinsoku w:val="1"/>
              <w:autoSpaceDE w:val="1"/>
              <w:autoSpaceDN w:val="1"/>
              <w:bidi w:val="0"/>
              <w:adjustRightInd w:val="1"/>
              <w:snapToGrid w:val="1"/>
              <w:jc w:val="center"/>
              <w:spacing w:line="240" w:lineRule="auto"/>
              <w:rPr>
                <w:color w:val="auto"/>
                <w:sz w:val="22"/>
                <w:kern w:val="0"/>
                <w:szCs w:val="22"/>
              </w:rPr>
            </w:pPr>
            <w:r>
              <w:rPr>
                <w:color w:val="auto"/>
                <w:sz w:val="22"/>
                <w:kern w:val="0"/>
                <w:szCs w:val="22"/>
              </w:rPr>
              <w:t>有效</w:t>
            </w:r>
          </w:p>
        </w:tc>
        <w:tc>
          <w:tcPr>
            <w:tcW w:w="924" w:type="dxa"/>
            <w:vAlign w:val="center"/>
            <w:shd w:val="clear" w:color="000000" w:fill="FFFFFF"/>
          </w:tcPr>
          <w:p>
            <w:pPr>
              <w:widowControl w:val="1"/>
              <w:keepNext w:val="0"/>
              <w:keepLines w:val="0"/>
              <w:pageBreakBefore w:val="0"/>
              <w:wordWrap w:val="1"/>
              <w:overflowPunct w:val="1"/>
              <w:topLinePunct w:val="0"/>
              <w:kinsoku w:val="1"/>
              <w:autoSpaceDE w:val="1"/>
              <w:autoSpaceDN w:val="1"/>
              <w:bidi w:val="0"/>
              <w:adjustRightInd w:val="1"/>
              <w:snapToGrid w:val="1"/>
              <w:jc w:val="center"/>
              <w:spacing w:line="240" w:lineRule="auto"/>
              <w:rPr>
                <w:color w:val="auto"/>
                <w:sz w:val="22"/>
                <w:kern w:val="0"/>
                <w:szCs w:val="22"/>
              </w:rPr>
            </w:pPr>
            <w:r>
              <w:rPr>
                <w:color w:val="auto"/>
                <w:sz w:val="22"/>
                <w:kern w:val="0"/>
                <w:szCs w:val="22"/>
              </w:rPr>
              <w:t>有效</w:t>
            </w:r>
          </w:p>
        </w:tc>
        <w:tc>
          <w:tcPr>
            <w:tcW w:w="1215" w:type="dxa"/>
            <w:vAlign w:val="center"/>
            <w:shd w:val="clear" w:color="000000" w:fill="FFFFFF"/>
          </w:tcPr>
          <w:p>
            <w:pPr>
              <w:widowControl w:val="1"/>
              <w:keepNext w:val="0"/>
              <w:keepLines w:val="0"/>
              <w:pageBreakBefore w:val="0"/>
              <w:wordWrap w:val="1"/>
              <w:overflowPunct w:val="1"/>
              <w:topLinePunct w:val="0"/>
              <w:kinsoku w:val="1"/>
              <w:autoSpaceDE w:val="1"/>
              <w:autoSpaceDN w:val="1"/>
              <w:bidi w:val="0"/>
              <w:adjustRightInd w:val="1"/>
              <w:snapToGrid w:val="1"/>
              <w:jc w:val="center"/>
              <w:spacing w:line="240" w:lineRule="auto"/>
              <w:rPr>
                <w:color w:val="auto"/>
                <w:sz w:val="22"/>
                <w:kern w:val="0"/>
                <w:szCs w:val="22"/>
              </w:rPr>
            </w:pPr>
            <w:r>
              <w:rPr>
                <w:color w:val="auto"/>
                <w:sz w:val="22"/>
                <w:lang w:eastAsia="zh-CN"/>
                <w:kern w:val="0"/>
                <w:szCs w:val="22"/>
                <w:rFonts w:hint="default"/>
              </w:rPr>
              <w:t>100</w:t>
            </w:r>
            <w:r>
              <w:rPr>
                <w:color w:val="auto"/>
                <w:sz w:val="22"/>
                <w:kern w:val="0"/>
                <w:szCs w:val="22"/>
              </w:rPr>
              <w:t>%</w:t>
            </w:r>
          </w:p>
        </w:tc>
        <w:tc>
          <w:tcPr>
            <w:tcW w:w="960" w:type="dxa"/>
            <w:vAlign w:val="center"/>
            <w:shd w:val="clear" w:color="000000" w:fill="FFFFFF"/>
          </w:tcPr>
          <w:p>
            <w:pPr>
              <w:widowControl w:val="1"/>
              <w:keepNext w:val="0"/>
              <w:keepLines w:val="0"/>
              <w:pageBreakBefore w:val="0"/>
              <w:wordWrap w:val="1"/>
              <w:overflowPunct w:val="1"/>
              <w:topLinePunct w:val="0"/>
              <w:kinsoku w:val="1"/>
              <w:autoSpaceDE w:val="1"/>
              <w:autoSpaceDN w:val="1"/>
              <w:bidi w:val="0"/>
              <w:adjustRightInd w:val="1"/>
              <w:snapToGrid w:val="1"/>
              <w:jc w:val="center"/>
              <w:spacing w:line="240" w:lineRule="auto"/>
              <w:rPr>
                <w:color w:val="auto"/>
                <w:sz w:val="22"/>
                <w:kern w:val="0"/>
                <w:szCs w:val="22"/>
                <w:rFonts w:hint="default"/>
              </w:rPr>
            </w:pPr>
            <w:r>
              <w:rPr>
                <w:color w:val="auto"/>
                <w:sz w:val="22"/>
                <w:lang w:eastAsia="zh-CN"/>
                <w:kern w:val="0"/>
                <w:szCs w:val="22"/>
                <w:rFonts w:hint="default"/>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type="dxa" w:w="0.000000"/>
            <w:bottom w:type="dxa" w:w="0.000000"/>
            <w:left w:type="dxa" w:w="108.000000"/>
            <w:right w:type="dxa" w:w="108.000000"/>
          </w:tblCellMar>
          <w:tblLayout w:type="fixed"/>
        </w:tblPrEx>
        <w:trPr>
          <w:trHeight w:val="567" w:hRule="atLeast"/>
        </w:trPr>
        <w:tc>
          <w:tcPr>
            <w:tcW w:w="1104" w:type="dxa"/>
            <w:vMerge w:val="restart"/>
            <w:vAlign w:val="center"/>
            <w:shd w:val="clear" w:color="auto" w:fill="FFFFFF"/>
          </w:tcPr>
          <w:p>
            <w:pPr>
              <w:widowControl w:val="1"/>
              <w:keepNext w:val="0"/>
              <w:keepLines w:val="0"/>
              <w:pageBreakBefore w:val="0"/>
              <w:wordWrap w:val="1"/>
              <w:overflowPunct w:val="1"/>
              <w:topLinePunct w:val="0"/>
              <w:kinsoku w:val="1"/>
              <w:autoSpaceDE w:val="1"/>
              <w:autoSpaceDN w:val="1"/>
              <w:bidi w:val="0"/>
              <w:adjustRightInd w:val="1"/>
              <w:snapToGrid w:val="1"/>
              <w:jc w:val="center"/>
              <w:spacing w:line="240" w:lineRule="auto"/>
              <w:rPr>
                <w:color w:val="auto"/>
                <w:sz w:val="22"/>
                <w:kern w:val="0"/>
                <w:szCs w:val="22"/>
              </w:rPr>
            </w:pPr>
            <w:r>
              <w:rPr>
                <w:color w:val="auto"/>
                <w:sz w:val="22"/>
                <w:kern w:val="0"/>
                <w:szCs w:val="22"/>
              </w:rPr>
              <w:t>产出</w:t>
            </w:r>
          </w:p>
        </w:tc>
        <w:tc>
          <w:tcPr>
            <w:tcW w:w="990" w:type="dxa"/>
            <w:vMerge w:val="restart"/>
            <w:vAlign w:val="center"/>
            <w:shd w:val="clear" w:color="auto" w:fill="FFFFFF"/>
          </w:tcPr>
          <w:p>
            <w:pPr>
              <w:widowControl w:val="1"/>
              <w:keepNext w:val="0"/>
              <w:keepLines w:val="0"/>
              <w:pageBreakBefore w:val="0"/>
              <w:wordWrap w:val="1"/>
              <w:overflowPunct w:val="1"/>
              <w:topLinePunct w:val="0"/>
              <w:kinsoku w:val="1"/>
              <w:autoSpaceDE w:val="1"/>
              <w:autoSpaceDN w:val="1"/>
              <w:bidi w:val="0"/>
              <w:adjustRightInd w:val="1"/>
              <w:snapToGrid w:val="1"/>
              <w:jc w:val="center"/>
              <w:spacing w:line="240" w:lineRule="auto"/>
              <w:rPr>
                <w:color w:val="auto"/>
                <w:sz w:val="22"/>
                <w:kern w:val="0"/>
                <w:szCs w:val="22"/>
              </w:rPr>
            </w:pPr>
            <w:r>
              <w:rPr>
                <w:color w:val="auto"/>
                <w:sz w:val="22"/>
                <w:kern w:val="0"/>
                <w:szCs w:val="22"/>
                <w:rFonts w:hint="eastAsia"/>
              </w:rPr>
              <w:t>40</w:t>
            </w:r>
            <w:r>
              <w:rPr>
                <w:color w:val="auto"/>
                <w:sz w:val="22"/>
                <w:kern w:val="0"/>
                <w:szCs w:val="22"/>
              </w:rPr>
              <w:t>分</w:t>
            </w:r>
          </w:p>
        </w:tc>
        <w:tc>
          <w:tcPr>
            <w:tcW w:w="1283" w:type="dxa"/>
            <w:vAlign w:val="center"/>
            <w:shd w:val="clear" w:color="auto" w:fill="FFFFFF"/>
          </w:tcPr>
          <w:p>
            <w:pPr>
              <w:widowControl w:val="1"/>
              <w:keepNext w:val="0"/>
              <w:keepLines w:val="0"/>
              <w:pageBreakBefore w:val="0"/>
              <w:wordWrap w:val="1"/>
              <w:overflowPunct w:val="1"/>
              <w:topLinePunct w:val="0"/>
              <w:kinsoku w:val="1"/>
              <w:autoSpaceDE w:val="1"/>
              <w:autoSpaceDN w:val="1"/>
              <w:bidi w:val="0"/>
              <w:adjustRightInd w:val="1"/>
              <w:snapToGrid w:val="1"/>
              <w:jc w:val="center"/>
              <w:spacing w:line="240" w:lineRule="auto"/>
              <w:rPr>
                <w:color w:val="auto"/>
                <w:sz w:val="22"/>
                <w:kern w:val="0"/>
                <w:szCs w:val="22"/>
              </w:rPr>
            </w:pPr>
            <w:r>
              <w:rPr>
                <w:color w:val="auto"/>
                <w:sz w:val="22"/>
                <w:kern w:val="0"/>
                <w:szCs w:val="22"/>
              </w:rPr>
              <w:t>产出数量</w:t>
            </w:r>
          </w:p>
        </w:tc>
        <w:tc>
          <w:tcPr>
            <w:tcW w:w="1707" w:type="dxa"/>
            <w:vAlign w:val="center"/>
            <w:shd w:val="clear" w:color="auto" w:fill="FFFFFF"/>
          </w:tcPr>
          <w:p>
            <w:pPr>
              <w:widowControl w:val="1"/>
              <w:keepNext w:val="0"/>
              <w:keepLines w:val="0"/>
              <w:pageBreakBefore w:val="0"/>
              <w:wordWrap w:val="1"/>
              <w:overflowPunct w:val="1"/>
              <w:topLinePunct w:val="0"/>
              <w:kinsoku w:val="1"/>
              <w:autoSpaceDE w:val="1"/>
              <w:autoSpaceDN w:val="1"/>
              <w:bidi w:val="0"/>
              <w:adjustRightInd w:val="1"/>
              <w:snapToGrid w:val="1"/>
              <w:jc w:val="center"/>
              <w:spacing w:line="240" w:lineRule="auto"/>
              <w:rPr>
                <w:color w:val="auto"/>
                <w:sz w:val="22"/>
                <w:kern w:val="0"/>
                <w:szCs w:val="22"/>
              </w:rPr>
            </w:pPr>
            <w:r>
              <w:rPr>
                <w:color w:val="auto"/>
                <w:sz w:val="22"/>
                <w:kern w:val="0"/>
                <w:szCs w:val="22"/>
              </w:rPr>
              <w:t>实际完成率</w:t>
            </w:r>
          </w:p>
        </w:tc>
        <w:tc>
          <w:tcPr>
            <w:tcW w:w="727" w:type="dxa"/>
            <w:vAlign w:val="center"/>
            <w:shd w:val="clear" w:color="000000" w:fill="FFFFFF"/>
          </w:tcPr>
          <w:p>
            <w:pPr>
              <w:widowControl w:val="1"/>
              <w:keepNext w:val="0"/>
              <w:keepLines w:val="0"/>
              <w:pageBreakBefore w:val="0"/>
              <w:wordWrap w:val="1"/>
              <w:overflowPunct w:val="1"/>
              <w:topLinePunct w:val="0"/>
              <w:kinsoku w:val="1"/>
              <w:autoSpaceDE w:val="1"/>
              <w:autoSpaceDN w:val="1"/>
              <w:bidi w:val="0"/>
              <w:adjustRightInd w:val="1"/>
              <w:snapToGrid w:val="1"/>
              <w:jc w:val="center"/>
              <w:spacing w:line="240" w:lineRule="auto"/>
              <w:rPr>
                <w:color w:val="auto"/>
                <w:sz w:val="22"/>
                <w:kern w:val="0"/>
                <w:szCs w:val="22"/>
              </w:rPr>
            </w:pPr>
            <w:r>
              <w:rPr>
                <w:color w:val="auto"/>
                <w:sz w:val="22"/>
                <w:kern w:val="0"/>
                <w:szCs w:val="22"/>
              </w:rPr>
              <w:t>1</w:t>
            </w:r>
            <w:r>
              <w:rPr>
                <w:color w:val="auto"/>
                <w:sz w:val="22"/>
                <w:kern w:val="0"/>
                <w:szCs w:val="22"/>
                <w:rFonts w:hint="eastAsia"/>
              </w:rPr>
              <w:t>0</w:t>
            </w:r>
          </w:p>
        </w:tc>
        <w:tc>
          <w:tcPr>
            <w:tcW w:w="1044" w:type="dxa"/>
            <w:vAlign w:val="center"/>
            <w:shd w:val="clear" w:color="000000" w:fill="FFFFFF"/>
          </w:tcPr>
          <w:p>
            <w:pPr>
              <w:widowControl w:val="1"/>
              <w:keepNext w:val="0"/>
              <w:keepLines w:val="0"/>
              <w:pageBreakBefore w:val="0"/>
              <w:wordWrap w:val="1"/>
              <w:overflowPunct w:val="1"/>
              <w:topLinePunct w:val="0"/>
              <w:kinsoku w:val="1"/>
              <w:autoSpaceDE w:val="1"/>
              <w:autoSpaceDN w:val="1"/>
              <w:bidi w:val="0"/>
              <w:adjustRightInd w:val="1"/>
              <w:snapToGrid w:val="1"/>
              <w:jc w:val="center"/>
              <w:spacing w:line="240" w:lineRule="auto"/>
              <w:rPr>
                <w:color w:val="auto"/>
                <w:sz w:val="22"/>
                <w:kern w:val="0"/>
                <w:szCs w:val="22"/>
              </w:rPr>
            </w:pPr>
            <w:r>
              <w:rPr>
                <w:color w:val="auto"/>
                <w:sz w:val="22"/>
                <w:kern w:val="0"/>
                <w:szCs w:val="22"/>
              </w:rPr>
              <w:t>100%</w:t>
            </w:r>
          </w:p>
        </w:tc>
        <w:tc>
          <w:tcPr>
            <w:tcW w:w="924" w:type="dxa"/>
            <w:vAlign w:val="center"/>
            <w:shd w:val="clear" w:color="000000" w:fill="FFFFFF"/>
          </w:tcPr>
          <w:p>
            <w:pPr>
              <w:widowControl w:val="1"/>
              <w:keepNext w:val="0"/>
              <w:keepLines w:val="0"/>
              <w:pageBreakBefore w:val="0"/>
              <w:wordWrap w:val="1"/>
              <w:overflowPunct w:val="1"/>
              <w:topLinePunct w:val="0"/>
              <w:kinsoku w:val="1"/>
              <w:autoSpaceDE w:val="1"/>
              <w:autoSpaceDN w:val="1"/>
              <w:bidi w:val="0"/>
              <w:adjustRightInd w:val="1"/>
              <w:snapToGrid w:val="1"/>
              <w:jc w:val="center"/>
              <w:spacing w:line="240" w:lineRule="auto"/>
              <w:rPr>
                <w:color w:val="auto"/>
                <w:sz w:val="22"/>
                <w:kern w:val="0"/>
                <w:szCs w:val="22"/>
              </w:rPr>
            </w:pPr>
            <w:r>
              <w:rPr>
                <w:color w:val="auto"/>
                <w:sz w:val="22"/>
                <w:lang w:val="en-US" w:eastAsia="zh-CN"/>
                <w:kern w:val="0"/>
                <w:szCs w:val="22"/>
                <w:rFonts w:hint="eastAsia"/>
              </w:rPr>
              <w:t>9</w:t>
            </w:r>
            <w:r>
              <w:rPr>
                <w:color w:val="auto"/>
                <w:sz w:val="22"/>
                <w:lang w:eastAsia="zh-CN"/>
                <w:kern w:val="0"/>
                <w:szCs w:val="22"/>
                <w:rFonts w:hint="default"/>
              </w:rPr>
              <w:t>9.7</w:t>
            </w:r>
            <w:r>
              <w:rPr>
                <w:color w:val="auto"/>
                <w:sz w:val="22"/>
                <w:kern w:val="0"/>
                <w:szCs w:val="22"/>
              </w:rPr>
              <w:t>%</w:t>
            </w:r>
          </w:p>
        </w:tc>
        <w:tc>
          <w:tcPr>
            <w:tcW w:w="1215" w:type="dxa"/>
            <w:vAlign w:val="center"/>
            <w:shd w:val="clear" w:color="000000" w:fill="FFFFFF"/>
          </w:tcPr>
          <w:p>
            <w:pPr>
              <w:widowControl w:val="1"/>
              <w:keepNext w:val="0"/>
              <w:keepLines w:val="0"/>
              <w:pageBreakBefore w:val="0"/>
              <w:wordWrap w:val="1"/>
              <w:overflowPunct w:val="1"/>
              <w:topLinePunct w:val="0"/>
              <w:kinsoku w:val="1"/>
              <w:autoSpaceDE w:val="1"/>
              <w:autoSpaceDN w:val="1"/>
              <w:bidi w:val="0"/>
              <w:adjustRightInd w:val="1"/>
              <w:snapToGrid w:val="1"/>
              <w:jc w:val="center"/>
              <w:spacing w:line="240" w:lineRule="auto"/>
              <w:rPr>
                <w:color w:val="auto"/>
                <w:sz w:val="22"/>
                <w:lang w:val="en-US" w:eastAsia="zh-CN"/>
                <w:kern w:val="0"/>
                <w:szCs w:val="22"/>
                <w:rFonts w:eastAsia="宋体" w:hint="default"/>
              </w:rPr>
            </w:pPr>
            <w:r>
              <w:rPr>
                <w:color w:val="auto"/>
                <w:sz w:val="22"/>
                <w:lang w:val="en-US" w:eastAsia="zh-CN"/>
                <w:kern w:val="0"/>
                <w:szCs w:val="22"/>
                <w:rFonts w:hint="eastAsia"/>
              </w:rPr>
              <w:t>9</w:t>
            </w:r>
            <w:r>
              <w:rPr>
                <w:color w:val="auto"/>
                <w:sz w:val="22"/>
                <w:lang w:eastAsia="zh-CN"/>
                <w:kern w:val="0"/>
                <w:szCs w:val="22"/>
                <w:rFonts w:hint="default"/>
              </w:rPr>
              <w:t>9.7</w:t>
            </w:r>
            <w:r>
              <w:rPr>
                <w:color w:val="auto"/>
                <w:sz w:val="22"/>
                <w:kern w:val="0"/>
                <w:szCs w:val="22"/>
              </w:rPr>
              <w:t>%</w:t>
            </w:r>
          </w:p>
        </w:tc>
        <w:tc>
          <w:tcPr>
            <w:tcW w:w="960" w:type="dxa"/>
            <w:vAlign w:val="center"/>
            <w:shd w:val="clear" w:color="000000" w:fill="FFFFFF"/>
          </w:tcPr>
          <w:p>
            <w:pPr>
              <w:widowControl w:val="1"/>
              <w:keepNext w:val="0"/>
              <w:keepLines w:val="0"/>
              <w:pageBreakBefore w:val="0"/>
              <w:wordWrap w:val="1"/>
              <w:overflowPunct w:val="1"/>
              <w:topLinePunct w:val="0"/>
              <w:kinsoku w:val="1"/>
              <w:autoSpaceDE w:val="1"/>
              <w:autoSpaceDN w:val="1"/>
              <w:bidi w:val="0"/>
              <w:adjustRightInd w:val="1"/>
              <w:snapToGrid w:val="1"/>
              <w:jc w:val="center"/>
              <w:spacing w:line="240" w:lineRule="auto"/>
              <w:rPr>
                <w:color w:val="auto"/>
                <w:sz w:val="22"/>
                <w:lang w:eastAsia="zh-CN"/>
                <w:kern w:val="0"/>
                <w:szCs w:val="22"/>
                <w:rFonts w:eastAsia="宋体" w:hint="default"/>
              </w:rPr>
            </w:pPr>
            <w:r>
              <w:rPr>
                <w:color w:val="auto"/>
                <w:sz w:val="22"/>
                <w:lang w:eastAsia="zh-CN"/>
                <w:kern w:val="0"/>
                <w:szCs w:val="22"/>
                <w:rFonts w:hint="default"/>
              </w:rPr>
              <w:t>9.97</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type="dxa" w:w="0.000000"/>
            <w:bottom w:type="dxa" w:w="0.000000"/>
            <w:left w:type="dxa" w:w="108.000000"/>
            <w:right w:type="dxa" w:w="108.000000"/>
          </w:tblCellMar>
          <w:tblLayout w:type="fixed"/>
        </w:tblPrEx>
        <w:trPr>
          <w:trHeight w:val="567" w:hRule="atLeast"/>
        </w:trPr>
        <w:tc>
          <w:tcPr>
            <w:tcW w:w="1104" w:type="dxa"/>
            <w:vMerge w:val="continue"/>
            <w:vAlign w:val="center"/>
            <w:shd w:val="clear" w:color="auto" w:fill="FFFFFF"/>
          </w:tcPr>
          <w:p>
            <w:pPr>
              <w:widowControl w:val="1"/>
              <w:keepNext w:val="0"/>
              <w:keepLines w:val="0"/>
              <w:pageBreakBefore w:val="0"/>
              <w:wordWrap w:val="1"/>
              <w:overflowPunct w:val="1"/>
              <w:topLinePunct w:val="0"/>
              <w:kinsoku w:val="1"/>
              <w:autoSpaceDE w:val="1"/>
              <w:autoSpaceDN w:val="1"/>
              <w:bidi w:val="0"/>
              <w:adjustRightInd w:val="1"/>
              <w:snapToGrid w:val="1"/>
              <w:jc w:val="center"/>
              <w:spacing w:line="240" w:lineRule="auto"/>
              <w:rPr>
                <w:color w:val="auto"/>
                <w:sz w:val="22"/>
                <w:kern w:val="0"/>
                <w:szCs w:val="22"/>
              </w:rPr>
            </w:pPr>
          </w:p>
        </w:tc>
        <w:tc>
          <w:tcPr>
            <w:tcW w:w="990" w:type="dxa"/>
            <w:vMerge w:val="continue"/>
            <w:vAlign w:val="center"/>
            <w:shd w:val="clear" w:color="auto" w:fill="FFFFFF"/>
          </w:tcPr>
          <w:p>
            <w:pPr>
              <w:widowControl w:val="1"/>
              <w:keepNext w:val="0"/>
              <w:keepLines w:val="0"/>
              <w:pageBreakBefore w:val="0"/>
              <w:wordWrap w:val="1"/>
              <w:overflowPunct w:val="1"/>
              <w:topLinePunct w:val="0"/>
              <w:kinsoku w:val="1"/>
              <w:autoSpaceDE w:val="1"/>
              <w:autoSpaceDN w:val="1"/>
              <w:bidi w:val="0"/>
              <w:adjustRightInd w:val="1"/>
              <w:snapToGrid w:val="1"/>
              <w:jc w:val="center"/>
              <w:spacing w:line="240" w:lineRule="auto"/>
              <w:rPr>
                <w:color w:val="auto"/>
                <w:sz w:val="22"/>
                <w:kern w:val="0"/>
                <w:szCs w:val="22"/>
              </w:rPr>
            </w:pPr>
          </w:p>
        </w:tc>
        <w:tc>
          <w:tcPr>
            <w:tcW w:w="1283" w:type="dxa"/>
            <w:vAlign w:val="center"/>
            <w:shd w:val="clear" w:color="auto" w:fill="FFFFFF"/>
          </w:tcPr>
          <w:p>
            <w:pPr>
              <w:widowControl w:val="1"/>
              <w:keepNext w:val="0"/>
              <w:keepLines w:val="0"/>
              <w:pageBreakBefore w:val="0"/>
              <w:wordWrap w:val="1"/>
              <w:overflowPunct w:val="1"/>
              <w:topLinePunct w:val="0"/>
              <w:kinsoku w:val="1"/>
              <w:autoSpaceDE w:val="1"/>
              <w:autoSpaceDN w:val="1"/>
              <w:bidi w:val="0"/>
              <w:adjustRightInd w:val="1"/>
              <w:snapToGrid w:val="1"/>
              <w:jc w:val="center"/>
              <w:spacing w:line="240" w:lineRule="auto"/>
              <w:rPr>
                <w:color w:val="auto"/>
                <w:sz w:val="22"/>
                <w:kern w:val="0"/>
                <w:szCs w:val="22"/>
              </w:rPr>
            </w:pPr>
            <w:r>
              <w:rPr>
                <w:color w:val="auto"/>
                <w:sz w:val="22"/>
                <w:kern w:val="0"/>
                <w:szCs w:val="22"/>
              </w:rPr>
              <w:t>产出质量</w:t>
            </w:r>
          </w:p>
        </w:tc>
        <w:tc>
          <w:tcPr>
            <w:tcW w:w="1707" w:type="dxa"/>
            <w:vAlign w:val="center"/>
            <w:shd w:val="clear" w:color="auto" w:fill="FFFFFF"/>
          </w:tcPr>
          <w:p>
            <w:pPr>
              <w:widowControl w:val="1"/>
              <w:keepNext w:val="0"/>
              <w:keepLines w:val="0"/>
              <w:pageBreakBefore w:val="0"/>
              <w:wordWrap w:val="1"/>
              <w:overflowPunct w:val="1"/>
              <w:topLinePunct w:val="0"/>
              <w:kinsoku w:val="1"/>
              <w:autoSpaceDE w:val="1"/>
              <w:autoSpaceDN w:val="1"/>
              <w:bidi w:val="0"/>
              <w:adjustRightInd w:val="1"/>
              <w:snapToGrid w:val="1"/>
              <w:jc w:val="center"/>
              <w:spacing w:line="240" w:lineRule="auto"/>
              <w:rPr>
                <w:color w:val="auto"/>
                <w:sz w:val="22"/>
                <w:kern w:val="0"/>
                <w:szCs w:val="22"/>
              </w:rPr>
            </w:pPr>
            <w:r>
              <w:rPr>
                <w:color w:val="auto"/>
                <w:sz w:val="22"/>
                <w:kern w:val="0"/>
                <w:szCs w:val="22"/>
              </w:rPr>
              <w:t>质量达标率</w:t>
            </w:r>
          </w:p>
        </w:tc>
        <w:tc>
          <w:tcPr>
            <w:tcW w:w="727" w:type="dxa"/>
            <w:vAlign w:val="center"/>
            <w:shd w:val="clear" w:color="000000" w:fill="FFFFFF"/>
          </w:tcPr>
          <w:p>
            <w:pPr>
              <w:widowControl w:val="1"/>
              <w:keepNext w:val="0"/>
              <w:keepLines w:val="0"/>
              <w:pageBreakBefore w:val="0"/>
              <w:wordWrap w:val="1"/>
              <w:overflowPunct w:val="1"/>
              <w:topLinePunct w:val="0"/>
              <w:kinsoku w:val="1"/>
              <w:autoSpaceDE w:val="1"/>
              <w:autoSpaceDN w:val="1"/>
              <w:bidi w:val="0"/>
              <w:adjustRightInd w:val="1"/>
              <w:snapToGrid w:val="1"/>
              <w:jc w:val="center"/>
              <w:spacing w:line="240" w:lineRule="auto"/>
              <w:rPr>
                <w:color w:val="auto"/>
                <w:sz w:val="22"/>
                <w:kern w:val="0"/>
                <w:szCs w:val="22"/>
              </w:rPr>
            </w:pPr>
            <w:r>
              <w:rPr>
                <w:color w:val="auto"/>
                <w:sz w:val="22"/>
                <w:kern w:val="0"/>
                <w:szCs w:val="22"/>
              </w:rPr>
              <w:t>10</w:t>
            </w:r>
          </w:p>
        </w:tc>
        <w:tc>
          <w:tcPr>
            <w:tcW w:w="1044" w:type="dxa"/>
            <w:vAlign w:val="center"/>
            <w:shd w:val="clear" w:color="000000" w:fill="FFFFFF"/>
          </w:tcPr>
          <w:p>
            <w:pPr>
              <w:widowControl w:val="1"/>
              <w:keepNext w:val="0"/>
              <w:keepLines w:val="0"/>
              <w:pageBreakBefore w:val="0"/>
              <w:wordWrap w:val="1"/>
              <w:overflowPunct w:val="1"/>
              <w:topLinePunct w:val="0"/>
              <w:kinsoku w:val="1"/>
              <w:autoSpaceDE w:val="1"/>
              <w:autoSpaceDN w:val="1"/>
              <w:bidi w:val="0"/>
              <w:adjustRightInd w:val="1"/>
              <w:snapToGrid w:val="1"/>
              <w:jc w:val="center"/>
              <w:spacing w:line="240" w:lineRule="auto"/>
              <w:rPr>
                <w:color w:val="auto"/>
                <w:sz w:val="22"/>
                <w:kern w:val="0"/>
                <w:szCs w:val="22"/>
              </w:rPr>
            </w:pPr>
            <w:r>
              <w:rPr>
                <w:color w:val="auto"/>
                <w:sz w:val="22"/>
                <w:kern w:val="0"/>
                <w:szCs w:val="22"/>
              </w:rPr>
              <w:t>100%</w:t>
            </w:r>
          </w:p>
        </w:tc>
        <w:tc>
          <w:tcPr>
            <w:tcW w:w="924" w:type="dxa"/>
            <w:vAlign w:val="center"/>
            <w:shd w:val="clear" w:color="000000" w:fill="FFFFFF"/>
          </w:tcPr>
          <w:p>
            <w:pPr>
              <w:widowControl w:val="1"/>
              <w:keepNext w:val="0"/>
              <w:keepLines w:val="0"/>
              <w:pageBreakBefore w:val="0"/>
              <w:wordWrap w:val="1"/>
              <w:overflowPunct w:val="1"/>
              <w:topLinePunct w:val="0"/>
              <w:kinsoku w:val="1"/>
              <w:autoSpaceDE w:val="1"/>
              <w:autoSpaceDN w:val="1"/>
              <w:bidi w:val="0"/>
              <w:adjustRightInd w:val="1"/>
              <w:snapToGrid w:val="1"/>
              <w:jc w:val="center"/>
              <w:spacing w:line="240" w:lineRule="auto"/>
              <w:rPr>
                <w:color w:val="auto"/>
                <w:sz w:val="22"/>
                <w:kern w:val="0"/>
                <w:szCs w:val="22"/>
              </w:rPr>
            </w:pPr>
            <w:r>
              <w:rPr>
                <w:color w:val="auto"/>
                <w:sz w:val="22"/>
                <w:kern w:val="0"/>
                <w:szCs w:val="22"/>
              </w:rPr>
              <w:t>100%</w:t>
            </w:r>
          </w:p>
        </w:tc>
        <w:tc>
          <w:tcPr>
            <w:tcW w:w="1215" w:type="dxa"/>
            <w:vAlign w:val="center"/>
            <w:shd w:val="clear" w:color="000000" w:fill="FFFFFF"/>
          </w:tcPr>
          <w:p>
            <w:pPr>
              <w:widowControl w:val="1"/>
              <w:keepNext w:val="0"/>
              <w:keepLines w:val="0"/>
              <w:pageBreakBefore w:val="0"/>
              <w:wordWrap w:val="1"/>
              <w:overflowPunct w:val="1"/>
              <w:topLinePunct w:val="0"/>
              <w:kinsoku w:val="1"/>
              <w:autoSpaceDE w:val="1"/>
              <w:autoSpaceDN w:val="1"/>
              <w:bidi w:val="0"/>
              <w:adjustRightInd w:val="1"/>
              <w:snapToGrid w:val="1"/>
              <w:jc w:val="center"/>
              <w:spacing w:line="240" w:lineRule="auto"/>
              <w:rPr>
                <w:color w:val="auto"/>
                <w:sz w:val="22"/>
                <w:kern w:val="0"/>
                <w:szCs w:val="22"/>
              </w:rPr>
            </w:pPr>
            <w:r>
              <w:rPr>
                <w:color w:val="auto"/>
                <w:sz w:val="22"/>
                <w:kern w:val="0"/>
                <w:szCs w:val="22"/>
              </w:rPr>
              <w:t>100%</w:t>
            </w:r>
          </w:p>
        </w:tc>
        <w:tc>
          <w:tcPr>
            <w:tcW w:w="960" w:type="dxa"/>
            <w:vAlign w:val="center"/>
            <w:shd w:val="clear" w:color="000000" w:fill="FFFFFF"/>
          </w:tcPr>
          <w:p>
            <w:pPr>
              <w:widowControl w:val="1"/>
              <w:keepNext w:val="0"/>
              <w:keepLines w:val="0"/>
              <w:pageBreakBefore w:val="0"/>
              <w:wordWrap w:val="1"/>
              <w:overflowPunct w:val="1"/>
              <w:topLinePunct w:val="0"/>
              <w:kinsoku w:val="1"/>
              <w:autoSpaceDE w:val="1"/>
              <w:autoSpaceDN w:val="1"/>
              <w:bidi w:val="0"/>
              <w:adjustRightInd w:val="1"/>
              <w:snapToGrid w:val="1"/>
              <w:jc w:val="center"/>
              <w:spacing w:line="240" w:lineRule="auto"/>
              <w:rPr>
                <w:color w:val="auto"/>
                <w:sz w:val="22"/>
                <w:lang w:val="en-US" w:eastAsia="zh-CN"/>
                <w:kern w:val="0"/>
                <w:szCs w:val="22"/>
                <w:rFonts w:eastAsia="宋体" w:hint="default"/>
              </w:rPr>
            </w:pPr>
            <w:r>
              <w:rPr>
                <w:color w:val="auto"/>
                <w:sz w:val="22"/>
                <w:lang w:val="en-US" w:eastAsia="zh-CN"/>
                <w:kern w:val="0"/>
                <w:szCs w:val="22"/>
                <w:rFonts w:hint="eastAsia"/>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type="dxa" w:w="0.000000"/>
            <w:bottom w:type="dxa" w:w="0.000000"/>
            <w:left w:type="dxa" w:w="108.000000"/>
            <w:right w:type="dxa" w:w="108.000000"/>
          </w:tblCellMar>
          <w:tblLayout w:type="fixed"/>
        </w:tblPrEx>
        <w:trPr>
          <w:trHeight w:val="567" w:hRule="atLeast"/>
        </w:trPr>
        <w:tc>
          <w:tcPr>
            <w:tcW w:w="1104" w:type="dxa"/>
            <w:vMerge w:val="continue"/>
            <w:vAlign w:val="center"/>
            <w:shd w:val="clear" w:color="auto" w:fill="FFFFFF"/>
          </w:tcPr>
          <w:p>
            <w:pPr>
              <w:keepNext w:val="0"/>
              <w:keepLines w:val="0"/>
              <w:pageBreakBefore w:val="0"/>
              <w:wordWrap w:val="1"/>
              <w:overflowPunct w:val="1"/>
              <w:topLinePunct w:val="0"/>
              <w:kinsoku w:val="1"/>
              <w:autoSpaceDE w:val="1"/>
              <w:autoSpaceDN w:val="1"/>
              <w:bidi w:val="0"/>
              <w:adjustRightInd w:val="1"/>
              <w:snapToGrid w:val="1"/>
              <w:jc w:val="center"/>
              <w:spacing w:line="240" w:lineRule="auto"/>
              <w:rPr>
                <w:color w:val="auto"/>
                <w:sz w:val="22"/>
                <w:kern w:val="0"/>
                <w:szCs w:val="22"/>
              </w:rPr>
            </w:pPr>
          </w:p>
        </w:tc>
        <w:tc>
          <w:tcPr>
            <w:tcW w:w="990" w:type="dxa"/>
            <w:vMerge w:val="continue"/>
            <w:vAlign w:val="center"/>
            <w:shd w:val="clear" w:color="auto" w:fill="FFFFFF"/>
          </w:tcPr>
          <w:p>
            <w:pPr>
              <w:keepNext w:val="0"/>
              <w:keepLines w:val="0"/>
              <w:pageBreakBefore w:val="0"/>
              <w:wordWrap w:val="1"/>
              <w:overflowPunct w:val="1"/>
              <w:topLinePunct w:val="0"/>
              <w:kinsoku w:val="1"/>
              <w:autoSpaceDE w:val="1"/>
              <w:autoSpaceDN w:val="1"/>
              <w:bidi w:val="0"/>
              <w:adjustRightInd w:val="1"/>
              <w:snapToGrid w:val="1"/>
              <w:jc w:val="center"/>
              <w:spacing w:line="240" w:lineRule="auto"/>
              <w:rPr>
                <w:color w:val="auto"/>
                <w:sz w:val="22"/>
                <w:kern w:val="0"/>
                <w:szCs w:val="22"/>
              </w:rPr>
            </w:pPr>
          </w:p>
        </w:tc>
        <w:tc>
          <w:tcPr>
            <w:tcW w:w="1283" w:type="dxa"/>
            <w:vAlign w:val="center"/>
            <w:shd w:val="clear" w:color="auto" w:fill="FFFFFF"/>
          </w:tcPr>
          <w:p>
            <w:pPr>
              <w:keepNext w:val="0"/>
              <w:keepLines w:val="0"/>
              <w:pageBreakBefore w:val="0"/>
              <w:wordWrap w:val="1"/>
              <w:overflowPunct w:val="1"/>
              <w:topLinePunct w:val="0"/>
              <w:kinsoku w:val="1"/>
              <w:autoSpaceDE w:val="1"/>
              <w:autoSpaceDN w:val="1"/>
              <w:bidi w:val="0"/>
              <w:adjustRightInd w:val="1"/>
              <w:snapToGrid w:val="1"/>
              <w:jc w:val="center"/>
              <w:spacing w:line="240" w:lineRule="auto"/>
              <w:rPr>
                <w:color w:val="auto"/>
                <w:sz w:val="22"/>
                <w:kern w:val="0"/>
                <w:szCs w:val="22"/>
              </w:rPr>
            </w:pPr>
            <w:r>
              <w:rPr>
                <w:color w:val="auto"/>
                <w:sz w:val="22"/>
                <w:kern w:val="0"/>
                <w:szCs w:val="22"/>
              </w:rPr>
              <w:t>产出时效</w:t>
            </w:r>
          </w:p>
        </w:tc>
        <w:tc>
          <w:tcPr>
            <w:tcW w:w="1707" w:type="dxa"/>
            <w:vAlign w:val="center"/>
            <w:shd w:val="clear" w:color="auto" w:fill="FFFFFF"/>
          </w:tcPr>
          <w:p>
            <w:pPr>
              <w:widowControl w:val="1"/>
              <w:keepNext w:val="0"/>
              <w:keepLines w:val="0"/>
              <w:pageBreakBefore w:val="0"/>
              <w:wordWrap w:val="1"/>
              <w:overflowPunct w:val="1"/>
              <w:topLinePunct w:val="0"/>
              <w:kinsoku w:val="1"/>
              <w:autoSpaceDE w:val="1"/>
              <w:autoSpaceDN w:val="1"/>
              <w:bidi w:val="0"/>
              <w:adjustRightInd w:val="1"/>
              <w:snapToGrid w:val="1"/>
              <w:jc w:val="center"/>
              <w:spacing w:line="240" w:lineRule="auto"/>
              <w:rPr>
                <w:color w:val="auto"/>
                <w:sz w:val="22"/>
                <w:kern w:val="0"/>
                <w:szCs w:val="22"/>
              </w:rPr>
            </w:pPr>
            <w:r>
              <w:rPr>
                <w:color w:val="auto"/>
                <w:sz w:val="22"/>
                <w:kern w:val="0"/>
                <w:szCs w:val="22"/>
              </w:rPr>
              <w:t>完成及时性</w:t>
            </w:r>
          </w:p>
        </w:tc>
        <w:tc>
          <w:tcPr>
            <w:tcW w:w="727" w:type="dxa"/>
            <w:vAlign w:val="center"/>
            <w:shd w:val="clear" w:color="000000" w:fill="FFFFFF"/>
          </w:tcPr>
          <w:p>
            <w:pPr>
              <w:widowControl w:val="1"/>
              <w:keepNext w:val="0"/>
              <w:keepLines w:val="0"/>
              <w:pageBreakBefore w:val="0"/>
              <w:wordWrap w:val="1"/>
              <w:overflowPunct w:val="1"/>
              <w:topLinePunct w:val="0"/>
              <w:kinsoku w:val="1"/>
              <w:autoSpaceDE w:val="1"/>
              <w:autoSpaceDN w:val="1"/>
              <w:bidi w:val="0"/>
              <w:adjustRightInd w:val="1"/>
              <w:snapToGrid w:val="1"/>
              <w:jc w:val="center"/>
              <w:spacing w:line="240" w:lineRule="auto"/>
              <w:rPr>
                <w:color w:val="auto"/>
                <w:sz w:val="22"/>
                <w:kern w:val="0"/>
                <w:szCs w:val="22"/>
              </w:rPr>
            </w:pPr>
            <w:r>
              <w:rPr>
                <w:color w:val="auto"/>
                <w:sz w:val="22"/>
                <w:kern w:val="0"/>
                <w:szCs w:val="22"/>
              </w:rPr>
              <w:t>1</w:t>
            </w:r>
            <w:r>
              <w:rPr>
                <w:color w:val="auto"/>
                <w:sz w:val="22"/>
                <w:kern w:val="0"/>
                <w:szCs w:val="22"/>
                <w:rFonts w:hint="eastAsia"/>
              </w:rPr>
              <w:t>0</w:t>
            </w:r>
          </w:p>
        </w:tc>
        <w:tc>
          <w:tcPr>
            <w:tcW w:w="1044" w:type="dxa"/>
            <w:vAlign w:val="center"/>
            <w:shd w:val="clear" w:color="000000" w:fill="FFFFFF"/>
          </w:tcPr>
          <w:p>
            <w:pPr>
              <w:widowControl w:val="1"/>
              <w:keepNext w:val="0"/>
              <w:keepLines w:val="0"/>
              <w:pageBreakBefore w:val="0"/>
              <w:wordWrap w:val="1"/>
              <w:overflowPunct w:val="1"/>
              <w:topLinePunct w:val="0"/>
              <w:kinsoku w:val="1"/>
              <w:autoSpaceDE w:val="1"/>
              <w:autoSpaceDN w:val="1"/>
              <w:bidi w:val="0"/>
              <w:adjustRightInd w:val="1"/>
              <w:snapToGrid w:val="1"/>
              <w:jc w:val="center"/>
              <w:spacing w:line="240" w:lineRule="auto"/>
              <w:rPr>
                <w:color w:val="auto"/>
                <w:sz w:val="22"/>
                <w:kern w:val="0"/>
                <w:szCs w:val="22"/>
              </w:rPr>
            </w:pPr>
            <w:r>
              <w:rPr>
                <w:color w:val="auto"/>
                <w:sz w:val="22"/>
                <w:kern w:val="0"/>
                <w:szCs w:val="22"/>
              </w:rPr>
              <w:t>及时</w:t>
            </w:r>
          </w:p>
        </w:tc>
        <w:tc>
          <w:tcPr>
            <w:tcW w:w="924" w:type="dxa"/>
            <w:vAlign w:val="center"/>
            <w:shd w:val="clear" w:color="000000" w:fill="FFFFFF"/>
          </w:tcPr>
          <w:p>
            <w:pPr>
              <w:widowControl w:val="1"/>
              <w:keepNext w:val="0"/>
              <w:keepLines w:val="0"/>
              <w:pageBreakBefore w:val="0"/>
              <w:wordWrap w:val="1"/>
              <w:overflowPunct w:val="1"/>
              <w:topLinePunct w:val="0"/>
              <w:kinsoku w:val="1"/>
              <w:autoSpaceDE w:val="1"/>
              <w:autoSpaceDN w:val="1"/>
              <w:bidi w:val="0"/>
              <w:adjustRightInd w:val="1"/>
              <w:snapToGrid w:val="1"/>
              <w:jc w:val="center"/>
              <w:spacing w:line="240" w:lineRule="auto"/>
              <w:rPr>
                <w:color w:val="auto"/>
                <w:sz w:val="22"/>
                <w:kern w:val="0"/>
                <w:szCs w:val="22"/>
              </w:rPr>
            </w:pPr>
            <w:r>
              <w:rPr>
                <w:color w:val="auto"/>
                <w:sz w:val="22"/>
                <w:kern w:val="0"/>
                <w:szCs w:val="22"/>
              </w:rPr>
              <w:t>及时</w:t>
            </w:r>
          </w:p>
        </w:tc>
        <w:tc>
          <w:tcPr>
            <w:tcW w:w="1215" w:type="dxa"/>
            <w:vAlign w:val="center"/>
            <w:shd w:val="clear" w:color="000000" w:fill="FFFFFF"/>
          </w:tcPr>
          <w:p>
            <w:pPr>
              <w:widowControl w:val="1"/>
              <w:keepNext w:val="0"/>
              <w:keepLines w:val="0"/>
              <w:pageBreakBefore w:val="0"/>
              <w:wordWrap w:val="1"/>
              <w:overflowPunct w:val="1"/>
              <w:topLinePunct w:val="0"/>
              <w:kinsoku w:val="1"/>
              <w:autoSpaceDE w:val="1"/>
              <w:autoSpaceDN w:val="1"/>
              <w:bidi w:val="0"/>
              <w:adjustRightInd w:val="1"/>
              <w:snapToGrid w:val="1"/>
              <w:jc w:val="center"/>
              <w:spacing w:line="240" w:lineRule="auto"/>
              <w:rPr>
                <w:color w:val="auto"/>
                <w:sz w:val="22"/>
                <w:kern w:val="0"/>
                <w:szCs w:val="22"/>
              </w:rPr>
            </w:pPr>
            <w:r>
              <w:rPr>
                <w:color w:val="auto"/>
                <w:sz w:val="22"/>
                <w:lang w:val="en-US" w:eastAsia="zh-CN"/>
                <w:kern w:val="0"/>
                <w:szCs w:val="22"/>
                <w:rFonts w:hint="eastAsia"/>
              </w:rPr>
              <w:t>100%</w:t>
            </w:r>
          </w:p>
        </w:tc>
        <w:tc>
          <w:tcPr>
            <w:tcW w:w="960" w:type="dxa"/>
            <w:vAlign w:val="center"/>
            <w:shd w:val="clear" w:color="000000" w:fill="FFFFFF"/>
          </w:tcPr>
          <w:p>
            <w:pPr>
              <w:widowControl w:val="1"/>
              <w:keepNext w:val="0"/>
              <w:keepLines w:val="0"/>
              <w:pageBreakBefore w:val="0"/>
              <w:wordWrap w:val="1"/>
              <w:overflowPunct w:val="1"/>
              <w:topLinePunct w:val="0"/>
              <w:kinsoku w:val="1"/>
              <w:autoSpaceDE w:val="1"/>
              <w:autoSpaceDN w:val="1"/>
              <w:bidi w:val="0"/>
              <w:adjustRightInd w:val="1"/>
              <w:snapToGrid w:val="1"/>
              <w:jc w:val="center"/>
              <w:spacing w:line="240" w:lineRule="auto"/>
              <w:rPr>
                <w:color w:val="auto"/>
                <w:sz w:val="22"/>
                <w:lang w:val="en-US"/>
                <w:kern w:val="0"/>
                <w:szCs w:val="22"/>
                <w:rFonts w:hint="default"/>
              </w:rPr>
            </w:pPr>
            <w:r>
              <w:rPr>
                <w:color w:val="auto"/>
                <w:sz w:val="22"/>
                <w:lang w:val="en-US" w:eastAsia="zh-CN"/>
                <w:kern w:val="0"/>
                <w:szCs w:val="22"/>
                <w:rFonts w:hint="eastAsia"/>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type="dxa" w:w="0.000000"/>
            <w:bottom w:type="dxa" w:w="0.000000"/>
            <w:left w:type="dxa" w:w="108.000000"/>
            <w:right w:type="dxa" w:w="108.000000"/>
          </w:tblCellMar>
          <w:tblLayout w:type="fixed"/>
        </w:tblPrEx>
        <w:trPr>
          <w:trHeight w:val="567" w:hRule="atLeast"/>
        </w:trPr>
        <w:tc>
          <w:tcPr>
            <w:tcW w:w="1104" w:type="dxa"/>
            <w:vMerge w:val="continue"/>
            <w:vAlign w:val="center"/>
            <w:shd w:val="clear" w:color="auto" w:fill="FFFFFF"/>
          </w:tcPr>
          <w:p>
            <w:pPr>
              <w:widowControl w:val="1"/>
              <w:keepNext w:val="0"/>
              <w:keepLines w:val="0"/>
              <w:pageBreakBefore w:val="0"/>
              <w:wordWrap w:val="1"/>
              <w:overflowPunct w:val="1"/>
              <w:topLinePunct w:val="0"/>
              <w:kinsoku w:val="1"/>
              <w:autoSpaceDE w:val="1"/>
              <w:autoSpaceDN w:val="1"/>
              <w:bidi w:val="0"/>
              <w:adjustRightInd w:val="1"/>
              <w:snapToGrid w:val="1"/>
              <w:jc w:val="center"/>
              <w:spacing w:line="240" w:lineRule="auto"/>
              <w:rPr>
                <w:color w:val="auto"/>
                <w:sz w:val="22"/>
                <w:kern w:val="0"/>
                <w:szCs w:val="22"/>
              </w:rPr>
            </w:pPr>
          </w:p>
        </w:tc>
        <w:tc>
          <w:tcPr>
            <w:tcW w:w="990" w:type="dxa"/>
            <w:vMerge w:val="continue"/>
            <w:vAlign w:val="center"/>
            <w:shd w:val="clear" w:color="auto" w:fill="FFFFFF"/>
          </w:tcPr>
          <w:p>
            <w:pPr>
              <w:widowControl w:val="1"/>
              <w:keepNext w:val="0"/>
              <w:keepLines w:val="0"/>
              <w:pageBreakBefore w:val="0"/>
              <w:wordWrap w:val="1"/>
              <w:overflowPunct w:val="1"/>
              <w:topLinePunct w:val="0"/>
              <w:kinsoku w:val="1"/>
              <w:autoSpaceDE w:val="1"/>
              <w:autoSpaceDN w:val="1"/>
              <w:bidi w:val="0"/>
              <w:adjustRightInd w:val="1"/>
              <w:snapToGrid w:val="1"/>
              <w:jc w:val="center"/>
              <w:spacing w:line="240" w:lineRule="auto"/>
              <w:rPr>
                <w:color w:val="auto"/>
                <w:sz w:val="22"/>
                <w:kern w:val="0"/>
                <w:szCs w:val="22"/>
              </w:rPr>
            </w:pPr>
          </w:p>
        </w:tc>
        <w:tc>
          <w:tcPr>
            <w:tcW w:w="1283" w:type="dxa"/>
            <w:vAlign w:val="center"/>
            <w:shd w:val="clear" w:color="auto" w:fill="FFFFFF"/>
          </w:tcPr>
          <w:p>
            <w:pPr>
              <w:widowControl w:val="1"/>
              <w:keepNext w:val="0"/>
              <w:keepLines w:val="0"/>
              <w:pageBreakBefore w:val="0"/>
              <w:wordWrap w:val="1"/>
              <w:overflowPunct w:val="1"/>
              <w:topLinePunct w:val="0"/>
              <w:kinsoku w:val="1"/>
              <w:autoSpaceDE w:val="1"/>
              <w:autoSpaceDN w:val="1"/>
              <w:bidi w:val="0"/>
              <w:adjustRightInd w:val="1"/>
              <w:snapToGrid w:val="1"/>
              <w:jc w:val="center"/>
              <w:spacing w:line="240" w:lineRule="auto"/>
              <w:rPr>
                <w:color w:val="auto"/>
                <w:sz w:val="22"/>
                <w:kern w:val="0"/>
                <w:szCs w:val="22"/>
              </w:rPr>
            </w:pPr>
            <w:r>
              <w:rPr>
                <w:color w:val="auto"/>
                <w:sz w:val="22"/>
                <w:kern w:val="0"/>
                <w:szCs w:val="22"/>
              </w:rPr>
              <w:t>产出成本</w:t>
            </w:r>
          </w:p>
        </w:tc>
        <w:tc>
          <w:tcPr>
            <w:tcW w:w="1707" w:type="dxa"/>
            <w:vAlign w:val="center"/>
            <w:shd w:val="clear" w:color="auto" w:fill="FFFFFF"/>
          </w:tcPr>
          <w:p>
            <w:pPr>
              <w:widowControl w:val="1"/>
              <w:keepNext w:val="0"/>
              <w:keepLines w:val="0"/>
              <w:pageBreakBefore w:val="0"/>
              <w:wordWrap w:val="1"/>
              <w:overflowPunct w:val="1"/>
              <w:topLinePunct w:val="0"/>
              <w:kinsoku w:val="1"/>
              <w:autoSpaceDE w:val="1"/>
              <w:autoSpaceDN w:val="1"/>
              <w:bidi w:val="0"/>
              <w:adjustRightInd w:val="1"/>
              <w:snapToGrid w:val="1"/>
              <w:jc w:val="center"/>
              <w:spacing w:line="240" w:lineRule="auto"/>
              <w:rPr>
                <w:color w:val="auto"/>
                <w:sz w:val="22"/>
                <w:kern w:val="0"/>
                <w:szCs w:val="22"/>
              </w:rPr>
            </w:pPr>
            <w:r>
              <w:rPr>
                <w:color w:val="auto"/>
                <w:sz w:val="22"/>
                <w:kern w:val="0"/>
                <w:szCs w:val="22"/>
              </w:rPr>
              <w:t>成本节约率</w:t>
            </w:r>
          </w:p>
        </w:tc>
        <w:tc>
          <w:tcPr>
            <w:tcW w:w="727" w:type="dxa"/>
            <w:vAlign w:val="center"/>
            <w:shd w:val="clear" w:color="000000" w:fill="FFFFFF"/>
          </w:tcPr>
          <w:p>
            <w:pPr>
              <w:widowControl w:val="1"/>
              <w:keepNext w:val="0"/>
              <w:keepLines w:val="0"/>
              <w:pageBreakBefore w:val="0"/>
              <w:wordWrap w:val="1"/>
              <w:overflowPunct w:val="1"/>
              <w:topLinePunct w:val="0"/>
              <w:kinsoku w:val="1"/>
              <w:autoSpaceDE w:val="1"/>
              <w:autoSpaceDN w:val="1"/>
              <w:bidi w:val="0"/>
              <w:adjustRightInd w:val="1"/>
              <w:snapToGrid w:val="1"/>
              <w:jc w:val="center"/>
              <w:spacing w:line="240" w:lineRule="auto"/>
              <w:rPr>
                <w:color w:val="auto"/>
                <w:sz w:val="22"/>
                <w:kern w:val="0"/>
                <w:szCs w:val="22"/>
              </w:rPr>
            </w:pPr>
            <w:r>
              <w:rPr>
                <w:color w:val="auto"/>
                <w:sz w:val="22"/>
                <w:kern w:val="0"/>
                <w:szCs w:val="22"/>
              </w:rPr>
              <w:t>10</w:t>
            </w:r>
          </w:p>
        </w:tc>
        <w:tc>
          <w:tcPr>
            <w:tcW w:w="1044" w:type="dxa"/>
            <w:vAlign w:val="center"/>
            <w:shd w:val="clear" w:color="000000" w:fill="FFFFFF"/>
          </w:tcPr>
          <w:p>
            <w:pPr>
              <w:widowControl w:val="1"/>
              <w:keepNext w:val="0"/>
              <w:keepLines w:val="0"/>
              <w:pageBreakBefore w:val="0"/>
              <w:wordWrap w:val="1"/>
              <w:overflowPunct w:val="1"/>
              <w:topLinePunct w:val="0"/>
              <w:kinsoku w:val="1"/>
              <w:autoSpaceDE w:val="1"/>
              <w:autoSpaceDN w:val="1"/>
              <w:bidi w:val="0"/>
              <w:adjustRightInd w:val="1"/>
              <w:snapToGrid w:val="1"/>
              <w:jc w:val="center"/>
              <w:spacing w:line="240" w:lineRule="auto"/>
              <w:rPr>
                <w:color w:val="auto"/>
                <w:sz w:val="22"/>
                <w:kern w:val="0"/>
                <w:szCs w:val="22"/>
              </w:rPr>
            </w:pPr>
            <w:r>
              <w:rPr>
                <w:color w:val="auto"/>
                <w:sz w:val="22"/>
                <w:kern w:val="0"/>
                <w:szCs w:val="22"/>
              </w:rPr>
              <w:t>100%</w:t>
            </w:r>
          </w:p>
        </w:tc>
        <w:tc>
          <w:tcPr>
            <w:tcW w:w="924" w:type="dxa"/>
            <w:vAlign w:val="center"/>
            <w:shd w:val="clear" w:color="000000" w:fill="FFFFFF"/>
          </w:tcPr>
          <w:p>
            <w:pPr>
              <w:widowControl w:val="1"/>
              <w:keepNext w:val="0"/>
              <w:keepLines w:val="0"/>
              <w:pageBreakBefore w:val="0"/>
              <w:wordWrap w:val="1"/>
              <w:overflowPunct w:val="1"/>
              <w:topLinePunct w:val="0"/>
              <w:kinsoku w:val="1"/>
              <w:autoSpaceDE w:val="1"/>
              <w:autoSpaceDN w:val="1"/>
              <w:bidi w:val="0"/>
              <w:adjustRightInd w:val="1"/>
              <w:snapToGrid w:val="1"/>
              <w:jc w:val="center"/>
              <w:spacing w:line="240" w:lineRule="auto"/>
              <w:rPr>
                <w:color w:val="auto"/>
                <w:sz w:val="22"/>
                <w:kern w:val="0"/>
                <w:szCs w:val="22"/>
              </w:rPr>
            </w:pPr>
            <w:r>
              <w:rPr>
                <w:color w:val="auto"/>
                <w:sz w:val="22"/>
                <w:lang w:val="en-US" w:eastAsia="zh-CN"/>
                <w:kern w:val="0"/>
                <w:szCs w:val="22"/>
                <w:rFonts w:hint="eastAsia"/>
              </w:rPr>
              <w:t>100</w:t>
            </w:r>
            <w:r>
              <w:rPr>
                <w:color w:val="auto"/>
                <w:sz w:val="22"/>
                <w:kern w:val="0"/>
                <w:szCs w:val="22"/>
              </w:rPr>
              <w:t>%</w:t>
            </w:r>
          </w:p>
        </w:tc>
        <w:tc>
          <w:tcPr>
            <w:tcW w:w="1215" w:type="dxa"/>
            <w:vAlign w:val="center"/>
            <w:shd w:val="clear" w:color="000000" w:fill="FFFFFF"/>
          </w:tcPr>
          <w:p>
            <w:pPr>
              <w:widowControl w:val="1"/>
              <w:keepNext w:val="0"/>
              <w:keepLines w:val="0"/>
              <w:pageBreakBefore w:val="0"/>
              <w:wordWrap w:val="1"/>
              <w:overflowPunct w:val="1"/>
              <w:topLinePunct w:val="0"/>
              <w:kinsoku w:val="1"/>
              <w:autoSpaceDE w:val="1"/>
              <w:autoSpaceDN w:val="1"/>
              <w:bidi w:val="0"/>
              <w:adjustRightInd w:val="1"/>
              <w:snapToGrid w:val="1"/>
              <w:jc w:val="center"/>
              <w:spacing w:line="240" w:lineRule="auto"/>
              <w:rPr>
                <w:color w:val="auto"/>
                <w:sz w:val="22"/>
                <w:kern w:val="0"/>
                <w:szCs w:val="22"/>
              </w:rPr>
            </w:pPr>
            <w:r>
              <w:rPr>
                <w:color w:val="auto"/>
                <w:sz w:val="22"/>
                <w:lang w:val="en-US" w:eastAsia="zh-CN"/>
                <w:kern w:val="0"/>
                <w:szCs w:val="22"/>
                <w:rFonts w:hint="eastAsia"/>
              </w:rPr>
              <w:t>100</w:t>
            </w:r>
            <w:r>
              <w:rPr>
                <w:color w:val="auto"/>
                <w:sz w:val="22"/>
                <w:kern w:val="0"/>
                <w:szCs w:val="22"/>
              </w:rPr>
              <w:t>%</w:t>
            </w:r>
          </w:p>
        </w:tc>
        <w:tc>
          <w:tcPr>
            <w:tcW w:w="960" w:type="dxa"/>
            <w:vAlign w:val="center"/>
            <w:shd w:val="clear" w:color="000000" w:fill="FFFFFF"/>
          </w:tcPr>
          <w:p>
            <w:pPr>
              <w:widowControl w:val="1"/>
              <w:keepNext w:val="0"/>
              <w:keepLines w:val="0"/>
              <w:pageBreakBefore w:val="0"/>
              <w:wordWrap w:val="1"/>
              <w:overflowPunct w:val="1"/>
              <w:topLinePunct w:val="0"/>
              <w:kinsoku w:val="1"/>
              <w:autoSpaceDE w:val="1"/>
              <w:autoSpaceDN w:val="1"/>
              <w:bidi w:val="0"/>
              <w:adjustRightInd w:val="1"/>
              <w:snapToGrid w:val="1"/>
              <w:jc w:val="center"/>
              <w:spacing w:line="240" w:lineRule="auto"/>
              <w:rPr>
                <w:color w:val="auto"/>
                <w:sz w:val="22"/>
                <w:lang w:val="en-US" w:eastAsia="zh-CN"/>
                <w:kern w:val="0"/>
                <w:szCs w:val="22"/>
                <w:rFonts w:eastAsia="宋体" w:hint="default"/>
              </w:rPr>
            </w:pPr>
            <w:r>
              <w:rPr>
                <w:color w:val="auto"/>
                <w:sz w:val="22"/>
                <w:lang w:val="en-US" w:eastAsia="zh-CN"/>
                <w:kern w:val="0"/>
                <w:szCs w:val="22"/>
                <w:rFonts w:hint="eastAsia"/>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type="dxa" w:w="0.000000"/>
            <w:bottom w:type="dxa" w:w="0.000000"/>
            <w:left w:type="dxa" w:w="108.000000"/>
            <w:right w:type="dxa" w:w="108.000000"/>
          </w:tblCellMar>
          <w:tblLayout w:type="fixed"/>
        </w:tblPrEx>
        <w:trPr>
          <w:trHeight w:val="567" w:hRule="atLeast"/>
        </w:trPr>
        <w:tc>
          <w:tcPr>
            <w:tcW w:w="1104" w:type="dxa"/>
            <w:vMerge w:val="restart"/>
            <w:vAlign w:val="center"/>
            <w:shd w:val="clear" w:color="auto" w:fill="FFFFFF"/>
          </w:tcPr>
          <w:p>
            <w:pPr>
              <w:widowControl w:val="1"/>
              <w:keepNext w:val="0"/>
              <w:keepLines w:val="0"/>
              <w:pageBreakBefore w:val="0"/>
              <w:wordWrap w:val="1"/>
              <w:overflowPunct w:val="1"/>
              <w:topLinePunct w:val="0"/>
              <w:kinsoku w:val="1"/>
              <w:autoSpaceDE w:val="1"/>
              <w:autoSpaceDN w:val="1"/>
              <w:bidi w:val="0"/>
              <w:adjustRightInd w:val="1"/>
              <w:snapToGrid w:val="1"/>
              <w:jc w:val="center"/>
              <w:spacing w:line="240" w:lineRule="auto"/>
              <w:rPr>
                <w:color w:val="auto"/>
                <w:sz w:val="22"/>
                <w:kern w:val="0"/>
                <w:szCs w:val="22"/>
              </w:rPr>
            </w:pPr>
            <w:r>
              <w:rPr>
                <w:color w:val="auto"/>
                <w:sz w:val="22"/>
                <w:kern w:val="0"/>
                <w:szCs w:val="22"/>
              </w:rPr>
              <w:t>效益　</w:t>
            </w:r>
          </w:p>
        </w:tc>
        <w:tc>
          <w:tcPr>
            <w:tcW w:w="990" w:type="dxa"/>
            <w:vMerge w:val="restart"/>
            <w:vAlign w:val="center"/>
            <w:shd w:val="clear" w:color="auto" w:fill="FFFFFF"/>
          </w:tcPr>
          <w:p>
            <w:pPr>
              <w:widowControl w:val="1"/>
              <w:keepNext w:val="0"/>
              <w:keepLines w:val="0"/>
              <w:pageBreakBefore w:val="0"/>
              <w:wordWrap w:val="1"/>
              <w:overflowPunct w:val="1"/>
              <w:topLinePunct w:val="0"/>
              <w:kinsoku w:val="1"/>
              <w:autoSpaceDE w:val="1"/>
              <w:autoSpaceDN w:val="1"/>
              <w:bidi w:val="0"/>
              <w:adjustRightInd w:val="1"/>
              <w:snapToGrid w:val="1"/>
              <w:jc w:val="center"/>
              <w:spacing w:line="240" w:lineRule="auto"/>
              <w:rPr>
                <w:color w:val="auto"/>
                <w:sz w:val="22"/>
                <w:kern w:val="0"/>
                <w:szCs w:val="22"/>
              </w:rPr>
            </w:pPr>
            <w:r>
              <w:rPr>
                <w:color w:val="auto"/>
                <w:sz w:val="22"/>
                <w:kern w:val="0"/>
                <w:szCs w:val="22"/>
                <w:rFonts w:hint="eastAsia"/>
              </w:rPr>
              <w:t>20</w:t>
            </w:r>
            <w:r>
              <w:rPr>
                <w:color w:val="auto"/>
                <w:sz w:val="22"/>
                <w:kern w:val="0"/>
                <w:szCs w:val="22"/>
              </w:rPr>
              <w:t>分</w:t>
            </w:r>
          </w:p>
        </w:tc>
        <w:tc>
          <w:tcPr>
            <w:tcW w:w="1283" w:type="dxa"/>
            <w:vMerge w:val="restart"/>
            <w:vAlign w:val="center"/>
            <w:shd w:val="clear" w:color="auto" w:fill="FFFFFF"/>
          </w:tcPr>
          <w:p>
            <w:pPr>
              <w:widowControl w:val="1"/>
              <w:keepNext w:val="0"/>
              <w:keepLines w:val="0"/>
              <w:pageBreakBefore w:val="0"/>
              <w:wordWrap w:val="1"/>
              <w:overflowPunct w:val="1"/>
              <w:topLinePunct w:val="0"/>
              <w:kinsoku w:val="1"/>
              <w:autoSpaceDE w:val="1"/>
              <w:autoSpaceDN w:val="1"/>
              <w:bidi w:val="0"/>
              <w:adjustRightInd w:val="1"/>
              <w:snapToGrid w:val="1"/>
              <w:jc w:val="center"/>
              <w:spacing w:line="240" w:lineRule="auto"/>
              <w:rPr>
                <w:color w:val="auto"/>
                <w:sz w:val="22"/>
                <w:kern w:val="0"/>
                <w:szCs w:val="22"/>
              </w:rPr>
            </w:pPr>
            <w:r>
              <w:rPr>
                <w:color w:val="auto"/>
                <w:sz w:val="22"/>
                <w:kern w:val="0"/>
                <w:szCs w:val="22"/>
              </w:rPr>
              <w:t>项目效益　</w:t>
            </w:r>
          </w:p>
        </w:tc>
        <w:tc>
          <w:tcPr>
            <w:tcW w:w="1707" w:type="dxa"/>
            <w:vAlign w:val="center"/>
            <w:shd w:val="clear" w:color="auto" w:fill="FFFFFF"/>
          </w:tcPr>
          <w:p>
            <w:pPr>
              <w:widowControl w:val="1"/>
              <w:keepNext w:val="0"/>
              <w:keepLines w:val="0"/>
              <w:pageBreakBefore w:val="0"/>
              <w:wordWrap w:val="1"/>
              <w:overflowPunct w:val="1"/>
              <w:topLinePunct w:val="0"/>
              <w:kinsoku w:val="1"/>
              <w:autoSpaceDE w:val="1"/>
              <w:autoSpaceDN w:val="1"/>
              <w:bidi w:val="0"/>
              <w:adjustRightInd w:val="1"/>
              <w:snapToGrid w:val="1"/>
              <w:jc w:val="center"/>
              <w:spacing w:line="240" w:lineRule="auto"/>
              <w:rPr>
                <w:color w:val="auto"/>
                <w:sz w:val="22"/>
                <w:kern w:val="0"/>
                <w:szCs w:val="22"/>
              </w:rPr>
            </w:pPr>
            <w:r>
              <w:rPr>
                <w:color w:val="auto"/>
                <w:sz w:val="22"/>
                <w:kern w:val="0"/>
                <w:szCs w:val="22"/>
              </w:rPr>
              <w:t>实施效益</w:t>
            </w:r>
          </w:p>
          <w:p>
            <w:pPr>
              <w:widowControl w:val="1"/>
              <w:keepNext w:val="0"/>
              <w:keepLines w:val="0"/>
              <w:pageBreakBefore w:val="0"/>
              <w:wordWrap w:val="1"/>
              <w:overflowPunct w:val="1"/>
              <w:topLinePunct w:val="0"/>
              <w:kinsoku w:val="1"/>
              <w:autoSpaceDE w:val="1"/>
              <w:autoSpaceDN w:val="1"/>
              <w:bidi w:val="0"/>
              <w:adjustRightInd w:val="1"/>
              <w:snapToGrid w:val="1"/>
              <w:jc w:val="center"/>
              <w:spacing w:line="240" w:lineRule="auto"/>
              <w:rPr>
                <w:color w:val="auto"/>
                <w:sz w:val="22"/>
                <w:kern w:val="0"/>
                <w:szCs w:val="22"/>
              </w:rPr>
            </w:pPr>
            <w:r>
              <w:rPr>
                <w:color w:val="auto"/>
                <w:sz w:val="22"/>
                <w:kern w:val="0"/>
                <w:szCs w:val="22"/>
              </w:rPr>
              <w:t>（社会效益、经济效益、可持续效益）</w:t>
            </w:r>
          </w:p>
        </w:tc>
        <w:tc>
          <w:tcPr>
            <w:tcW w:w="727" w:type="dxa"/>
            <w:vAlign w:val="center"/>
            <w:shd w:val="clear" w:color="auto" w:fill="FFFFFF"/>
          </w:tcPr>
          <w:p>
            <w:pPr>
              <w:widowControl w:val="1"/>
              <w:keepNext w:val="0"/>
              <w:keepLines w:val="0"/>
              <w:pageBreakBefore w:val="0"/>
              <w:wordWrap w:val="1"/>
              <w:overflowPunct w:val="1"/>
              <w:topLinePunct w:val="0"/>
              <w:kinsoku w:val="1"/>
              <w:autoSpaceDE w:val="1"/>
              <w:autoSpaceDN w:val="1"/>
              <w:bidi w:val="0"/>
              <w:adjustRightInd w:val="1"/>
              <w:snapToGrid w:val="1"/>
              <w:jc w:val="center"/>
              <w:spacing w:line="240" w:lineRule="auto"/>
              <w:rPr>
                <w:color w:val="auto"/>
                <w:sz w:val="22"/>
                <w:kern w:val="0"/>
                <w:szCs w:val="22"/>
              </w:rPr>
            </w:pPr>
            <w:r>
              <w:rPr>
                <w:color w:val="auto"/>
                <w:sz w:val="22"/>
                <w:kern w:val="0"/>
                <w:szCs w:val="22"/>
                <w:rFonts w:hint="eastAsia"/>
              </w:rPr>
              <w:t>15</w:t>
            </w:r>
          </w:p>
        </w:tc>
        <w:tc>
          <w:tcPr>
            <w:tcW w:w="1044" w:type="dxa"/>
            <w:vAlign w:val="center"/>
            <w:shd w:val="clear" w:color="auto" w:fill="FFFFFF"/>
          </w:tcPr>
          <w:p>
            <w:pPr>
              <w:widowControl w:val="1"/>
              <w:keepNext w:val="0"/>
              <w:keepLines w:val="0"/>
              <w:pageBreakBefore w:val="0"/>
              <w:wordWrap w:val="1"/>
              <w:overflowPunct w:val="1"/>
              <w:topLinePunct w:val="0"/>
              <w:kinsoku w:val="1"/>
              <w:autoSpaceDE w:val="1"/>
              <w:autoSpaceDN w:val="1"/>
              <w:bidi w:val="0"/>
              <w:adjustRightInd w:val="1"/>
              <w:snapToGrid w:val="1"/>
              <w:jc w:val="center"/>
              <w:spacing w:line="240" w:lineRule="auto"/>
              <w:rPr>
                <w:color w:val="auto"/>
                <w:sz w:val="22"/>
                <w:kern w:val="0"/>
                <w:szCs w:val="22"/>
              </w:rPr>
            </w:pPr>
            <w:r>
              <w:rPr>
                <w:color w:val="auto"/>
                <w:sz w:val="22"/>
                <w:kern w:val="0"/>
                <w:szCs w:val="22"/>
              </w:rPr>
              <w:t>有效</w:t>
            </w:r>
          </w:p>
        </w:tc>
        <w:tc>
          <w:tcPr>
            <w:tcW w:w="924" w:type="dxa"/>
            <w:vAlign w:val="center"/>
            <w:shd w:val="clear" w:color="auto" w:fill="FFFFFF"/>
          </w:tcPr>
          <w:p>
            <w:pPr>
              <w:widowControl w:val="1"/>
              <w:keepNext w:val="0"/>
              <w:keepLines w:val="0"/>
              <w:pageBreakBefore w:val="0"/>
              <w:wordWrap w:val="1"/>
              <w:overflowPunct w:val="1"/>
              <w:topLinePunct w:val="0"/>
              <w:kinsoku w:val="1"/>
              <w:autoSpaceDE w:val="1"/>
              <w:autoSpaceDN w:val="1"/>
              <w:bidi w:val="0"/>
              <w:adjustRightInd w:val="1"/>
              <w:snapToGrid w:val="1"/>
              <w:jc w:val="center"/>
              <w:spacing w:line="240" w:lineRule="auto"/>
              <w:rPr>
                <w:color w:val="auto"/>
                <w:sz w:val="22"/>
                <w:kern w:val="0"/>
                <w:szCs w:val="22"/>
              </w:rPr>
            </w:pPr>
            <w:r>
              <w:rPr>
                <w:color w:val="auto"/>
                <w:sz w:val="22"/>
                <w:kern w:val="0"/>
                <w:szCs w:val="22"/>
              </w:rPr>
              <w:t>有效</w:t>
            </w:r>
          </w:p>
        </w:tc>
        <w:tc>
          <w:tcPr>
            <w:tcW w:w="1215" w:type="dxa"/>
            <w:vAlign w:val="center"/>
            <w:shd w:val="clear" w:color="auto" w:fill="FFFFFF"/>
          </w:tcPr>
          <w:p>
            <w:pPr>
              <w:widowControl w:val="1"/>
              <w:keepNext w:val="0"/>
              <w:keepLines w:val="0"/>
              <w:pageBreakBefore w:val="0"/>
              <w:wordWrap w:val="1"/>
              <w:overflowPunct w:val="1"/>
              <w:topLinePunct w:val="0"/>
              <w:kinsoku w:val="1"/>
              <w:autoSpaceDE w:val="1"/>
              <w:autoSpaceDN w:val="1"/>
              <w:bidi w:val="0"/>
              <w:adjustRightInd w:val="1"/>
              <w:snapToGrid w:val="1"/>
              <w:jc w:val="center"/>
              <w:spacing w:line="240" w:lineRule="auto"/>
              <w:rPr>
                <w:color w:val="auto"/>
                <w:sz w:val="22"/>
                <w:kern w:val="0"/>
                <w:szCs w:val="22"/>
              </w:rPr>
            </w:pPr>
            <w:r>
              <w:rPr>
                <w:color w:val="auto"/>
                <w:sz w:val="22"/>
                <w:lang w:val="en-US" w:eastAsia="zh-CN"/>
                <w:kern w:val="0"/>
                <w:szCs w:val="22"/>
                <w:rFonts w:hint="eastAsia"/>
              </w:rPr>
              <w:t>100%</w:t>
            </w:r>
          </w:p>
        </w:tc>
        <w:tc>
          <w:tcPr>
            <w:tcW w:w="960" w:type="dxa"/>
            <w:vAlign w:val="center"/>
            <w:shd w:val="clear" w:color="auto" w:fill="FFFFFF"/>
          </w:tcPr>
          <w:p>
            <w:pPr>
              <w:widowControl w:val="1"/>
              <w:keepNext w:val="0"/>
              <w:keepLines w:val="0"/>
              <w:pageBreakBefore w:val="0"/>
              <w:wordWrap w:val="1"/>
              <w:overflowPunct w:val="1"/>
              <w:topLinePunct w:val="0"/>
              <w:kinsoku w:val="1"/>
              <w:autoSpaceDE w:val="1"/>
              <w:autoSpaceDN w:val="1"/>
              <w:bidi w:val="0"/>
              <w:adjustRightInd w:val="1"/>
              <w:snapToGrid w:val="1"/>
              <w:jc w:val="center"/>
              <w:spacing w:line="240" w:lineRule="auto"/>
              <w:rPr>
                <w:color w:val="auto"/>
                <w:sz w:val="22"/>
                <w:kern w:val="0"/>
                <w:szCs w:val="22"/>
              </w:rPr>
            </w:pPr>
            <w:r>
              <w:rPr>
                <w:color w:val="auto"/>
                <w:sz w:val="22"/>
                <w:lang w:val="en-US" w:eastAsia="zh-CN"/>
                <w:kern w:val="0"/>
                <w:szCs w:val="22"/>
                <w:rFonts w:hint="eastAsia"/>
              </w:rPr>
              <w:t>15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type="dxa" w:w="0.000000"/>
            <w:bottom w:type="dxa" w:w="0.000000"/>
            <w:left w:type="dxa" w:w="108.000000"/>
            <w:right w:type="dxa" w:w="108.000000"/>
          </w:tblCellMar>
          <w:tblLayout w:type="fixed"/>
        </w:tblPrEx>
        <w:trPr>
          <w:trHeight w:val="567" w:hRule="atLeast"/>
        </w:trPr>
        <w:tc>
          <w:tcPr>
            <w:tcW w:w="1104" w:type="dxa"/>
            <w:vMerge w:val="continue"/>
            <w:vAlign w:val="center"/>
            <w:shd w:val="clear" w:color="auto" w:fill="FFFFFF"/>
          </w:tcPr>
          <w:p>
            <w:pPr>
              <w:widowControl w:val="1"/>
              <w:keepNext w:val="0"/>
              <w:keepLines w:val="0"/>
              <w:pageBreakBefore w:val="0"/>
              <w:wordWrap w:val="1"/>
              <w:overflowPunct w:val="1"/>
              <w:topLinePunct w:val="0"/>
              <w:kinsoku w:val="1"/>
              <w:autoSpaceDE w:val="1"/>
              <w:autoSpaceDN w:val="1"/>
              <w:bidi w:val="0"/>
              <w:adjustRightInd w:val="1"/>
              <w:snapToGrid w:val="1"/>
              <w:jc w:val="center"/>
              <w:spacing w:line="240" w:lineRule="auto"/>
              <w:rPr>
                <w:color w:val="auto"/>
                <w:sz w:val="22"/>
                <w:kern w:val="0"/>
                <w:szCs w:val="22"/>
              </w:rPr>
            </w:pPr>
          </w:p>
        </w:tc>
        <w:tc>
          <w:tcPr>
            <w:tcW w:w="990" w:type="dxa"/>
            <w:vMerge w:val="continue"/>
            <w:vAlign w:val="center"/>
            <w:shd w:val="clear" w:color="auto" w:fill="FFFFFF"/>
          </w:tcPr>
          <w:p>
            <w:pPr>
              <w:widowControl w:val="1"/>
              <w:keepNext w:val="0"/>
              <w:keepLines w:val="0"/>
              <w:pageBreakBefore w:val="0"/>
              <w:wordWrap w:val="1"/>
              <w:overflowPunct w:val="1"/>
              <w:topLinePunct w:val="0"/>
              <w:kinsoku w:val="1"/>
              <w:autoSpaceDE w:val="1"/>
              <w:autoSpaceDN w:val="1"/>
              <w:bidi w:val="0"/>
              <w:adjustRightInd w:val="1"/>
              <w:snapToGrid w:val="1"/>
              <w:jc w:val="center"/>
              <w:spacing w:line="240" w:lineRule="auto"/>
              <w:rPr>
                <w:color w:val="auto"/>
                <w:sz w:val="22"/>
                <w:kern w:val="0"/>
                <w:szCs w:val="22"/>
              </w:rPr>
            </w:pPr>
          </w:p>
        </w:tc>
        <w:tc>
          <w:tcPr>
            <w:tcW w:w="1283" w:type="dxa"/>
            <w:vMerge w:val="continue"/>
            <w:vAlign w:val="center"/>
            <w:shd w:val="clear" w:color="auto" w:fill="FFFFFF"/>
          </w:tcPr>
          <w:p>
            <w:pPr>
              <w:widowControl w:val="1"/>
              <w:keepNext w:val="0"/>
              <w:keepLines w:val="0"/>
              <w:pageBreakBefore w:val="0"/>
              <w:wordWrap w:val="1"/>
              <w:overflowPunct w:val="1"/>
              <w:topLinePunct w:val="0"/>
              <w:kinsoku w:val="1"/>
              <w:autoSpaceDE w:val="1"/>
              <w:autoSpaceDN w:val="1"/>
              <w:bidi w:val="0"/>
              <w:adjustRightInd w:val="1"/>
              <w:snapToGrid w:val="1"/>
              <w:jc w:val="center"/>
              <w:spacing w:line="240" w:lineRule="auto"/>
              <w:rPr>
                <w:color w:val="auto"/>
                <w:sz w:val="22"/>
                <w:kern w:val="0"/>
                <w:szCs w:val="22"/>
              </w:rPr>
            </w:pPr>
          </w:p>
        </w:tc>
        <w:tc>
          <w:tcPr>
            <w:tcW w:w="1707" w:type="dxa"/>
            <w:vAlign w:val="center"/>
            <w:shd w:val="clear" w:color="auto" w:fill="FFFFFF"/>
          </w:tcPr>
          <w:p>
            <w:pPr>
              <w:widowControl w:val="1"/>
              <w:keepNext w:val="0"/>
              <w:keepLines w:val="0"/>
              <w:pageBreakBefore w:val="0"/>
              <w:wordWrap w:val="1"/>
              <w:overflowPunct w:val="1"/>
              <w:topLinePunct w:val="0"/>
              <w:kinsoku w:val="1"/>
              <w:autoSpaceDE w:val="1"/>
              <w:autoSpaceDN w:val="1"/>
              <w:bidi w:val="0"/>
              <w:adjustRightInd w:val="1"/>
              <w:snapToGrid w:val="1"/>
              <w:jc w:val="center"/>
              <w:spacing w:line="240" w:lineRule="auto"/>
              <w:rPr>
                <w:color w:val="auto"/>
                <w:sz w:val="22"/>
                <w:kern w:val="0"/>
                <w:szCs w:val="22"/>
              </w:rPr>
            </w:pPr>
            <w:r>
              <w:rPr>
                <w:color w:val="auto"/>
                <w:sz w:val="22"/>
                <w:kern w:val="0"/>
                <w:szCs w:val="22"/>
              </w:rPr>
              <w:t>满意度</w:t>
            </w:r>
          </w:p>
        </w:tc>
        <w:tc>
          <w:tcPr>
            <w:tcW w:w="727" w:type="dxa"/>
            <w:vAlign w:val="center"/>
            <w:shd w:val="clear" w:color="000000" w:fill="FFFFFF"/>
          </w:tcPr>
          <w:p>
            <w:pPr>
              <w:widowControl w:val="1"/>
              <w:keepNext w:val="0"/>
              <w:keepLines w:val="0"/>
              <w:pageBreakBefore w:val="0"/>
              <w:wordWrap w:val="1"/>
              <w:overflowPunct w:val="1"/>
              <w:topLinePunct w:val="0"/>
              <w:kinsoku w:val="1"/>
              <w:autoSpaceDE w:val="1"/>
              <w:autoSpaceDN w:val="1"/>
              <w:bidi w:val="0"/>
              <w:adjustRightInd w:val="1"/>
              <w:snapToGrid w:val="1"/>
              <w:jc w:val="center"/>
              <w:spacing w:line="240" w:lineRule="auto"/>
              <w:rPr>
                <w:color w:val="auto"/>
                <w:sz w:val="22"/>
                <w:kern w:val="0"/>
                <w:szCs w:val="22"/>
              </w:rPr>
            </w:pPr>
            <w:r>
              <w:rPr>
                <w:color w:val="auto"/>
                <w:sz w:val="22"/>
                <w:kern w:val="0"/>
                <w:szCs w:val="22"/>
                <w:rFonts w:hint="eastAsia"/>
              </w:rPr>
              <w:t>5</w:t>
            </w:r>
          </w:p>
        </w:tc>
        <w:tc>
          <w:tcPr>
            <w:tcW w:w="1044" w:type="dxa"/>
            <w:vAlign w:val="center"/>
            <w:shd w:val="clear" w:color="000000" w:fill="FFFFFF"/>
          </w:tcPr>
          <w:p>
            <w:pPr>
              <w:widowControl w:val="1"/>
              <w:keepNext w:val="0"/>
              <w:keepLines w:val="0"/>
              <w:pageBreakBefore w:val="0"/>
              <w:wordWrap w:val="1"/>
              <w:overflowPunct w:val="1"/>
              <w:topLinePunct w:val="0"/>
              <w:kinsoku w:val="1"/>
              <w:autoSpaceDE w:val="1"/>
              <w:autoSpaceDN w:val="1"/>
              <w:bidi w:val="0"/>
              <w:adjustRightInd w:val="1"/>
              <w:snapToGrid w:val="1"/>
              <w:jc w:val="center"/>
              <w:spacing w:line="240" w:lineRule="auto"/>
              <w:rPr>
                <w:color w:val="auto"/>
                <w:sz w:val="22"/>
                <w:kern w:val="0"/>
                <w:szCs w:val="22"/>
              </w:rPr>
            </w:pPr>
            <w:r>
              <w:rPr>
                <w:color w:val="auto"/>
                <w:sz w:val="22"/>
                <w:kern w:val="0"/>
                <w:szCs w:val="22"/>
              </w:rPr>
              <w:t>≥</w:t>
            </w:r>
            <w:r>
              <w:rPr>
                <w:color w:val="auto"/>
                <w:sz w:val="22"/>
                <w:lang w:val="en-US" w:eastAsia="zh-CN"/>
                <w:kern w:val="0"/>
                <w:szCs w:val="22"/>
                <w:rFonts w:hint="eastAsia"/>
              </w:rPr>
              <w:t>85</w:t>
            </w:r>
            <w:r>
              <w:rPr>
                <w:color w:val="auto"/>
                <w:sz w:val="22"/>
                <w:kern w:val="0"/>
                <w:szCs w:val="22"/>
              </w:rPr>
              <w:t>%</w:t>
            </w:r>
          </w:p>
        </w:tc>
        <w:tc>
          <w:tcPr>
            <w:tcW w:w="924" w:type="dxa"/>
            <w:vAlign w:val="center"/>
            <w:shd w:val="clear" w:color="000000" w:fill="FFFFFF"/>
          </w:tcPr>
          <w:p>
            <w:pPr>
              <w:widowControl w:val="1"/>
              <w:keepNext w:val="0"/>
              <w:keepLines w:val="0"/>
              <w:pageBreakBefore w:val="0"/>
              <w:wordWrap w:val="1"/>
              <w:overflowPunct w:val="1"/>
              <w:topLinePunct w:val="0"/>
              <w:kinsoku w:val="1"/>
              <w:autoSpaceDE w:val="1"/>
              <w:autoSpaceDN w:val="1"/>
              <w:bidi w:val="0"/>
              <w:adjustRightInd w:val="1"/>
              <w:snapToGrid w:val="1"/>
              <w:jc w:val="center"/>
              <w:spacing w:line="240" w:lineRule="auto"/>
              <w:rPr>
                <w:color w:val="auto"/>
                <w:sz w:val="22"/>
                <w:kern w:val="0"/>
                <w:szCs w:val="22"/>
              </w:rPr>
            </w:pPr>
            <w:r>
              <w:rPr>
                <w:color w:val="auto"/>
                <w:sz w:val="22"/>
                <w:lang w:val="en-US" w:eastAsia="zh-CN"/>
                <w:kern w:val="0"/>
                <w:szCs w:val="22"/>
                <w:rFonts w:hint="eastAsia"/>
              </w:rPr>
              <w:t>85</w:t>
            </w:r>
            <w:r>
              <w:rPr>
                <w:color w:val="auto"/>
                <w:sz w:val="22"/>
                <w:kern w:val="0"/>
                <w:szCs w:val="22"/>
              </w:rPr>
              <w:t>%</w:t>
            </w:r>
          </w:p>
        </w:tc>
        <w:tc>
          <w:tcPr>
            <w:tcW w:w="1215" w:type="dxa"/>
            <w:vAlign w:val="center"/>
            <w:shd w:val="clear" w:color="000000" w:fill="FFFFFF"/>
          </w:tcPr>
          <w:p>
            <w:pPr>
              <w:widowControl w:val="1"/>
              <w:keepNext w:val="0"/>
              <w:keepLines w:val="0"/>
              <w:pageBreakBefore w:val="0"/>
              <w:wordWrap w:val="1"/>
              <w:overflowPunct w:val="1"/>
              <w:topLinePunct w:val="0"/>
              <w:kinsoku w:val="1"/>
              <w:autoSpaceDE w:val="1"/>
              <w:autoSpaceDN w:val="1"/>
              <w:bidi w:val="0"/>
              <w:adjustRightInd w:val="1"/>
              <w:snapToGrid w:val="1"/>
              <w:jc w:val="center"/>
              <w:spacing w:line="240" w:lineRule="auto"/>
              <w:rPr>
                <w:color w:val="auto"/>
                <w:sz w:val="22"/>
                <w:lang w:val="en-US" w:eastAsia="zh-CN"/>
                <w:kern w:val="0"/>
                <w:szCs w:val="22"/>
                <w:rFonts w:eastAsia="宋体" w:hint="default"/>
              </w:rPr>
            </w:pPr>
            <w:r>
              <w:rPr>
                <w:color w:val="auto"/>
                <w:sz w:val="22"/>
                <w:lang w:val="en-US" w:eastAsia="zh-CN"/>
                <w:kern w:val="0"/>
                <w:szCs w:val="22"/>
                <w:rFonts w:hint="eastAsia"/>
              </w:rPr>
              <w:t>100%</w:t>
            </w:r>
          </w:p>
        </w:tc>
        <w:tc>
          <w:tcPr>
            <w:tcW w:w="960" w:type="dxa"/>
            <w:vAlign w:val="center"/>
            <w:shd w:val="clear" w:color="000000" w:fill="FFFFFF"/>
          </w:tcPr>
          <w:p>
            <w:pPr>
              <w:widowControl w:val="1"/>
              <w:keepNext w:val="0"/>
              <w:keepLines w:val="0"/>
              <w:pageBreakBefore w:val="0"/>
              <w:wordWrap w:val="1"/>
              <w:overflowPunct w:val="1"/>
              <w:topLinePunct w:val="0"/>
              <w:kinsoku w:val="1"/>
              <w:autoSpaceDE w:val="1"/>
              <w:autoSpaceDN w:val="1"/>
              <w:bidi w:val="0"/>
              <w:adjustRightInd w:val="1"/>
              <w:snapToGrid w:val="1"/>
              <w:jc w:val="center"/>
              <w:spacing w:line="240" w:lineRule="auto"/>
              <w:rPr>
                <w:color w:val="auto"/>
                <w:sz w:val="22"/>
                <w:lang w:val="en-US" w:eastAsia="zh-CN"/>
                <w:kern w:val="0"/>
                <w:szCs w:val="22"/>
                <w:rFonts w:eastAsia="宋体" w:hint="eastAsia"/>
              </w:rPr>
            </w:pPr>
            <w:r>
              <w:rPr>
                <w:color w:val="auto"/>
                <w:sz w:val="22"/>
                <w:lang w:val="en-US" w:eastAsia="zh-CN"/>
                <w:kern w:val="0"/>
                <w:szCs w:val="22"/>
                <w:rFonts w:hint="eastAsia"/>
              </w:rPr>
              <w:t>5</w:t>
            </w:r>
          </w:p>
        </w:tc>
      </w:tr>
    </w:tbl>
    <w:p>
      <w:pPr>
        <w:pageBreakBefore w:val="0"/>
        <w:wordWrap w:val="1"/>
        <w:overflowPunct w:val="1"/>
        <w:topLinePunct w:val="0"/>
        <w:kinsoku w:val="1"/>
        <w:bidi w:val="0"/>
        <w:snapToGrid w:val="1"/>
        <w:spacing w:line="560" w:lineRule="exact"/>
        <w:ind w:firstLine="320" w:firstLineChars="100"/>
        <w:rPr>
          <w:color w:val="auto"/>
          <w:sz w:val="32"/>
          <w:szCs w:val="32"/>
          <w:rFonts w:eastAsia="黑体"/>
        </w:rPr>
      </w:pPr>
      <w:r>
        <w:rPr>
          <w:color w:val="auto"/>
          <w:sz w:val="32"/>
          <w:szCs w:val="32"/>
          <w:rFonts w:eastAsia="黑体"/>
        </w:rPr>
        <w:t>四、绩效评价指标分析</w:t>
      </w:r>
    </w:p>
    <w:p>
      <w:pPr>
        <w:pStyle w:val="19"/>
        <w:pageBreakBefore w:val="0"/>
        <w:wordWrap w:val="1"/>
        <w:overflowPunct w:val="1"/>
        <w:topLinePunct w:val="0"/>
        <w:kinsoku w:val="1"/>
        <w:bidi w:val="0"/>
        <w:snapToGrid w:val="1"/>
        <w:jc w:val="both"/>
        <w:spacing w:line="560" w:lineRule="exact"/>
        <w:ind w:firstLine="321" w:firstLineChars="100"/>
        <w:rPr>
          <w:color w:val="auto"/>
          <w:rFonts w:ascii="Times New Roman" w:hAnsi="Times New Roman" w:eastAsia="楷体_GB2312"/>
        </w:rPr>
      </w:pPr>
      <w:r>
        <w:rPr>
          <w:color w:val="auto"/>
          <w:rFonts w:ascii="Times New Roman" w:hAnsi="Times New Roman" w:eastAsia="楷体_GB2312"/>
        </w:rPr>
        <w:t>（一）项目决策情况</w:t>
      </w:r>
    </w:p>
    <w:p>
      <w:pPr>
        <w:outlineLvl w:val="0"/>
        <w:spacing w:line="560" w:lineRule="exact"/>
        <w:ind w:firstLine="640" w:firstLineChars="200"/>
        <w:rPr>
          <w:color w:val="auto"/>
          <w:lang w:eastAsia="zh-Hans"/>
          <w:rFonts w:eastAsia="仿宋_GB2312"/>
        </w:rPr>
      </w:pPr>
      <w:r>
        <w:rPr>
          <w:color w:val="auto"/>
          <w:sz w:val="32"/>
          <w:szCs w:val="32"/>
          <w:rFonts w:ascii="仿宋_GB2312" w:hAnsi="仿宋_GB2312" w:eastAsia="仿宋_GB2312" w:cs="仿宋_GB2312" w:hint="eastAsia"/>
        </w:rPr>
        <w:t>项目立项符合法律法规、相关政策</w:t>
      </w:r>
      <w:r>
        <w:rPr>
          <w:color w:val="auto"/>
          <w:sz w:val="32"/>
          <w:lang w:eastAsia="zh-Hans"/>
          <w:szCs w:val="32"/>
          <w:rFonts w:ascii="仿宋_GB2312" w:hAnsi="仿宋_GB2312" w:eastAsia="仿宋_GB2312" w:cs="仿宋_GB2312" w:hint="eastAsia"/>
        </w:rPr>
        <w:t>、行业发展规划</w:t>
      </w:r>
      <w:r>
        <w:rPr>
          <w:color w:val="auto"/>
          <w:sz w:val="32"/>
          <w:szCs w:val="32"/>
          <w:rFonts w:ascii="仿宋_GB2312" w:hAnsi="仿宋_GB2312" w:eastAsia="仿宋_GB2312" w:cs="仿宋_GB2312" w:hint="eastAsia"/>
        </w:rPr>
        <w:t>及部门职责，能反映和考核项目立项依据情况，</w:t>
      </w:r>
      <w:r>
        <w:rPr>
          <w:color w:val="auto"/>
          <w:sz w:val="32"/>
          <w:lang w:eastAsia="zh-Hans"/>
          <w:szCs w:val="32"/>
          <w:rFonts w:ascii="仿宋_GB2312" w:hAnsi="仿宋_GB2312" w:eastAsia="仿宋_GB2312" w:cs="仿宋_GB2312" w:hint="eastAsia"/>
        </w:rPr>
        <w:t>属于公共财产支持范围，严格遵守中央、地方事权支出责任划分范围原则；</w:t>
      </w:r>
      <w:r>
        <w:rPr>
          <w:color w:val="auto"/>
          <w:sz w:val="32"/>
          <w:szCs w:val="32"/>
          <w:rFonts w:ascii="仿宋_GB2312" w:hAnsi="仿宋_GB2312" w:eastAsia="仿宋_GB2312" w:cs="仿宋_GB2312" w:hint="eastAsia"/>
        </w:rPr>
        <w:t>项目申请、设立过程符合相关要求，</w:t>
      </w:r>
      <w:r>
        <w:rPr>
          <w:color w:val="auto"/>
          <w:sz w:val="32"/>
          <w:lang w:eastAsia="zh-Hans"/>
          <w:szCs w:val="32"/>
          <w:rFonts w:ascii="仿宋_GB2312" w:hAnsi="仿宋_GB2312" w:eastAsia="仿宋_GB2312" w:cs="仿宋_GB2312" w:hint="eastAsia"/>
        </w:rPr>
        <w:t>严格按照审批流程准备符合要求的文件、材料；事前已经过必要的可行性研究、绩效评估、集体决策</w:t>
      </w:r>
      <w:r>
        <w:rPr>
          <w:color w:val="auto"/>
          <w:lang w:eastAsia="zh-Hans"/>
          <w:rFonts w:hint="eastAsia"/>
        </w:rPr>
        <w:t>，</w:t>
      </w:r>
      <w:r>
        <w:rPr>
          <w:color w:val="auto"/>
          <w:sz w:val="32"/>
          <w:lang w:eastAsia="zh-Hans"/>
          <w:szCs w:val="32"/>
          <w:rFonts w:ascii="仿宋_GB2312" w:hAnsi="仿宋_GB2312" w:eastAsia="仿宋_GB2312" w:cs="仿宋_GB2312" w:hint="eastAsia"/>
        </w:rPr>
        <w:t>以上</w:t>
      </w:r>
      <w:r>
        <w:rPr>
          <w:color w:val="auto"/>
          <w:sz w:val="32"/>
          <w:szCs w:val="32"/>
          <w:rFonts w:ascii="仿宋_GB2312" w:hAnsi="仿宋_GB2312" w:eastAsia="仿宋_GB2312" w:cs="仿宋_GB2312" w:hint="eastAsia"/>
        </w:rPr>
        <w:t>能反映和考核项目立项</w:t>
      </w:r>
      <w:r>
        <w:rPr>
          <w:color w:val="auto"/>
          <w:sz w:val="32"/>
          <w:lang w:eastAsia="zh-Hans"/>
          <w:szCs w:val="32"/>
          <w:rFonts w:ascii="仿宋_GB2312" w:hAnsi="仿宋_GB2312" w:eastAsia="仿宋_GB2312" w:cs="仿宋_GB2312" w:hint="eastAsia"/>
        </w:rPr>
        <w:t>程序</w:t>
      </w:r>
      <w:r>
        <w:rPr>
          <w:color w:val="auto"/>
          <w:sz w:val="32"/>
          <w:szCs w:val="32"/>
          <w:rFonts w:ascii="仿宋_GB2312" w:hAnsi="仿宋_GB2312" w:eastAsia="仿宋_GB2312" w:cs="仿宋_GB2312" w:hint="eastAsia"/>
        </w:rPr>
        <w:t>的规范情况</w:t>
      </w:r>
      <w:r>
        <w:rPr>
          <w:color w:val="auto"/>
          <w:sz w:val="32"/>
          <w:lang w:eastAsia="zh-Hans"/>
          <w:szCs w:val="32"/>
          <w:rFonts w:ascii="仿宋_GB2312" w:hAnsi="仿宋_GB2312" w:eastAsia="仿宋_GB2312" w:cs="仿宋_GB2312" w:hint="eastAsia"/>
        </w:rPr>
        <w:t>；年初结合实际工作内容</w:t>
      </w:r>
      <w:r>
        <w:rPr>
          <w:color w:val="auto"/>
          <w:sz w:val="32"/>
          <w:szCs w:val="32"/>
          <w:rFonts w:ascii="仿宋_GB2312" w:hAnsi="仿宋_GB2312" w:eastAsia="仿宋_GB2312" w:cs="仿宋_GB2312" w:hint="eastAsia"/>
        </w:rPr>
        <w:t>设定绩效目标</w:t>
      </w:r>
      <w:r>
        <w:rPr>
          <w:color w:val="auto"/>
          <w:sz w:val="32"/>
          <w:lang w:eastAsia="zh-Hans"/>
          <w:szCs w:val="32"/>
          <w:rFonts w:ascii="仿宋_GB2312" w:hAnsi="仿宋_GB2312" w:eastAsia="仿宋_GB2312" w:cs="仿宋_GB2312" w:hint="eastAsia"/>
        </w:rPr>
        <w:t>，绩效目标</w:t>
      </w:r>
      <w:r>
        <w:rPr>
          <w:color w:val="auto"/>
          <w:sz w:val="32"/>
          <w:szCs w:val="32"/>
          <w:rFonts w:ascii="仿宋_GB2312" w:hAnsi="仿宋_GB2312" w:eastAsia="仿宋_GB2312" w:cs="仿宋_GB2312" w:hint="eastAsia"/>
        </w:rPr>
        <w:t>依据充分，符合客观实际，能反映和考核项目绩效目标与项目实施的相符情况，依据绩效目标设定的绩效指标清晰、细化、可衡量，能反映和考核项目绩效目标的明细化情况。</w:t>
      </w:r>
      <w:r>
        <w:rPr>
          <w:color w:val="auto"/>
          <w:sz w:val="32"/>
          <w:lang w:eastAsia="zh-Hans"/>
          <w:szCs w:val="32"/>
          <w:rFonts w:ascii="仿宋_GB2312" w:hAnsi="仿宋_GB2312" w:eastAsia="仿宋_GB2312" w:cs="仿宋_GB2312" w:hint="eastAsia"/>
        </w:rPr>
        <w:t>资金分配额度合理，与项目单位项目情况相适应。</w:t>
      </w:r>
    </w:p>
    <w:p>
      <w:pPr>
        <w:pStyle w:val="19"/>
        <w:pageBreakBefore w:val="0"/>
        <w:wordWrap w:val="1"/>
        <w:overflowPunct w:val="1"/>
        <w:topLinePunct w:val="0"/>
        <w:kinsoku w:val="1"/>
        <w:bidi w:val="0"/>
        <w:snapToGrid w:val="1"/>
        <w:jc w:val="both"/>
        <w:spacing w:line="560" w:lineRule="exact"/>
        <w:ind w:firstLine="321" w:firstLineChars="100"/>
        <w:rPr>
          <w:color w:val="auto"/>
          <w:rFonts w:ascii="Times New Roman" w:hAnsi="Times New Roman" w:eastAsia="楷体_GB2312"/>
        </w:rPr>
      </w:pPr>
      <w:r>
        <w:rPr>
          <w:color w:val="auto"/>
          <w:rFonts w:ascii="Times New Roman" w:hAnsi="Times New Roman" w:eastAsia="楷体_GB2312" w:hint="eastAsia"/>
        </w:rPr>
        <w:t>（二）</w:t>
      </w:r>
      <w:r>
        <w:rPr>
          <w:color w:val="auto"/>
          <w:rFonts w:ascii="Times New Roman" w:hAnsi="Times New Roman" w:eastAsia="楷体_GB2312"/>
        </w:rPr>
        <w:t>项目过程情况</w:t>
      </w:r>
    </w:p>
    <w:p>
      <w:pPr>
        <w:widowControl w:val="1"/>
        <w:keepNext w:val="0"/>
        <w:keepLines w:val="0"/>
        <w:pageBreakBefore w:val="0"/>
        <w:wordWrap w:val="1"/>
        <w:overflowPunct w:val="1"/>
        <w:topLinePunct w:val="0"/>
        <w:kinsoku w:val="1"/>
        <w:autoSpaceDE w:val="1"/>
        <w:autoSpaceDN w:val="1"/>
        <w:bidi w:val="0"/>
        <w:adjustRightInd w:val="1"/>
        <w:snapToGrid w:val="1"/>
        <w:outlineLvl w:val="0"/>
        <w:spacing w:line="560" w:lineRule="exact"/>
        <w:ind w:firstLine="640" w:firstLineChars="200"/>
        <w:rPr>
          <w:color w:val="auto"/>
          <w:sz w:val="32"/>
          <w:lang w:val="en-US" w:eastAsia="zh-CN" w:bidi="ar-SA"/>
          <w:kern w:val="2"/>
          <w:szCs w:val="32"/>
          <w:rFonts w:ascii="Times New Roman" w:hAnsi="Times New Roman" w:eastAsia="仿宋_GB2312" w:cs="Times New Roman" w:hint="default"/>
        </w:rPr>
      </w:pPr>
      <w:r>
        <w:rPr>
          <w:color w:val="auto"/>
          <w:sz w:val="32"/>
          <w:lang w:eastAsia="zh-Hans"/>
          <w:szCs w:val="32"/>
          <w:rFonts w:ascii="仿宋_GB2312" w:hAnsi="仿宋_GB2312" w:eastAsia="仿宋_GB2312" w:cs="仿宋_GB2312" w:hint="eastAsia"/>
        </w:rPr>
        <w:t>本项目预算资金</w:t>
      </w:r>
      <w:r>
        <w:rPr>
          <w:color w:val="auto"/>
          <w:sz w:val="32"/>
          <w:lang w:eastAsia="zh-Hans"/>
          <w:szCs w:val="32"/>
          <w:rFonts w:ascii="仿宋_GB2312" w:hAnsi="仿宋_GB2312" w:eastAsia="仿宋_GB2312" w:cs="仿宋_GB2312" w:hint="default"/>
        </w:rPr>
        <w:t>10014</w:t>
      </w:r>
      <w:r>
        <w:rPr>
          <w:color w:val="auto"/>
          <w:sz w:val="32"/>
          <w:lang w:eastAsia="zh-Hans"/>
          <w:szCs w:val="32"/>
          <w:rFonts w:ascii="仿宋_GB2312" w:hAnsi="仿宋_GB2312" w:eastAsia="仿宋_GB2312" w:cs="仿宋_GB2312" w:hint="eastAsia"/>
        </w:rPr>
        <w:t>万元，实际到位资金</w:t>
      </w:r>
      <w:r>
        <w:rPr>
          <w:color w:val="auto"/>
          <w:sz w:val="32"/>
          <w:lang w:eastAsia="zh-Hans"/>
          <w:szCs w:val="32"/>
          <w:rFonts w:ascii="仿宋_GB2312" w:hAnsi="仿宋_GB2312" w:eastAsia="仿宋_GB2312" w:cs="仿宋_GB2312" w:hint="default"/>
        </w:rPr>
        <w:t>10014</w:t>
      </w:r>
      <w:r>
        <w:rPr>
          <w:color w:val="auto"/>
          <w:sz w:val="32"/>
          <w:lang w:eastAsia="zh-Hans"/>
          <w:szCs w:val="32"/>
          <w:rFonts w:ascii="仿宋_GB2312" w:hAnsi="仿宋_GB2312" w:eastAsia="仿宋_GB2312" w:cs="仿宋_GB2312" w:hint="eastAsia"/>
        </w:rPr>
        <w:t>万元，实际支出资金</w:t>
      </w:r>
      <w:r>
        <w:rPr>
          <w:color w:val="auto"/>
          <w:sz w:val="32"/>
          <w:lang w:eastAsia="zh-Hans"/>
          <w:szCs w:val="32"/>
          <w:rFonts w:ascii="仿宋_GB2312" w:hAnsi="仿宋_GB2312" w:eastAsia="仿宋_GB2312" w:cs="仿宋_GB2312" w:hint="default"/>
        </w:rPr>
        <w:t>9631.74</w:t>
      </w:r>
      <w:r>
        <w:rPr>
          <w:color w:val="auto"/>
          <w:sz w:val="32"/>
          <w:lang w:eastAsia="zh-Hans"/>
          <w:szCs w:val="32"/>
          <w:rFonts w:ascii="仿宋_GB2312" w:hAnsi="仿宋_GB2312" w:eastAsia="仿宋_GB2312" w:cs="仿宋_GB2312" w:hint="eastAsia"/>
        </w:rPr>
        <w:t>万元，资金到位率为</w:t>
      </w:r>
      <w:r>
        <w:rPr>
          <w:color w:val="auto"/>
          <w:sz w:val="32"/>
          <w:lang w:eastAsia="zh-Hans"/>
          <w:szCs w:val="32"/>
          <w:rFonts w:ascii="仿宋_GB2312" w:hAnsi="仿宋_GB2312" w:eastAsia="仿宋_GB2312" w:cs="仿宋_GB2312" w:hint="default"/>
        </w:rPr>
        <w:t>100</w:t>
      </w:r>
      <w:r>
        <w:rPr>
          <w:color w:val="auto"/>
          <w:sz w:val="32"/>
          <w:lang w:eastAsia="zh-Hans"/>
          <w:szCs w:val="32"/>
          <w:rFonts w:ascii="仿宋_GB2312" w:hAnsi="仿宋_GB2312" w:eastAsia="仿宋_GB2312" w:cs="仿宋_GB2312"/>
        </w:rPr>
        <w:t>%</w:t>
      </w:r>
      <w:r>
        <w:rPr>
          <w:color w:val="auto"/>
          <w:sz w:val="32"/>
          <w:lang w:eastAsia="zh-Hans"/>
          <w:szCs w:val="32"/>
          <w:rFonts w:ascii="仿宋_GB2312" w:hAnsi="仿宋_GB2312" w:eastAsia="仿宋_GB2312" w:cs="仿宋_GB2312" w:hint="eastAsia"/>
        </w:rPr>
        <w:t>，预算执行率为</w:t>
      </w:r>
      <w:r>
        <w:rPr>
          <w:color w:val="auto"/>
          <w:sz w:val="32"/>
          <w:lang w:eastAsia="zh-Hans"/>
          <w:szCs w:val="32"/>
          <w:rFonts w:ascii="仿宋_GB2312" w:hAnsi="仿宋_GB2312" w:eastAsia="仿宋_GB2312" w:cs="仿宋_GB2312" w:hint="default"/>
        </w:rPr>
        <w:t>96.18</w:t>
      </w:r>
      <w:r>
        <w:rPr>
          <w:color w:val="auto"/>
          <w:sz w:val="32"/>
          <w:lang w:eastAsia="zh-Hans"/>
          <w:szCs w:val="32"/>
          <w:rFonts w:ascii="仿宋_GB2312" w:hAnsi="仿宋_GB2312" w:eastAsia="仿宋_GB2312" w:cs="仿宋_GB2312"/>
        </w:rPr>
        <w:t>%</w:t>
      </w:r>
      <w:r>
        <w:rPr>
          <w:color w:val="auto"/>
          <w:sz w:val="32"/>
          <w:lang w:eastAsia="zh-Hans"/>
          <w:szCs w:val="32"/>
          <w:rFonts w:ascii="仿宋_GB2312" w:hAnsi="仿宋_GB2312" w:eastAsia="仿宋_GB2312" w:cs="仿宋_GB2312" w:hint="eastAsia"/>
        </w:rPr>
        <w:t>。</w:t>
      </w:r>
    </w:p>
    <w:p>
      <w:pPr>
        <w:widowControl w:val="0"/>
        <w:keepNext w:val="0"/>
        <w:keepLines w:val="0"/>
        <w:pageBreakBefore w:val="0"/>
        <w:wordWrap w:val="1"/>
        <w:overflowPunct w:val="1"/>
        <w:topLinePunct w:val="0"/>
        <w:kinsoku w:val="1"/>
        <w:autoSpaceDE w:val="1"/>
        <w:autoSpaceDN w:val="1"/>
        <w:bidi w:val="0"/>
        <w:adjustRightInd w:val="1"/>
        <w:snapToGrid w:val="1"/>
        <w:spacing w:line="560" w:lineRule="exact"/>
        <w:ind w:firstLine="640" w:firstLineChars="200"/>
        <w:rPr>
          <w:color w:val="auto"/>
          <w:sz w:val="32"/>
          <w:lang w:val="en-US" w:eastAsia="zh-CN" w:bidi="ar-SA"/>
          <w:kern w:val="2"/>
          <w:szCs w:val="32"/>
          <w:rFonts w:ascii="Times New Roman" w:hAnsi="Times New Roman" w:eastAsia="仿宋_GB2312" w:cs="Times New Roman" w:hint="default"/>
        </w:rPr>
      </w:pPr>
      <w:r>
        <w:rPr>
          <w:color w:val="auto"/>
          <w:sz w:val="32"/>
          <w:lang w:val="en-US" w:eastAsia="zh-CN" w:bidi="ar-SA"/>
          <w:kern w:val="2"/>
          <w:szCs w:val="32"/>
          <w:rFonts w:ascii="Times New Roman" w:hAnsi="Times New Roman" w:eastAsia="仿宋_GB2312" w:cs="Times New Roman" w:hint="default"/>
        </w:rPr>
        <w:t>202</w:t>
      </w:r>
      <w:r>
        <w:rPr>
          <w:color w:val="auto"/>
          <w:sz w:val="32"/>
          <w:lang w:val="en-US" w:eastAsia="zh-CN" w:bidi="ar-SA"/>
          <w:kern w:val="2"/>
          <w:szCs w:val="32"/>
          <w:rFonts w:ascii="Times New Roman" w:hAnsi="Times New Roman" w:eastAsia="仿宋_GB2312" w:cs="Times New Roman" w:hint="eastAsia"/>
        </w:rPr>
        <w:t>1</w:t>
      </w:r>
      <w:r>
        <w:rPr>
          <w:color w:val="auto"/>
          <w:sz w:val="32"/>
          <w:lang w:val="en-US" w:eastAsia="zh-CN" w:bidi="ar-SA"/>
          <w:kern w:val="2"/>
          <w:szCs w:val="32"/>
          <w:rFonts w:ascii="Times New Roman" w:hAnsi="Times New Roman" w:eastAsia="仿宋_GB2312" w:cs="Times New Roman" w:hint="default"/>
        </w:rPr>
        <w:t>年12月，自治区财政厅印发</w:t>
      </w:r>
      <w:r>
        <w:rPr>
          <w:color w:val="auto"/>
          <w:sz w:val="32"/>
          <w:szCs w:val="32"/>
          <w:rFonts w:ascii="Times New Roman" w:hAnsi="Times New Roman" w:eastAsia="仿宋_GB2312" w:cs="Times New Roman" w:hint="default"/>
        </w:rPr>
        <w:t>《关于提前下达2022年自治区畜牧类相关转移支付资金预算的通知》（新</w:t>
      </w:r>
      <w:r>
        <w:rPr>
          <w:color w:val="auto"/>
          <w:sz w:val="32"/>
          <w:lang w:val="en-US" w:eastAsia="zh-CN"/>
          <w:szCs w:val="32"/>
          <w:rFonts w:ascii="Times New Roman" w:hAnsi="Times New Roman" w:eastAsia="仿宋_GB2312" w:cs="Times New Roman" w:hint="default"/>
        </w:rPr>
        <w:t>财农</w:t>
      </w:r>
      <w:r>
        <w:rPr>
          <w:color w:val="auto"/>
          <w:sz w:val="32"/>
          <w:szCs w:val="32"/>
          <w:rFonts w:ascii="Times New Roman" w:hAnsi="Times New Roman" w:eastAsia="仿宋_GB2312" w:cs="Times New Roman" w:hint="default"/>
        </w:rPr>
        <w:t>〔202</w:t>
      </w:r>
      <w:r>
        <w:rPr>
          <w:color w:val="auto"/>
          <w:sz w:val="32"/>
          <w:lang w:val="en-US" w:eastAsia="zh-CN"/>
          <w:szCs w:val="32"/>
          <w:rFonts w:ascii="Times New Roman" w:hAnsi="Times New Roman" w:eastAsia="仿宋_GB2312" w:cs="Times New Roman" w:hint="default"/>
        </w:rPr>
        <w:t>1</w:t>
      </w:r>
      <w:r>
        <w:rPr>
          <w:color w:val="auto"/>
          <w:sz w:val="32"/>
          <w:szCs w:val="32"/>
          <w:rFonts w:ascii="Times New Roman" w:hAnsi="Times New Roman" w:eastAsia="仿宋_GB2312" w:cs="Times New Roman" w:hint="default"/>
        </w:rPr>
        <w:t>〕</w:t>
      </w:r>
      <w:r>
        <w:rPr>
          <w:color w:val="auto"/>
          <w:sz w:val="32"/>
          <w:lang w:val="en-US" w:eastAsia="zh-CN"/>
          <w:szCs w:val="32"/>
          <w:rFonts w:ascii="Times New Roman" w:hAnsi="Times New Roman" w:eastAsia="仿宋_GB2312" w:cs="Times New Roman" w:hint="default"/>
        </w:rPr>
        <w:t>114</w:t>
      </w:r>
      <w:r>
        <w:rPr>
          <w:color w:val="auto"/>
          <w:sz w:val="32"/>
          <w:szCs w:val="32"/>
          <w:rFonts w:ascii="Times New Roman" w:hAnsi="Times New Roman" w:eastAsia="仿宋_GB2312" w:cs="Times New Roman" w:hint="default"/>
        </w:rPr>
        <w:t>号）</w:t>
      </w:r>
      <w:r>
        <w:rPr>
          <w:color w:val="auto"/>
          <w:sz w:val="32"/>
          <w:lang w:val="en-US" w:eastAsia="zh-CN" w:bidi="ar-SA"/>
          <w:kern w:val="2"/>
          <w:szCs w:val="32"/>
          <w:rFonts w:ascii="Times New Roman" w:hAnsi="Times New Roman" w:eastAsia="仿宋_GB2312" w:cs="Times New Roman" w:hint="default"/>
        </w:rPr>
        <w:t>，将</w:t>
      </w:r>
      <w:r>
        <w:rPr>
          <w:color w:val="auto"/>
          <w:sz w:val="32"/>
          <w:lang w:val="en-US" w:eastAsia="zh-CN" w:bidi="ar-SA"/>
          <w:kern w:val="2"/>
          <w:szCs w:val="32"/>
          <w:rFonts w:ascii="Times New Roman" w:hAnsi="Times New Roman" w:eastAsia="仿宋_GB2312" w:cs="Times New Roman" w:hint="eastAsia"/>
        </w:rPr>
        <w:t>10014</w:t>
      </w:r>
      <w:r>
        <w:rPr>
          <w:color w:val="auto"/>
          <w:sz w:val="32"/>
          <w:lang w:val="en-US" w:eastAsia="zh-CN" w:bidi="ar-SA"/>
          <w:kern w:val="2"/>
          <w:szCs w:val="32"/>
          <w:rFonts w:ascii="Times New Roman" w:hAnsi="Times New Roman" w:eastAsia="仿宋_GB2312" w:cs="Times New Roman" w:hint="default"/>
        </w:rPr>
        <w:t>万元项目资金及区域绩效目标表下达至各项目实施地（州、市）。</w:t>
      </w:r>
    </w:p>
    <w:p>
      <w:pPr>
        <w:pageBreakBefore w:val="0"/>
        <w:wordWrap w:val="1"/>
        <w:overflowPunct w:val="1"/>
        <w:topLinePunct w:val="0"/>
        <w:kinsoku w:val="1"/>
        <w:bidi w:val="0"/>
        <w:snapToGrid w:val="1"/>
        <w:outlineLvl w:val="0"/>
        <w:spacing w:line="560" w:lineRule="exact"/>
        <w:ind w:firstLine="640" w:firstLineChars="200"/>
        <w:rPr>
          <w:color w:val="auto"/>
          <w:sz w:val="32"/>
          <w:szCs w:val="32"/>
          <w:rFonts w:ascii="仿宋_GB2312" w:hAnsi="仿宋_GB2312" w:eastAsia="仿宋_GB2312" w:cs="仿宋_GB2312"/>
        </w:rPr>
      </w:pPr>
      <w:r>
        <w:rPr>
          <w:color w:val="auto"/>
          <w:sz w:val="32"/>
          <w:szCs w:val="32"/>
          <w:rFonts w:ascii="仿宋_GB2312" w:hAnsi="仿宋_GB2312" w:eastAsia="仿宋_GB2312" w:cs="仿宋_GB2312" w:hint="eastAsia"/>
        </w:rPr>
        <w:t>项目严格按照预期绩效目标执行预算资金。项目资金使用符合相关的财务管理制度规定，能够反映和考核项目资金的规范运行情况；项目实施单位的财务和业务管理制度健全，能够反映和考核财务和业务管理制度对项目顺利实施的保障情况。</w:t>
      </w:r>
    </w:p>
    <w:p>
      <w:pPr>
        <w:pStyle w:val="19"/>
        <w:pageBreakBefore w:val="0"/>
        <w:wordWrap w:val="1"/>
        <w:overflowPunct w:val="1"/>
        <w:topLinePunct w:val="0"/>
        <w:kinsoku w:val="1"/>
        <w:bidi w:val="0"/>
        <w:snapToGrid w:val="1"/>
        <w:jc w:val="both"/>
        <w:spacing w:line="560" w:lineRule="exact"/>
        <w:ind w:firstLine="321" w:firstLineChars="100"/>
        <w:rPr>
          <w:color w:val="auto"/>
          <w:rFonts w:ascii="Times New Roman" w:hAnsi="Times New Roman" w:eastAsia="楷体_GB2312"/>
        </w:rPr>
      </w:pPr>
      <w:r>
        <w:rPr>
          <w:color w:val="auto"/>
          <w:rFonts w:ascii="Times New Roman" w:hAnsi="Times New Roman" w:eastAsia="楷体_GB2312" w:hint="eastAsia"/>
        </w:rPr>
        <w:t>（三）</w:t>
      </w:r>
      <w:r>
        <w:rPr>
          <w:color w:val="auto"/>
          <w:rFonts w:ascii="Times New Roman" w:hAnsi="Times New Roman" w:eastAsia="楷体_GB2312"/>
        </w:rPr>
        <w:t>项目产出</w:t>
      </w:r>
    </w:p>
    <w:p>
      <w:pPr>
        <w:pageBreakBefore w:val="0"/>
        <w:wordWrap w:val="1"/>
        <w:overflowPunct w:val="1"/>
        <w:topLinePunct w:val="0"/>
        <w:kinsoku w:val="1"/>
        <w:bidi w:val="0"/>
        <w:snapToGrid w:val="1"/>
        <w:spacing w:line="560" w:lineRule="exact"/>
        <w:ind w:firstLine="627" w:firstLineChars="200"/>
        <w:rPr>
          <w:rStyle w:val="24"/>
          <w:b w:val="1"/>
          <w:color w:val="auto"/>
          <w:spacing w:val="-4"/>
          <w:sz w:val="32"/>
          <w:bCs w:val="0"/>
          <w:szCs w:val="32"/>
          <w:rFonts w:eastAsia="仿宋"/>
        </w:rPr>
      </w:pPr>
      <w:r>
        <w:rPr>
          <w:rStyle w:val="24"/>
          <w:b w:val="1"/>
          <w:color w:val="auto"/>
          <w:spacing w:val="-4"/>
          <w:sz w:val="32"/>
          <w:bCs w:val="0"/>
          <w:szCs w:val="32"/>
          <w:rFonts w:eastAsia="仿宋"/>
        </w:rPr>
        <w:t>数量指标方面：</w:t>
      </w:r>
    </w:p>
    <w:p>
      <w:pPr>
        <w:pStyle w:val="19"/>
        <w:pageBreakBefore w:val="0"/>
        <w:wordWrap w:val="1"/>
        <w:overflowPunct w:val="1"/>
        <w:topLinePunct w:val="0"/>
        <w:kinsoku w:val="1"/>
        <w:bidi w:val="0"/>
        <w:snapToGrid w:val="1"/>
        <w:jc w:val="left"/>
        <w:numPr>
          <w:ilvl w:val="0"/>
          <w:numId w:val="0"/>
        </w:numPr>
        <w:spacing w:line="560" w:lineRule="exact"/>
        <w:ind w:firstLine="640" w:firstLineChars="200"/>
        <w:rPr>
          <w:b w:val="0"/>
          <w:color w:val="auto"/>
          <w:sz w:val="32"/>
          <w:lang w:val="en-US" w:eastAsia="zh-CN" w:bidi="ar-SA"/>
          <w:bCs w:val="0"/>
          <w:kern w:val="2"/>
          <w:szCs w:val="32"/>
          <w:rFonts w:ascii="仿宋_GB2312" w:hAnsi="仿宋_GB2312" w:eastAsia="仿宋_GB2312" w:cs="仿宋_GB2312" w:hint="eastAsia"/>
        </w:rPr>
      </w:pPr>
      <w:r>
        <w:rPr>
          <w:b w:val="0"/>
          <w:color w:val="auto"/>
          <w:sz w:val="32"/>
          <w:lang w:val="en-US" w:eastAsia="zh-CN" w:bidi="ar-SA"/>
          <w:bCs w:val="0"/>
          <w:kern w:val="2"/>
          <w:szCs w:val="32"/>
          <w:rFonts w:ascii="仿宋_GB2312" w:hAnsi="仿宋_GB2312" w:eastAsia="仿宋_GB2312" w:cs="仿宋_GB2312" w:hint="eastAsia"/>
        </w:rPr>
        <w:t>1.建设不同优质饲划品种生产评比田面积指标，指标值为≥4000亩，实际完成4100.93亩，完成率102.52%，偏差率2.52%，偏差原因是克州超额完成种植任务。</w:t>
      </w:r>
    </w:p>
    <w:p>
      <w:pPr>
        <w:pStyle w:val="19"/>
        <w:pageBreakBefore w:val="0"/>
        <w:wordWrap w:val="1"/>
        <w:overflowPunct w:val="1"/>
        <w:topLinePunct w:val="0"/>
        <w:kinsoku w:val="1"/>
        <w:bidi w:val="0"/>
        <w:snapToGrid w:val="1"/>
        <w:jc w:val="left"/>
        <w:numPr>
          <w:ilvl w:val="0"/>
          <w:numId w:val="0"/>
        </w:numPr>
        <w:spacing w:line="560" w:lineRule="exact"/>
        <w:ind w:firstLine="640" w:firstLineChars="200"/>
        <w:rPr>
          <w:b w:val="0"/>
          <w:color w:val="auto"/>
          <w:sz w:val="32"/>
          <w:lang w:val="en-US" w:eastAsia="zh-CN" w:bidi="ar-SA"/>
          <w:bCs w:val="0"/>
          <w:kern w:val="2"/>
          <w:szCs w:val="32"/>
          <w:rFonts w:ascii="仿宋_GB2312" w:hAnsi="仿宋_GB2312" w:eastAsia="仿宋_GB2312" w:cs="仿宋_GB2312" w:hint="eastAsia"/>
        </w:rPr>
      </w:pPr>
      <w:r>
        <w:rPr>
          <w:b w:val="0"/>
          <w:color w:val="auto"/>
          <w:sz w:val="32"/>
          <w:lang w:val="en-US" w:eastAsia="zh-CN" w:bidi="ar-SA"/>
          <w:bCs w:val="0"/>
          <w:kern w:val="2"/>
          <w:szCs w:val="32"/>
          <w:rFonts w:ascii="仿宋_GB2312" w:hAnsi="仿宋_GB2312" w:eastAsia="仿宋_GB2312" w:cs="仿宋_GB2312" w:hint="eastAsia"/>
        </w:rPr>
        <w:t>2.建设优质饲划高产栽培示范田面积指标，指标值为≥10000亩，实际完成10850亩，完成率108.5%，偏差率8.5%，偏差原因是巴州超额完成种植面积。</w:t>
      </w:r>
    </w:p>
    <w:p>
      <w:pPr>
        <w:pStyle w:val="19"/>
        <w:pageBreakBefore w:val="0"/>
        <w:wordWrap w:val="1"/>
        <w:overflowPunct w:val="1"/>
        <w:topLinePunct w:val="0"/>
        <w:kinsoku w:val="1"/>
        <w:bidi w:val="0"/>
        <w:snapToGrid w:val="1"/>
        <w:jc w:val="left"/>
        <w:numPr>
          <w:ilvl w:val="0"/>
          <w:numId w:val="0"/>
        </w:numPr>
        <w:spacing w:line="560" w:lineRule="exact"/>
        <w:ind w:firstLine="640" w:firstLineChars="200"/>
        <w:rPr>
          <w:color w:val="auto"/>
          <w:lang w:val="en-US" w:eastAsia="zh-CN"/>
          <w:rFonts w:hint="eastAsia"/>
        </w:rPr>
      </w:pPr>
      <w:r>
        <w:rPr>
          <w:b w:val="0"/>
          <w:color w:val="auto"/>
          <w:sz w:val="32"/>
          <w:lang w:val="en-US" w:eastAsia="zh-CN" w:bidi="ar-SA"/>
          <w:bCs w:val="0"/>
          <w:kern w:val="2"/>
          <w:szCs w:val="32"/>
          <w:rFonts w:ascii="仿宋_GB2312" w:hAnsi="仿宋_GB2312" w:eastAsia="仿宋_GB2312" w:cs="仿宋_GB2312" w:hint="eastAsia"/>
        </w:rPr>
        <w:t>3.完成畜禽遗传资源性能测定数量指标，指标值为≥5个，实际完成5个，完成率100%，偏差率0%。</w:t>
      </w:r>
    </w:p>
    <w:p>
      <w:pPr>
        <w:pStyle w:val="19"/>
        <w:pageBreakBefore w:val="0"/>
        <w:wordWrap w:val="1"/>
        <w:overflowPunct w:val="1"/>
        <w:topLinePunct w:val="0"/>
        <w:kinsoku w:val="1"/>
        <w:bidi w:val="0"/>
        <w:snapToGrid w:val="1"/>
        <w:jc w:val="left"/>
        <w:numPr>
          <w:ilvl w:val="0"/>
          <w:numId w:val="0"/>
        </w:numPr>
        <w:spacing w:line="560" w:lineRule="exact"/>
        <w:ind w:firstLine="640" w:firstLineChars="200"/>
        <w:rPr>
          <w:color w:val="auto"/>
          <w:lang w:val="en-US" w:eastAsia="zh-CN"/>
          <w:rFonts w:hint="eastAsia"/>
        </w:rPr>
      </w:pPr>
      <w:r>
        <w:rPr>
          <w:b w:val="0"/>
          <w:color w:val="auto"/>
          <w:sz w:val="32"/>
          <w:lang w:val="en-US" w:eastAsia="zh-CN" w:bidi="ar-SA"/>
          <w:bCs w:val="0"/>
          <w:kern w:val="2"/>
          <w:szCs w:val="32"/>
          <w:rFonts w:ascii="仿宋_GB2312" w:hAnsi="仿宋_GB2312" w:eastAsia="仿宋_GB2312" w:cs="仿宋_GB2312" w:hint="eastAsia"/>
        </w:rPr>
        <w:t>4.新增荷斯坦能繁母牛数量指标，指标值为≥4200头，实际完成4200头，完成率100%，偏差率0%。</w:t>
      </w:r>
    </w:p>
    <w:p>
      <w:pPr>
        <w:pStyle w:val="19"/>
        <w:pageBreakBefore w:val="0"/>
        <w:wordWrap w:val="1"/>
        <w:overflowPunct w:val="1"/>
        <w:topLinePunct w:val="0"/>
        <w:kinsoku w:val="1"/>
        <w:bidi w:val="0"/>
        <w:snapToGrid w:val="1"/>
        <w:jc w:val="left"/>
        <w:numPr>
          <w:ilvl w:val="0"/>
          <w:numId w:val="0"/>
        </w:numPr>
        <w:spacing w:line="560" w:lineRule="exact"/>
        <w:ind w:firstLine="640" w:firstLineChars="200"/>
        <w:rPr>
          <w:color w:val="auto"/>
          <w:lang w:val="en-US" w:eastAsia="zh-CN"/>
          <w:rFonts w:hint="eastAsia"/>
        </w:rPr>
      </w:pPr>
      <w:r>
        <w:rPr>
          <w:b w:val="0"/>
          <w:color w:val="auto"/>
          <w:sz w:val="32"/>
          <w:lang w:val="en-US" w:eastAsia="zh-CN" w:bidi="ar-SA"/>
          <w:bCs w:val="0"/>
          <w:kern w:val="2"/>
          <w:szCs w:val="32"/>
          <w:rFonts w:ascii="仿宋_GB2312" w:hAnsi="仿宋_GB2312" w:eastAsia="仿宋_GB2312" w:cs="仿宋_GB2312" w:hint="eastAsia"/>
        </w:rPr>
        <w:t>5.畜产品质量安全监测批次指标，指标值为≥3000批次，实际完成3000批次，完成率100%，偏差率0%。</w:t>
      </w:r>
    </w:p>
    <w:p>
      <w:pPr>
        <w:pStyle w:val="19"/>
        <w:pageBreakBefore w:val="0"/>
        <w:wordWrap w:val="1"/>
        <w:overflowPunct w:val="1"/>
        <w:topLinePunct w:val="0"/>
        <w:kinsoku w:val="1"/>
        <w:bidi w:val="0"/>
        <w:snapToGrid w:val="1"/>
        <w:jc w:val="left"/>
        <w:numPr>
          <w:ilvl w:val="0"/>
          <w:numId w:val="0"/>
        </w:numPr>
        <w:spacing w:line="560" w:lineRule="exact"/>
        <w:ind w:firstLine="640" w:firstLineChars="200"/>
        <w:rPr>
          <w:color w:val="auto"/>
          <w:lang w:val="en-US" w:eastAsia="zh-CN"/>
          <w:rFonts w:hint="eastAsia"/>
        </w:rPr>
      </w:pPr>
      <w:r>
        <w:rPr>
          <w:b w:val="0"/>
          <w:color w:val="auto"/>
          <w:sz w:val="32"/>
          <w:lang w:val="en-US" w:eastAsia="zh-CN" w:bidi="ar-SA"/>
          <w:bCs w:val="0"/>
          <w:kern w:val="2"/>
          <w:szCs w:val="32"/>
          <w:rFonts w:ascii="仿宋_GB2312" w:hAnsi="仿宋_GB2312" w:eastAsia="仿宋_GB2312" w:cs="仿宋_GB2312" w:hint="eastAsia"/>
        </w:rPr>
        <w:t>6.新增奶产量指标，指标值为≥10000吨，实际完成10000吨，完成率100%，偏差率0%。</w:t>
      </w:r>
    </w:p>
    <w:p>
      <w:pPr>
        <w:pStyle w:val="19"/>
        <w:pageBreakBefore w:val="0"/>
        <w:wordWrap w:val="1"/>
        <w:overflowPunct w:val="1"/>
        <w:topLinePunct w:val="0"/>
        <w:kinsoku w:val="1"/>
        <w:bidi w:val="0"/>
        <w:snapToGrid w:val="1"/>
        <w:jc w:val="left"/>
        <w:numPr>
          <w:ilvl w:val="0"/>
          <w:numId w:val="0"/>
        </w:numPr>
        <w:spacing w:line="560" w:lineRule="exact"/>
        <w:ind w:firstLine="640" w:firstLineChars="200"/>
        <w:rPr>
          <w:color w:val="auto"/>
          <w:lang w:val="en-US" w:eastAsia="zh-CN"/>
          <w:rFonts w:hint="eastAsia"/>
        </w:rPr>
      </w:pPr>
      <w:r>
        <w:rPr>
          <w:b w:val="0"/>
          <w:color w:val="auto"/>
          <w:sz w:val="32"/>
          <w:lang w:val="en-US" w:eastAsia="zh-CN" w:bidi="ar-SA"/>
          <w:bCs w:val="0"/>
          <w:kern w:val="2"/>
          <w:szCs w:val="32"/>
          <w:rFonts w:ascii="仿宋_GB2312" w:hAnsi="仿宋_GB2312" w:eastAsia="仿宋_GB2312" w:cs="仿宋_GB2312" w:hint="eastAsia"/>
        </w:rPr>
        <w:t>7.支持建设畜禽遗传资源保种场（保护区、基因库)建设数量指标，指标值为≥14个，实际完成14个，完成率100%，偏差率0%。</w:t>
      </w:r>
    </w:p>
    <w:p>
      <w:pPr>
        <w:keepNext w:val="0"/>
        <w:keepLines w:val="0"/>
        <w:pageBreakBefore w:val="0"/>
        <w:wordWrap w:val="1"/>
        <w:overflowPunct w:val="1"/>
        <w:topLinePunct w:val="0"/>
        <w:kinsoku w:val="1"/>
        <w:autoSpaceDE w:val="1"/>
        <w:autoSpaceDN w:val="1"/>
        <w:bidi w:val="0"/>
        <w:adjustRightInd w:val="1"/>
        <w:snapToGrid w:val="1"/>
        <w:spacing w:line="560" w:lineRule="exact"/>
        <w:ind w:firstLine="640"/>
        <w:rPr>
          <w:color w:val="auto"/>
          <w:spacing w:val="-4"/>
          <w:w w:val="100"/>
          <w:sz w:val="32"/>
          <w:lang w:val="en-US" w:eastAsia="zh-CN"/>
          <w:szCs w:val="32"/>
          <w:rFonts w:ascii="Times New Roman" w:hAnsi="Times New Roman" w:eastAsia="仿宋_GB2312" w:cs="Times New Roman" w:hint="default"/>
        </w:rPr>
      </w:pPr>
      <w:r>
        <w:rPr>
          <w:b w:val="0"/>
          <w:color w:val="auto"/>
          <w:sz w:val="32"/>
          <w:lang w:val="en-US" w:eastAsia="zh-CN" w:bidi="ar-SA"/>
          <w:bCs w:val="0"/>
          <w:kern w:val="2"/>
          <w:szCs w:val="32"/>
          <w:rFonts w:ascii="仿宋_GB2312" w:hAnsi="仿宋_GB2312" w:eastAsia="仿宋_GB2312" w:cs="仿宋_GB2312" w:hint="eastAsia"/>
        </w:rPr>
        <w:t>8.肉类增长比例指标，指标值为≥5%，实际完成4.3%，完成率86%，偏差率14%，偏差原因是</w:t>
      </w:r>
      <w:r>
        <w:rPr>
          <w:color w:val="auto"/>
          <w:spacing w:val="-4"/>
          <w:w w:val="100"/>
          <w:sz w:val="32"/>
          <w:lang w:val="en-US" w:eastAsia="zh-CN"/>
          <w:szCs w:val="32"/>
          <w:rFonts w:ascii="Times New Roman" w:hAnsi="Times New Roman" w:eastAsia="仿宋_GB2312" w:cs="Times New Roman" w:hint="eastAsia"/>
        </w:rPr>
        <w:t>受2022年7月—12月突发新冠疫情影响，全疆长期处于静态管理状态，对饲草料调运、畜产品交易、畜牧业生产影响较大，特别是秋季为牧区牲畜传统出栏旺季，加之畜牧业生产流通不畅，虽然解封后压栏情况有所缓解，但依然影响了肉蛋产量，导致没有完成预期目标。</w:t>
      </w:r>
    </w:p>
    <w:p>
      <w:pPr>
        <w:pStyle w:val="19"/>
        <w:pageBreakBefore w:val="0"/>
        <w:wordWrap w:val="1"/>
        <w:overflowPunct w:val="1"/>
        <w:topLinePunct w:val="0"/>
        <w:kinsoku w:val="1"/>
        <w:bidi w:val="0"/>
        <w:snapToGrid w:val="1"/>
        <w:jc w:val="left"/>
        <w:numPr>
          <w:ilvl w:val="0"/>
          <w:numId w:val="0"/>
        </w:numPr>
        <w:spacing w:line="560" w:lineRule="exact"/>
        <w:ind w:firstLine="640" w:firstLineChars="200"/>
        <w:rPr>
          <w:b w:val="0"/>
          <w:color w:val="auto"/>
          <w:sz w:val="32"/>
          <w:lang w:val="en-US" w:eastAsia="zh-CN" w:bidi="ar-SA"/>
          <w:bCs w:val="0"/>
          <w:kern w:val="2"/>
          <w:szCs w:val="32"/>
          <w:rFonts w:ascii="仿宋_GB2312" w:hAnsi="仿宋_GB2312" w:eastAsia="仿宋_GB2312" w:cs="仿宋_GB2312" w:hint="eastAsia"/>
        </w:rPr>
      </w:pPr>
      <w:r>
        <w:rPr>
          <w:b w:val="0"/>
          <w:color w:val="auto"/>
          <w:sz w:val="32"/>
          <w:lang w:val="en-US" w:eastAsia="zh-CN" w:bidi="ar-SA"/>
          <w:bCs w:val="0"/>
          <w:kern w:val="2"/>
          <w:szCs w:val="32"/>
          <w:rFonts w:ascii="仿宋_GB2312" w:hAnsi="仿宋_GB2312" w:eastAsia="仿宋_GB2312" w:cs="仿宋_GB2312" w:hint="eastAsia"/>
        </w:rPr>
        <w:t>9.支持绒毛羊示范企业指标，指标值为≥5个，实际完成5个，完成率100%，偏差率0%。</w:t>
      </w:r>
    </w:p>
    <w:p>
      <w:pPr>
        <w:pStyle w:val="19"/>
        <w:pageBreakBefore w:val="0"/>
        <w:wordWrap w:val="1"/>
        <w:overflowPunct w:val="1"/>
        <w:topLinePunct w:val="0"/>
        <w:kinsoku w:val="1"/>
        <w:bidi w:val="0"/>
        <w:snapToGrid w:val="1"/>
        <w:jc w:val="left"/>
        <w:numPr>
          <w:ilvl w:val="0"/>
          <w:numId w:val="0"/>
        </w:numPr>
        <w:spacing w:line="560" w:lineRule="exact"/>
        <w:ind w:firstLine="640" w:firstLineChars="200"/>
        <w:rPr>
          <w:color w:val="auto"/>
          <w:lang w:val="en-US" w:eastAsia="zh-CN"/>
          <w:rFonts w:hint="eastAsia"/>
        </w:rPr>
      </w:pPr>
      <w:r>
        <w:rPr>
          <w:b w:val="0"/>
          <w:color w:val="auto"/>
          <w:sz w:val="32"/>
          <w:lang w:val="en-US" w:eastAsia="zh-CN" w:bidi="ar-SA"/>
          <w:bCs w:val="0"/>
          <w:kern w:val="2"/>
          <w:szCs w:val="32"/>
          <w:rFonts w:ascii="仿宋_GB2312" w:hAnsi="仿宋_GB2312" w:eastAsia="仿宋_GB2312" w:cs="仿宋_GB2312" w:hint="eastAsia"/>
        </w:rPr>
        <w:t>10.动物检疫电子出证系统出证覆盖率指标，指标值为100%，实际完成100%，完成率100%，偏差率0%。</w:t>
      </w:r>
    </w:p>
    <w:p>
      <w:pPr>
        <w:pageBreakBefore w:val="0"/>
        <w:wordWrap w:val="1"/>
        <w:overflowPunct w:val="1"/>
        <w:topLinePunct w:val="0"/>
        <w:kinsoku w:val="1"/>
        <w:bidi w:val="0"/>
        <w:snapToGrid w:val="1"/>
        <w:spacing w:line="560" w:lineRule="exact"/>
        <w:ind w:firstLine="643" w:firstLineChars="200"/>
        <w:rPr>
          <w:rStyle w:val="53"/>
          <w:b w:val="1"/>
          <w:color w:val="auto"/>
          <w:lang w:eastAsia="zh-CN"/>
          <w:bCs/>
          <w:rFonts w:ascii="Times New Roman" w:hAnsi="Times New Roman" w:eastAsia="仿宋_GB2312" w:cs="Times New Roman" w:hint="eastAsia"/>
        </w:rPr>
      </w:pPr>
      <w:r>
        <w:rPr>
          <w:rStyle w:val="53"/>
          <w:b w:val="1"/>
          <w:color w:val="auto"/>
          <w:bCs/>
          <w:rFonts w:ascii="Times New Roman" w:hAnsi="Times New Roman" w:cs="Times New Roman"/>
        </w:rPr>
        <w:t>质量指标方面：</w:t>
      </w:r>
    </w:p>
    <w:p>
      <w:pPr>
        <w:pStyle w:val="19"/>
        <w:pageBreakBefore w:val="0"/>
        <w:wordWrap w:val="1"/>
        <w:overflowPunct w:val="1"/>
        <w:topLinePunct w:val="0"/>
        <w:kinsoku w:val="1"/>
        <w:bidi w:val="0"/>
        <w:snapToGrid w:val="1"/>
        <w:jc w:val="left"/>
        <w:numPr>
          <w:ilvl w:val="0"/>
          <w:numId w:val="0"/>
        </w:numPr>
        <w:spacing w:line="560" w:lineRule="exact"/>
        <w:ind w:firstLine="640" w:firstLineChars="200"/>
        <w:rPr>
          <w:b w:val="0"/>
          <w:color w:val="auto"/>
          <w:sz w:val="32"/>
          <w:lang w:val="en-US" w:eastAsia="zh-CN" w:bidi="ar-SA"/>
          <w:bCs w:val="0"/>
          <w:kern w:val="2"/>
          <w:szCs w:val="32"/>
          <w:rFonts w:ascii="仿宋_GB2312" w:hAnsi="仿宋_GB2312" w:eastAsia="仿宋_GB2312" w:cs="仿宋_GB2312" w:hint="eastAsia"/>
        </w:rPr>
      </w:pPr>
      <w:r>
        <w:rPr>
          <w:b w:val="0"/>
          <w:color w:val="auto"/>
          <w:sz w:val="32"/>
          <w:lang w:val="en-US" w:eastAsia="zh-CN" w:bidi="ar-SA"/>
          <w:bCs w:val="0"/>
          <w:kern w:val="2"/>
          <w:szCs w:val="32"/>
          <w:rFonts w:ascii="仿宋_GB2312" w:hAnsi="仿宋_GB2312" w:eastAsia="仿宋_GB2312" w:cs="仿宋_GB2312" w:hint="eastAsia"/>
        </w:rPr>
        <w:t>1.保种场（保护区、基因库)的保种建设任务完成率指标，指标值为≥80%，实际完成90%，完成率112.5%，偏差率12.5%，偏差原因是项目确定的14家保种场（保护区、基因库）积极推进工作，任务完成略高于预期。</w:t>
      </w:r>
    </w:p>
    <w:p>
      <w:pPr>
        <w:pStyle w:val="19"/>
        <w:pageBreakBefore w:val="0"/>
        <w:wordWrap w:val="1"/>
        <w:overflowPunct w:val="1"/>
        <w:topLinePunct w:val="0"/>
        <w:kinsoku w:val="1"/>
        <w:bidi w:val="0"/>
        <w:snapToGrid w:val="1"/>
        <w:jc w:val="left"/>
        <w:numPr>
          <w:ilvl w:val="0"/>
          <w:numId w:val="0"/>
        </w:numPr>
        <w:spacing w:line="560" w:lineRule="exact"/>
        <w:ind w:firstLine="640" w:firstLineChars="200"/>
        <w:rPr>
          <w:b w:val="0"/>
          <w:color w:val="auto"/>
          <w:sz w:val="32"/>
          <w:lang w:val="en-US" w:eastAsia="zh-CN" w:bidi="ar-SA"/>
          <w:bCs w:val="0"/>
          <w:kern w:val="2"/>
          <w:szCs w:val="32"/>
          <w:rFonts w:ascii="仿宋_GB2312" w:hAnsi="仿宋_GB2312" w:eastAsia="仿宋_GB2312" w:cs="仿宋_GB2312" w:hint="eastAsia"/>
        </w:rPr>
      </w:pPr>
      <w:r>
        <w:rPr>
          <w:b w:val="0"/>
          <w:color w:val="auto"/>
          <w:sz w:val="32"/>
          <w:lang w:val="en-US" w:eastAsia="zh-CN" w:bidi="ar-SA"/>
          <w:bCs w:val="0"/>
          <w:kern w:val="2"/>
          <w:szCs w:val="32"/>
          <w:rFonts w:ascii="仿宋_GB2312" w:hAnsi="仿宋_GB2312" w:eastAsia="仿宋_GB2312" w:cs="仿宋_GB2312" w:hint="eastAsia"/>
        </w:rPr>
        <w:t>2.畜产品质量监测结果准确率指标，指标值为≥98%，实际完成100%，完成率102.04%，偏差率2.04%，偏差原因是本年度未出现复核样品。</w:t>
      </w:r>
    </w:p>
    <w:p>
      <w:pPr>
        <w:pStyle w:val="19"/>
        <w:pageBreakBefore w:val="0"/>
        <w:wordWrap w:val="1"/>
        <w:overflowPunct w:val="1"/>
        <w:topLinePunct w:val="0"/>
        <w:kinsoku w:val="1"/>
        <w:bidi w:val="0"/>
        <w:snapToGrid w:val="1"/>
        <w:jc w:val="left"/>
        <w:numPr>
          <w:ilvl w:val="0"/>
          <w:numId w:val="0"/>
        </w:numPr>
        <w:spacing w:line="560" w:lineRule="exact"/>
        <w:ind w:firstLine="640" w:firstLineChars="200"/>
        <w:rPr>
          <w:color w:val="auto"/>
          <w:rFonts w:ascii="Times New Roman" w:hAnsi="Times New Roman"/>
        </w:rPr>
      </w:pPr>
      <w:r>
        <w:rPr>
          <w:b w:val="0"/>
          <w:color w:val="auto"/>
          <w:sz w:val="32"/>
          <w:lang w:val="en-US" w:eastAsia="zh-CN" w:bidi="ar-SA"/>
          <w:bCs w:val="0"/>
          <w:kern w:val="2"/>
          <w:szCs w:val="32"/>
          <w:rFonts w:ascii="仿宋_GB2312" w:hAnsi="仿宋_GB2312" w:eastAsia="仿宋_GB2312" w:cs="仿宋_GB2312" w:hint="eastAsia"/>
        </w:rPr>
        <w:t>3.畜禽产品定量检测全年合格率指标，指标值为≥96%，实际完成100%，完成率104.17%，偏差率4.17%，偏差原因是全年未检出不合格产品。</w:t>
      </w:r>
    </w:p>
    <w:p>
      <w:pPr>
        <w:pStyle w:val="19"/>
        <w:pageBreakBefore w:val="0"/>
        <w:wordWrap w:val="1"/>
        <w:overflowPunct w:val="1"/>
        <w:topLinePunct w:val="0"/>
        <w:kinsoku w:val="1"/>
        <w:bidi w:val="0"/>
        <w:snapToGrid w:val="1"/>
        <w:jc w:val="both"/>
        <w:spacing w:after="0" w:before="0" w:line="560" w:lineRule="exact"/>
        <w:ind w:firstLine="643" w:firstLineChars="200"/>
        <w:rPr>
          <w:color w:val="auto"/>
        </w:rPr>
      </w:pPr>
      <w:r>
        <w:rPr>
          <w:rStyle w:val="53"/>
          <w:b w:val="1"/>
          <w:color w:val="auto"/>
          <w:bCs/>
          <w:rFonts w:ascii="Times New Roman" w:hAnsi="Times New Roman" w:cs="Times New Roman"/>
        </w:rPr>
        <w:t>成本指标方面：</w:t>
      </w:r>
    </w:p>
    <w:p>
      <w:pPr>
        <w:keepNext w:val="0"/>
        <w:keepLines w:val="0"/>
        <w:pageBreakBefore w:val="0"/>
        <w:wordWrap w:val="1"/>
        <w:overflowPunct w:val="1"/>
        <w:topLinePunct w:val="0"/>
        <w:kinsoku w:val="1"/>
        <w:autoSpaceDE w:val="1"/>
        <w:autoSpaceDN w:val="1"/>
        <w:bidi w:val="0"/>
        <w:adjustRightInd w:val="1"/>
        <w:snapToGrid w:val="1"/>
        <w:spacing w:line="560" w:lineRule="exact"/>
        <w:ind w:firstLine="640"/>
        <w:rPr>
          <w:color w:val="auto"/>
          <w:spacing w:val="-4"/>
          <w:w w:val="100"/>
          <w:sz w:val="32"/>
          <w:lang w:val="en-US" w:eastAsia="zh-CN"/>
          <w:szCs w:val="32"/>
          <w:rFonts w:ascii="Times New Roman" w:hAnsi="Times New Roman" w:eastAsia="仿宋_GB2312" w:cs="Times New Roman" w:hint="default"/>
        </w:rPr>
      </w:pPr>
      <w:r>
        <w:rPr>
          <w:b w:val="0"/>
          <w:color w:val="auto"/>
          <w:sz w:val="32"/>
          <w:lang w:val="en-US" w:eastAsia="zh-CN" w:bidi="ar-SA"/>
          <w:bCs w:val="0"/>
          <w:kern w:val="2"/>
          <w:szCs w:val="32"/>
          <w:rFonts w:ascii="仿宋_GB2312" w:hAnsi="仿宋_GB2312" w:eastAsia="仿宋_GB2312" w:cs="仿宋_GB2312" w:hint="eastAsia"/>
        </w:rPr>
        <w:t>1.种业提升及产业技术体系成本指标，指标值为≤3496万元，实际完成3172.89万元，完成率90.76%，偏差率9.24%，偏差原因是受到疫情影响，部分县市兑付资金困难。</w:t>
      </w:r>
    </w:p>
    <w:p>
      <w:pPr>
        <w:pStyle w:val="19"/>
        <w:pageBreakBefore w:val="0"/>
        <w:wordWrap w:val="1"/>
        <w:overflowPunct w:val="1"/>
        <w:topLinePunct w:val="0"/>
        <w:kinsoku w:val="1"/>
        <w:bidi w:val="0"/>
        <w:snapToGrid w:val="1"/>
        <w:jc w:val="left"/>
        <w:numPr>
          <w:ilvl w:val="0"/>
          <w:numId w:val="0"/>
        </w:numPr>
        <w:spacing w:line="560" w:lineRule="exact"/>
        <w:ind w:firstLine="640" w:firstLineChars="200"/>
        <w:rPr>
          <w:b w:val="0"/>
          <w:color w:val="auto"/>
          <w:sz w:val="32"/>
          <w:lang w:val="en-US" w:eastAsia="zh-CN" w:bidi="ar-SA"/>
          <w:bCs w:val="0"/>
          <w:kern w:val="2"/>
          <w:szCs w:val="32"/>
          <w:rFonts w:ascii="仿宋_GB2312" w:hAnsi="仿宋_GB2312" w:eastAsia="仿宋_GB2312" w:cs="仿宋_GB2312" w:hint="eastAsia"/>
        </w:rPr>
      </w:pPr>
      <w:r>
        <w:rPr>
          <w:b w:val="0"/>
          <w:color w:val="auto"/>
          <w:sz w:val="32"/>
          <w:lang w:val="en-US" w:eastAsia="zh-CN" w:bidi="ar-SA"/>
          <w:bCs w:val="0"/>
          <w:kern w:val="2"/>
          <w:szCs w:val="32"/>
          <w:rFonts w:ascii="仿宋_GB2312" w:hAnsi="仿宋_GB2312" w:eastAsia="仿宋_GB2312" w:cs="仿宋_GB2312" w:hint="eastAsia"/>
        </w:rPr>
        <w:t>2.奶业生产发展成本指标，指标值为≤1000万元，实际完成1000万元，完成率100%，偏差率0%。</w:t>
      </w:r>
    </w:p>
    <w:p>
      <w:pPr>
        <w:pStyle w:val="19"/>
        <w:pageBreakBefore w:val="0"/>
        <w:wordWrap w:val="1"/>
        <w:overflowPunct w:val="1"/>
        <w:topLinePunct w:val="0"/>
        <w:kinsoku w:val="1"/>
        <w:bidi w:val="0"/>
        <w:snapToGrid w:val="1"/>
        <w:jc w:val="left"/>
        <w:numPr>
          <w:ilvl w:val="0"/>
          <w:numId w:val="0"/>
        </w:numPr>
        <w:shd w:val="clear"/>
        <w:spacing w:line="560" w:lineRule="exact"/>
        <w:ind w:firstLine="640" w:firstLineChars="200"/>
        <w:rPr>
          <w:b w:val="0"/>
          <w:color w:val="auto"/>
          <w:sz w:val="32"/>
          <w:lang w:val="en-US" w:eastAsia="zh-CN" w:bidi="ar-SA"/>
          <w:bCs w:val="0"/>
          <w:kern w:val="2"/>
          <w:szCs w:val="32"/>
          <w:rFonts w:ascii="仿宋_GB2312" w:hAnsi="仿宋_GB2312" w:eastAsia="仿宋_GB2312" w:cs="仿宋_GB2312" w:hint="eastAsia"/>
        </w:rPr>
      </w:pPr>
      <w:r>
        <w:rPr>
          <w:b w:val="0"/>
          <w:color w:val="auto"/>
          <w:sz w:val="32"/>
          <w:lang w:val="en-US" w:eastAsia="zh-CN" w:bidi="ar-SA"/>
          <w:bCs w:val="0"/>
          <w:kern w:val="2"/>
          <w:szCs w:val="32"/>
          <w:rFonts w:ascii="仿宋_GB2312" w:hAnsi="仿宋_GB2312" w:eastAsia="仿宋_GB2312" w:cs="仿宋_GB2312" w:hint="eastAsia"/>
        </w:rPr>
        <w:t>3.优质饲草料产业发展成本指标，指标值为≤1000万元，实际完成943.57万元，完成率94.36%，偏差率5.64%，偏差原因是喀什和阿勒泰地区因财政资金原因暂未拨付。</w:t>
      </w:r>
    </w:p>
    <w:p>
      <w:pPr>
        <w:pStyle w:val="19"/>
        <w:pageBreakBefore w:val="0"/>
        <w:wordWrap w:val="1"/>
        <w:overflowPunct w:val="1"/>
        <w:topLinePunct w:val="0"/>
        <w:kinsoku w:val="1"/>
        <w:bidi w:val="0"/>
        <w:snapToGrid w:val="1"/>
        <w:jc w:val="left"/>
        <w:numPr>
          <w:ilvl w:val="0"/>
          <w:numId w:val="0"/>
        </w:numPr>
        <w:shd w:val="clear"/>
        <w:spacing w:line="560" w:lineRule="exact"/>
        <w:ind w:firstLine="640" w:firstLineChars="200"/>
        <w:rPr>
          <w:color w:val="auto"/>
          <w:lang w:val="en-US" w:eastAsia="zh-CN"/>
          <w:rFonts w:hint="eastAsia"/>
        </w:rPr>
      </w:pPr>
      <w:r>
        <w:rPr>
          <w:b w:val="0"/>
          <w:color w:val="auto"/>
          <w:sz w:val="32"/>
          <w:lang w:val="en-US" w:eastAsia="zh-CN" w:bidi="ar-SA"/>
          <w:bCs w:val="0"/>
          <w:kern w:val="2"/>
          <w:szCs w:val="32"/>
          <w:rFonts w:ascii="仿宋_GB2312" w:hAnsi="仿宋_GB2312" w:eastAsia="仿宋_GB2312" w:cs="仿宋_GB2312" w:hint="eastAsia"/>
        </w:rPr>
        <w:t>4.畜禽遗传保护成本指标，指标值为≤300万元，实际完成297.28万元，完成率99.09%，偏差率0.91%，偏差原因是偏差原因：受2022年冠肺炎疫情影响，阿勒泰地区计划开展的阿勒泰白头牛保种技术培训尚未全部完成，剩余2.72万元资金未完全支出。</w:t>
      </w:r>
    </w:p>
    <w:p>
      <w:pPr>
        <w:pStyle w:val="19"/>
        <w:pageBreakBefore w:val="0"/>
        <w:wordWrap w:val="1"/>
        <w:overflowPunct w:val="1"/>
        <w:topLinePunct w:val="0"/>
        <w:kinsoku w:val="1"/>
        <w:bidi w:val="0"/>
        <w:snapToGrid w:val="1"/>
        <w:jc w:val="left"/>
        <w:numPr>
          <w:ilvl w:val="0"/>
          <w:numId w:val="0"/>
        </w:numPr>
        <w:spacing w:line="560" w:lineRule="exact"/>
        <w:ind w:firstLine="640" w:firstLineChars="200"/>
        <w:rPr>
          <w:color w:val="auto"/>
          <w:lang w:val="en-US" w:eastAsia="zh-CN"/>
          <w:rFonts w:hint="eastAsia"/>
        </w:rPr>
      </w:pPr>
      <w:r>
        <w:rPr>
          <w:b w:val="0"/>
          <w:color w:val="auto"/>
          <w:sz w:val="32"/>
          <w:lang w:val="en-US" w:eastAsia="zh-CN" w:bidi="ar-SA"/>
          <w:bCs w:val="0"/>
          <w:kern w:val="2"/>
          <w:szCs w:val="32"/>
          <w:rFonts w:ascii="仿宋_GB2312" w:hAnsi="仿宋_GB2312" w:eastAsia="仿宋_GB2312" w:cs="仿宋_GB2312" w:hint="eastAsia"/>
        </w:rPr>
        <w:t>5.畜产品质量安全监测成本指标，指标值为≤600万元，实际完成600万元，完成率100%，偏差率0%。</w:t>
      </w:r>
    </w:p>
    <w:p>
      <w:pPr>
        <w:pageBreakBefore w:val="0"/>
        <w:wordWrap w:val="1"/>
        <w:overflowPunct w:val="1"/>
        <w:topLinePunct w:val="0"/>
        <w:kinsoku w:val="1"/>
        <w:bidi w:val="0"/>
        <w:snapToGrid w:val="1"/>
        <w:spacing w:line="560" w:lineRule="exact"/>
        <w:ind w:firstLine="640" w:firstLineChars="200"/>
        <w:rPr>
          <w:color w:val="auto"/>
        </w:rPr>
      </w:pPr>
      <w:r>
        <w:rPr>
          <w:b w:val="0"/>
          <w:color w:val="auto"/>
          <w:sz w:val="32"/>
          <w:lang w:val="en-US" w:eastAsia="zh-CN" w:bidi="ar-SA"/>
          <w:bCs w:val="0"/>
          <w:kern w:val="2"/>
          <w:szCs w:val="32"/>
          <w:rFonts w:ascii="仿宋_GB2312" w:hAnsi="仿宋_GB2312" w:eastAsia="仿宋_GB2312" w:cs="仿宋_GB2312" w:hint="eastAsia"/>
        </w:rPr>
        <w:t>6.畜牧产业新型经营主体指标，指标值为≤280万元，实际完成280万元，完成率100%，偏差率0%。</w:t>
      </w:r>
    </w:p>
    <w:p>
      <w:pPr>
        <w:pageBreakBefore w:val="0"/>
        <w:wordWrap w:val="1"/>
        <w:overflowPunct w:val="1"/>
        <w:topLinePunct w:val="0"/>
        <w:kinsoku w:val="1"/>
        <w:bidi w:val="0"/>
        <w:snapToGrid w:val="1"/>
        <w:spacing w:line="560" w:lineRule="exact"/>
        <w:ind w:firstLine="643" w:firstLineChars="200"/>
        <w:rPr>
          <w:rStyle w:val="53"/>
          <w:b w:val="1"/>
          <w:color w:val="auto"/>
          <w:bCs/>
          <w:rFonts w:ascii="Times New Roman" w:hAnsi="Times New Roman" w:cs="Times New Roman"/>
        </w:rPr>
      </w:pPr>
      <w:r>
        <w:rPr>
          <w:rStyle w:val="53"/>
          <w:b w:val="1"/>
          <w:color w:val="auto"/>
          <w:bCs/>
          <w:rFonts w:ascii="Times New Roman" w:hAnsi="Times New Roman" w:cs="Times New Roman"/>
        </w:rPr>
        <w:t>时效指标方面：</w:t>
      </w:r>
    </w:p>
    <w:p>
      <w:pPr>
        <w:pStyle w:val="19"/>
        <w:pageBreakBefore w:val="0"/>
        <w:wordWrap w:val="1"/>
        <w:overflowPunct w:val="1"/>
        <w:topLinePunct w:val="0"/>
        <w:kinsoku w:val="1"/>
        <w:bidi w:val="0"/>
        <w:snapToGrid w:val="1"/>
        <w:jc w:val="left"/>
        <w:numPr>
          <w:ilvl w:val="0"/>
          <w:numId w:val="0"/>
        </w:numPr>
        <w:spacing w:line="560" w:lineRule="exact"/>
        <w:ind w:firstLine="640" w:firstLineChars="200"/>
        <w:rPr>
          <w:b w:val="0"/>
          <w:color w:val="auto"/>
          <w:sz w:val="32"/>
          <w:lang w:val="en-US" w:eastAsia="zh-CN" w:bidi="ar-SA"/>
          <w:bCs w:val="0"/>
          <w:kern w:val="2"/>
          <w:szCs w:val="32"/>
          <w:rFonts w:ascii="仿宋_GB2312" w:hAnsi="仿宋_GB2312" w:eastAsia="仿宋_GB2312" w:cs="仿宋_GB2312" w:hint="eastAsia"/>
        </w:rPr>
      </w:pPr>
      <w:r>
        <w:rPr>
          <w:b w:val="0"/>
          <w:color w:val="auto"/>
          <w:sz w:val="32"/>
          <w:lang w:val="en-US" w:eastAsia="zh-CN" w:bidi="ar-SA"/>
          <w:bCs w:val="0"/>
          <w:kern w:val="2"/>
          <w:szCs w:val="32"/>
          <w:rFonts w:ascii="仿宋_GB2312" w:hAnsi="仿宋_GB2312" w:eastAsia="仿宋_GB2312" w:cs="仿宋_GB2312" w:hint="eastAsia"/>
        </w:rPr>
        <w:t>1.产品质量安全监测及时率指标，指标值为100%，实际完成100%，完成率100%，偏差率0%。</w:t>
      </w:r>
    </w:p>
    <w:p>
      <w:pPr>
        <w:pStyle w:val="19"/>
        <w:pageBreakBefore w:val="0"/>
        <w:wordWrap w:val="1"/>
        <w:overflowPunct w:val="1"/>
        <w:topLinePunct w:val="0"/>
        <w:kinsoku w:val="1"/>
        <w:bidi w:val="0"/>
        <w:snapToGrid w:val="1"/>
        <w:jc w:val="left"/>
        <w:numPr>
          <w:ilvl w:val="0"/>
          <w:numId w:val="0"/>
        </w:numPr>
        <w:spacing w:line="560" w:lineRule="exact"/>
        <w:ind w:firstLine="640" w:firstLineChars="200"/>
        <w:rPr>
          <w:b w:val="0"/>
          <w:color w:val="auto"/>
          <w:sz w:val="32"/>
          <w:lang w:val="en-US" w:eastAsia="zh-CN" w:bidi="ar-SA"/>
          <w:bCs w:val="0"/>
          <w:kern w:val="2"/>
          <w:szCs w:val="32"/>
          <w:rFonts w:ascii="仿宋_GB2312" w:hAnsi="仿宋_GB2312" w:eastAsia="仿宋_GB2312" w:cs="仿宋_GB2312" w:hint="eastAsia"/>
        </w:rPr>
      </w:pPr>
      <w:r>
        <w:rPr>
          <w:b w:val="0"/>
          <w:color w:val="auto"/>
          <w:sz w:val="32"/>
          <w:lang w:val="en-US" w:eastAsia="zh-CN" w:bidi="ar-SA"/>
          <w:bCs w:val="0"/>
          <w:kern w:val="2"/>
          <w:szCs w:val="32"/>
          <w:rFonts w:ascii="仿宋_GB2312" w:hAnsi="仿宋_GB2312" w:eastAsia="仿宋_GB2312" w:cs="仿宋_GB2312" w:hint="eastAsia"/>
        </w:rPr>
        <w:t>2.优质饲草栽培按期完成率指标，指标值为100%，实际完成100%，完成率100%，偏差率0%。</w:t>
      </w:r>
    </w:p>
    <w:p>
      <w:pPr>
        <w:pStyle w:val="19"/>
        <w:pageBreakBefore w:val="0"/>
        <w:wordWrap w:val="1"/>
        <w:overflowPunct w:val="1"/>
        <w:topLinePunct w:val="0"/>
        <w:kinsoku w:val="1"/>
        <w:bidi w:val="0"/>
        <w:snapToGrid w:val="1"/>
        <w:jc w:val="left"/>
        <w:numPr>
          <w:ilvl w:val="0"/>
          <w:numId w:val="0"/>
        </w:numPr>
        <w:shd w:val="clear"/>
        <w:spacing w:line="560" w:lineRule="exact"/>
        <w:ind w:firstLine="640" w:firstLineChars="200"/>
        <w:rPr>
          <w:color w:val="auto"/>
          <w:rFonts w:ascii="Times New Roman" w:hAnsi="Times New Roman"/>
        </w:rPr>
      </w:pPr>
      <w:r>
        <w:rPr>
          <w:b w:val="0"/>
          <w:color w:val="auto"/>
          <w:sz w:val="32"/>
          <w:lang w:val="en-US" w:eastAsia="zh-CN" w:bidi="ar-SA"/>
          <w:bCs w:val="0"/>
          <w:kern w:val="2"/>
          <w:szCs w:val="32"/>
          <w:rFonts w:ascii="仿宋_GB2312" w:hAnsi="仿宋_GB2312" w:eastAsia="仿宋_GB2312" w:cs="仿宋_GB2312" w:hint="eastAsia"/>
        </w:rPr>
        <w:t>3.建立产业技术体系按期完成率指标，指标值为100%，实际完成100%，完成率100%，偏差率0%。</w:t>
      </w:r>
    </w:p>
    <w:p>
      <w:pPr>
        <w:pStyle w:val="19"/>
        <w:pageBreakBefore w:val="0"/>
        <w:wordWrap w:val="1"/>
        <w:overflowPunct w:val="1"/>
        <w:topLinePunct w:val="0"/>
        <w:kinsoku w:val="1"/>
        <w:bidi w:val="0"/>
        <w:snapToGrid w:val="1"/>
        <w:jc w:val="both"/>
        <w:spacing w:line="560" w:lineRule="exact"/>
        <w:ind w:firstLine="321" w:firstLineChars="100"/>
        <w:rPr>
          <w:color w:val="auto"/>
          <w:rFonts w:ascii="Times New Roman" w:hAnsi="Times New Roman"/>
        </w:rPr>
      </w:pPr>
      <w:r>
        <w:rPr>
          <w:color w:val="auto"/>
          <w:rFonts w:ascii="Times New Roman" w:hAnsi="Times New Roman" w:eastAsia="楷体_GB2312" w:hint="eastAsia"/>
        </w:rPr>
        <w:t>（四）</w:t>
      </w:r>
      <w:r>
        <w:rPr>
          <w:color w:val="auto"/>
          <w:rFonts w:ascii="Times New Roman" w:hAnsi="Times New Roman" w:eastAsia="楷体_GB2312"/>
        </w:rPr>
        <w:t>效益情况</w:t>
      </w:r>
    </w:p>
    <w:p>
      <w:pPr>
        <w:pageBreakBefore w:val="0"/>
        <w:wordWrap w:val="1"/>
        <w:overflowPunct w:val="1"/>
        <w:topLinePunct w:val="0"/>
        <w:kinsoku w:val="1"/>
        <w:bidi w:val="0"/>
        <w:snapToGrid w:val="1"/>
        <w:spacing w:line="560" w:lineRule="exact"/>
        <w:ind w:firstLine="643" w:firstLineChars="200"/>
        <w:rPr>
          <w:rStyle w:val="53"/>
          <w:b w:val="1"/>
          <w:color w:val="auto"/>
          <w:bCs/>
          <w:rFonts w:ascii="Times New Roman" w:hAnsi="Times New Roman" w:cs="Times New Roman"/>
        </w:rPr>
      </w:pPr>
      <w:r>
        <w:rPr>
          <w:rStyle w:val="53"/>
          <w:b w:val="1"/>
          <w:color w:val="auto"/>
          <w:bCs/>
          <w:rFonts w:ascii="Times New Roman" w:hAnsi="Times New Roman" w:cs="Times New Roman"/>
        </w:rPr>
        <w:t>社会效益指标方面：</w:t>
      </w:r>
    </w:p>
    <w:p>
      <w:pPr>
        <w:pStyle w:val="19"/>
        <w:pageBreakBefore w:val="0"/>
        <w:wordWrap w:val="1"/>
        <w:overflowPunct w:val="1"/>
        <w:topLinePunct w:val="0"/>
        <w:kinsoku w:val="1"/>
        <w:bidi w:val="0"/>
        <w:snapToGrid w:val="1"/>
        <w:jc w:val="left"/>
        <w:numPr>
          <w:ilvl w:val="0"/>
          <w:numId w:val="0"/>
        </w:numPr>
        <w:spacing w:line="560" w:lineRule="exact"/>
        <w:ind w:firstLine="640" w:firstLineChars="200"/>
        <w:rPr>
          <w:b w:val="0"/>
          <w:color w:val="auto"/>
          <w:sz w:val="32"/>
          <w:lang w:val="en-US" w:eastAsia="zh-CN" w:bidi="ar-SA"/>
          <w:bCs w:val="0"/>
          <w:kern w:val="2"/>
          <w:szCs w:val="32"/>
          <w:rFonts w:ascii="仿宋_GB2312" w:hAnsi="仿宋_GB2312" w:eastAsia="仿宋_GB2312" w:cs="仿宋_GB2312" w:hint="eastAsia"/>
        </w:rPr>
      </w:pPr>
      <w:r>
        <w:rPr>
          <w:b w:val="0"/>
          <w:color w:val="auto"/>
          <w:sz w:val="32"/>
          <w:lang w:val="en-US" w:eastAsia="zh-CN" w:bidi="ar-SA"/>
          <w:bCs w:val="0"/>
          <w:kern w:val="2"/>
          <w:szCs w:val="32"/>
          <w:rFonts w:ascii="仿宋_GB2312" w:hAnsi="仿宋_GB2312" w:eastAsia="仿宋_GB2312" w:cs="仿宋_GB2312" w:hint="eastAsia"/>
        </w:rPr>
        <w:t>1.提升畜牧业综合生产能力指标，指标值为有效提升，实际完成有效提升，完成率100%，偏差率0%。</w:t>
      </w:r>
    </w:p>
    <w:p>
      <w:pPr>
        <w:pStyle w:val="19"/>
        <w:pageBreakBefore w:val="0"/>
        <w:wordWrap w:val="1"/>
        <w:overflowPunct w:val="1"/>
        <w:topLinePunct w:val="0"/>
        <w:kinsoku w:val="1"/>
        <w:bidi w:val="0"/>
        <w:snapToGrid w:val="1"/>
        <w:jc w:val="left"/>
        <w:numPr>
          <w:ilvl w:val="0"/>
          <w:numId w:val="0"/>
        </w:numPr>
        <w:spacing w:line="560" w:lineRule="exact"/>
        <w:ind w:firstLine="640" w:firstLineChars="200"/>
        <w:rPr>
          <w:color w:val="auto"/>
          <w:rFonts w:ascii="Times New Roman" w:hAnsi="Times New Roman"/>
        </w:rPr>
      </w:pPr>
      <w:r>
        <w:rPr>
          <w:b w:val="0"/>
          <w:color w:val="auto"/>
          <w:sz w:val="32"/>
          <w:lang w:val="en-US" w:eastAsia="zh-CN" w:bidi="ar-SA"/>
          <w:bCs w:val="0"/>
          <w:kern w:val="2"/>
          <w:szCs w:val="32"/>
          <w:rFonts w:ascii="仿宋_GB2312" w:hAnsi="仿宋_GB2312" w:eastAsia="仿宋_GB2312" w:cs="仿宋_GB2312" w:hint="eastAsia"/>
        </w:rPr>
        <w:t>2.畜牧产业提升农牧民经济收入水平指标，指标值为有效提升，实际完成有效提升，完成率100%，偏差率0%。</w:t>
      </w:r>
    </w:p>
    <w:p>
      <w:pPr>
        <w:pageBreakBefore w:val="0"/>
        <w:wordWrap w:val="1"/>
        <w:overflowPunct w:val="1"/>
        <w:topLinePunct w:val="0"/>
        <w:kinsoku w:val="1"/>
        <w:bidi w:val="0"/>
        <w:snapToGrid w:val="1"/>
        <w:spacing w:line="560" w:lineRule="exact"/>
        <w:ind w:firstLine="643" w:firstLineChars="200"/>
        <w:rPr>
          <w:rStyle w:val="53"/>
          <w:b w:val="1"/>
          <w:color w:val="auto"/>
          <w:bCs/>
          <w:rFonts w:ascii="Times New Roman" w:hAnsi="Times New Roman" w:cs="Times New Roman"/>
        </w:rPr>
      </w:pPr>
      <w:r>
        <w:rPr>
          <w:rStyle w:val="53"/>
          <w:b w:val="1"/>
          <w:color w:val="auto"/>
          <w:lang w:eastAsia="zh-CN"/>
          <w:bCs/>
          <w:rFonts w:eastAsia="仿宋_GB2312" w:cs="Times New Roman" w:hint="eastAsia"/>
        </w:rPr>
        <w:t>生态效益</w:t>
      </w:r>
      <w:r>
        <w:rPr>
          <w:rStyle w:val="53"/>
          <w:b w:val="1"/>
          <w:color w:val="auto"/>
          <w:bCs/>
          <w:rFonts w:ascii="Times New Roman" w:hAnsi="Times New Roman" w:cs="Times New Roman"/>
        </w:rPr>
        <w:t>指标方面：</w:t>
      </w:r>
    </w:p>
    <w:p>
      <w:pPr>
        <w:pStyle w:val="19"/>
        <w:pageBreakBefore w:val="0"/>
        <w:wordWrap w:val="1"/>
        <w:overflowPunct w:val="1"/>
        <w:topLinePunct w:val="0"/>
        <w:kinsoku w:val="1"/>
        <w:bidi w:val="0"/>
        <w:snapToGrid w:val="1"/>
        <w:jc w:val="left"/>
        <w:numPr>
          <w:ilvl w:val="0"/>
          <w:numId w:val="0"/>
        </w:numPr>
        <w:spacing w:line="560" w:lineRule="exact"/>
        <w:ind w:firstLine="640" w:firstLineChars="200"/>
        <w:rPr>
          <w:color w:val="auto"/>
          <w:rFonts w:ascii="Times New Roman" w:hAnsi="Times New Roman"/>
        </w:rPr>
      </w:pPr>
      <w:r>
        <w:rPr>
          <w:b w:val="0"/>
          <w:color w:val="auto"/>
          <w:sz w:val="32"/>
          <w:lang w:val="en-US" w:eastAsia="zh-CN" w:bidi="ar-SA"/>
          <w:bCs w:val="0"/>
          <w:kern w:val="2"/>
          <w:szCs w:val="32"/>
          <w:rFonts w:ascii="仿宋_GB2312" w:hAnsi="仿宋_GB2312" w:eastAsia="仿宋_GB2312" w:cs="仿宋_GB2312" w:hint="eastAsia"/>
        </w:rPr>
        <w:t>规模养殖场粪污处理对当地环境影响减少指标，指标值为有效减少，实际完成有效减少，完成率100%，偏差率0%。</w:t>
      </w:r>
    </w:p>
    <w:p>
      <w:pPr>
        <w:pageBreakBefore w:val="0"/>
        <w:wordWrap w:val="1"/>
        <w:overflowPunct w:val="1"/>
        <w:topLinePunct w:val="0"/>
        <w:kinsoku w:val="1"/>
        <w:bidi w:val="0"/>
        <w:snapToGrid w:val="1"/>
        <w:spacing w:line="560" w:lineRule="exact"/>
        <w:ind w:firstLine="643" w:firstLineChars="200"/>
        <w:rPr>
          <w:rStyle w:val="53"/>
          <w:b w:val="1"/>
          <w:color w:val="auto"/>
          <w:bCs/>
          <w:rFonts w:ascii="Times New Roman" w:hAnsi="Times New Roman" w:cs="Times New Roman"/>
        </w:rPr>
      </w:pPr>
      <w:r>
        <w:rPr>
          <w:rStyle w:val="53"/>
          <w:b w:val="1"/>
          <w:color w:val="auto"/>
          <w:bCs/>
          <w:rFonts w:ascii="Times New Roman" w:hAnsi="Times New Roman" w:cs="Times New Roman"/>
        </w:rPr>
        <w:t>满意度指标方面：</w:t>
      </w:r>
    </w:p>
    <w:p>
      <w:pPr>
        <w:pStyle w:val="19"/>
        <w:pageBreakBefore w:val="0"/>
        <w:wordWrap w:val="1"/>
        <w:overflowPunct w:val="1"/>
        <w:topLinePunct w:val="0"/>
        <w:kinsoku w:val="1"/>
        <w:bidi w:val="0"/>
        <w:snapToGrid w:val="1"/>
        <w:jc w:val="left"/>
        <w:numPr>
          <w:ilvl w:val="0"/>
          <w:numId w:val="0"/>
        </w:numPr>
        <w:spacing w:line="560" w:lineRule="exact"/>
        <w:ind w:firstLine="640" w:firstLineChars="200"/>
        <w:rPr>
          <w:color w:val="auto"/>
        </w:rPr>
      </w:pPr>
      <w:r>
        <w:rPr>
          <w:b w:val="0"/>
          <w:color w:val="auto"/>
          <w:sz w:val="32"/>
          <w:lang w:val="en-US" w:eastAsia="zh-CN" w:bidi="ar-SA"/>
          <w:bCs w:val="0"/>
          <w:kern w:val="2"/>
          <w:szCs w:val="32"/>
          <w:rFonts w:ascii="仿宋_GB2312" w:hAnsi="仿宋_GB2312" w:eastAsia="仿宋_GB2312" w:cs="仿宋_GB2312" w:hint="eastAsia"/>
        </w:rPr>
        <w:t>农牧民满意度指标，指标值为≥85%，实际完成85%，完成率100%，偏差率0%。</w:t>
      </w:r>
    </w:p>
    <w:p>
      <w:pPr>
        <w:pageBreakBefore w:val="0"/>
        <w:wordWrap w:val="1"/>
        <w:overflowPunct w:val="1"/>
        <w:topLinePunct w:val="0"/>
        <w:kinsoku w:val="1"/>
        <w:bidi w:val="0"/>
        <w:snapToGrid w:val="1"/>
        <w:spacing w:line="560" w:lineRule="exact"/>
        <w:ind w:firstLine="640" w:firstLineChars="200"/>
        <w:rPr>
          <w:rStyle w:val="53"/>
          <w:color w:val="auto"/>
          <w:rFonts w:ascii="Times New Roman" w:hAnsi="Times New Roman" w:cs="Times New Roman"/>
        </w:rPr>
      </w:pPr>
      <w:r>
        <w:rPr>
          <w:color w:val="auto"/>
          <w:sz w:val="32"/>
          <w:szCs w:val="32"/>
          <w:rFonts w:eastAsia="黑体"/>
        </w:rPr>
        <w:t>五、主要经验及做法、存在的问题及原因分析</w:t>
      </w:r>
    </w:p>
    <w:p>
      <w:pPr>
        <w:pageBreakBefore w:val="0"/>
        <w:wordWrap w:val="1"/>
        <w:overflowPunct w:val="1"/>
        <w:topLinePunct w:val="0"/>
        <w:kinsoku w:val="1"/>
        <w:bidi w:val="0"/>
        <w:snapToGrid w:val="1"/>
        <w:spacing w:line="560" w:lineRule="exact"/>
        <w:ind w:firstLine="627" w:firstLineChars="200"/>
        <w:rPr>
          <w:b w:val="1"/>
          <w:color w:val="auto"/>
          <w:spacing w:val="-4"/>
          <w:sz w:val="32"/>
          <w:szCs w:val="32"/>
          <w:rFonts w:eastAsia="楷体"/>
        </w:rPr>
      </w:pPr>
      <w:r>
        <w:rPr>
          <w:b w:val="1"/>
          <w:color w:val="auto"/>
          <w:spacing w:val="-4"/>
          <w:sz w:val="32"/>
          <w:szCs w:val="32"/>
          <w:rFonts w:eastAsia="楷体"/>
        </w:rPr>
        <w:t>（一）主要经验及做法</w:t>
      </w:r>
    </w:p>
    <w:p>
      <w:pPr>
        <w:pageBreakBefore w:val="0"/>
        <w:wordWrap w:val="1"/>
        <w:overflowPunct w:val="1"/>
        <w:topLinePunct w:val="0"/>
        <w:kinsoku w:val="1"/>
        <w:bidi w:val="0"/>
        <w:snapToGrid w:val="1"/>
        <w:spacing w:line="560" w:lineRule="exact"/>
        <w:ind w:firstLine="640" w:firstLineChars="200"/>
        <w:rPr>
          <w:color w:val="auto"/>
          <w:sz w:val="32"/>
          <w:szCs w:val="32"/>
          <w:rFonts w:eastAsia="仿宋_GB2312"/>
        </w:rPr>
      </w:pPr>
      <w:r>
        <w:rPr>
          <w:color w:val="auto"/>
          <w:sz w:val="32"/>
          <w:szCs w:val="32"/>
          <w:rFonts w:eastAsia="仿宋_GB2312"/>
        </w:rPr>
        <w:t>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受益群众民意调查及项目防范工作。</w:t>
      </w:r>
    </w:p>
    <w:p>
      <w:pPr>
        <w:pStyle w:val="19"/>
        <w:pageBreakBefore w:val="0"/>
        <w:wordWrap w:val="1"/>
        <w:overflowPunct w:val="1"/>
        <w:topLinePunct w:val="0"/>
        <w:kinsoku w:val="1"/>
        <w:bidi w:val="0"/>
        <w:snapToGrid w:val="1"/>
        <w:jc w:val="both"/>
        <w:spacing w:after="0" w:before="0" w:line="560" w:lineRule="exact"/>
        <w:ind w:firstLine="640" w:firstLineChars="200"/>
        <w:rPr>
          <w:b w:val="0"/>
          <w:color w:val="auto"/>
          <w:bCs w:val="0"/>
          <w:kern w:val="2"/>
          <w:rFonts w:ascii="Times New Roman" w:hAnsi="Times New Roman" w:eastAsia="仿宋_GB2312"/>
        </w:rPr>
      </w:pPr>
      <w:r>
        <w:rPr>
          <w:b w:val="0"/>
          <w:color w:val="auto"/>
          <w:bCs w:val="0"/>
          <w:kern w:val="2"/>
          <w:rFonts w:ascii="Times New Roman" w:hAnsi="Times New Roman" w:eastAsia="仿宋_GB2312"/>
        </w:rPr>
        <w:t>严格坚持先做事、后验收、再拨付的原则，基本杜绝了资金被挤占和挪用现象的发生，跟踪检查到位。财政、纪检、监察等职能部门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w:t>
      </w:r>
    </w:p>
    <w:p>
      <w:pPr>
        <w:keepNext w:val="1"/>
        <w:keepLines w:val="1"/>
        <w:pageBreakBefore w:val="0"/>
        <w:wordWrap w:val="1"/>
        <w:overflowPunct w:val="1"/>
        <w:topLinePunct w:val="0"/>
        <w:kinsoku w:val="1"/>
        <w:bidi w:val="0"/>
        <w:snapToGrid w:val="1"/>
        <w:numPr>
          <w:ilvl w:val="0"/>
          <w:numId w:val="7"/>
        </w:numPr>
        <w:spacing w:line="560" w:lineRule="exact"/>
        <w:ind w:firstLine="643" w:firstLineChars="200"/>
        <w:rPr>
          <w:b w:val="1"/>
          <w:color w:val="auto"/>
          <w:sz w:val="32"/>
          <w:bCs/>
          <w:szCs w:val="32"/>
          <w:rFonts w:eastAsia="楷体_GB2312"/>
        </w:rPr>
      </w:pPr>
      <w:r>
        <w:rPr>
          <w:b w:val="1"/>
          <w:color w:val="auto"/>
          <w:sz w:val="32"/>
          <w:bCs/>
          <w:szCs w:val="32"/>
          <w:rFonts w:eastAsia="楷体_GB2312"/>
        </w:rPr>
        <w:t>存在的问题及原因分析</w:t>
      </w:r>
    </w:p>
    <w:p>
      <w:pPr>
        <w:pageBreakBefore w:val="0"/>
        <w:wordWrap w:val="1"/>
        <w:overflowPunct w:val="1"/>
        <w:topLinePunct w:val="0"/>
        <w:kinsoku w:val="1"/>
        <w:bidi w:val="0"/>
        <w:snapToGrid w:val="1"/>
        <w:numPr>
          <w:ilvl w:val="0"/>
          <w:numId w:val="0"/>
        </w:numPr>
        <w:spacing w:line="560" w:lineRule="exact"/>
        <w:ind w:firstLine="640" w:firstLineChars="200"/>
        <w:rPr>
          <w:b w:val="0"/>
          <w:color w:val="auto"/>
          <w:sz w:val="32"/>
          <w:lang w:val="en-US" w:eastAsia="zh-CN" w:bidi="ar-SA"/>
          <w:bCs w:val="0"/>
          <w:kern w:val="2"/>
          <w:szCs w:val="32"/>
          <w:rFonts w:eastAsia="仿宋_GB2312" w:cs="Times New Roman" w:hint="eastAsia"/>
        </w:rPr>
      </w:pPr>
      <w:r>
        <w:rPr>
          <w:b w:val="0"/>
          <w:color w:val="auto"/>
          <w:sz w:val="32"/>
          <w:lang w:val="en-US" w:eastAsia="zh-CN" w:bidi="ar-SA"/>
          <w:bCs w:val="0"/>
          <w:kern w:val="2"/>
          <w:szCs w:val="32"/>
          <w:rFonts w:eastAsia="仿宋_GB2312" w:cs="Times New Roman" w:hint="eastAsia"/>
        </w:rPr>
        <w:t>1.项目管理和项目执行水平有待进一步加强，项目实施单位与科研院所技术体系交流、合作力度仍然不够。</w:t>
      </w:r>
    </w:p>
    <w:p>
      <w:pPr>
        <w:pageBreakBefore w:val="0"/>
        <w:wordWrap w:val="1"/>
        <w:overflowPunct w:val="1"/>
        <w:topLinePunct w:val="0"/>
        <w:kinsoku w:val="1"/>
        <w:bidi w:val="0"/>
        <w:snapToGrid w:val="1"/>
        <w:numPr>
          <w:ilvl w:val="0"/>
          <w:numId w:val="0"/>
        </w:numPr>
        <w:spacing w:line="560" w:lineRule="exact"/>
        <w:ind w:firstLine="640" w:firstLineChars="200"/>
        <w:rPr>
          <w:color w:val="auto"/>
          <w:spacing w:val="-4"/>
          <w:sz w:val="32"/>
          <w:szCs w:val="32"/>
          <w:rFonts w:eastAsia="仿宋_GB2312"/>
        </w:rPr>
      </w:pPr>
      <w:r>
        <w:rPr>
          <w:b w:val="0"/>
          <w:color w:val="auto"/>
          <w:sz w:val="32"/>
          <w:lang w:val="en-US" w:eastAsia="zh-CN" w:bidi="ar-SA"/>
          <w:bCs w:val="0"/>
          <w:kern w:val="2"/>
          <w:szCs w:val="32"/>
          <w:rFonts w:eastAsia="仿宋_GB2312" w:cs="Times New Roman" w:hint="eastAsia"/>
        </w:rPr>
        <w:t>2.</w:t>
      </w:r>
      <w:r>
        <w:rPr>
          <w:b w:val="0"/>
          <w:color w:val="auto"/>
          <w:sz w:val="32"/>
          <w:lang w:val="en-US" w:eastAsia="zh-CN" w:bidi="ar-SA"/>
          <w:bCs w:val="0"/>
          <w:kern w:val="2"/>
          <w:szCs w:val="32"/>
          <w:rFonts w:ascii="Times New Roman" w:hAnsi="Times New Roman" w:eastAsia="仿宋_GB2312" w:cs="Times New Roman"/>
        </w:rPr>
        <w:t>当前</w:t>
      </w:r>
      <w:r>
        <w:rPr>
          <w:color w:val="auto"/>
          <w:spacing w:val="-4"/>
          <w:sz w:val="32"/>
          <w:szCs w:val="32"/>
          <w:rFonts w:eastAsia="仿宋_GB2312"/>
        </w:rPr>
        <w:t>我区饲草产业发展整体上还处于起步阶段，发展基础不稳固。</w:t>
      </w:r>
      <w:r>
        <w:rPr>
          <w:color w:val="auto"/>
          <w:spacing w:val="-4"/>
          <w:sz w:val="32"/>
          <w:szCs w:val="32"/>
          <w:rFonts w:eastAsia="仿宋_GB2312" w:hint="eastAsia"/>
        </w:rPr>
        <w:t>全区</w:t>
      </w:r>
      <w:r>
        <w:rPr>
          <w:color w:val="auto"/>
          <w:spacing w:val="-4"/>
          <w:sz w:val="32"/>
          <w:szCs w:val="32"/>
          <w:rFonts w:eastAsia="仿宋_GB2312"/>
        </w:rPr>
        <w:t>优质饲草占比低；南北疆饲草供给区域间不平衡，北草南调成本高；饲草品种主要以国外为主，本地饲草品种应用转化率低；饲草产业相关配套技术仍不完善，机械设备短缺不配套；饲草产品的加工转化率和商品率不高；饲草产业的专业化</w:t>
      </w:r>
      <w:r>
        <w:rPr>
          <w:color w:val="auto"/>
          <w:spacing w:val="-4"/>
          <w:sz w:val="32"/>
          <w:szCs w:val="32"/>
          <w:rFonts w:eastAsia="仿宋_GB2312" w:hint="eastAsia"/>
        </w:rPr>
        <w:t>、</w:t>
      </w:r>
      <w:r>
        <w:rPr>
          <w:color w:val="auto"/>
          <w:spacing w:val="-4"/>
          <w:sz w:val="32"/>
          <w:szCs w:val="32"/>
          <w:rFonts w:eastAsia="仿宋_GB2312"/>
        </w:rPr>
        <w:t>产业化程度仍然较低。</w:t>
      </w:r>
    </w:p>
    <w:p>
      <w:pPr>
        <w:pageBreakBefore w:val="0"/>
        <w:wordWrap w:val="1"/>
        <w:overflowPunct w:val="1"/>
        <w:topLinePunct w:val="0"/>
        <w:kinsoku w:val="1"/>
        <w:bidi w:val="0"/>
        <w:snapToGrid w:val="1"/>
        <w:numPr>
          <w:ilvl w:val="0"/>
          <w:numId w:val="0"/>
        </w:numPr>
        <w:spacing w:line="560" w:lineRule="exact"/>
        <w:ind w:firstLine="640" w:firstLineChars="200"/>
        <w:rPr>
          <w:b w:val="0"/>
          <w:color w:val="auto"/>
          <w:sz w:val="32"/>
          <w:bCs w:val="0"/>
          <w:szCs w:val="32"/>
          <w:rFonts w:ascii="Times New Roman" w:hAnsi="Times New Roman" w:eastAsia="仿宋_GB2312" w:cs="Times New Roman" w:hint="default"/>
        </w:rPr>
      </w:pPr>
      <w:r>
        <w:rPr>
          <w:b w:val="0"/>
          <w:color w:val="auto"/>
          <w:sz w:val="32"/>
          <w:lang w:val="en-US" w:eastAsia="zh-CN" w:bidi="ar-SA"/>
          <w:bCs w:val="0"/>
          <w:kern w:val="2"/>
          <w:szCs w:val="32"/>
          <w:rFonts w:eastAsia="仿宋_GB2312" w:cs="Times New Roman" w:hint="eastAsia"/>
        </w:rPr>
        <w:t>3</w:t>
      </w:r>
      <w:r>
        <w:rPr>
          <w:b w:val="0"/>
          <w:color w:val="auto"/>
          <w:sz w:val="32"/>
          <w:lang w:val="en-US" w:eastAsia="zh-CN" w:bidi="ar-SA"/>
          <w:bCs w:val="0"/>
          <w:kern w:val="2"/>
          <w:szCs w:val="32"/>
          <w:rFonts w:ascii="Times New Roman" w:hAnsi="Times New Roman" w:eastAsia="仿宋_GB2312" w:cs="Times New Roman" w:hint="eastAsia"/>
        </w:rPr>
        <w:t>.</w:t>
      </w:r>
      <w:r>
        <w:rPr>
          <w:b w:val="0"/>
          <w:color w:val="auto"/>
          <w:sz w:val="32"/>
          <w:lang w:val="en-US" w:eastAsia="zh-CN" w:bidi="ar-SA"/>
          <w:bCs w:val="0"/>
          <w:kern w:val="2"/>
          <w:szCs w:val="32"/>
          <w:rFonts w:ascii="Times New Roman" w:hAnsi="Times New Roman" w:eastAsia="仿宋_GB2312" w:cs="Times New Roman" w:hint="default"/>
        </w:rPr>
        <w:t>大部分</w:t>
      </w:r>
      <w:r>
        <w:rPr>
          <w:color w:val="auto"/>
          <w:sz w:val="32"/>
          <w:szCs w:val="32"/>
          <w:rFonts w:ascii="Times New Roman" w:hAnsi="Times New Roman" w:eastAsia="仿宋_GB2312" w:cs="Times New Roman" w:hint="default"/>
        </w:rPr>
        <w:t>保种场（区）技术人才</w:t>
      </w:r>
      <w:r>
        <w:rPr>
          <w:color w:val="auto"/>
          <w:sz w:val="32"/>
          <w:lang w:val="en-US" w:eastAsia="zh-CN"/>
          <w:szCs w:val="32"/>
          <w:rFonts w:ascii="Times New Roman" w:hAnsi="Times New Roman" w:eastAsia="仿宋_GB2312" w:cs="Times New Roman" w:hint="eastAsia"/>
        </w:rPr>
        <w:t>队伍</w:t>
      </w:r>
      <w:r>
        <w:rPr>
          <w:color w:val="auto"/>
          <w:sz w:val="32"/>
          <w:szCs w:val="32"/>
          <w:rFonts w:ascii="Times New Roman" w:hAnsi="Times New Roman" w:eastAsia="仿宋_GB2312" w:cs="Times New Roman" w:hint="default"/>
        </w:rPr>
        <w:t>不稳定，专业技术</w:t>
      </w:r>
      <w:r>
        <w:rPr>
          <w:color w:val="auto"/>
          <w:spacing w:val="-4"/>
          <w:sz w:val="32"/>
          <w:szCs w:val="32"/>
          <w:rFonts w:ascii="Times New Roman" w:hAnsi="Times New Roman" w:eastAsia="仿宋_GB2312" w:cs="Times New Roman" w:hint="default"/>
        </w:rPr>
        <w:t>人员</w:t>
      </w:r>
      <w:r>
        <w:rPr>
          <w:color w:val="auto"/>
          <w:sz w:val="32"/>
          <w:szCs w:val="32"/>
          <w:rFonts w:ascii="Times New Roman" w:hAnsi="Times New Roman" w:eastAsia="仿宋_GB2312" w:cs="Times New Roman" w:hint="default"/>
        </w:rPr>
        <w:t>培养力度不足</w:t>
      </w:r>
      <w:r>
        <w:rPr>
          <w:color w:val="auto"/>
          <w:sz w:val="32"/>
          <w:lang w:eastAsia="zh-CN"/>
          <w:szCs w:val="32"/>
          <w:rFonts w:ascii="Times New Roman" w:hAnsi="Times New Roman" w:eastAsia="仿宋_GB2312" w:cs="Times New Roman" w:hint="eastAsia"/>
        </w:rPr>
        <w:t>，</w:t>
      </w:r>
      <w:r>
        <w:rPr>
          <w:color w:val="auto"/>
          <w:sz w:val="32"/>
          <w:lang w:val="en-US" w:eastAsia="zh-CN"/>
          <w:szCs w:val="32"/>
          <w:rFonts w:ascii="Times New Roman" w:hAnsi="Times New Roman" w:eastAsia="仿宋_GB2312" w:cs="Times New Roman" w:hint="eastAsia"/>
        </w:rPr>
        <w:t>撰写的</w:t>
      </w:r>
      <w:r>
        <w:rPr>
          <w:color w:val="auto"/>
          <w:sz w:val="32"/>
          <w:szCs w:val="32"/>
          <w:rFonts w:ascii="Times New Roman" w:hAnsi="Times New Roman" w:eastAsia="仿宋_GB2312" w:cs="Times New Roman" w:hint="default"/>
        </w:rPr>
        <w:t>年度保种工作方案、年度工作总结</w:t>
      </w:r>
      <w:r>
        <w:rPr>
          <w:color w:val="auto"/>
          <w:sz w:val="32"/>
          <w:lang w:val="en-US" w:eastAsia="zh-CN"/>
          <w:szCs w:val="32"/>
          <w:rFonts w:ascii="Times New Roman" w:hAnsi="Times New Roman" w:eastAsia="仿宋_GB2312" w:cs="Times New Roman" w:hint="eastAsia"/>
        </w:rPr>
        <w:t>质</w:t>
      </w:r>
      <w:r>
        <w:rPr>
          <w:b w:val="0"/>
          <w:color w:val="auto"/>
          <w:sz w:val="32"/>
          <w:lang w:val="en-US" w:eastAsia="zh-CN"/>
          <w:bCs w:val="0"/>
          <w:szCs w:val="32"/>
          <w:rFonts w:ascii="Times New Roman" w:hAnsi="Times New Roman" w:eastAsia="仿宋_GB2312" w:cs="Times New Roman" w:hint="eastAsia"/>
        </w:rPr>
        <w:t>量不高</w:t>
      </w:r>
      <w:r>
        <w:rPr>
          <w:b w:val="0"/>
          <w:color w:val="auto"/>
          <w:sz w:val="32"/>
          <w:bCs w:val="0"/>
          <w:szCs w:val="32"/>
          <w:rFonts w:ascii="Times New Roman" w:hAnsi="Times New Roman" w:eastAsia="仿宋_GB2312" w:cs="Times New Roman" w:hint="default"/>
        </w:rPr>
        <w:t>。部分保种场（区）保种档案资料不完善，缺乏有效的保种档案管理制度。</w:t>
      </w:r>
    </w:p>
    <w:p>
      <w:pPr>
        <w:pageBreakBefore w:val="0"/>
        <w:wordWrap w:val="1"/>
        <w:overflowPunct w:val="1"/>
        <w:topLinePunct w:val="0"/>
        <w:kinsoku w:val="1"/>
        <w:autoSpaceDE w:val="1"/>
        <w:autoSpaceDN w:val="1"/>
        <w:bidi w:val="0"/>
        <w:adjustRightInd w:val="1"/>
        <w:snapToGrid w:val="1"/>
        <w:spacing w:line="560" w:lineRule="exact"/>
        <w:ind w:firstLine="640" w:firstLineChars="200"/>
        <w:rPr>
          <w:b w:val="0"/>
          <w:color w:val="auto"/>
          <w:sz w:val="32"/>
          <w:lang w:eastAsia="zh-CN"/>
          <w:bCs w:val="0"/>
          <w:kern w:val="0"/>
          <w:szCs w:val="32"/>
          <w:rFonts w:eastAsia="仿宋_GB2312" w:hint="eastAsia"/>
        </w:rPr>
      </w:pPr>
      <w:r>
        <w:rPr>
          <w:b w:val="0"/>
          <w:color w:val="auto"/>
          <w:sz w:val="32"/>
          <w:lang w:val="en-US" w:eastAsia="zh-CN"/>
          <w:bCs w:val="0"/>
          <w:kern w:val="0"/>
          <w:szCs w:val="32"/>
          <w:rFonts w:eastAsia="仿宋_GB2312" w:hint="eastAsia"/>
        </w:rPr>
        <w:t>4</w:t>
      </w:r>
      <w:r>
        <w:rPr>
          <w:b w:val="0"/>
          <w:color w:val="auto"/>
          <w:sz w:val="32"/>
          <w:bCs w:val="0"/>
          <w:kern w:val="0"/>
          <w:szCs w:val="32"/>
          <w:rFonts w:eastAsia="仿宋_GB2312" w:hint="eastAsia"/>
        </w:rPr>
        <w:t>.</w:t>
      </w:r>
      <w:r>
        <w:rPr>
          <w:b w:val="0"/>
          <w:color w:val="auto"/>
          <w:sz w:val="32"/>
          <w:lang w:val="en-US" w:eastAsia="zh-CN"/>
          <w:bCs w:val="0"/>
          <w:kern w:val="0"/>
          <w:szCs w:val="32"/>
          <w:rFonts w:eastAsia="仿宋_GB2312" w:hint="eastAsia"/>
        </w:rPr>
        <w:t>核心群</w:t>
      </w:r>
      <w:r>
        <w:rPr>
          <w:b w:val="0"/>
          <w:color w:val="auto"/>
          <w:sz w:val="32"/>
          <w:bCs w:val="0"/>
          <w:kern w:val="0"/>
          <w:szCs w:val="32"/>
          <w:rFonts w:eastAsia="仿宋_GB2312"/>
        </w:rPr>
        <w:t>系谱档案不全</w:t>
      </w:r>
      <w:r>
        <w:rPr>
          <w:b w:val="0"/>
          <w:color w:val="auto"/>
          <w:sz w:val="32"/>
          <w:bCs w:val="0"/>
          <w:kern w:val="0"/>
          <w:szCs w:val="32"/>
          <w:rFonts w:eastAsia="仿宋_GB2312" w:hint="eastAsia"/>
        </w:rPr>
        <w:t>。</w:t>
      </w:r>
      <w:r>
        <w:rPr>
          <w:b w:val="0"/>
          <w:color w:val="auto"/>
          <w:sz w:val="32"/>
          <w:bCs w:val="0"/>
          <w:kern w:val="0"/>
          <w:szCs w:val="32"/>
          <w:rFonts w:eastAsia="仿宋_GB2312"/>
        </w:rPr>
        <w:t>生长发育记录（体尺、体重）、</w:t>
      </w:r>
      <w:r>
        <w:rPr>
          <w:b w:val="0"/>
          <w:color w:val="auto"/>
          <w:sz w:val="32"/>
          <w:lang w:val="en-US" w:eastAsia="zh-CN"/>
          <w:bCs w:val="0"/>
          <w:kern w:val="0"/>
          <w:szCs w:val="32"/>
          <w:rFonts w:eastAsia="仿宋_GB2312" w:hint="eastAsia"/>
        </w:rPr>
        <w:t>生产性能鉴定</w:t>
      </w:r>
      <w:r>
        <w:rPr>
          <w:b w:val="0"/>
          <w:color w:val="auto"/>
          <w:sz w:val="32"/>
          <w:bCs w:val="0"/>
          <w:kern w:val="0"/>
          <w:szCs w:val="32"/>
          <w:rFonts w:eastAsia="仿宋_GB2312"/>
        </w:rPr>
        <w:t>记录不完善，利用效率低下，缺乏相应的设备、技术、专业技术人才，严重阻碍了新疆</w:t>
      </w:r>
      <w:r>
        <w:rPr>
          <w:b w:val="0"/>
          <w:color w:val="auto"/>
          <w:sz w:val="32"/>
          <w:lang w:val="en-US" w:eastAsia="zh-CN"/>
          <w:bCs w:val="0"/>
          <w:kern w:val="0"/>
          <w:szCs w:val="32"/>
          <w:rFonts w:eastAsia="仿宋_GB2312" w:hint="eastAsia"/>
        </w:rPr>
        <w:t>肉毛兼用绒毛用羊</w:t>
      </w:r>
      <w:r>
        <w:rPr>
          <w:b w:val="0"/>
          <w:color w:val="auto"/>
          <w:sz w:val="32"/>
          <w:bCs w:val="0"/>
          <w:kern w:val="0"/>
          <w:szCs w:val="32"/>
          <w:rFonts w:eastAsia="仿宋_GB2312"/>
        </w:rPr>
        <w:t>育种工作的开展。</w:t>
      </w:r>
      <w:r>
        <w:rPr>
          <w:b w:val="0"/>
          <w:color w:val="auto"/>
          <w:sz w:val="32"/>
          <w:lang w:eastAsia="zh-CN"/>
          <w:bCs w:val="0"/>
          <w:kern w:val="0"/>
          <w:szCs w:val="32"/>
          <w:rFonts w:eastAsia="仿宋_GB2312" w:hint="eastAsia"/>
        </w:rPr>
        <w:t>原因是因为对育种没有足够的重视，对育种目标不明确。</w:t>
      </w:r>
    </w:p>
    <w:p>
      <w:pPr>
        <w:pageBreakBefore w:val="0"/>
        <w:wordWrap w:val="1"/>
        <w:overflowPunct w:val="1"/>
        <w:topLinePunct w:val="0"/>
        <w:kinsoku w:val="1"/>
        <w:autoSpaceDE w:val="1"/>
        <w:autoSpaceDN w:val="1"/>
        <w:bidi w:val="0"/>
        <w:adjustRightInd w:val="1"/>
        <w:snapToGrid w:val="1"/>
        <w:spacing w:line="560" w:lineRule="exact"/>
        <w:ind w:firstLine="640" w:firstLineChars="200"/>
        <w:rPr>
          <w:b w:val="0"/>
          <w:color w:val="auto"/>
          <w:sz w:val="32"/>
          <w:lang w:val="en-US" w:eastAsia="zh-CN" w:bidi="ar-SA"/>
          <w:bCs w:val="0"/>
          <w:kern w:val="0"/>
          <w:szCs w:val="32"/>
          <w:rFonts w:ascii="Times New Roman" w:hAnsi="Times New Roman" w:eastAsia="仿宋_GB2312" w:cs="Times New Roman" w:hint="eastAsia"/>
        </w:rPr>
      </w:pPr>
      <w:r>
        <w:rPr>
          <w:b w:val="0"/>
          <w:color w:val="auto"/>
          <w:sz w:val="32"/>
          <w:lang w:val="en-US" w:eastAsia="zh-CN"/>
          <w:bCs w:val="0"/>
          <w:kern w:val="0"/>
          <w:szCs w:val="32"/>
          <w:rFonts w:eastAsia="仿宋_GB2312" w:hint="eastAsia"/>
        </w:rPr>
        <w:t>5.</w:t>
      </w:r>
      <w:r>
        <w:rPr>
          <w:b w:val="0"/>
          <w:color w:val="auto"/>
          <w:sz w:val="32"/>
          <w:bCs w:val="0"/>
          <w:kern w:val="0"/>
          <w:szCs w:val="32"/>
          <w:rFonts w:eastAsia="仿宋_GB2312" w:hint="eastAsia"/>
        </w:rPr>
        <w:t>营养调控不精准。</w:t>
      </w:r>
      <w:r>
        <w:rPr>
          <w:b w:val="0"/>
          <w:color w:val="auto"/>
          <w:sz w:val="32"/>
          <w:lang w:val="en-US" w:eastAsia="zh-CN" w:bidi="ar-SA"/>
          <w:bCs w:val="0"/>
          <w:kern w:val="0"/>
          <w:szCs w:val="32"/>
          <w:rFonts w:ascii="Times New Roman" w:hAnsi="Times New Roman" w:eastAsia="仿宋_GB2312" w:cs="Times New Roman" w:hint="eastAsia"/>
        </w:rPr>
        <w:t>一是部分生产区饲草浪费严重、饲料加工调制水平低，饲料利用效率不高；二是部分舍饲羊分群管理不到位，饲料原料单一、日粮配方不合理，未成能满足绵羊生产的营养需要，体况较差；三是放牧区营养补饲方案不完善，不统一，生产力未得到充分发挥。</w:t>
      </w:r>
    </w:p>
    <w:p>
      <w:pPr>
        <w:pageBreakBefore w:val="0"/>
        <w:wordWrap w:val="1"/>
        <w:overflowPunct w:val="1"/>
        <w:topLinePunct w:val="0"/>
        <w:kinsoku w:val="1"/>
        <w:autoSpaceDE w:val="1"/>
        <w:autoSpaceDN w:val="1"/>
        <w:bidi w:val="0"/>
        <w:adjustRightInd w:val="1"/>
        <w:snapToGrid w:val="1"/>
        <w:spacing w:line="560" w:lineRule="exact"/>
        <w:ind w:firstLine="640" w:firstLineChars="200"/>
        <w:rPr>
          <w:b w:val="0"/>
          <w:color w:val="auto"/>
          <w:bCs w:val="0"/>
        </w:rPr>
      </w:pPr>
      <w:r>
        <w:rPr>
          <w:b w:val="0"/>
          <w:color w:val="auto"/>
          <w:sz w:val="32"/>
          <w:lang w:val="en-US" w:eastAsia="zh-CN"/>
          <w:bCs w:val="0"/>
          <w:kern w:val="0"/>
          <w:szCs w:val="32"/>
          <w:rFonts w:eastAsia="仿宋_GB2312" w:hint="eastAsia"/>
        </w:rPr>
        <w:t>6</w:t>
      </w:r>
      <w:r>
        <w:rPr>
          <w:b w:val="0"/>
          <w:color w:val="auto"/>
          <w:sz w:val="32"/>
          <w:bCs w:val="0"/>
          <w:kern w:val="0"/>
          <w:szCs w:val="32"/>
          <w:rFonts w:eastAsia="仿宋_GB2312" w:hint="eastAsia"/>
        </w:rPr>
        <w:t>.</w:t>
      </w:r>
      <w:r>
        <w:rPr>
          <w:b w:val="0"/>
          <w:color w:val="auto"/>
          <w:sz w:val="32"/>
          <w:bCs w:val="0"/>
          <w:kern w:val="0"/>
          <w:szCs w:val="32"/>
          <w:rFonts w:eastAsia="仿宋_GB2312"/>
        </w:rPr>
        <w:t>对</w:t>
      </w:r>
      <w:r>
        <w:rPr>
          <w:b w:val="0"/>
          <w:color w:val="auto"/>
          <w:sz w:val="32"/>
          <w:lang w:eastAsia="zh-CN"/>
          <w:bCs w:val="0"/>
          <w:kern w:val="0"/>
          <w:szCs w:val="32"/>
          <w:rFonts w:eastAsia="仿宋_GB2312" w:hint="eastAsia"/>
        </w:rPr>
        <w:t>肉毛兼用羊</w:t>
      </w:r>
      <w:r>
        <w:rPr>
          <w:b w:val="0"/>
          <w:color w:val="auto"/>
          <w:sz w:val="32"/>
          <w:bCs w:val="0"/>
          <w:kern w:val="0"/>
          <w:szCs w:val="32"/>
          <w:rFonts w:eastAsia="仿宋_GB2312"/>
        </w:rPr>
        <w:t>育种工作认识不到位</w:t>
      </w:r>
      <w:r>
        <w:rPr>
          <w:b w:val="0"/>
          <w:color w:val="auto"/>
          <w:sz w:val="32"/>
          <w:bCs w:val="0"/>
          <w:kern w:val="0"/>
          <w:szCs w:val="32"/>
          <w:rFonts w:eastAsia="仿宋_GB2312" w:hint="eastAsia"/>
        </w:rPr>
        <w:t>。</w:t>
      </w:r>
      <w:r>
        <w:rPr>
          <w:b w:val="0"/>
          <w:color w:val="auto"/>
          <w:sz w:val="32"/>
          <w:bCs w:val="0"/>
          <w:szCs w:val="32"/>
          <w:rFonts w:eastAsia="仿宋_GB2312"/>
        </w:rPr>
        <w:t>场内技术人员对新疆</w:t>
      </w:r>
      <w:r>
        <w:rPr>
          <w:b w:val="0"/>
          <w:color w:val="auto"/>
          <w:sz w:val="32"/>
          <w:lang w:val="en-US" w:eastAsia="zh-CN"/>
          <w:bCs w:val="0"/>
          <w:szCs w:val="32"/>
          <w:rFonts w:eastAsia="仿宋_GB2312" w:hint="eastAsia"/>
        </w:rPr>
        <w:t>绒毛兼用绒毛用羊</w:t>
      </w:r>
      <w:r>
        <w:rPr>
          <w:b w:val="0"/>
          <w:color w:val="auto"/>
          <w:sz w:val="32"/>
          <w:bCs w:val="0"/>
          <w:szCs w:val="32"/>
          <w:rFonts w:eastAsia="仿宋_GB2312"/>
        </w:rPr>
        <w:t>的选育和改良工作在一定程度上缺乏有效的规划与指导，育种思路不清晰。</w:t>
      </w:r>
    </w:p>
    <w:p>
      <w:pPr>
        <w:keepNext w:val="0"/>
        <w:keepLines w:val="0"/>
        <w:pageBreakBefore w:val="0"/>
        <w:wordWrap w:val="1"/>
        <w:overflowPunct w:val="1"/>
        <w:topLinePunct w:val="0"/>
        <w:kinsoku w:val="1"/>
        <w:autoSpaceDE w:val="1"/>
        <w:autoSpaceDN w:val="1"/>
        <w:bidi w:val="0"/>
        <w:adjustRightInd w:val="1"/>
        <w:snapToGrid w:val="1"/>
        <w:jc w:val="both"/>
        <w:spacing w:line="560" w:lineRule="exact"/>
        <w:ind w:firstLine="640" w:firstLineChars="200" w:left="0" w:leftChars="0"/>
        <w:rPr>
          <w:color w:val="auto"/>
        </w:rPr>
      </w:pPr>
      <w:r>
        <w:rPr>
          <w:b w:val="0"/>
          <w:color w:val="auto"/>
          <w:sz w:val="32"/>
          <w:lang w:val="en-US" w:eastAsia="zh-CN" w:bidi="ar-SA"/>
          <w:bCs w:val="0"/>
          <w:kern w:val="2"/>
          <w:szCs w:val="32"/>
          <w:rFonts w:eastAsia="仿宋_GB2312" w:cs="Times New Roman" w:hint="eastAsia"/>
        </w:rPr>
        <w:t>7</w:t>
      </w:r>
      <w:r>
        <w:rPr>
          <w:b w:val="0"/>
          <w:color w:val="auto"/>
          <w:sz w:val="32"/>
          <w:lang w:val="en-US" w:eastAsia="zh-CN" w:bidi="ar-SA"/>
          <w:bCs w:val="0"/>
          <w:kern w:val="2"/>
          <w:szCs w:val="32"/>
          <w:rFonts w:ascii="Times New Roman" w:hAnsi="Times New Roman" w:eastAsia="仿宋_GB2312" w:cs="Times New Roman" w:hint="eastAsia"/>
        </w:rPr>
        <w:t>.畜产品</w:t>
      </w:r>
      <w:r>
        <w:rPr>
          <w:b w:val="0"/>
          <w:color w:val="auto"/>
          <w:sz w:val="32"/>
          <w:bCs w:val="0"/>
          <w:szCs w:val="32"/>
          <w:rFonts w:ascii="仿宋_GB2312" w:hAnsi="仿宋_GB2312" w:eastAsia="仿宋_GB2312" w:cs="仿宋_GB2312" w:hint="eastAsia"/>
        </w:rPr>
        <w:t>检测机构数量不足，</w:t>
      </w:r>
      <w:r>
        <w:rPr>
          <w:b w:val="0"/>
          <w:color w:val="auto"/>
          <w:sz w:val="32"/>
          <w:lang w:val="en-US" w:eastAsia="zh-CN"/>
          <w:bCs w:val="0"/>
          <w:szCs w:val="32"/>
          <w:rFonts w:ascii="仿宋_GB2312" w:hAnsi="仿宋_GB2312" w:eastAsia="仿宋_GB2312" w:cs="仿宋_GB2312" w:hint="eastAsia"/>
        </w:rPr>
        <w:t>缺少专业监测人员。目前承接畜产品质量安全监测任务的地州级机</w:t>
      </w:r>
      <w:r>
        <w:rPr>
          <w:color w:val="auto"/>
          <w:sz w:val="32"/>
          <w:lang w:val="en-US" w:eastAsia="zh-CN"/>
          <w:bCs/>
          <w:szCs w:val="32"/>
          <w:rFonts w:ascii="仿宋_GB2312" w:hAnsi="仿宋_GB2312" w:eastAsia="仿宋_GB2312" w:cs="仿宋_GB2312" w:hint="eastAsia"/>
        </w:rPr>
        <w:t>构</w:t>
      </w:r>
      <w:r>
        <w:rPr>
          <w:color w:val="auto"/>
          <w:sz w:val="32"/>
          <w:bCs/>
          <w:szCs w:val="32"/>
          <w:rFonts w:ascii="仿宋_GB2312" w:hAnsi="仿宋_GB2312" w:eastAsia="仿宋_GB2312" w:cs="仿宋_GB2312" w:hint="eastAsia"/>
        </w:rPr>
        <w:t>只有乌鲁木齐市、昌吉州具备自检功能，其他地州不具备自检能力，也没有专业检测人员。机构改革后，部分县市撤销了动物卫生监督机构，屠宰企业检疫及监督人员不足，部分屠宰企业监管缺失，对肉品质量安全造成隐患。</w:t>
      </w:r>
    </w:p>
    <w:p>
      <w:pPr>
        <w:pageBreakBefore w:val="0"/>
        <w:wordWrap w:val="1"/>
        <w:overflowPunct w:val="1"/>
        <w:topLinePunct w:val="0"/>
        <w:kinsoku w:val="1"/>
        <w:bidi w:val="0"/>
        <w:snapToGrid w:val="1"/>
        <w:numPr>
          <w:ilvl w:val="0"/>
          <w:numId w:val="8"/>
        </w:numPr>
        <w:spacing w:line="560" w:lineRule="exact"/>
        <w:ind w:firstLine="640" w:firstLineChars="200"/>
        <w:rPr>
          <w:color w:val="auto"/>
          <w:sz w:val="32"/>
          <w:szCs w:val="32"/>
          <w:rFonts w:eastAsia="黑体"/>
        </w:rPr>
      </w:pPr>
      <w:r>
        <w:rPr>
          <w:color w:val="auto"/>
          <w:sz w:val="32"/>
          <w:szCs w:val="32"/>
          <w:rFonts w:eastAsia="黑体"/>
        </w:rPr>
        <w:t>有关建议</w:t>
      </w:r>
    </w:p>
    <w:p>
      <w:pPr>
        <w:keepNext w:val="0"/>
        <w:keepLines w:val="0"/>
        <w:pageBreakBefore w:val="0"/>
        <w:wordWrap w:val="1"/>
        <w:overflowPunct w:val="1"/>
        <w:topLinePunct w:val="0"/>
        <w:kinsoku w:val="1"/>
        <w:autoSpaceDE w:val="1"/>
        <w:autoSpaceDN w:val="1"/>
        <w:bidi w:val="0"/>
        <w:adjustRightInd w:val="1"/>
        <w:snapToGrid w:val="1"/>
        <w:jc w:val="both"/>
        <w:spacing w:line="560" w:lineRule="exact"/>
        <w:ind w:firstLine="640" w:firstLineChars="200" w:left="0" w:leftChars="0"/>
        <w:rPr>
          <w:color w:val="auto"/>
          <w:sz w:val="32"/>
          <w:lang w:val="en-US" w:eastAsia="zh-CN"/>
          <w:bCs/>
          <w:szCs w:val="32"/>
          <w:rFonts w:ascii="仿宋_GB2312" w:hAnsi="仿宋_GB2312" w:eastAsia="仿宋_GB2312" w:cs="仿宋_GB2312" w:hint="eastAsia"/>
        </w:rPr>
      </w:pPr>
      <w:r>
        <w:rPr>
          <w:color w:val="auto"/>
          <w:sz w:val="32"/>
          <w:lang w:val="en-US" w:eastAsia="zh-CN"/>
          <w:bCs/>
          <w:szCs w:val="32"/>
          <w:rFonts w:ascii="仿宋_GB2312" w:hAnsi="仿宋_GB2312" w:eastAsia="仿宋_GB2312" w:cs="仿宋_GB2312" w:hint="eastAsia"/>
        </w:rPr>
        <w:t>1</w:t>
      </w:r>
      <w:r>
        <w:rPr>
          <w:color w:val="auto"/>
          <w:sz w:val="32"/>
          <w:lang w:val="en-US" w:eastAsia="zh-CN" w:bidi="ar-SA"/>
          <w:bCs/>
          <w:kern w:val="2"/>
          <w:szCs w:val="32"/>
          <w:rFonts w:ascii="仿宋_GB2312" w:hAnsi="仿宋_GB2312" w:eastAsia="仿宋_GB2312" w:cs="仿宋_GB2312" w:hint="eastAsia"/>
        </w:rPr>
        <w:t>.</w:t>
      </w:r>
      <w:r>
        <w:rPr>
          <w:color w:val="auto"/>
          <w:sz w:val="32"/>
          <w:lang w:val="en-US" w:eastAsia="zh-CN" w:bidi="ar-SA"/>
          <w:bCs/>
          <w:kern w:val="2"/>
          <w:szCs w:val="32"/>
          <w:rFonts w:ascii="仿宋_GB2312" w:hAnsi="仿宋_GB2312" w:eastAsia="仿宋_GB2312" w:cs="仿宋_GB2312" w:hint="default"/>
        </w:rPr>
        <w:t>加大对项目管理人员、基层专业技术人员的培训，通过邀请专家对项目</w:t>
      </w:r>
      <w:r>
        <w:rPr>
          <w:color w:val="auto"/>
          <w:sz w:val="32"/>
          <w:lang w:val="en-US" w:eastAsia="zh-CN" w:bidi="ar-SA"/>
          <w:bCs/>
          <w:kern w:val="2"/>
          <w:szCs w:val="32"/>
          <w:rFonts w:ascii="仿宋_GB2312" w:hAnsi="仿宋_GB2312" w:eastAsia="仿宋_GB2312" w:cs="仿宋_GB2312" w:hint="eastAsia"/>
        </w:rPr>
        <w:t>管理</w:t>
      </w:r>
      <w:r>
        <w:rPr>
          <w:color w:val="auto"/>
          <w:sz w:val="32"/>
          <w:lang w:val="en-US" w:eastAsia="zh-CN" w:bidi="ar-SA"/>
          <w:bCs/>
          <w:kern w:val="2"/>
          <w:szCs w:val="32"/>
          <w:rFonts w:ascii="仿宋_GB2312" w:hAnsi="仿宋_GB2312" w:eastAsia="仿宋_GB2312" w:cs="仿宋_GB2312" w:hint="default"/>
        </w:rPr>
        <w:t>人员</w:t>
      </w:r>
      <w:r>
        <w:rPr>
          <w:color w:val="auto"/>
          <w:sz w:val="32"/>
          <w:lang w:val="en-US" w:eastAsia="zh-CN" w:bidi="ar-SA"/>
          <w:bCs/>
          <w:kern w:val="2"/>
          <w:szCs w:val="32"/>
          <w:rFonts w:ascii="仿宋_GB2312" w:hAnsi="仿宋_GB2312" w:eastAsia="仿宋_GB2312" w:cs="仿宋_GB2312" w:hint="eastAsia"/>
        </w:rPr>
        <w:t>和保种场技术人员</w:t>
      </w:r>
      <w:r>
        <w:rPr>
          <w:color w:val="auto"/>
          <w:sz w:val="32"/>
          <w:lang w:val="en-US" w:eastAsia="zh-CN" w:bidi="ar-SA"/>
          <w:bCs/>
          <w:kern w:val="2"/>
          <w:szCs w:val="32"/>
          <w:rFonts w:ascii="仿宋_GB2312" w:hAnsi="仿宋_GB2312" w:eastAsia="仿宋_GB2312" w:cs="仿宋_GB2312" w:hint="default"/>
        </w:rPr>
        <w:t>培训，进一步提高</w:t>
      </w:r>
      <w:r>
        <w:rPr>
          <w:color w:val="auto"/>
          <w:sz w:val="32"/>
          <w:lang w:val="en-US" w:eastAsia="zh-CN" w:bidi="ar-SA"/>
          <w:bCs/>
          <w:kern w:val="2"/>
          <w:szCs w:val="32"/>
          <w:rFonts w:ascii="仿宋_GB2312" w:hAnsi="仿宋_GB2312" w:eastAsia="仿宋_GB2312" w:cs="仿宋_GB2312" w:hint="eastAsia"/>
        </w:rPr>
        <w:t>项目管理和</w:t>
      </w:r>
      <w:r>
        <w:rPr>
          <w:color w:val="auto"/>
          <w:sz w:val="32"/>
          <w:lang w:val="en-US" w:eastAsia="zh-CN"/>
          <w:bCs/>
          <w:szCs w:val="32"/>
          <w:rFonts w:ascii="仿宋_GB2312" w:hAnsi="仿宋_GB2312" w:eastAsia="仿宋_GB2312" w:cs="仿宋_GB2312" w:hint="eastAsia"/>
        </w:rPr>
        <w:t>项目执行</w:t>
      </w:r>
      <w:r>
        <w:rPr>
          <w:color w:val="auto"/>
          <w:sz w:val="32"/>
          <w:lang w:val="en-US" w:eastAsia="zh-CN"/>
          <w:bCs/>
          <w:szCs w:val="32"/>
          <w:rFonts w:ascii="仿宋_GB2312" w:hAnsi="仿宋_GB2312" w:eastAsia="仿宋_GB2312" w:cs="仿宋_GB2312" w:hint="default"/>
        </w:rPr>
        <w:t>水平。</w:t>
      </w:r>
    </w:p>
    <w:p>
      <w:pPr>
        <w:keepNext w:val="0"/>
        <w:keepLines w:val="0"/>
        <w:pageBreakBefore w:val="0"/>
        <w:wordWrap w:val="1"/>
        <w:overflowPunct w:val="1"/>
        <w:topLinePunct w:val="0"/>
        <w:kinsoku w:val="1"/>
        <w:autoSpaceDE w:val="1"/>
        <w:autoSpaceDN w:val="1"/>
        <w:bidi w:val="0"/>
        <w:adjustRightInd w:val="1"/>
        <w:snapToGrid w:val="1"/>
        <w:jc w:val="both"/>
        <w:spacing w:line="560" w:lineRule="exact"/>
        <w:ind w:firstLine="640" w:firstLineChars="200" w:left="0" w:leftChars="0"/>
        <w:rPr>
          <w:color w:val="auto"/>
          <w:sz w:val="32"/>
          <w:lang w:val="en-US" w:eastAsia="zh-CN"/>
          <w:bCs/>
          <w:szCs w:val="32"/>
          <w:rFonts w:ascii="仿宋_GB2312" w:hAnsi="仿宋_GB2312" w:eastAsia="仿宋_GB2312" w:cs="仿宋_GB2312" w:hint="eastAsia"/>
        </w:rPr>
      </w:pPr>
      <w:r>
        <w:rPr>
          <w:color w:val="auto"/>
          <w:sz w:val="32"/>
          <w:lang w:val="en-US" w:eastAsia="zh-CN"/>
          <w:bCs/>
          <w:szCs w:val="32"/>
          <w:rFonts w:ascii="仿宋_GB2312" w:hAnsi="仿宋_GB2312" w:eastAsia="仿宋_GB2312" w:cs="仿宋_GB2312" w:hint="eastAsia"/>
        </w:rPr>
        <w:t>2.加强监测和屠宰、兽药和饲料行业管理工作。全面开展好畜产品及其投入品监督监测工作，深</w:t>
      </w:r>
      <w:r>
        <w:rPr>
          <w:color w:val="auto"/>
          <w:sz w:val="32"/>
          <w:lang w:val="en-US" w:eastAsia="zh-CN" w:bidi="ar-SA"/>
          <w:bCs/>
          <w:kern w:val="2"/>
          <w:szCs w:val="32"/>
          <w:rFonts w:ascii="仿宋_GB2312" w:hAnsi="仿宋_GB2312" w:eastAsia="仿宋_GB2312" w:cs="仿宋_GB2312" w:hint="eastAsia"/>
        </w:rPr>
        <w:t>入实施兽用抗菌药使用减量化行动，加强兽药、饲料生产、经营和</w:t>
      </w:r>
      <w:r>
        <w:rPr>
          <w:color w:val="auto"/>
          <w:sz w:val="32"/>
          <w:bCs/>
          <w:szCs w:val="32"/>
          <w:rFonts w:ascii="仿宋_GB2312" w:hAnsi="仿宋_GB2312" w:eastAsia="仿宋_GB2312" w:cs="仿宋_GB2312" w:hint="eastAsia"/>
        </w:rPr>
        <w:t>使用环节监督检查，做好养殖、屠宰环节肉品质量安全监管工作</w:t>
      </w:r>
      <w:r>
        <w:rPr>
          <w:color w:val="auto"/>
          <w:sz w:val="32"/>
          <w:lang w:eastAsia="zh-CN"/>
          <w:bCs/>
          <w:szCs w:val="32"/>
          <w:rFonts w:ascii="仿宋_GB2312" w:hAnsi="仿宋_GB2312" w:eastAsia="仿宋_GB2312" w:cs="仿宋_GB2312" w:hint="eastAsia"/>
        </w:rPr>
        <w:t>，</w:t>
      </w:r>
      <w:r>
        <w:rPr>
          <w:color w:val="auto"/>
          <w:sz w:val="32"/>
          <w:lang w:val="en-US" w:eastAsia="zh-CN"/>
          <w:bCs/>
          <w:szCs w:val="32"/>
          <w:rFonts w:ascii="仿宋_GB2312" w:hAnsi="仿宋_GB2312" w:eastAsia="仿宋_GB2312" w:cs="仿宋_GB2312" w:hint="eastAsia"/>
        </w:rPr>
        <w:t>加强养殖生产环节兽药使用的宣传指导工作，落实好养殖生产者的主体责任，切实保障畜产品质量安全。</w:t>
      </w:r>
    </w:p>
    <w:p>
      <w:pPr>
        <w:pageBreakBefore w:val="0"/>
        <w:wordWrap w:val="1"/>
        <w:overflowPunct w:val="1"/>
        <w:topLinePunct w:val="0"/>
        <w:kinsoku w:val="1"/>
        <w:bidi w:val="0"/>
        <w:snapToGrid w:val="1"/>
        <w:spacing w:line="560" w:lineRule="exact"/>
        <w:ind w:firstLine="640" w:firstLineChars="200"/>
        <w:rPr>
          <w:color w:val="auto"/>
        </w:rPr>
      </w:pPr>
      <w:r>
        <w:rPr>
          <w:color w:val="auto"/>
          <w:sz w:val="32"/>
          <w:lang w:val="en-US" w:eastAsia="zh-CN"/>
          <w:szCs w:val="28"/>
          <w:rFonts w:ascii="仿宋_GB2312" w:hAnsi="仿宋_GB2312" w:eastAsia="仿宋_GB2312" w:cs="仿宋_GB2312" w:hint="eastAsia"/>
        </w:rPr>
        <w:t>3.</w:t>
      </w:r>
      <w:r>
        <w:rPr>
          <w:color w:val="auto"/>
          <w:sz w:val="32"/>
          <w:szCs w:val="28"/>
          <w:rFonts w:ascii="仿宋_GB2312" w:hAnsi="仿宋_GB2312" w:eastAsia="仿宋_GB2312" w:cs="仿宋_GB2312" w:hint="eastAsia"/>
        </w:rPr>
        <w:t>进一步加强对绩效管理工作的组织领导，提高对预算绩效管理工作重要性的认识，总结经验查找问题，抓紧研究制定更全面更完善的绩效评价管理办法。结合食品安全考核建立绩效工作考核制度，加大全局对全面实施预算绩效管理和绩效管理工作的学习力度，让“花钱必问效，无效必问责”的理念深入工作每个环节。</w:t>
      </w:r>
    </w:p>
    <w:p>
      <w:pPr>
        <w:pageBreakBefore w:val="0"/>
        <w:wordWrap w:val="1"/>
        <w:overflowPunct w:val="1"/>
        <w:topLinePunct w:val="0"/>
        <w:kinsoku w:val="1"/>
        <w:bidi w:val="0"/>
        <w:snapToGrid w:val="1"/>
        <w:numPr>
          <w:ilvl w:val="0"/>
          <w:numId w:val="8"/>
        </w:numPr>
        <w:spacing w:line="560" w:lineRule="exact"/>
        <w:ind w:firstLine="640" w:firstLineChars="200"/>
        <w:rPr>
          <w:color w:val="auto"/>
          <w:sz w:val="32"/>
          <w:szCs w:val="32"/>
          <w:rFonts w:eastAsia="黑体"/>
        </w:rPr>
      </w:pPr>
      <w:bookmarkStart w:id="5" w:name="page8"/>
      <w:bookmarkEnd w:id="5"/>
      <w:r>
        <w:rPr>
          <w:color w:val="auto"/>
          <w:sz w:val="32"/>
          <w:szCs w:val="32"/>
          <w:rFonts w:eastAsia="黑体"/>
        </w:rPr>
        <w:t>其他需要说</w:t>
      </w:r>
      <w:r>
        <w:rPr>
          <w:color w:val="auto"/>
          <w:sz w:val="32"/>
          <w:szCs w:val="32"/>
          <w:rFonts w:eastAsia="黑体"/>
        </w:rPr>
        <w:t>明的问题</w:t>
      </w:r>
    </w:p>
    <w:p>
      <w:pPr>
        <w:pStyle w:val="21"/>
        <w:pageBreakBefore w:val="0"/>
        <w:wordWrap w:val="1"/>
        <w:overflowPunct w:val="1"/>
        <w:topLinePunct w:val="0"/>
        <w:kinsoku w:val="1"/>
        <w:bidi w:val="0"/>
        <w:snapToGrid w:val="1"/>
        <w:spacing w:line="560" w:lineRule="exact"/>
        <w:ind w:firstLine="320" w:firstLineChars="100"/>
        <w:rPr>
          <w:b w:val="1"/>
          <w:color w:val="auto"/>
          <w:sz w:val="32"/>
          <w:lang w:bidi="ar"/>
          <w:kern w:val="0"/>
          <w:szCs w:val="32"/>
          <w:rFonts w:ascii="Times New Roman" w:hAnsi="Times New Roman" w:eastAsia="方正小标宋简体"/>
        </w:rPr>
        <w:sectPr>
          <w:footerReference r:id="rId5" w:type="default"/>
          <w:docGrid w:type="lines" w:linePitch="312" w:charSpace="0"/>
          <w:pgSz w:w="11906" w:h="16838"/>
          <w:pgMar w:top="1440" w:right="1558" w:bottom="1440" w:left="1800" w:header="851" w:footer="992" w:gutter="0"/>
          <w:cols w:space="425" w:num="1"/>
        </w:sectPr>
      </w:pPr>
      <w:r>
        <w:rPr>
          <w:color w:val="auto"/>
          <w:sz w:val="32"/>
          <w:szCs w:val="32"/>
          <w:rFonts w:ascii="仿宋_GB2312" w:hAnsi="仿宋_GB2312" w:eastAsia="仿宋_GB2312" w:cs="仿宋_GB2312" w:hint="eastAsia"/>
        </w:rPr>
        <w:t>无</w:t>
      </w:r>
      <w:r>
        <w:rPr>
          <w:color w:val="auto"/>
          <w:sz w:val="32"/>
          <w:lang w:val="en-US" w:eastAsia="zh-Hans"/>
          <w:szCs w:val="32"/>
          <w:rFonts w:ascii="仿宋_GB2312" w:hAnsi="仿宋_GB2312" w:eastAsia="仿宋_GB2312" w:cs="仿宋_GB2312" w:hint="eastAsia"/>
        </w:rPr>
        <w:t>其他需要说明的问题</w:t>
      </w:r>
      <w:r>
        <w:rPr>
          <w:color w:val="auto"/>
          <w:sz w:val="32"/>
          <w:szCs w:val="32"/>
          <w:rFonts w:ascii="仿宋_GB2312" w:hAnsi="仿宋_GB2312" w:eastAsia="仿宋_GB2312" w:cs="仿宋_GB2312" w:hint="eastAsia"/>
        </w:rPr>
        <w:t>。</w:t>
      </w:r>
    </w:p>
    <w:tbl>
      <w:tblPr>
        <w:tblStyle w:val="22"/>
        <w:tblW w:w="8522" w:type="dxa"/>
        <w:jc w:val="center"/>
        <w:tblInd w:type="dxa" w:w="0.000000"/>
        <w:tblLayout w:type="fixed"/>
        <w:tblCellMar>
          <w:top w:type="dxa" w:w="0.000000"/>
          <w:bottom w:type="dxa" w:w="0.000000"/>
          <w:left w:type="dxa" w:w="108.000000"/>
          <w:right w:type="dxa" w:w="108.000000"/>
        </w:tblCellMar>
      </w:tblPr>
      <w:tblGrid>
        <w:gridCol w:w="396.000000"/>
        <w:gridCol w:w="458.000000"/>
        <w:gridCol w:w="883.000000"/>
        <w:gridCol w:w="1722.000000"/>
        <w:gridCol w:w="855.000000"/>
        <w:gridCol w:w="885.000000"/>
        <w:gridCol w:w="555.000000"/>
        <w:gridCol w:w="825.000000"/>
        <w:gridCol w:w="1943.000000"/>
      </w:tblGrid>
      <w:tr>
        <w:tblPrEx>
          <w:tblCellMar>
            <w:top w:type="dxa" w:w="0.000000"/>
            <w:bottom w:type="dxa" w:w="0.000000"/>
            <w:left w:type="dxa" w:w="108.000000"/>
            <w:right w:type="dxa" w:w="108.000000"/>
          </w:tblCellMar>
          <w:tblLayout w:type="fixed"/>
        </w:tblPrEx>
        <w:trPr>
          <w:trHeight w:val="454" w:hRule="exact"/>
          <w:jc w:val="center"/>
        </w:trPr>
        <w:tc>
          <w:tcPr>
            <w:tcW w:w="8522" w:type="dxa"/>
            <w:gridSpan w:val="9"/>
            <w:vAlign w:val="center"/>
            <w:tcBorders>
              <w:top w:val="nil"/>
              <w:left w:val="nil"/>
              <w:bottom w:val="nil"/>
              <w:right w:val="nil"/>
            </w:tcBorders>
          </w:tcPr>
          <w:p>
            <w:pPr>
              <w:widowControl w:val="1"/>
              <w:jc w:val="left"/>
              <w:spacing w:line="320" w:lineRule="exact"/>
              <w:rPr>
                <w:b w:val="1"/>
                <w:color w:val="auto"/>
                <w:sz w:val="32"/>
                <w:lang w:val="en-US" w:eastAsia="zh-CN"/>
                <w:bCs/>
                <w:kern w:val="0"/>
                <w:szCs w:val="32"/>
                <w:rFonts w:ascii="宋体" w:hAnsi="宋体" w:eastAsia="宋体" w:cs="宋体" w:hint="eastAsia"/>
              </w:rPr>
            </w:pPr>
            <w:r>
              <w:rPr>
                <w:b w:val="0"/>
                <w:color w:val="auto"/>
                <w:sz w:val="24"/>
                <w:lang w:eastAsia="zh-CN"/>
                <w:bCs w:val="0"/>
                <w:kern w:val="0"/>
                <w:szCs w:val="24"/>
                <w:rFonts w:ascii="宋体" w:hAnsi="宋体" w:eastAsia="宋体" w:cs="宋体" w:hint="eastAsia"/>
              </w:rPr>
              <w:t>附件</w:t>
            </w:r>
            <w:r>
              <w:rPr>
                <w:b w:val="0"/>
                <w:color w:val="auto"/>
                <w:sz w:val="24"/>
                <w:lang w:val="en-US" w:eastAsia="zh-CN"/>
                <w:bCs w:val="0"/>
                <w:kern w:val="0"/>
                <w:szCs w:val="24"/>
                <w:rFonts w:ascii="宋体" w:hAnsi="宋体" w:eastAsia="宋体" w:cs="宋体" w:hint="eastAsia"/>
              </w:rPr>
              <w:t>5：</w:t>
            </w:r>
          </w:p>
        </w:tc>
      </w:tr>
      <w:tr>
        <w:tblPrEx>
          <w:tblCellMar>
            <w:top w:type="dxa" w:w="0.000000"/>
            <w:bottom w:type="dxa" w:w="0.000000"/>
            <w:left w:type="dxa" w:w="108.000000"/>
            <w:right w:type="dxa" w:w="108.000000"/>
          </w:tblCellMar>
          <w:tblLayout w:type="fixed"/>
        </w:tblPrEx>
        <w:trPr>
          <w:trHeight w:val="454" w:hRule="exact"/>
          <w:jc w:val="center"/>
        </w:trPr>
        <w:tc>
          <w:tcPr>
            <w:tcW w:w="8522" w:type="dxa"/>
            <w:gridSpan w:val="9"/>
            <w:vAlign w:val="center"/>
            <w:tcBorders>
              <w:top w:val="nil"/>
              <w:left w:val="nil"/>
              <w:bottom w:val="nil"/>
              <w:right w:val="nil"/>
            </w:tcBorders>
          </w:tcPr>
          <w:p>
            <w:pPr>
              <w:widowControl w:val="1"/>
              <w:jc w:val="center"/>
              <w:spacing w:line="320" w:lineRule="exact"/>
              <w:rPr>
                <w:b w:val="1"/>
                <w:color w:val="auto"/>
                <w:sz w:val="32"/>
                <w:bCs/>
                <w:kern w:val="0"/>
                <w:szCs w:val="32"/>
                <w:rFonts w:ascii="宋体" w:hAnsi="宋体" w:eastAsia="宋体" w:cs="宋体" w:hint="eastAsia"/>
              </w:rPr>
            </w:pPr>
            <w:r>
              <w:rPr>
                <w:b w:val="1"/>
                <w:color w:val="auto"/>
                <w:sz w:val="32"/>
                <w:bCs/>
                <w:kern w:val="0"/>
                <w:szCs w:val="32"/>
                <w:rFonts w:ascii="宋体" w:hAnsi="宋体" w:eastAsia="宋体" w:cs="宋体" w:hint="eastAsia"/>
              </w:rPr>
              <w:t>项目支出绩效自评表</w:t>
            </w:r>
          </w:p>
        </w:tc>
      </w:tr>
      <w:tr>
        <w:tblPrEx>
          <w:tblCellMar>
            <w:top w:type="dxa" w:w="0.000000"/>
            <w:bottom w:type="dxa" w:w="0.000000"/>
            <w:left w:type="dxa" w:w="108.000000"/>
            <w:right w:type="dxa" w:w="108.000000"/>
          </w:tblCellMar>
          <w:tblLayout w:type="fixed"/>
        </w:tblPrEx>
        <w:trPr>
          <w:trHeight w:val="201" w:hRule="atLeast"/>
          <w:jc w:val="center"/>
        </w:trPr>
        <w:tc>
          <w:tcPr>
            <w:tcW w:w="8522" w:type="dxa"/>
            <w:gridSpan w:val="9"/>
            <w:tcBorders>
              <w:top w:val="nil"/>
              <w:left w:val="nil"/>
              <w:bottom w:val="nil"/>
              <w:right w:val="nil"/>
            </w:tcBorders>
          </w:tcPr>
          <w:p>
            <w:pPr>
              <w:widowControl w:val="1"/>
              <w:jc w:val="center"/>
              <w:rPr>
                <w:color w:val="auto"/>
                <w:sz w:val="22"/>
                <w:kern w:val="0"/>
                <w:szCs w:val="22"/>
                <w:rFonts w:ascii="宋体" w:hAnsi="宋体" w:eastAsia="宋体" w:cs="宋体" w:hint="eastAsia"/>
              </w:rPr>
            </w:pPr>
            <w:r>
              <w:rPr>
                <w:color w:val="auto"/>
                <w:sz w:val="22"/>
                <w:kern w:val="0"/>
                <w:szCs w:val="22"/>
                <w:rFonts w:ascii="宋体" w:hAnsi="宋体" w:eastAsia="宋体" w:cs="宋体" w:hint="eastAsia"/>
              </w:rPr>
              <w:t>（</w:t>
            </w:r>
            <w:r>
              <w:rPr>
                <w:color w:val="auto"/>
                <w:sz w:val="22"/>
                <w:lang w:val="en-US" w:eastAsia="zh-CN"/>
                <w:kern w:val="0"/>
                <w:szCs w:val="22"/>
                <w:rFonts w:ascii="宋体" w:hAnsi="宋体" w:eastAsia="宋体" w:cs="宋体" w:hint="eastAsia"/>
              </w:rPr>
              <w:t>2022</w:t>
            </w:r>
            <w:r>
              <w:rPr>
                <w:color w:val="auto"/>
                <w:sz w:val="22"/>
                <w:kern w:val="0"/>
                <w:szCs w:val="22"/>
                <w:rFonts w:ascii="宋体" w:hAnsi="宋体" w:eastAsia="宋体" w:cs="宋体" w:hint="eastAsia"/>
              </w:rPr>
              <w:t>年度）</w:t>
            </w:r>
          </w:p>
        </w:tc>
      </w:tr>
      <w:tr>
        <w:tblPrEx>
          <w:tblCellMar>
            <w:top w:type="dxa" w:w="0.000000"/>
            <w:bottom w:type="dxa" w:w="0.000000"/>
            <w:left w:type="dxa" w:w="108.000000"/>
            <w:right w:type="dxa" w:w="108.000000"/>
          </w:tblCellMar>
          <w:tblLayout w:type="fixed"/>
        </w:tblPrEx>
        <w:trPr>
          <w:trHeight w:val="300" w:hRule="exact"/>
          <w:jc w:val="center"/>
        </w:trPr>
        <w:tc>
          <w:tcPr>
            <w:tcW w:w="854" w:type="dxa"/>
            <w:gridSpan w:val="2"/>
            <w:vAlign w:val="center"/>
            <w:tcBorders>
              <w:top w:val="single" w:color="auto" w:sz="4" w:space="0"/>
              <w:left w:val="single" w:color="auto" w:sz="4" w:space="0"/>
              <w:bottom w:val="single" w:color="auto" w:sz="4" w:space="0"/>
              <w:right w:val="single" w:color="auto" w:sz="4" w:space="0"/>
            </w:tcBorders>
          </w:tcPr>
          <w:p>
            <w:pPr>
              <w:widowControl w:val="1"/>
              <w:jc w:val="center"/>
              <w:spacing w:line="240" w:lineRule="exact"/>
              <w:rPr>
                <w:color w:val="auto"/>
                <w:sz w:val="18"/>
                <w:kern w:val="0"/>
                <w:szCs w:val="18"/>
                <w:rFonts w:ascii="宋体" w:hAnsi="宋体" w:eastAsia="宋体" w:cs="宋体" w:hint="eastAsia"/>
              </w:rPr>
            </w:pPr>
            <w:r>
              <w:rPr>
                <w:color w:val="auto"/>
                <w:sz w:val="18"/>
                <w:kern w:val="0"/>
                <w:szCs w:val="18"/>
                <w:rFonts w:ascii="宋体" w:hAnsi="宋体" w:eastAsia="宋体" w:cs="宋体" w:hint="eastAsia"/>
              </w:rPr>
              <w:t>项目名称</w:t>
            </w:r>
          </w:p>
        </w:tc>
        <w:tc>
          <w:tcPr>
            <w:tcW w:w="7668" w:type="dxa"/>
            <w:gridSpan w:val="7"/>
            <w:vAlign w:val="center"/>
            <w:tcBorders>
              <w:top w:val="single" w:color="auto" w:sz="4" w:space="0"/>
              <w:left w:val="nil"/>
              <w:bottom w:val="single" w:color="auto" w:sz="4" w:space="0"/>
              <w:right w:val="single" w:color="auto" w:sz="4" w:space="0"/>
            </w:tcBorders>
          </w:tcPr>
          <w:p>
            <w:pPr>
              <w:widowControl w:val="1"/>
              <w:jc w:val="center"/>
              <w:spacing w:line="240" w:lineRule="exact"/>
              <w:rPr>
                <w:color w:val="auto"/>
                <w:sz w:val="18"/>
                <w:lang w:eastAsia="zh-CN"/>
                <w:kern w:val="0"/>
                <w:szCs w:val="18"/>
                <w:rFonts w:ascii="宋体" w:hAnsi="宋体" w:eastAsia="宋体" w:cs="宋体" w:hint="eastAsia"/>
              </w:rPr>
            </w:pPr>
            <w:r>
              <w:rPr>
                <w:color w:val="auto"/>
                <w:sz w:val="18"/>
                <w:lang w:eastAsia="zh-CN"/>
                <w:kern w:val="0"/>
                <w:szCs w:val="18"/>
                <w:rFonts w:ascii="宋体" w:hAnsi="宋体" w:eastAsia="宋体" w:cs="宋体" w:hint="eastAsia"/>
              </w:rPr>
              <w:t>自治区畜牧业生产发展资金</w:t>
            </w:r>
          </w:p>
        </w:tc>
      </w:tr>
      <w:tr>
        <w:tblPrEx>
          <w:tblCellMar>
            <w:top w:type="dxa" w:w="0.000000"/>
            <w:bottom w:type="dxa" w:w="0.000000"/>
            <w:left w:type="dxa" w:w="108.000000"/>
            <w:right w:type="dxa" w:w="108.000000"/>
          </w:tblCellMar>
          <w:tblLayout w:type="fixed"/>
        </w:tblPrEx>
        <w:trPr>
          <w:trHeight w:val="565" w:hRule="exact"/>
          <w:jc w:val="center"/>
        </w:trPr>
        <w:tc>
          <w:tcPr>
            <w:tcW w:w="854" w:type="dxa"/>
            <w:gridSpan w:val="2"/>
            <w:vAlign w:val="center"/>
            <w:tcBorders>
              <w:top w:val="single" w:color="auto" w:sz="4" w:space="0"/>
              <w:left w:val="single" w:color="auto" w:sz="4" w:space="0"/>
              <w:bottom w:val="single" w:color="auto" w:sz="4" w:space="0"/>
              <w:right w:val="single" w:color="auto" w:sz="4" w:space="0"/>
            </w:tcBorders>
          </w:tcPr>
          <w:p>
            <w:pPr>
              <w:widowControl w:val="1"/>
              <w:jc w:val="center"/>
              <w:spacing w:line="240" w:lineRule="exact"/>
              <w:rPr>
                <w:color w:val="auto"/>
                <w:sz w:val="18"/>
                <w:kern w:val="0"/>
                <w:szCs w:val="18"/>
                <w:rFonts w:ascii="宋体" w:hAnsi="宋体" w:eastAsia="宋体" w:cs="宋体" w:hint="eastAsia"/>
              </w:rPr>
            </w:pPr>
            <w:r>
              <w:rPr>
                <w:color w:val="auto"/>
                <w:sz w:val="18"/>
                <w:kern w:val="0"/>
                <w:szCs w:val="18"/>
                <w:rFonts w:ascii="宋体" w:hAnsi="宋体" w:eastAsia="宋体" w:cs="宋体" w:hint="eastAsia"/>
              </w:rPr>
              <w:t>主管部门</w:t>
            </w:r>
          </w:p>
        </w:tc>
        <w:tc>
          <w:tcPr>
            <w:tcW w:w="3460" w:type="dxa"/>
            <w:gridSpan w:val="3"/>
            <w:vAlign w:val="center"/>
            <w:tcBorders>
              <w:top w:val="single" w:color="auto" w:sz="4" w:space="0"/>
              <w:left w:val="nil"/>
              <w:bottom w:val="single" w:color="auto" w:sz="4" w:space="0"/>
              <w:right w:val="single" w:color="auto" w:sz="4" w:space="0"/>
            </w:tcBorders>
          </w:tcPr>
          <w:p>
            <w:pPr>
              <w:widowControl w:val="1"/>
              <w:jc w:val="center"/>
              <w:spacing w:line="240" w:lineRule="exact"/>
              <w:rPr>
                <w:color w:val="auto"/>
                <w:sz w:val="18"/>
                <w:lang w:eastAsia="zh-CN"/>
                <w:kern w:val="0"/>
                <w:szCs w:val="18"/>
                <w:rFonts w:ascii="宋体" w:hAnsi="宋体" w:eastAsia="宋体" w:cs="宋体" w:hint="eastAsia"/>
              </w:rPr>
            </w:pPr>
            <w:r>
              <w:rPr>
                <w:color w:val="auto"/>
                <w:sz w:val="18"/>
                <w:lang w:eastAsia="zh-CN"/>
                <w:kern w:val="0"/>
                <w:szCs w:val="18"/>
                <w:rFonts w:ascii="宋体" w:hAnsi="宋体" w:eastAsia="宋体" w:cs="宋体" w:hint="eastAsia"/>
              </w:rPr>
              <w:t>自治区农业农村厅（畜牧兽医局）</w:t>
            </w:r>
          </w:p>
        </w:tc>
        <w:tc>
          <w:tcPr>
            <w:tcW w:w="885" w:type="dxa"/>
            <w:vAlign w:val="center"/>
            <w:tcBorders>
              <w:top w:val="nil"/>
              <w:left w:val="nil"/>
              <w:bottom w:val="single" w:color="auto" w:sz="4" w:space="0"/>
              <w:right w:val="single" w:color="auto" w:sz="4" w:space="0"/>
            </w:tcBorders>
          </w:tcPr>
          <w:p>
            <w:pPr>
              <w:widowControl w:val="1"/>
              <w:jc w:val="center"/>
              <w:spacing w:line="240" w:lineRule="exact"/>
              <w:rPr>
                <w:color w:val="auto"/>
                <w:sz w:val="18"/>
                <w:kern w:val="0"/>
                <w:szCs w:val="18"/>
                <w:rFonts w:ascii="宋体" w:hAnsi="宋体" w:eastAsia="宋体" w:cs="宋体" w:hint="eastAsia"/>
              </w:rPr>
            </w:pPr>
            <w:r>
              <w:rPr>
                <w:color w:val="auto"/>
                <w:sz w:val="18"/>
                <w:kern w:val="0"/>
                <w:szCs w:val="18"/>
                <w:rFonts w:ascii="宋体" w:hAnsi="宋体" w:eastAsia="宋体" w:cs="宋体" w:hint="eastAsia"/>
              </w:rPr>
              <w:t>实施单位</w:t>
            </w:r>
          </w:p>
        </w:tc>
        <w:tc>
          <w:tcPr>
            <w:tcW w:w="3323" w:type="dxa"/>
            <w:gridSpan w:val="3"/>
            <w:vAlign w:val="center"/>
            <w:tcBorders>
              <w:top w:val="single" w:color="auto" w:sz="4" w:space="0"/>
              <w:left w:val="nil"/>
              <w:bottom w:val="single" w:color="auto" w:sz="4" w:space="0"/>
              <w:right w:val="single" w:color="auto" w:sz="4" w:space="0"/>
            </w:tcBorders>
          </w:tcPr>
          <w:p>
            <w:pPr>
              <w:widowControl w:val="1"/>
              <w:jc w:val="center"/>
              <w:spacing w:line="240" w:lineRule="exact"/>
              <w:rPr>
                <w:color w:val="auto"/>
                <w:sz w:val="18"/>
                <w:lang w:eastAsia="zh-CN"/>
                <w:kern w:val="0"/>
                <w:szCs w:val="18"/>
                <w:rFonts w:ascii="宋体" w:hAnsi="宋体" w:eastAsia="宋体" w:cs="宋体" w:hint="eastAsia"/>
              </w:rPr>
            </w:pPr>
            <w:r>
              <w:rPr>
                <w:color w:val="auto"/>
                <w:sz w:val="18"/>
                <w:lang w:eastAsia="zh-CN"/>
                <w:kern w:val="0"/>
                <w:szCs w:val="18"/>
                <w:rFonts w:ascii="宋体" w:hAnsi="宋体" w:eastAsia="宋体" w:cs="宋体" w:hint="eastAsia"/>
              </w:rPr>
              <w:t>各地（州、市）畜牧兽医主管部门</w:t>
            </w:r>
          </w:p>
        </w:tc>
      </w:tr>
      <w:tr>
        <w:tblPrEx>
          <w:tblCellMar>
            <w:top w:type="dxa" w:w="0.000000"/>
            <w:bottom w:type="dxa" w:w="0.000000"/>
            <w:left w:type="dxa" w:w="108.000000"/>
            <w:right w:type="dxa" w:w="108.000000"/>
          </w:tblCellMar>
          <w:tblLayout w:type="fixed"/>
        </w:tblPrEx>
        <w:trPr>
          <w:trHeight w:val="490" w:hRule="exact"/>
          <w:jc w:val="center"/>
        </w:trPr>
        <w:tc>
          <w:tcPr>
            <w:tcW w:w="854" w:type="dxa"/>
            <w:gridSpan w:val="2"/>
            <w:vMerge w:val="restart"/>
            <w:vAlign w:val="center"/>
            <w:tcBorders>
              <w:top w:val="single" w:color="auto" w:sz="4" w:space="0"/>
              <w:left w:val="single" w:color="auto" w:sz="4" w:space="0"/>
              <w:bottom w:val="single" w:color="auto" w:sz="4" w:space="0"/>
              <w:right w:val="single" w:color="auto" w:sz="4" w:space="0"/>
            </w:tcBorders>
          </w:tcPr>
          <w:p>
            <w:pPr>
              <w:widowControl w:val="1"/>
              <w:jc w:val="center"/>
              <w:spacing w:line="240" w:lineRule="exact"/>
              <w:rPr>
                <w:color w:val="auto"/>
                <w:sz w:val="18"/>
                <w:kern w:val="0"/>
                <w:szCs w:val="18"/>
                <w:rFonts w:ascii="宋体" w:hAnsi="宋体" w:eastAsia="宋体" w:cs="宋体" w:hint="eastAsia"/>
              </w:rPr>
            </w:pPr>
            <w:r>
              <w:rPr>
                <w:color w:val="auto"/>
                <w:sz w:val="18"/>
                <w:kern w:val="0"/>
                <w:szCs w:val="18"/>
                <w:rFonts w:ascii="宋体" w:hAnsi="宋体" w:eastAsia="宋体" w:cs="宋体" w:hint="eastAsia"/>
              </w:rPr>
              <w:t>项目资金</w:t>
            </w:r>
            <w:r>
              <w:br/>
              <w:rPr>
                <w:color w:val="auto"/>
                <w:sz w:val="18"/>
                <w:kern w:val="0"/>
                <w:szCs w:val="18"/>
                <w:rFonts w:ascii="宋体" w:hAnsi="宋体" w:eastAsia="宋体" w:cs="宋体" w:hint="eastAsia"/>
              </w:rPr>
            </w:r>
            <w:r>
              <w:rPr>
                <w:color w:val="auto"/>
                <w:sz w:val="18"/>
                <w:kern w:val="0"/>
                <w:szCs w:val="18"/>
                <w:rFonts w:ascii="宋体" w:hAnsi="宋体" w:eastAsia="宋体" w:cs="宋体" w:hint="eastAsia"/>
              </w:rPr>
              <w:t>（万元）</w:t>
            </w:r>
          </w:p>
        </w:tc>
        <w:tc>
          <w:tcPr>
            <w:tcW w:w="883" w:type="dxa"/>
            <w:vAlign w:val="center"/>
            <w:tcBorders>
              <w:top w:val="single" w:color="auto" w:sz="4" w:space="0"/>
              <w:left w:val="nil"/>
              <w:bottom w:val="single" w:color="auto" w:sz="4" w:space="0"/>
              <w:right w:val="single" w:color="auto" w:sz="4" w:space="0"/>
            </w:tcBorders>
          </w:tcPr>
          <w:p>
            <w:pPr>
              <w:widowControl w:val="1"/>
              <w:jc w:val="center"/>
              <w:spacing w:line="240" w:lineRule="exact"/>
              <w:rPr>
                <w:color w:val="auto"/>
                <w:sz w:val="18"/>
                <w:kern w:val="0"/>
                <w:szCs w:val="18"/>
                <w:rFonts w:ascii="宋体" w:hAnsi="宋体" w:eastAsia="宋体" w:cs="宋体" w:hint="eastAsia"/>
              </w:rPr>
            </w:pPr>
          </w:p>
        </w:tc>
        <w:tc>
          <w:tcPr>
            <w:tcW w:w="1722" w:type="dxa"/>
            <w:vAlign w:val="center"/>
            <w:tcBorders>
              <w:top w:val="nil"/>
              <w:left w:val="nil"/>
              <w:bottom w:val="single" w:color="auto" w:sz="4" w:space="0"/>
              <w:right w:val="single" w:color="auto" w:sz="4" w:space="0"/>
            </w:tcBorders>
          </w:tcPr>
          <w:p>
            <w:pPr>
              <w:widowControl w:val="1"/>
              <w:jc w:val="center"/>
              <w:spacing w:line="240" w:lineRule="exact"/>
              <w:rPr>
                <w:color w:val="auto"/>
                <w:sz w:val="18"/>
                <w:kern w:val="0"/>
                <w:szCs w:val="18"/>
                <w:rFonts w:ascii="宋体" w:hAnsi="宋体" w:eastAsia="宋体" w:cs="宋体" w:hint="eastAsia"/>
              </w:rPr>
            </w:pPr>
            <w:r>
              <w:rPr>
                <w:color w:val="auto"/>
                <w:sz w:val="18"/>
                <w:kern w:val="0"/>
                <w:szCs w:val="18"/>
                <w:rFonts w:ascii="宋体" w:hAnsi="宋体" w:eastAsia="宋体" w:cs="宋体" w:hint="eastAsia"/>
              </w:rPr>
              <w:t>年初预算数</w:t>
            </w:r>
          </w:p>
        </w:tc>
        <w:tc>
          <w:tcPr>
            <w:tcW w:w="855" w:type="dxa"/>
            <w:vAlign w:val="center"/>
            <w:tcBorders>
              <w:top w:val="nil"/>
              <w:left w:val="nil"/>
              <w:bottom w:val="single" w:color="auto" w:sz="4" w:space="0"/>
              <w:right w:val="single" w:color="auto" w:sz="4" w:space="0"/>
            </w:tcBorders>
          </w:tcPr>
          <w:p>
            <w:pPr>
              <w:widowControl w:val="1"/>
              <w:jc w:val="center"/>
              <w:spacing w:line="240" w:lineRule="exact"/>
              <w:rPr>
                <w:color w:val="auto"/>
                <w:sz w:val="18"/>
                <w:kern w:val="0"/>
                <w:szCs w:val="18"/>
                <w:rFonts w:ascii="宋体" w:hAnsi="宋体" w:eastAsia="宋体" w:cs="宋体" w:hint="eastAsia"/>
              </w:rPr>
            </w:pPr>
            <w:r>
              <w:rPr>
                <w:color w:val="auto"/>
                <w:sz w:val="18"/>
                <w:kern w:val="0"/>
                <w:szCs w:val="18"/>
                <w:rFonts w:ascii="宋体" w:hAnsi="宋体" w:eastAsia="宋体" w:cs="宋体" w:hint="eastAsia"/>
              </w:rPr>
              <w:t>全年预算数</w:t>
            </w:r>
          </w:p>
        </w:tc>
        <w:tc>
          <w:tcPr>
            <w:tcW w:w="885" w:type="dxa"/>
            <w:vAlign w:val="center"/>
            <w:tcBorders>
              <w:top w:val="nil"/>
              <w:left w:val="nil"/>
              <w:bottom w:val="single" w:color="auto" w:sz="4" w:space="0"/>
              <w:right w:val="single" w:color="auto" w:sz="4" w:space="0"/>
            </w:tcBorders>
          </w:tcPr>
          <w:p>
            <w:pPr>
              <w:widowControl w:val="1"/>
              <w:jc w:val="center"/>
              <w:spacing w:line="240" w:lineRule="exact"/>
              <w:rPr>
                <w:color w:val="auto"/>
                <w:sz w:val="18"/>
                <w:kern w:val="0"/>
                <w:szCs w:val="18"/>
                <w:rFonts w:ascii="宋体" w:hAnsi="宋体" w:eastAsia="宋体" w:cs="宋体" w:hint="eastAsia"/>
              </w:rPr>
            </w:pPr>
            <w:r>
              <w:rPr>
                <w:color w:val="auto"/>
                <w:sz w:val="18"/>
                <w:kern w:val="0"/>
                <w:szCs w:val="18"/>
                <w:rFonts w:ascii="宋体" w:hAnsi="宋体" w:eastAsia="宋体" w:cs="宋体" w:hint="eastAsia"/>
              </w:rPr>
              <w:t>全年执行数</w:t>
            </w:r>
          </w:p>
        </w:tc>
        <w:tc>
          <w:tcPr>
            <w:tcW w:w="555" w:type="dxa"/>
            <w:vAlign w:val="center"/>
            <w:tcBorders>
              <w:top w:val="nil"/>
              <w:left w:val="nil"/>
              <w:bottom w:val="single" w:color="auto" w:sz="4" w:space="0"/>
              <w:right w:val="single" w:color="auto" w:sz="4" w:space="0"/>
            </w:tcBorders>
          </w:tcPr>
          <w:p>
            <w:pPr>
              <w:widowControl w:val="1"/>
              <w:jc w:val="center"/>
              <w:spacing w:line="240" w:lineRule="exact"/>
              <w:rPr>
                <w:color w:val="auto"/>
                <w:sz w:val="18"/>
                <w:kern w:val="0"/>
                <w:szCs w:val="18"/>
                <w:rFonts w:ascii="宋体" w:hAnsi="宋体" w:eastAsia="宋体" w:cs="宋体" w:hint="eastAsia"/>
              </w:rPr>
            </w:pPr>
            <w:r>
              <w:rPr>
                <w:color w:val="auto"/>
                <w:sz w:val="18"/>
                <w:kern w:val="0"/>
                <w:szCs w:val="18"/>
                <w:rFonts w:ascii="宋体" w:hAnsi="宋体" w:eastAsia="宋体" w:cs="宋体" w:hint="eastAsia"/>
              </w:rPr>
              <w:t>分值</w:t>
            </w:r>
          </w:p>
        </w:tc>
        <w:tc>
          <w:tcPr>
            <w:tcW w:w="825" w:type="dxa"/>
            <w:vAlign w:val="center"/>
            <w:tcBorders>
              <w:top w:val="single" w:color="auto" w:sz="4" w:space="0"/>
              <w:left w:val="nil"/>
              <w:bottom w:val="single" w:color="auto" w:sz="4" w:space="0"/>
              <w:right w:val="single" w:color="auto" w:sz="4" w:space="0"/>
            </w:tcBorders>
          </w:tcPr>
          <w:p>
            <w:pPr>
              <w:widowControl w:val="1"/>
              <w:jc w:val="center"/>
              <w:spacing w:line="240" w:lineRule="exact"/>
              <w:rPr>
                <w:color w:val="auto"/>
                <w:sz w:val="18"/>
                <w:kern w:val="0"/>
                <w:szCs w:val="18"/>
                <w:rFonts w:ascii="宋体" w:hAnsi="宋体" w:eastAsia="宋体" w:cs="宋体" w:hint="eastAsia"/>
              </w:rPr>
            </w:pPr>
            <w:r>
              <w:rPr>
                <w:color w:val="auto"/>
                <w:sz w:val="18"/>
                <w:kern w:val="0"/>
                <w:szCs w:val="18"/>
                <w:rFonts w:ascii="宋体" w:hAnsi="宋体" w:eastAsia="宋体" w:cs="宋体" w:hint="eastAsia"/>
              </w:rPr>
              <w:t>执行率</w:t>
            </w:r>
          </w:p>
        </w:tc>
        <w:tc>
          <w:tcPr>
            <w:tcW w:w="1943" w:type="dxa"/>
            <w:vAlign w:val="center"/>
            <w:tcBorders>
              <w:top w:val="nil"/>
              <w:left w:val="nil"/>
              <w:bottom w:val="single" w:color="auto" w:sz="4" w:space="0"/>
              <w:right w:val="single" w:color="auto" w:sz="4" w:space="0"/>
            </w:tcBorders>
          </w:tcPr>
          <w:p>
            <w:pPr>
              <w:widowControl w:val="1"/>
              <w:jc w:val="center"/>
              <w:spacing w:line="240" w:lineRule="exact"/>
              <w:rPr>
                <w:color w:val="auto"/>
                <w:sz w:val="18"/>
                <w:kern w:val="0"/>
                <w:szCs w:val="18"/>
                <w:rFonts w:ascii="宋体" w:hAnsi="宋体" w:eastAsia="宋体" w:cs="宋体" w:hint="eastAsia"/>
              </w:rPr>
            </w:pPr>
            <w:r>
              <w:rPr>
                <w:color w:val="auto"/>
                <w:sz w:val="18"/>
                <w:kern w:val="0"/>
                <w:szCs w:val="18"/>
                <w:rFonts w:ascii="宋体" w:hAnsi="宋体" w:eastAsia="宋体" w:cs="宋体" w:hint="eastAsia"/>
              </w:rPr>
              <w:t>得分</w:t>
            </w:r>
          </w:p>
        </w:tc>
      </w:tr>
      <w:tr>
        <w:tblPrEx>
          <w:tblCellMar>
            <w:top w:type="dxa" w:w="0.000000"/>
            <w:bottom w:type="dxa" w:w="0.000000"/>
            <w:left w:type="dxa" w:w="108.000000"/>
            <w:right w:type="dxa" w:w="108.000000"/>
          </w:tblCellMar>
          <w:tblLayout w:type="fixed"/>
        </w:tblPrEx>
        <w:trPr>
          <w:trHeight w:val="520" w:hRule="exact"/>
          <w:jc w:val="center"/>
        </w:trPr>
        <w:tc>
          <w:tcPr>
            <w:tcW w:w="854" w:type="dxa"/>
            <w:gridSpan w:val="2"/>
            <w:vMerge w:val="continue"/>
            <w:vAlign w:val="center"/>
            <w:tcBorders>
              <w:top w:val="single" w:color="auto" w:sz="4" w:space="0"/>
              <w:left w:val="single" w:color="auto" w:sz="4" w:space="0"/>
              <w:bottom w:val="single" w:color="auto" w:sz="4" w:space="0"/>
              <w:right w:val="single" w:color="auto" w:sz="4" w:space="0"/>
            </w:tcBorders>
          </w:tcPr>
          <w:p>
            <w:pPr>
              <w:widowControl w:val="1"/>
              <w:jc w:val="center"/>
              <w:spacing w:line="240" w:lineRule="exact"/>
              <w:rPr>
                <w:color w:val="auto"/>
                <w:sz w:val="18"/>
                <w:kern w:val="0"/>
                <w:szCs w:val="18"/>
                <w:rFonts w:ascii="宋体" w:hAnsi="宋体" w:eastAsia="宋体" w:cs="宋体" w:hint="eastAsia"/>
              </w:rPr>
            </w:pPr>
          </w:p>
        </w:tc>
        <w:tc>
          <w:tcPr>
            <w:tcW w:w="883" w:type="dxa"/>
            <w:vAlign w:val="center"/>
            <w:tcBorders>
              <w:top w:val="single" w:color="auto" w:sz="4" w:space="0"/>
              <w:left w:val="nil"/>
              <w:bottom w:val="single" w:color="auto" w:sz="4" w:space="0"/>
              <w:right w:val="single" w:color="auto" w:sz="4" w:space="0"/>
            </w:tcBorders>
          </w:tcPr>
          <w:p>
            <w:pPr>
              <w:widowControl w:val="1"/>
              <w:spacing w:line="240" w:lineRule="exact"/>
              <w:rPr>
                <w:color w:val="auto"/>
                <w:sz w:val="18"/>
                <w:kern w:val="0"/>
                <w:szCs w:val="18"/>
                <w:rFonts w:ascii="宋体" w:hAnsi="宋体" w:eastAsia="宋体" w:cs="宋体" w:hint="eastAsia"/>
              </w:rPr>
            </w:pPr>
            <w:r>
              <w:rPr>
                <w:color w:val="auto"/>
                <w:sz w:val="18"/>
                <w:kern w:val="0"/>
                <w:szCs w:val="18"/>
                <w:rFonts w:ascii="宋体" w:hAnsi="宋体" w:eastAsia="宋体" w:cs="宋体" w:hint="eastAsia"/>
              </w:rPr>
              <w:t>年度资金总额</w:t>
            </w:r>
          </w:p>
        </w:tc>
        <w:tc>
          <w:tcPr>
            <w:tcW w:w="1722" w:type="dxa"/>
            <w:vAlign w:val="center"/>
            <w:tcBorders>
              <w:top w:val="nil"/>
              <w:left w:val="nil"/>
              <w:bottom w:val="single" w:color="auto" w:sz="4" w:space="0"/>
              <w:right w:val="single" w:color="auto" w:sz="4" w:space="0"/>
            </w:tcBorders>
          </w:tcPr>
          <w:p>
            <w:pPr>
              <w:widowControl w:val="1"/>
              <w:jc w:val="center"/>
              <w:spacing w:line="240" w:lineRule="exact"/>
              <w:rPr>
                <w:color w:val="auto"/>
                <w:sz w:val="18"/>
                <w:lang w:eastAsia="zh-CN"/>
                <w:kern w:val="0"/>
                <w:szCs w:val="18"/>
                <w:rFonts w:ascii="宋体" w:hAnsi="宋体" w:eastAsia="宋体" w:cs="宋体" w:hint="eastAsia"/>
              </w:rPr>
            </w:pPr>
            <w:r>
              <w:rPr>
                <w:color w:val="auto"/>
                <w:sz w:val="18"/>
                <w:lang w:eastAsia="zh-CN"/>
                <w:kern w:val="0"/>
                <w:szCs w:val="18"/>
                <w:rFonts w:ascii="宋体" w:hAnsi="宋体" w:eastAsia="宋体" w:cs="宋体" w:hint="eastAsia"/>
              </w:rPr>
              <w:t>10014</w:t>
            </w:r>
          </w:p>
        </w:tc>
        <w:tc>
          <w:tcPr>
            <w:tcW w:w="855" w:type="dxa"/>
            <w:vAlign w:val="center"/>
            <w:tcBorders>
              <w:top w:val="nil"/>
              <w:left w:val="nil"/>
              <w:bottom w:val="single" w:color="auto" w:sz="4" w:space="0"/>
              <w:right w:val="single" w:color="auto" w:sz="4" w:space="0"/>
            </w:tcBorders>
          </w:tcPr>
          <w:p>
            <w:pPr>
              <w:widowControl w:val="1"/>
              <w:jc w:val="center"/>
              <w:spacing w:line="240" w:lineRule="exact"/>
              <w:rPr>
                <w:color w:val="auto"/>
                <w:sz w:val="18"/>
                <w:kern w:val="0"/>
                <w:szCs w:val="18"/>
                <w:rFonts w:ascii="宋体" w:hAnsi="宋体" w:eastAsia="宋体" w:cs="宋体" w:hint="eastAsia"/>
              </w:rPr>
            </w:pPr>
            <w:r>
              <w:rPr>
                <w:color w:val="auto"/>
                <w:sz w:val="18"/>
                <w:lang w:val="en-US" w:eastAsia="zh-CN"/>
                <w:kern w:val="0"/>
                <w:szCs w:val="18"/>
                <w:rFonts w:ascii="宋体" w:hAnsi="宋体" w:eastAsia="宋体" w:cs="宋体" w:hint="eastAsia"/>
              </w:rPr>
              <w:t>10014</w:t>
            </w:r>
          </w:p>
        </w:tc>
        <w:tc>
          <w:tcPr>
            <w:tcW w:w="885" w:type="dxa"/>
            <w:vAlign w:val="center"/>
            <w:tcBorders>
              <w:top w:val="nil"/>
              <w:left w:val="nil"/>
              <w:bottom w:val="single" w:color="auto" w:sz="4" w:space="0"/>
              <w:right w:val="single" w:color="auto" w:sz="4" w:space="0"/>
            </w:tcBorders>
          </w:tcPr>
          <w:p>
            <w:pPr>
              <w:widowControl w:val="1"/>
              <w:jc w:val="center"/>
              <w:spacing w:line="240" w:lineRule="exact"/>
              <w:rPr>
                <w:color w:val="auto"/>
                <w:sz w:val="18"/>
                <w:lang w:val="en-US" w:eastAsia="zh-CN"/>
                <w:kern w:val="0"/>
                <w:szCs w:val="18"/>
                <w:rFonts w:ascii="宋体" w:hAnsi="宋体" w:eastAsia="宋体" w:cs="宋体" w:hint="default"/>
              </w:rPr>
            </w:pPr>
            <w:r>
              <w:rPr>
                <w:color w:val="auto"/>
                <w:sz w:val="18"/>
                <w:lang w:val="en-US" w:eastAsia="zh-CN"/>
                <w:kern w:val="0"/>
                <w:szCs w:val="18"/>
                <w:rFonts w:ascii="宋体" w:hAnsi="宋体" w:eastAsia="宋体" w:cs="宋体" w:hint="eastAsia"/>
              </w:rPr>
              <w:t>9631.74</w:t>
            </w:r>
          </w:p>
        </w:tc>
        <w:tc>
          <w:tcPr>
            <w:tcW w:w="555" w:type="dxa"/>
            <w:vAlign w:val="center"/>
            <w:tcBorders>
              <w:top w:val="nil"/>
              <w:left w:val="nil"/>
              <w:bottom w:val="single" w:color="auto" w:sz="4" w:space="0"/>
              <w:right w:val="single" w:color="auto" w:sz="4" w:space="0"/>
            </w:tcBorders>
          </w:tcPr>
          <w:p>
            <w:pPr>
              <w:widowControl w:val="1"/>
              <w:jc w:val="center"/>
              <w:spacing w:line="240" w:lineRule="exact"/>
              <w:rPr>
                <w:color w:val="auto"/>
                <w:sz w:val="18"/>
                <w:kern w:val="0"/>
                <w:szCs w:val="18"/>
                <w:rFonts w:ascii="宋体" w:hAnsi="宋体" w:eastAsia="宋体" w:cs="宋体" w:hint="eastAsia"/>
              </w:rPr>
            </w:pPr>
            <w:r>
              <w:rPr>
                <w:color w:val="auto"/>
                <w:sz w:val="18"/>
                <w:kern w:val="0"/>
                <w:szCs w:val="18"/>
                <w:rFonts w:ascii="宋体" w:hAnsi="宋体" w:eastAsia="宋体" w:cs="宋体" w:hint="eastAsia"/>
              </w:rPr>
              <w:t>10</w:t>
            </w:r>
          </w:p>
        </w:tc>
        <w:tc>
          <w:tcPr>
            <w:tcW w:w="825" w:type="dxa"/>
            <w:vAlign w:val="center"/>
            <w:tcBorders>
              <w:top w:val="single" w:color="auto" w:sz="4" w:space="0"/>
              <w:left w:val="nil"/>
              <w:bottom w:val="single" w:color="auto" w:sz="4" w:space="0"/>
              <w:right w:val="single" w:color="auto" w:sz="4" w:space="0"/>
            </w:tcBorders>
          </w:tcPr>
          <w:p>
            <w:pPr>
              <w:widowControl w:val="1"/>
              <w:jc w:val="center"/>
              <w:spacing w:line="240" w:lineRule="exact"/>
              <w:rPr>
                <w:color w:val="auto"/>
                <w:sz w:val="18"/>
                <w:lang w:val="en-US" w:eastAsia="zh-CN"/>
                <w:kern w:val="0"/>
                <w:szCs w:val="18"/>
                <w:rFonts w:ascii="宋体" w:hAnsi="宋体" w:eastAsia="宋体" w:cs="宋体" w:hint="default"/>
              </w:rPr>
            </w:pPr>
            <w:r>
              <w:rPr>
                <w:color w:val="auto"/>
                <w:sz w:val="18"/>
                <w:lang w:val="en-US" w:eastAsia="zh-CN"/>
                <w:kern w:val="0"/>
                <w:szCs w:val="18"/>
                <w:rFonts w:ascii="宋体" w:hAnsi="宋体" w:eastAsia="宋体" w:cs="宋体" w:hint="eastAsia"/>
              </w:rPr>
              <w:t>96.18%</w:t>
            </w:r>
          </w:p>
        </w:tc>
        <w:tc>
          <w:tcPr>
            <w:tcW w:w="1943" w:type="dxa"/>
            <w:vAlign w:val="center"/>
            <w:tcBorders>
              <w:top w:val="nil"/>
              <w:left w:val="nil"/>
              <w:bottom w:val="single" w:color="auto" w:sz="4" w:space="0"/>
              <w:right w:val="single" w:color="auto" w:sz="4" w:space="0"/>
            </w:tcBorders>
          </w:tcPr>
          <w:p>
            <w:pPr>
              <w:widowControl w:val="1"/>
              <w:jc w:val="center"/>
              <w:spacing w:line="240" w:lineRule="exact"/>
              <w:rPr>
                <w:color w:val="auto"/>
                <w:sz w:val="18"/>
                <w:lang w:val="en-US" w:eastAsia="zh-CN"/>
                <w:kern w:val="0"/>
                <w:szCs w:val="18"/>
                <w:rFonts w:ascii="宋体" w:hAnsi="宋体" w:eastAsia="宋体" w:cs="宋体" w:hint="default"/>
              </w:rPr>
            </w:pPr>
            <w:r>
              <w:rPr>
                <w:color w:val="auto"/>
                <w:sz w:val="18"/>
                <w:lang w:val="en-US" w:eastAsia="zh-CN"/>
                <w:kern w:val="0"/>
                <w:szCs w:val="18"/>
                <w:rFonts w:ascii="宋体" w:hAnsi="宋体" w:eastAsia="宋体" w:cs="宋体" w:hint="eastAsia"/>
              </w:rPr>
              <w:t>9.62</w:t>
            </w:r>
          </w:p>
        </w:tc>
      </w:tr>
      <w:tr>
        <w:tblPrEx>
          <w:tblCellMar>
            <w:top w:type="dxa" w:w="0.000000"/>
            <w:bottom w:type="dxa" w:w="0.000000"/>
            <w:left w:type="dxa" w:w="108.000000"/>
            <w:right w:type="dxa" w:w="108.000000"/>
          </w:tblCellMar>
          <w:tblLayout w:type="fixed"/>
        </w:tblPrEx>
        <w:trPr>
          <w:trHeight w:val="810" w:hRule="exact"/>
          <w:jc w:val="center"/>
        </w:trPr>
        <w:tc>
          <w:tcPr>
            <w:tcW w:w="854" w:type="dxa"/>
            <w:gridSpan w:val="2"/>
            <w:vMerge w:val="continue"/>
            <w:vAlign w:val="center"/>
            <w:tcBorders>
              <w:top w:val="single" w:color="auto" w:sz="4" w:space="0"/>
              <w:left w:val="single" w:color="auto" w:sz="4" w:space="0"/>
              <w:bottom w:val="single" w:color="auto" w:sz="4" w:space="0"/>
              <w:right w:val="single" w:color="auto" w:sz="4" w:space="0"/>
            </w:tcBorders>
          </w:tcPr>
          <w:p>
            <w:pPr>
              <w:widowControl w:val="1"/>
              <w:jc w:val="center"/>
              <w:spacing w:line="240" w:lineRule="exact"/>
              <w:rPr>
                <w:color w:val="auto"/>
                <w:sz w:val="18"/>
                <w:kern w:val="0"/>
                <w:szCs w:val="18"/>
                <w:rFonts w:ascii="宋体" w:hAnsi="宋体" w:eastAsia="宋体" w:cs="宋体" w:hint="eastAsia"/>
              </w:rPr>
            </w:pPr>
          </w:p>
        </w:tc>
        <w:tc>
          <w:tcPr>
            <w:tcW w:w="883" w:type="dxa"/>
            <w:vAlign w:val="center"/>
            <w:tcBorders>
              <w:top w:val="single" w:color="auto" w:sz="4" w:space="0"/>
              <w:left w:val="nil"/>
              <w:bottom w:val="single" w:color="auto" w:sz="4" w:space="0"/>
              <w:right w:val="single" w:color="auto" w:sz="4" w:space="0"/>
            </w:tcBorders>
          </w:tcPr>
          <w:p>
            <w:pPr>
              <w:widowControl w:val="1"/>
              <w:jc w:val="center"/>
              <w:spacing w:line="240" w:lineRule="exact"/>
              <w:rPr>
                <w:color w:val="auto"/>
                <w:sz w:val="18"/>
                <w:kern w:val="0"/>
                <w:szCs w:val="18"/>
                <w:rFonts w:ascii="宋体" w:hAnsi="宋体" w:eastAsia="宋体" w:cs="宋体" w:hint="eastAsia"/>
              </w:rPr>
            </w:pPr>
            <w:r>
              <w:rPr>
                <w:color w:val="auto"/>
                <w:sz w:val="18"/>
                <w:kern w:val="0"/>
                <w:szCs w:val="18"/>
                <w:rFonts w:ascii="宋体" w:hAnsi="宋体" w:eastAsia="宋体" w:cs="宋体" w:hint="eastAsia"/>
              </w:rPr>
              <w:t>其中：当年财政拨款</w:t>
            </w:r>
          </w:p>
        </w:tc>
        <w:tc>
          <w:tcPr>
            <w:tcW w:w="1722" w:type="dxa"/>
            <w:vAlign w:val="center"/>
            <w:tcBorders>
              <w:top w:val="nil"/>
              <w:left w:val="nil"/>
              <w:bottom w:val="single" w:color="auto" w:sz="4" w:space="0"/>
              <w:right w:val="single" w:color="auto" w:sz="4" w:space="0"/>
            </w:tcBorders>
          </w:tcPr>
          <w:p>
            <w:pPr>
              <w:widowControl w:val="1"/>
              <w:jc w:val="center"/>
              <w:spacing w:line="240" w:lineRule="exact"/>
              <w:rPr>
                <w:color w:val="auto"/>
                <w:sz w:val="18"/>
                <w:lang w:eastAsia="zh-CN"/>
                <w:kern w:val="0"/>
                <w:szCs w:val="18"/>
                <w:rFonts w:ascii="宋体" w:hAnsi="宋体" w:eastAsia="宋体" w:cs="宋体" w:hint="eastAsia"/>
              </w:rPr>
            </w:pPr>
            <w:r>
              <w:rPr>
                <w:color w:val="auto"/>
                <w:sz w:val="18"/>
                <w:lang w:eastAsia="zh-CN"/>
                <w:kern w:val="0"/>
                <w:szCs w:val="18"/>
                <w:rFonts w:ascii="宋体" w:hAnsi="宋体" w:eastAsia="宋体" w:cs="宋体" w:hint="eastAsia"/>
              </w:rPr>
              <w:t>10014</w:t>
            </w:r>
          </w:p>
        </w:tc>
        <w:tc>
          <w:tcPr>
            <w:tcW w:w="855" w:type="dxa"/>
            <w:vAlign w:val="center"/>
            <w:tcBorders>
              <w:top w:val="nil"/>
              <w:left w:val="nil"/>
              <w:bottom w:val="single" w:color="auto" w:sz="4" w:space="0"/>
              <w:right w:val="single" w:color="auto" w:sz="4" w:space="0"/>
            </w:tcBorders>
          </w:tcPr>
          <w:p>
            <w:pPr>
              <w:widowControl w:val="1"/>
              <w:jc w:val="center"/>
              <w:spacing w:line="240" w:lineRule="exact"/>
              <w:rPr>
                <w:color w:val="auto"/>
                <w:sz w:val="18"/>
                <w:kern w:val="0"/>
                <w:szCs w:val="18"/>
                <w:rFonts w:ascii="宋体" w:hAnsi="宋体" w:eastAsia="宋体" w:cs="宋体" w:hint="eastAsia"/>
              </w:rPr>
            </w:pPr>
            <w:r>
              <w:rPr>
                <w:color w:val="auto"/>
                <w:sz w:val="18"/>
                <w:lang w:val="en-US" w:eastAsia="zh-CN"/>
                <w:kern w:val="0"/>
                <w:szCs w:val="18"/>
                <w:rFonts w:ascii="宋体" w:hAnsi="宋体" w:eastAsia="宋体" w:cs="宋体" w:hint="eastAsia"/>
              </w:rPr>
              <w:t>10014</w:t>
            </w:r>
          </w:p>
        </w:tc>
        <w:tc>
          <w:tcPr>
            <w:tcW w:w="885" w:type="dxa"/>
            <w:vAlign w:val="center"/>
            <w:tcBorders>
              <w:top w:val="nil"/>
              <w:left w:val="nil"/>
              <w:bottom w:val="single" w:color="auto" w:sz="4" w:space="0"/>
              <w:right w:val="single" w:color="auto" w:sz="4" w:space="0"/>
            </w:tcBorders>
          </w:tcPr>
          <w:p>
            <w:pPr>
              <w:widowControl w:val="1"/>
              <w:jc w:val="center"/>
              <w:spacing w:line="240" w:lineRule="exact"/>
              <w:rPr>
                <w:color w:val="auto"/>
                <w:sz w:val="18"/>
                <w:kern w:val="0"/>
                <w:szCs w:val="18"/>
                <w:rFonts w:ascii="宋体" w:hAnsi="宋体" w:eastAsia="宋体" w:cs="宋体" w:hint="eastAsia"/>
              </w:rPr>
            </w:pPr>
            <w:r>
              <w:rPr>
                <w:color w:val="auto"/>
                <w:sz w:val="18"/>
                <w:lang w:val="en-US" w:eastAsia="zh-CN"/>
                <w:kern w:val="0"/>
                <w:szCs w:val="18"/>
                <w:rFonts w:ascii="宋体" w:hAnsi="宋体" w:eastAsia="宋体" w:cs="宋体" w:hint="eastAsia"/>
              </w:rPr>
              <w:t>9631.74</w:t>
            </w:r>
          </w:p>
        </w:tc>
        <w:tc>
          <w:tcPr>
            <w:tcW w:w="555" w:type="dxa"/>
            <w:vAlign w:val="center"/>
            <w:tcBorders>
              <w:top w:val="nil"/>
              <w:left w:val="nil"/>
              <w:bottom w:val="single" w:color="auto" w:sz="4" w:space="0"/>
              <w:right w:val="single" w:color="auto" w:sz="4" w:space="0"/>
            </w:tcBorders>
          </w:tcPr>
          <w:p>
            <w:pPr>
              <w:widowControl w:val="1"/>
              <w:jc w:val="center"/>
              <w:spacing w:line="240" w:lineRule="exact"/>
              <w:rPr>
                <w:color w:val="auto"/>
                <w:sz w:val="18"/>
                <w:kern w:val="0"/>
                <w:szCs w:val="18"/>
                <w:rFonts w:ascii="宋体" w:hAnsi="宋体" w:eastAsia="宋体" w:cs="宋体" w:hint="eastAsia"/>
              </w:rPr>
            </w:pPr>
            <w:r>
              <w:rPr>
                <w:color w:val="auto"/>
                <w:sz w:val="18"/>
                <w:kern w:val="0"/>
                <w:szCs w:val="18"/>
                <w:rFonts w:ascii="宋体" w:hAnsi="宋体" w:eastAsia="宋体" w:cs="宋体" w:hint="eastAsia"/>
              </w:rPr>
              <w:t>—</w:t>
            </w:r>
          </w:p>
        </w:tc>
        <w:tc>
          <w:tcPr>
            <w:tcW w:w="825" w:type="dxa"/>
            <w:vAlign w:val="center"/>
            <w:tcBorders>
              <w:top w:val="single" w:color="auto" w:sz="4" w:space="0"/>
              <w:left w:val="nil"/>
              <w:bottom w:val="single" w:color="auto" w:sz="4" w:space="0"/>
              <w:right w:val="single" w:color="auto" w:sz="4" w:space="0"/>
            </w:tcBorders>
          </w:tcPr>
          <w:p>
            <w:pPr>
              <w:widowControl w:val="1"/>
              <w:jc w:val="center"/>
              <w:spacing w:line="240" w:lineRule="exact"/>
              <w:rPr>
                <w:color w:val="auto"/>
                <w:sz w:val="18"/>
                <w:kern w:val="0"/>
                <w:szCs w:val="18"/>
                <w:rFonts w:ascii="宋体" w:hAnsi="宋体" w:eastAsia="宋体" w:cs="宋体" w:hint="eastAsia"/>
              </w:rPr>
            </w:pPr>
            <w:r>
              <w:rPr>
                <w:color w:val="auto"/>
                <w:sz w:val="18"/>
                <w:lang w:val="en-US" w:eastAsia="zh-CN"/>
                <w:kern w:val="0"/>
                <w:szCs w:val="18"/>
                <w:rFonts w:ascii="宋体" w:hAnsi="宋体" w:eastAsia="宋体" w:cs="宋体" w:hint="eastAsia"/>
              </w:rPr>
              <w:t>96.18%</w:t>
            </w:r>
          </w:p>
        </w:tc>
        <w:tc>
          <w:tcPr>
            <w:tcW w:w="1943" w:type="dxa"/>
            <w:vAlign w:val="center"/>
            <w:tcBorders>
              <w:top w:val="nil"/>
              <w:left w:val="nil"/>
              <w:bottom w:val="single" w:color="auto" w:sz="4" w:space="0"/>
              <w:right w:val="single" w:color="auto" w:sz="4" w:space="0"/>
            </w:tcBorders>
          </w:tcPr>
          <w:p>
            <w:pPr>
              <w:widowControl w:val="1"/>
              <w:jc w:val="center"/>
              <w:spacing w:line="240" w:lineRule="exact"/>
              <w:rPr>
                <w:color w:val="auto"/>
                <w:sz w:val="18"/>
                <w:kern w:val="0"/>
                <w:szCs w:val="18"/>
                <w:rFonts w:ascii="宋体" w:hAnsi="宋体" w:eastAsia="宋体" w:cs="宋体" w:hint="eastAsia"/>
              </w:rPr>
            </w:pPr>
            <w:r>
              <w:rPr>
                <w:color w:val="auto"/>
                <w:sz w:val="18"/>
                <w:kern w:val="0"/>
                <w:szCs w:val="18"/>
                <w:rFonts w:ascii="宋体" w:hAnsi="宋体" w:eastAsia="宋体" w:cs="宋体" w:hint="eastAsia"/>
              </w:rPr>
              <w:t>—</w:t>
            </w:r>
          </w:p>
        </w:tc>
      </w:tr>
      <w:tr>
        <w:tblPrEx>
          <w:tblCellMar>
            <w:top w:type="dxa" w:w="0.000000"/>
            <w:bottom w:type="dxa" w:w="0.000000"/>
            <w:left w:type="dxa" w:w="108.000000"/>
            <w:right w:type="dxa" w:w="108.000000"/>
          </w:tblCellMar>
          <w:tblLayout w:type="fixed"/>
        </w:tblPrEx>
        <w:trPr>
          <w:trHeight w:val="550" w:hRule="exact"/>
          <w:jc w:val="center"/>
        </w:trPr>
        <w:tc>
          <w:tcPr>
            <w:tcW w:w="854" w:type="dxa"/>
            <w:gridSpan w:val="2"/>
            <w:vMerge w:val="continue"/>
            <w:vAlign w:val="center"/>
            <w:tcBorders>
              <w:top w:val="single" w:color="auto" w:sz="4" w:space="0"/>
              <w:left w:val="single" w:color="auto" w:sz="4" w:space="0"/>
              <w:bottom w:val="single" w:color="auto" w:sz="4" w:space="0"/>
              <w:right w:val="single" w:color="auto" w:sz="4" w:space="0"/>
            </w:tcBorders>
          </w:tcPr>
          <w:p>
            <w:pPr>
              <w:widowControl w:val="1"/>
              <w:jc w:val="center"/>
              <w:spacing w:line="240" w:lineRule="exact"/>
              <w:rPr>
                <w:color w:val="auto"/>
                <w:sz w:val="18"/>
                <w:kern w:val="0"/>
                <w:szCs w:val="18"/>
                <w:rFonts w:ascii="宋体" w:hAnsi="宋体" w:eastAsia="宋体" w:cs="宋体" w:hint="eastAsia"/>
              </w:rPr>
            </w:pPr>
          </w:p>
        </w:tc>
        <w:tc>
          <w:tcPr>
            <w:tcW w:w="883" w:type="dxa"/>
            <w:vAlign w:val="center"/>
            <w:tcBorders>
              <w:top w:val="single" w:color="auto" w:sz="4" w:space="0"/>
              <w:left w:val="nil"/>
              <w:bottom w:val="single" w:color="auto" w:sz="4" w:space="0"/>
              <w:right w:val="single" w:color="auto" w:sz="4" w:space="0"/>
            </w:tcBorders>
          </w:tcPr>
          <w:p>
            <w:pPr>
              <w:widowControl w:val="1"/>
              <w:jc w:val="both"/>
              <w:spacing w:line="240" w:lineRule="exact"/>
              <w:rPr>
                <w:color w:val="auto"/>
                <w:sz w:val="18"/>
                <w:kern w:val="0"/>
                <w:szCs w:val="18"/>
                <w:rFonts w:ascii="宋体" w:hAnsi="宋体" w:eastAsia="宋体" w:cs="宋体" w:hint="eastAsia"/>
              </w:rPr>
            </w:pPr>
            <w:r>
              <w:rPr>
                <w:color w:val="auto"/>
                <w:sz w:val="18"/>
                <w:kern w:val="0"/>
                <w:szCs w:val="18"/>
                <w:rFonts w:ascii="宋体" w:hAnsi="宋体" w:eastAsia="宋体" w:cs="宋体" w:hint="eastAsia"/>
              </w:rPr>
              <w:t>上年结转资金</w:t>
            </w:r>
          </w:p>
        </w:tc>
        <w:tc>
          <w:tcPr>
            <w:tcW w:w="1722" w:type="dxa"/>
            <w:vAlign w:val="center"/>
            <w:tcBorders>
              <w:top w:val="nil"/>
              <w:left w:val="nil"/>
              <w:bottom w:val="single" w:color="auto" w:sz="4" w:space="0"/>
              <w:right w:val="single" w:color="auto" w:sz="4" w:space="0"/>
            </w:tcBorders>
          </w:tcPr>
          <w:p>
            <w:pPr>
              <w:widowControl w:val="1"/>
              <w:jc w:val="center"/>
              <w:spacing w:line="240" w:lineRule="exact"/>
              <w:rPr>
                <w:color w:val="auto"/>
                <w:sz w:val="18"/>
                <w:kern w:val="0"/>
                <w:szCs w:val="18"/>
                <w:rFonts w:ascii="宋体" w:hAnsi="宋体" w:eastAsia="宋体" w:cs="宋体" w:hint="eastAsia"/>
              </w:rPr>
            </w:pPr>
          </w:p>
        </w:tc>
        <w:tc>
          <w:tcPr>
            <w:tcW w:w="855" w:type="dxa"/>
            <w:vAlign w:val="center"/>
            <w:tcBorders>
              <w:top w:val="nil"/>
              <w:left w:val="nil"/>
              <w:bottom w:val="single" w:color="auto" w:sz="4" w:space="0"/>
              <w:right w:val="single" w:color="auto" w:sz="4" w:space="0"/>
            </w:tcBorders>
          </w:tcPr>
          <w:p>
            <w:pPr>
              <w:widowControl w:val="1"/>
              <w:jc w:val="center"/>
              <w:spacing w:line="240" w:lineRule="exact"/>
              <w:rPr>
                <w:color w:val="auto"/>
                <w:sz w:val="18"/>
                <w:kern w:val="0"/>
                <w:szCs w:val="18"/>
                <w:rFonts w:ascii="宋体" w:hAnsi="宋体" w:eastAsia="宋体" w:cs="宋体" w:hint="eastAsia"/>
              </w:rPr>
            </w:pPr>
          </w:p>
        </w:tc>
        <w:tc>
          <w:tcPr>
            <w:tcW w:w="885" w:type="dxa"/>
            <w:vAlign w:val="center"/>
            <w:tcBorders>
              <w:top w:val="nil"/>
              <w:left w:val="nil"/>
              <w:bottom w:val="single" w:color="auto" w:sz="4" w:space="0"/>
              <w:right w:val="single" w:color="auto" w:sz="4" w:space="0"/>
            </w:tcBorders>
          </w:tcPr>
          <w:p>
            <w:pPr>
              <w:widowControl w:val="1"/>
              <w:jc w:val="center"/>
              <w:spacing w:line="240" w:lineRule="exact"/>
              <w:rPr>
                <w:color w:val="auto"/>
                <w:sz w:val="18"/>
                <w:kern w:val="0"/>
                <w:szCs w:val="18"/>
                <w:rFonts w:ascii="宋体" w:hAnsi="宋体" w:eastAsia="宋体" w:cs="宋体" w:hint="eastAsia"/>
              </w:rPr>
            </w:pPr>
          </w:p>
        </w:tc>
        <w:tc>
          <w:tcPr>
            <w:tcW w:w="555" w:type="dxa"/>
            <w:vAlign w:val="center"/>
            <w:tcBorders>
              <w:top w:val="nil"/>
              <w:left w:val="nil"/>
              <w:bottom w:val="single" w:color="auto" w:sz="4" w:space="0"/>
              <w:right w:val="single" w:color="auto" w:sz="4" w:space="0"/>
            </w:tcBorders>
          </w:tcPr>
          <w:p>
            <w:pPr>
              <w:widowControl w:val="1"/>
              <w:jc w:val="center"/>
              <w:spacing w:line="240" w:lineRule="exact"/>
              <w:rPr>
                <w:color w:val="auto"/>
                <w:sz w:val="18"/>
                <w:kern w:val="0"/>
                <w:szCs w:val="18"/>
                <w:rFonts w:ascii="宋体" w:hAnsi="宋体" w:eastAsia="宋体" w:cs="宋体" w:hint="eastAsia"/>
              </w:rPr>
            </w:pPr>
            <w:r>
              <w:rPr>
                <w:color w:val="auto"/>
                <w:sz w:val="18"/>
                <w:kern w:val="0"/>
                <w:szCs w:val="18"/>
                <w:rFonts w:ascii="宋体" w:hAnsi="宋体" w:eastAsia="宋体" w:cs="宋体" w:hint="eastAsia"/>
              </w:rPr>
              <w:t>—</w:t>
            </w:r>
          </w:p>
        </w:tc>
        <w:tc>
          <w:tcPr>
            <w:tcW w:w="825" w:type="dxa"/>
            <w:vAlign w:val="center"/>
            <w:tcBorders>
              <w:top w:val="single" w:color="auto" w:sz="4" w:space="0"/>
              <w:left w:val="nil"/>
              <w:bottom w:val="single" w:color="auto" w:sz="4" w:space="0"/>
              <w:right w:val="single" w:color="auto" w:sz="4" w:space="0"/>
            </w:tcBorders>
          </w:tcPr>
          <w:p>
            <w:pPr>
              <w:widowControl w:val="1"/>
              <w:jc w:val="center"/>
              <w:spacing w:line="240" w:lineRule="exact"/>
              <w:rPr>
                <w:color w:val="auto"/>
                <w:sz w:val="18"/>
                <w:kern w:val="0"/>
                <w:szCs w:val="18"/>
                <w:rFonts w:ascii="宋体" w:hAnsi="宋体" w:eastAsia="宋体" w:cs="宋体" w:hint="eastAsia"/>
              </w:rPr>
            </w:pPr>
          </w:p>
        </w:tc>
        <w:tc>
          <w:tcPr>
            <w:tcW w:w="1943" w:type="dxa"/>
            <w:vAlign w:val="center"/>
            <w:tcBorders>
              <w:top w:val="nil"/>
              <w:left w:val="nil"/>
              <w:bottom w:val="single" w:color="auto" w:sz="4" w:space="0"/>
              <w:right w:val="single" w:color="auto" w:sz="4" w:space="0"/>
            </w:tcBorders>
          </w:tcPr>
          <w:p>
            <w:pPr>
              <w:widowControl w:val="1"/>
              <w:jc w:val="center"/>
              <w:spacing w:line="240" w:lineRule="exact"/>
              <w:rPr>
                <w:color w:val="auto"/>
                <w:sz w:val="18"/>
                <w:kern w:val="0"/>
                <w:szCs w:val="18"/>
                <w:rFonts w:ascii="宋体" w:hAnsi="宋体" w:eastAsia="宋体" w:cs="宋体" w:hint="eastAsia"/>
              </w:rPr>
            </w:pPr>
            <w:r>
              <w:rPr>
                <w:color w:val="auto"/>
                <w:sz w:val="18"/>
                <w:kern w:val="0"/>
                <w:szCs w:val="18"/>
                <w:rFonts w:ascii="宋体" w:hAnsi="宋体" w:eastAsia="宋体" w:cs="宋体" w:hint="eastAsia"/>
              </w:rPr>
              <w:t>—</w:t>
            </w:r>
          </w:p>
        </w:tc>
      </w:tr>
      <w:tr>
        <w:tblPrEx>
          <w:tblCellMar>
            <w:top w:type="dxa" w:w="0.000000"/>
            <w:bottom w:type="dxa" w:w="0.000000"/>
            <w:left w:type="dxa" w:w="108.000000"/>
            <w:right w:type="dxa" w:w="108.000000"/>
          </w:tblCellMar>
          <w:tblLayout w:type="fixed"/>
        </w:tblPrEx>
        <w:trPr>
          <w:trHeight w:val="565" w:hRule="exact"/>
          <w:jc w:val="center"/>
        </w:trPr>
        <w:tc>
          <w:tcPr>
            <w:tcW w:w="854" w:type="dxa"/>
            <w:gridSpan w:val="2"/>
            <w:vMerge w:val="continue"/>
            <w:vAlign w:val="center"/>
            <w:tcBorders>
              <w:top w:val="single" w:color="auto" w:sz="4" w:space="0"/>
              <w:left w:val="single" w:color="auto" w:sz="4" w:space="0"/>
              <w:bottom w:val="single" w:color="auto" w:sz="4" w:space="0"/>
              <w:right w:val="single" w:color="auto" w:sz="4" w:space="0"/>
            </w:tcBorders>
          </w:tcPr>
          <w:p>
            <w:pPr>
              <w:widowControl w:val="1"/>
              <w:jc w:val="center"/>
              <w:spacing w:line="240" w:lineRule="exact"/>
              <w:rPr>
                <w:color w:val="auto"/>
                <w:sz w:val="18"/>
                <w:kern w:val="0"/>
                <w:szCs w:val="18"/>
                <w:rFonts w:ascii="宋体" w:hAnsi="宋体" w:eastAsia="宋体" w:cs="宋体" w:hint="eastAsia"/>
              </w:rPr>
            </w:pPr>
          </w:p>
        </w:tc>
        <w:tc>
          <w:tcPr>
            <w:tcW w:w="883" w:type="dxa"/>
            <w:vAlign w:val="center"/>
            <w:tcBorders>
              <w:top w:val="single" w:color="auto" w:sz="4" w:space="0"/>
              <w:left w:val="nil"/>
              <w:bottom w:val="single" w:color="auto" w:sz="4" w:space="0"/>
              <w:right w:val="single" w:color="auto" w:sz="4" w:space="0"/>
            </w:tcBorders>
          </w:tcPr>
          <w:p>
            <w:pPr>
              <w:widowControl w:val="1"/>
              <w:jc w:val="left"/>
              <w:spacing w:line="240" w:lineRule="exact"/>
              <w:rPr>
                <w:color w:val="auto"/>
                <w:sz w:val="18"/>
                <w:kern w:val="0"/>
                <w:szCs w:val="18"/>
                <w:rFonts w:ascii="宋体" w:hAnsi="宋体" w:eastAsia="宋体" w:cs="宋体" w:hint="eastAsia"/>
              </w:rPr>
            </w:pPr>
            <w:r>
              <w:rPr>
                <w:color w:val="auto"/>
                <w:sz w:val="18"/>
                <w:kern w:val="0"/>
                <w:szCs w:val="18"/>
                <w:rFonts w:ascii="宋体" w:hAnsi="宋体" w:eastAsia="宋体" w:cs="宋体" w:hint="eastAsia"/>
              </w:rPr>
              <w:t>其他资金</w:t>
            </w:r>
          </w:p>
        </w:tc>
        <w:tc>
          <w:tcPr>
            <w:tcW w:w="1722" w:type="dxa"/>
            <w:vAlign w:val="center"/>
            <w:tcBorders>
              <w:top w:val="nil"/>
              <w:left w:val="nil"/>
              <w:bottom w:val="single" w:color="auto" w:sz="4" w:space="0"/>
              <w:right w:val="single" w:color="auto" w:sz="4" w:space="0"/>
            </w:tcBorders>
          </w:tcPr>
          <w:p>
            <w:pPr>
              <w:widowControl w:val="1"/>
              <w:jc w:val="center"/>
              <w:spacing w:line="240" w:lineRule="exact"/>
              <w:rPr>
                <w:color w:val="auto"/>
                <w:sz w:val="18"/>
                <w:kern w:val="0"/>
                <w:szCs w:val="18"/>
                <w:rFonts w:ascii="宋体" w:hAnsi="宋体" w:eastAsia="宋体" w:cs="宋体" w:hint="eastAsia"/>
              </w:rPr>
            </w:pPr>
          </w:p>
        </w:tc>
        <w:tc>
          <w:tcPr>
            <w:tcW w:w="855" w:type="dxa"/>
            <w:vAlign w:val="center"/>
            <w:tcBorders>
              <w:top w:val="nil"/>
              <w:left w:val="nil"/>
              <w:bottom w:val="single" w:color="auto" w:sz="4" w:space="0"/>
              <w:right w:val="single" w:color="auto" w:sz="4" w:space="0"/>
            </w:tcBorders>
          </w:tcPr>
          <w:p>
            <w:pPr>
              <w:widowControl w:val="1"/>
              <w:jc w:val="center"/>
              <w:spacing w:line="240" w:lineRule="exact"/>
              <w:rPr>
                <w:color w:val="auto"/>
                <w:sz w:val="18"/>
                <w:kern w:val="0"/>
                <w:szCs w:val="18"/>
                <w:rFonts w:ascii="宋体" w:hAnsi="宋体" w:eastAsia="宋体" w:cs="宋体" w:hint="eastAsia"/>
              </w:rPr>
            </w:pPr>
          </w:p>
        </w:tc>
        <w:tc>
          <w:tcPr>
            <w:tcW w:w="885" w:type="dxa"/>
            <w:vAlign w:val="center"/>
            <w:tcBorders>
              <w:top w:val="nil"/>
              <w:left w:val="nil"/>
              <w:bottom w:val="single" w:color="auto" w:sz="4" w:space="0"/>
              <w:right w:val="single" w:color="auto" w:sz="4" w:space="0"/>
            </w:tcBorders>
          </w:tcPr>
          <w:p>
            <w:pPr>
              <w:widowControl w:val="1"/>
              <w:jc w:val="center"/>
              <w:spacing w:line="240" w:lineRule="exact"/>
              <w:rPr>
                <w:color w:val="auto"/>
                <w:sz w:val="18"/>
                <w:kern w:val="0"/>
                <w:szCs w:val="18"/>
                <w:rFonts w:ascii="宋体" w:hAnsi="宋体" w:eastAsia="宋体" w:cs="宋体" w:hint="eastAsia"/>
              </w:rPr>
            </w:pPr>
          </w:p>
        </w:tc>
        <w:tc>
          <w:tcPr>
            <w:tcW w:w="555" w:type="dxa"/>
            <w:vAlign w:val="center"/>
            <w:tcBorders>
              <w:top w:val="nil"/>
              <w:left w:val="nil"/>
              <w:bottom w:val="single" w:color="auto" w:sz="4" w:space="0"/>
              <w:right w:val="single" w:color="auto" w:sz="4" w:space="0"/>
            </w:tcBorders>
          </w:tcPr>
          <w:p>
            <w:pPr>
              <w:widowControl w:val="1"/>
              <w:jc w:val="center"/>
              <w:spacing w:line="240" w:lineRule="exact"/>
              <w:rPr>
                <w:color w:val="auto"/>
                <w:sz w:val="18"/>
                <w:kern w:val="0"/>
                <w:szCs w:val="18"/>
                <w:rFonts w:ascii="宋体" w:hAnsi="宋体" w:eastAsia="宋体" w:cs="宋体" w:hint="eastAsia"/>
              </w:rPr>
            </w:pPr>
            <w:r>
              <w:rPr>
                <w:color w:val="auto"/>
                <w:sz w:val="18"/>
                <w:kern w:val="0"/>
                <w:szCs w:val="18"/>
                <w:rFonts w:ascii="宋体" w:hAnsi="宋体" w:eastAsia="宋体" w:cs="宋体" w:hint="eastAsia"/>
              </w:rPr>
              <w:t>—</w:t>
            </w:r>
          </w:p>
        </w:tc>
        <w:tc>
          <w:tcPr>
            <w:tcW w:w="825" w:type="dxa"/>
            <w:vAlign w:val="center"/>
            <w:tcBorders>
              <w:top w:val="single" w:color="auto" w:sz="4" w:space="0"/>
              <w:left w:val="nil"/>
              <w:bottom w:val="single" w:color="auto" w:sz="4" w:space="0"/>
              <w:right w:val="single" w:color="auto" w:sz="4" w:space="0"/>
            </w:tcBorders>
          </w:tcPr>
          <w:p>
            <w:pPr>
              <w:widowControl w:val="1"/>
              <w:jc w:val="center"/>
              <w:spacing w:line="240" w:lineRule="exact"/>
              <w:rPr>
                <w:color w:val="auto"/>
                <w:sz w:val="18"/>
                <w:kern w:val="0"/>
                <w:szCs w:val="18"/>
                <w:rFonts w:ascii="宋体" w:hAnsi="宋体" w:eastAsia="宋体" w:cs="宋体" w:hint="eastAsia"/>
              </w:rPr>
            </w:pPr>
          </w:p>
        </w:tc>
        <w:tc>
          <w:tcPr>
            <w:tcW w:w="1943" w:type="dxa"/>
            <w:vAlign w:val="center"/>
            <w:tcBorders>
              <w:top w:val="nil"/>
              <w:left w:val="nil"/>
              <w:bottom w:val="single" w:color="auto" w:sz="4" w:space="0"/>
              <w:right w:val="single" w:color="auto" w:sz="4" w:space="0"/>
            </w:tcBorders>
          </w:tcPr>
          <w:p>
            <w:pPr>
              <w:widowControl w:val="1"/>
              <w:jc w:val="center"/>
              <w:spacing w:line="240" w:lineRule="exact"/>
              <w:rPr>
                <w:color w:val="auto"/>
                <w:sz w:val="18"/>
                <w:kern w:val="0"/>
                <w:szCs w:val="18"/>
                <w:rFonts w:ascii="宋体" w:hAnsi="宋体" w:eastAsia="宋体" w:cs="宋体" w:hint="eastAsia"/>
              </w:rPr>
            </w:pPr>
            <w:r>
              <w:rPr>
                <w:color w:val="auto"/>
                <w:sz w:val="18"/>
                <w:kern w:val="0"/>
                <w:szCs w:val="18"/>
                <w:rFonts w:ascii="宋体" w:hAnsi="宋体" w:eastAsia="宋体" w:cs="宋体" w:hint="eastAsia"/>
              </w:rPr>
              <w:t>—</w:t>
            </w:r>
          </w:p>
        </w:tc>
      </w:tr>
      <w:tr>
        <w:tblPrEx>
          <w:tblCellMar>
            <w:top w:type="dxa" w:w="0.000000"/>
            <w:bottom w:type="dxa" w:w="0.000000"/>
            <w:left w:type="dxa" w:w="108.000000"/>
            <w:right w:type="dxa" w:w="108.000000"/>
          </w:tblCellMar>
          <w:tblLayout w:type="fixed"/>
        </w:tblPrEx>
        <w:trPr>
          <w:trHeight w:val="300" w:hRule="exact"/>
          <w:jc w:val="center"/>
        </w:trPr>
        <w:tc>
          <w:tcPr>
            <w:tcW w:w="396" w:type="dxa"/>
            <w:vMerge w:val="restart"/>
            <w:vAlign w:val="center"/>
            <w:tcBorders>
              <w:top w:val="nil"/>
              <w:left w:val="single" w:color="auto" w:sz="4" w:space="0"/>
              <w:bottom w:val="single" w:color="auto" w:sz="4" w:space="0"/>
              <w:right w:val="single" w:color="auto" w:sz="4" w:space="0"/>
            </w:tcBorders>
          </w:tcPr>
          <w:p>
            <w:pPr>
              <w:widowControl w:val="1"/>
              <w:jc w:val="center"/>
              <w:spacing w:line="240" w:lineRule="exact"/>
              <w:rPr>
                <w:color w:val="auto"/>
                <w:sz w:val="18"/>
                <w:kern w:val="0"/>
                <w:szCs w:val="18"/>
                <w:rFonts w:ascii="宋体" w:hAnsi="宋体" w:eastAsia="宋体" w:cs="宋体" w:hint="eastAsia"/>
              </w:rPr>
            </w:pPr>
            <w:r>
              <w:rPr>
                <w:color w:val="auto"/>
                <w:sz w:val="18"/>
                <w:kern w:val="0"/>
                <w:szCs w:val="18"/>
                <w:rFonts w:ascii="宋体" w:hAnsi="宋体" w:eastAsia="宋体" w:cs="宋体" w:hint="eastAsia"/>
              </w:rPr>
              <w:t>年度总体目标</w:t>
            </w:r>
          </w:p>
        </w:tc>
        <w:tc>
          <w:tcPr>
            <w:tcW w:w="3918" w:type="dxa"/>
            <w:gridSpan w:val="4"/>
            <w:vAlign w:val="center"/>
            <w:tcBorders>
              <w:top w:val="single" w:color="auto" w:sz="4" w:space="0"/>
              <w:left w:val="nil"/>
              <w:bottom w:val="single" w:color="auto" w:sz="4" w:space="0"/>
              <w:right w:val="single" w:color="auto" w:sz="4" w:space="0"/>
            </w:tcBorders>
          </w:tcPr>
          <w:p>
            <w:pPr>
              <w:widowControl w:val="1"/>
              <w:jc w:val="center"/>
              <w:spacing w:line="240" w:lineRule="exact"/>
              <w:rPr>
                <w:color w:val="auto"/>
                <w:sz w:val="18"/>
                <w:kern w:val="0"/>
                <w:szCs w:val="18"/>
                <w:rFonts w:ascii="宋体" w:hAnsi="宋体" w:eastAsia="宋体" w:cs="宋体" w:hint="eastAsia"/>
              </w:rPr>
            </w:pPr>
            <w:r>
              <w:rPr>
                <w:color w:val="auto"/>
                <w:sz w:val="18"/>
                <w:kern w:val="0"/>
                <w:szCs w:val="18"/>
                <w:rFonts w:ascii="宋体" w:hAnsi="宋体" w:eastAsia="宋体" w:cs="宋体" w:hint="eastAsia"/>
              </w:rPr>
              <w:t>预期目标</w:t>
            </w:r>
          </w:p>
        </w:tc>
        <w:tc>
          <w:tcPr>
            <w:tcW w:w="4208" w:type="dxa"/>
            <w:gridSpan w:val="4"/>
            <w:vAlign w:val="center"/>
            <w:tcBorders>
              <w:top w:val="single" w:color="auto" w:sz="4" w:space="0"/>
              <w:left w:val="nil"/>
              <w:bottom w:val="single" w:color="auto" w:sz="4" w:space="0"/>
              <w:right w:val="single" w:color="auto" w:sz="4" w:space="0"/>
            </w:tcBorders>
          </w:tcPr>
          <w:p>
            <w:pPr>
              <w:widowControl w:val="1"/>
              <w:jc w:val="center"/>
              <w:spacing w:line="240" w:lineRule="exact"/>
              <w:rPr>
                <w:color w:val="auto"/>
                <w:sz w:val="18"/>
                <w:kern w:val="0"/>
                <w:szCs w:val="18"/>
                <w:rFonts w:ascii="宋体" w:hAnsi="宋体" w:eastAsia="宋体" w:cs="宋体" w:hint="eastAsia"/>
              </w:rPr>
            </w:pPr>
            <w:r>
              <w:rPr>
                <w:color w:val="auto"/>
                <w:sz w:val="18"/>
                <w:kern w:val="0"/>
                <w:szCs w:val="18"/>
                <w:rFonts w:ascii="宋体" w:hAnsi="宋体" w:eastAsia="宋体" w:cs="宋体" w:hint="eastAsia"/>
              </w:rPr>
              <w:t>实际完成情况</w:t>
            </w:r>
          </w:p>
        </w:tc>
      </w:tr>
      <w:tr>
        <w:tblPrEx>
          <w:tblCellMar>
            <w:top w:type="dxa" w:w="0.000000"/>
            <w:bottom w:type="dxa" w:w="0.000000"/>
            <w:left w:type="dxa" w:w="108.000000"/>
            <w:right w:type="dxa" w:w="108.000000"/>
          </w:tblCellMar>
          <w:tblLayout w:type="fixed"/>
        </w:tblPrEx>
        <w:trPr>
          <w:trHeight w:val="2407" w:hRule="exact"/>
          <w:jc w:val="center"/>
        </w:trPr>
        <w:tc>
          <w:tcPr>
            <w:tcW w:w="396" w:type="dxa"/>
            <w:vMerge w:val="continue"/>
            <w:vAlign w:val="center"/>
            <w:tcBorders>
              <w:top w:val="nil"/>
              <w:left w:val="single" w:color="auto" w:sz="4" w:space="0"/>
              <w:bottom w:val="single" w:color="auto" w:sz="4" w:space="0"/>
              <w:right w:val="single" w:color="auto" w:sz="4" w:space="0"/>
            </w:tcBorders>
          </w:tcPr>
          <w:p>
            <w:pPr>
              <w:widowControl w:val="1"/>
              <w:jc w:val="center"/>
              <w:spacing w:line="240" w:lineRule="exact"/>
              <w:rPr>
                <w:color w:val="auto"/>
                <w:sz w:val="18"/>
                <w:kern w:val="0"/>
                <w:szCs w:val="18"/>
                <w:rFonts w:ascii="宋体" w:hAnsi="宋体" w:eastAsia="宋体" w:cs="宋体" w:hint="eastAsia"/>
              </w:rPr>
            </w:pPr>
          </w:p>
        </w:tc>
        <w:tc>
          <w:tcPr>
            <w:tcW w:w="3918" w:type="dxa"/>
            <w:gridSpan w:val="4"/>
            <w:vAlign w:val="center"/>
            <w:tcBorders>
              <w:top w:val="single" w:color="auto" w:sz="4" w:space="0"/>
              <w:left w:val="nil"/>
              <w:bottom w:val="single" w:color="auto" w:sz="4" w:space="0"/>
              <w:right w:val="single" w:color="auto" w:sz="4" w:space="0"/>
            </w:tcBorders>
          </w:tcPr>
          <w:p>
            <w:pPr>
              <w:widowControl w:val="1"/>
              <w:jc w:val="center"/>
              <w:spacing w:line="240" w:lineRule="exact"/>
              <w:rPr>
                <w:color w:val="auto"/>
                <w:sz w:val="18"/>
                <w:lang w:eastAsia="zh-CN"/>
                <w:kern w:val="0"/>
                <w:szCs w:val="18"/>
                <w:rFonts w:ascii="宋体" w:hAnsi="宋体" w:eastAsia="宋体" w:cs="宋体" w:hint="eastAsia"/>
              </w:rPr>
            </w:pPr>
            <w:r>
              <w:rPr>
                <w:color w:val="auto"/>
                <w:sz w:val="18"/>
                <w:lang w:eastAsia="zh-CN"/>
                <w:kern w:val="0"/>
                <w:szCs w:val="18"/>
                <w:rFonts w:ascii="宋体" w:hAnsi="宋体" w:eastAsia="宋体" w:cs="宋体" w:hint="eastAsia"/>
              </w:rPr>
              <w:t>奶业生产发展，优质饲草产业发展，现代畜禽种业提升，畜禽遗传资源保护，新型经营主体培育，畜产品质量安全监测，涉农资金统筹整合部分集中用于脱贫攻坚</w:t>
            </w:r>
          </w:p>
        </w:tc>
        <w:tc>
          <w:tcPr>
            <w:tcW w:w="4208" w:type="dxa"/>
            <w:gridSpan w:val="4"/>
            <w:vAlign w:val="center"/>
            <w:tcBorders>
              <w:top w:val="single" w:color="auto" w:sz="4" w:space="0"/>
              <w:left w:val="nil"/>
              <w:bottom w:val="single" w:color="auto" w:sz="4" w:space="0"/>
              <w:right w:val="single" w:color="auto" w:sz="4" w:space="0"/>
            </w:tcBorders>
          </w:tcPr>
          <w:p>
            <w:pPr>
              <w:widowControl w:val="1"/>
              <w:jc w:val="center"/>
              <w:spacing w:line="240" w:lineRule="exact"/>
              <w:rPr>
                <w:color w:val="auto"/>
                <w:sz w:val="18"/>
                <w:lang w:val="en-US"/>
                <w:kern w:val="0"/>
                <w:szCs w:val="18"/>
                <w:rFonts w:ascii="宋体" w:hAnsi="宋体" w:eastAsia="宋体" w:cs="宋体" w:hint="default"/>
              </w:rPr>
            </w:pPr>
            <w:r>
              <w:rPr>
                <w:color w:val="auto"/>
                <w:sz w:val="18"/>
                <w:kern w:val="0"/>
                <w:szCs w:val="18"/>
                <w:rFonts w:ascii="宋体" w:hAnsi="宋体" w:eastAsia="宋体" w:cs="宋体" w:hint="eastAsia"/>
              </w:rPr>
              <w:t>建设不同优质饲草品种生产评比田4</w:t>
            </w:r>
            <w:r>
              <w:rPr>
                <w:color w:val="auto"/>
                <w:sz w:val="18"/>
                <w:lang w:val="en-US" w:eastAsia="zh-CN"/>
                <w:kern w:val="0"/>
                <w:szCs w:val="18"/>
                <w:rFonts w:ascii="宋体" w:hAnsi="宋体" w:eastAsia="宋体" w:cs="宋体" w:hint="eastAsia"/>
              </w:rPr>
              <w:t>1</w:t>
            </w:r>
            <w:r>
              <w:rPr>
                <w:color w:val="auto"/>
                <w:sz w:val="18"/>
                <w:kern w:val="0"/>
                <w:szCs w:val="18"/>
                <w:rFonts w:ascii="宋体" w:hAnsi="宋体" w:eastAsia="宋体" w:cs="宋体" w:hint="eastAsia"/>
              </w:rPr>
              <w:t>00</w:t>
            </w:r>
            <w:r>
              <w:rPr>
                <w:color w:val="auto"/>
                <w:sz w:val="18"/>
                <w:kern w:val="0"/>
                <w:szCs w:val="18"/>
                <w:rFonts w:ascii="宋体" w:hAnsi="宋体" w:eastAsia="宋体" w:cs="宋体" w:hint="default"/>
              </w:rPr>
              <w:t>.93</w:t>
            </w:r>
            <w:r>
              <w:rPr>
                <w:color w:val="auto"/>
                <w:sz w:val="18"/>
                <w:kern w:val="0"/>
                <w:szCs w:val="18"/>
                <w:rFonts w:ascii="宋体" w:hAnsi="宋体" w:eastAsia="宋体" w:cs="宋体" w:hint="eastAsia"/>
              </w:rPr>
              <w:t>亩，选择推荐适合全区种植的优质饲草品种</w:t>
            </w:r>
            <w:r>
              <w:rPr>
                <w:color w:val="auto"/>
                <w:sz w:val="18"/>
                <w:kern w:val="0"/>
                <w:szCs w:val="18"/>
                <w:rFonts w:ascii="宋体" w:hAnsi="宋体" w:eastAsia="宋体" w:cs="宋体" w:hint="default"/>
              </w:rPr>
              <w:t>30</w:t>
            </w:r>
            <w:r>
              <w:rPr>
                <w:color w:val="auto"/>
                <w:sz w:val="18"/>
                <w:kern w:val="0"/>
                <w:szCs w:val="18"/>
                <w:rFonts w:ascii="宋体" w:hAnsi="宋体" w:eastAsia="宋体" w:cs="宋体" w:hint="eastAsia"/>
              </w:rPr>
              <w:t>种；建设优质饲草高产栽培示范田10</w:t>
            </w:r>
            <w:r>
              <w:rPr>
                <w:color w:val="auto"/>
                <w:sz w:val="18"/>
                <w:kern w:val="0"/>
                <w:szCs w:val="18"/>
                <w:rFonts w:ascii="宋体" w:hAnsi="宋体" w:eastAsia="宋体" w:cs="宋体" w:hint="default"/>
              </w:rPr>
              <w:t>850</w:t>
            </w:r>
            <w:r>
              <w:rPr>
                <w:color w:val="auto"/>
                <w:sz w:val="18"/>
                <w:kern w:val="0"/>
                <w:szCs w:val="18"/>
                <w:rFonts w:ascii="宋体" w:hAnsi="宋体" w:eastAsia="宋体" w:cs="宋体" w:hint="eastAsia"/>
              </w:rPr>
              <w:t>亩，亩均单产提高5%。</w:t>
            </w:r>
            <w:r>
              <w:rPr>
                <w:color w:val="auto"/>
                <w:sz w:val="18"/>
                <w:lang w:val="en-US" w:eastAsia="zh-CN"/>
                <w:kern w:val="0"/>
                <w:szCs w:val="18"/>
                <w:rFonts w:ascii="宋体" w:hAnsi="宋体" w:eastAsia="宋体" w:cs="宋体" w:hint="eastAsia"/>
              </w:rPr>
              <w:t>全年完成畜产品质量安全定量监测3000批次，快速监测1000批次。对区内14个保种场（保护区、基因库）依法开展畜禽遗传资源保护，并对自治区畜禽遗传资源基</w:t>
            </w:r>
            <w:r>
              <w:rPr>
                <w:color w:val="auto"/>
                <w:sz w:val="18"/>
                <w:lang w:val="en-US" w:eastAsia="zh-CN"/>
                <w:kern w:val="0"/>
                <w:szCs w:val="18"/>
                <w:shd w:val="clear"/>
                <w:rFonts w:ascii="宋体" w:hAnsi="宋体" w:eastAsia="宋体" w:cs="宋体" w:hint="eastAsia"/>
              </w:rPr>
              <w:t>因库进行补助。</w:t>
            </w:r>
            <w:r>
              <w:rPr>
                <w:color w:val="auto"/>
                <w:w w:val="100"/>
                <w:sz w:val="20"/>
                <w:lang w:val="en-US" w:eastAsia="zh-CN"/>
                <w:kern w:val="0"/>
                <w:szCs w:val="20"/>
                <w:shd w:val="clear"/>
                <w:rFonts w:eastAsia="宋体" w:cs="Times New Roman" w:hint="eastAsia"/>
              </w:rPr>
              <w:t>完成畜禽遗传资源性能测定5个，</w:t>
            </w:r>
            <w:r>
              <w:rPr>
                <w:color w:val="auto"/>
                <w:w w:val="100"/>
                <w:sz w:val="20"/>
                <w:lang w:eastAsia="en-US"/>
                <w:szCs w:val="20"/>
                <w:shd w:val="clear"/>
                <w:rFonts w:ascii="Times New Roman" w:hAnsi="Times New Roman" w:eastAsia="宋体" w:cs="Times New Roman" w:hint="default"/>
              </w:rPr>
              <w:t>肉类增长比例</w:t>
            </w:r>
            <w:r>
              <w:rPr>
                <w:color w:val="auto"/>
                <w:w w:val="100"/>
                <w:sz w:val="20"/>
                <w:lang w:eastAsia="zh-CN"/>
                <w:szCs w:val="20"/>
                <w:shd w:val="clear"/>
                <w:rFonts w:eastAsia="宋体" w:cs="Times New Roman" w:hint="eastAsia"/>
              </w:rPr>
              <w:t>达到</w:t>
            </w:r>
            <w:r>
              <w:rPr>
                <w:color w:val="auto"/>
                <w:w w:val="100"/>
                <w:sz w:val="20"/>
                <w:lang w:val="en-US" w:eastAsia="zh-CN"/>
                <w:szCs w:val="20"/>
                <w:shd w:val="clear"/>
                <w:rFonts w:eastAsia="宋体" w:cs="Times New Roman" w:hint="eastAsia"/>
              </w:rPr>
              <w:t>4.3%</w:t>
            </w:r>
            <w:r>
              <w:rPr>
                <w:color w:val="auto"/>
                <w:w w:val="100"/>
                <w:sz w:val="20"/>
                <w:lang w:val="en-US" w:eastAsia="zh-CN"/>
                <w:kern w:val="0"/>
                <w:szCs w:val="20"/>
                <w:shd w:val="clear"/>
                <w:rFonts w:ascii="Times New Roman" w:hAnsi="Times New Roman" w:eastAsia="宋体" w:cs="Times New Roman" w:hint="default"/>
              </w:rPr>
              <w:t>。</w:t>
            </w:r>
            <w:r>
              <w:rPr>
                <w:color w:val="auto"/>
                <w:sz w:val="20"/>
                <w:lang w:eastAsia="zh-CN" w:bidi="ar"/>
                <w:kern w:val="0"/>
                <w:szCs w:val="20"/>
                <w:shd w:val="clear"/>
                <w:rFonts w:ascii="宋体" w:hAnsi="宋体" w:eastAsia="宋体" w:cs="宋体" w:hint="eastAsia"/>
              </w:rPr>
              <w:t>支持</w:t>
            </w:r>
            <w:r>
              <w:rPr>
                <w:color w:val="auto"/>
                <w:sz w:val="20"/>
                <w:lang w:val="en-US" w:eastAsia="zh-CN" w:bidi="ar"/>
                <w:kern w:val="0"/>
                <w:szCs w:val="20"/>
                <w:shd w:val="clear"/>
                <w:rFonts w:ascii="宋体" w:hAnsi="宋体" w:eastAsia="宋体" w:cs="宋体" w:hint="eastAsia"/>
              </w:rPr>
              <w:t>5家示范企业。实现新增荷斯坦母牛存栏4200头，新增奶产量1万吨。</w:t>
            </w:r>
          </w:p>
        </w:tc>
      </w:tr>
      <w:tr>
        <w:tblPrEx>
          <w:tblCellMar>
            <w:top w:type="dxa" w:w="0.000000"/>
            <w:bottom w:type="dxa" w:w="0.000000"/>
            <w:left w:type="dxa" w:w="108.000000"/>
            <w:right w:type="dxa" w:w="108.000000"/>
          </w:tblCellMar>
          <w:tblLayout w:type="fixed"/>
        </w:tblPrEx>
        <w:trPr>
          <w:trHeight w:val="533" w:hRule="exact"/>
          <w:jc w:val="center"/>
        </w:trPr>
        <w:tc>
          <w:tcPr>
            <w:tcW w:w="396" w:type="dxa"/>
            <w:vMerge w:val="restart"/>
            <w:vAlign w:val="center"/>
            <w:tcBorders>
              <w:top w:val="nil"/>
              <w:left w:val="single" w:color="auto" w:sz="4" w:space="0"/>
              <w:right w:val="single" w:color="auto" w:sz="4" w:space="0"/>
            </w:tcBorders>
          </w:tcPr>
          <w:p>
            <w:pPr>
              <w:widowControl w:val="1"/>
              <w:jc w:val="center"/>
              <w:spacing w:line="240" w:lineRule="exact"/>
              <w:rPr>
                <w:color w:val="auto"/>
                <w:sz w:val="18"/>
                <w:kern w:val="0"/>
                <w:szCs w:val="18"/>
                <w:rFonts w:ascii="宋体" w:hAnsi="宋体" w:eastAsia="宋体" w:cs="宋体" w:hint="eastAsia"/>
              </w:rPr>
            </w:pPr>
            <w:r>
              <w:rPr>
                <w:color w:val="auto"/>
                <w:sz w:val="18"/>
                <w:kern w:val="0"/>
                <w:szCs w:val="18"/>
                <w:rFonts w:ascii="宋体" w:hAnsi="宋体" w:eastAsia="宋体" w:cs="宋体" w:hint="eastAsia"/>
              </w:rPr>
              <w:t>绩</w:t>
            </w:r>
            <w:r>
              <w:br/>
              <w:rPr>
                <w:color w:val="auto"/>
                <w:sz w:val="18"/>
                <w:kern w:val="0"/>
                <w:szCs w:val="18"/>
                <w:rFonts w:ascii="宋体" w:hAnsi="宋体" w:eastAsia="宋体" w:cs="宋体" w:hint="eastAsia"/>
              </w:rPr>
            </w:r>
            <w:r>
              <w:rPr>
                <w:color w:val="auto"/>
                <w:sz w:val="18"/>
                <w:kern w:val="0"/>
                <w:szCs w:val="18"/>
                <w:rFonts w:ascii="宋体" w:hAnsi="宋体" w:eastAsia="宋体" w:cs="宋体" w:hint="eastAsia"/>
              </w:rPr>
              <w:t>效</w:t>
            </w:r>
            <w:r>
              <w:br/>
              <w:rPr>
                <w:color w:val="auto"/>
                <w:sz w:val="18"/>
                <w:kern w:val="0"/>
                <w:szCs w:val="18"/>
                <w:rFonts w:ascii="宋体" w:hAnsi="宋体" w:eastAsia="宋体" w:cs="宋体" w:hint="eastAsia"/>
              </w:rPr>
            </w:r>
            <w:r>
              <w:rPr>
                <w:color w:val="auto"/>
                <w:sz w:val="18"/>
                <w:kern w:val="0"/>
                <w:szCs w:val="18"/>
                <w:rFonts w:ascii="宋体" w:hAnsi="宋体" w:eastAsia="宋体" w:cs="宋体" w:hint="eastAsia"/>
              </w:rPr>
              <w:t>指</w:t>
            </w:r>
            <w:r>
              <w:br/>
              <w:rPr>
                <w:color w:val="auto"/>
                <w:sz w:val="18"/>
                <w:kern w:val="0"/>
                <w:szCs w:val="18"/>
                <w:rFonts w:ascii="宋体" w:hAnsi="宋体" w:eastAsia="宋体" w:cs="宋体" w:hint="eastAsia"/>
              </w:rPr>
            </w:r>
            <w:r>
              <w:rPr>
                <w:color w:val="auto"/>
                <w:sz w:val="18"/>
                <w:kern w:val="0"/>
                <w:szCs w:val="18"/>
                <w:rFonts w:ascii="宋体" w:hAnsi="宋体" w:eastAsia="宋体" w:cs="宋体" w:hint="eastAsia"/>
              </w:rPr>
              <w:t>标</w:t>
            </w:r>
          </w:p>
        </w:tc>
        <w:tc>
          <w:tcPr>
            <w:tcW w:w="458" w:type="dxa"/>
            <w:vAlign w:val="center"/>
            <w:tcBorders>
              <w:top w:val="nil"/>
              <w:left w:val="nil"/>
              <w:bottom w:val="single" w:color="auto" w:sz="4" w:space="0"/>
              <w:right w:val="single" w:color="auto" w:sz="4" w:space="0"/>
            </w:tcBorders>
          </w:tcPr>
          <w:p>
            <w:pPr>
              <w:widowControl w:val="1"/>
              <w:jc w:val="center"/>
              <w:spacing w:line="240" w:lineRule="exact"/>
              <w:rPr>
                <w:color w:val="auto"/>
                <w:sz w:val="18"/>
                <w:kern w:val="0"/>
                <w:szCs w:val="18"/>
                <w:rFonts w:ascii="宋体" w:hAnsi="宋体" w:eastAsia="宋体" w:cs="宋体" w:hint="eastAsia"/>
              </w:rPr>
            </w:pPr>
            <w:r>
              <w:rPr>
                <w:color w:val="auto"/>
                <w:sz w:val="18"/>
                <w:kern w:val="0"/>
                <w:szCs w:val="18"/>
                <w:rFonts w:ascii="宋体" w:hAnsi="宋体" w:eastAsia="宋体" w:cs="宋体" w:hint="eastAsia"/>
              </w:rPr>
              <w:t>一级指标</w:t>
            </w:r>
          </w:p>
        </w:tc>
        <w:tc>
          <w:tcPr>
            <w:tcW w:w="883" w:type="dxa"/>
            <w:vAlign w:val="center"/>
            <w:tcBorders>
              <w:top w:val="nil"/>
              <w:left w:val="nil"/>
              <w:bottom w:val="single" w:color="auto" w:sz="4" w:space="0"/>
              <w:right w:val="single" w:color="auto" w:sz="4" w:space="0"/>
            </w:tcBorders>
          </w:tcPr>
          <w:p>
            <w:pPr>
              <w:widowControl w:val="1"/>
              <w:jc w:val="center"/>
              <w:spacing w:line="240" w:lineRule="exact"/>
              <w:rPr>
                <w:color w:val="auto"/>
                <w:sz w:val="18"/>
                <w:kern w:val="0"/>
                <w:szCs w:val="18"/>
                <w:rFonts w:ascii="宋体" w:hAnsi="宋体" w:eastAsia="宋体" w:cs="宋体" w:hint="eastAsia"/>
              </w:rPr>
            </w:pPr>
            <w:r>
              <w:rPr>
                <w:color w:val="auto"/>
                <w:sz w:val="18"/>
                <w:kern w:val="0"/>
                <w:szCs w:val="18"/>
                <w:rFonts w:ascii="宋体" w:hAnsi="宋体" w:eastAsia="宋体" w:cs="宋体" w:hint="eastAsia"/>
              </w:rPr>
              <w:t>二级指标</w:t>
            </w:r>
          </w:p>
        </w:tc>
        <w:tc>
          <w:tcPr>
            <w:tcW w:w="1722" w:type="dxa"/>
            <w:vAlign w:val="center"/>
            <w:tcBorders>
              <w:top w:val="single" w:color="auto" w:sz="4" w:space="0"/>
              <w:left w:val="nil"/>
              <w:bottom w:val="single" w:color="auto" w:sz="4" w:space="0"/>
              <w:right w:val="single" w:color="auto" w:sz="4" w:space="0"/>
            </w:tcBorders>
          </w:tcPr>
          <w:p>
            <w:pPr>
              <w:widowControl w:val="1"/>
              <w:jc w:val="center"/>
              <w:spacing w:line="240" w:lineRule="exact"/>
              <w:rPr>
                <w:color w:val="auto"/>
                <w:sz w:val="18"/>
                <w:kern w:val="0"/>
                <w:szCs w:val="18"/>
                <w:rFonts w:ascii="宋体" w:hAnsi="宋体" w:eastAsia="宋体" w:cs="宋体" w:hint="eastAsia"/>
              </w:rPr>
            </w:pPr>
            <w:r>
              <w:rPr>
                <w:color w:val="auto"/>
                <w:sz w:val="18"/>
                <w:kern w:val="0"/>
                <w:szCs w:val="18"/>
                <w:rFonts w:ascii="宋体" w:hAnsi="宋体" w:eastAsia="宋体" w:cs="宋体" w:hint="eastAsia"/>
              </w:rPr>
              <w:t>三级指标</w:t>
            </w:r>
          </w:p>
        </w:tc>
        <w:tc>
          <w:tcPr>
            <w:tcW w:w="855" w:type="dxa"/>
            <w:vAlign w:val="center"/>
            <w:tcBorders>
              <w:top w:val="nil"/>
              <w:left w:val="nil"/>
              <w:bottom w:val="single" w:color="auto" w:sz="4" w:space="0"/>
              <w:right w:val="single" w:color="auto" w:sz="4" w:space="0"/>
            </w:tcBorders>
          </w:tcPr>
          <w:p>
            <w:pPr>
              <w:widowControl w:val="1"/>
              <w:jc w:val="center"/>
              <w:spacing w:line="240" w:lineRule="exact"/>
              <w:rPr>
                <w:color w:val="auto"/>
                <w:sz w:val="18"/>
                <w:kern w:val="0"/>
                <w:szCs w:val="18"/>
                <w:rFonts w:ascii="宋体" w:hAnsi="宋体" w:eastAsia="宋体" w:cs="宋体" w:hint="eastAsia"/>
              </w:rPr>
            </w:pPr>
            <w:r>
              <w:rPr>
                <w:color w:val="auto"/>
                <w:sz w:val="18"/>
                <w:kern w:val="0"/>
                <w:szCs w:val="18"/>
                <w:rFonts w:ascii="宋体" w:hAnsi="宋体" w:eastAsia="宋体" w:cs="宋体" w:hint="eastAsia"/>
              </w:rPr>
              <w:t>年度</w:t>
            </w:r>
          </w:p>
          <w:p>
            <w:pPr>
              <w:widowControl w:val="1"/>
              <w:jc w:val="center"/>
              <w:spacing w:line="240" w:lineRule="exact"/>
              <w:rPr>
                <w:color w:val="auto"/>
                <w:sz w:val="18"/>
                <w:kern w:val="0"/>
                <w:szCs w:val="18"/>
                <w:rFonts w:ascii="宋体" w:hAnsi="宋体" w:eastAsia="宋体" w:cs="宋体" w:hint="eastAsia"/>
              </w:rPr>
            </w:pPr>
            <w:r>
              <w:rPr>
                <w:color w:val="auto"/>
                <w:sz w:val="18"/>
                <w:kern w:val="0"/>
                <w:szCs w:val="18"/>
                <w:rFonts w:ascii="宋体" w:hAnsi="宋体" w:eastAsia="宋体" w:cs="宋体" w:hint="eastAsia"/>
              </w:rPr>
              <w:t>指标值</w:t>
            </w:r>
          </w:p>
        </w:tc>
        <w:tc>
          <w:tcPr>
            <w:tcW w:w="885" w:type="dxa"/>
            <w:vAlign w:val="center"/>
            <w:tcBorders>
              <w:top w:val="nil"/>
              <w:left w:val="nil"/>
              <w:bottom w:val="single" w:color="auto" w:sz="4" w:space="0"/>
              <w:right w:val="single" w:color="auto" w:sz="4" w:space="0"/>
            </w:tcBorders>
          </w:tcPr>
          <w:p>
            <w:pPr>
              <w:widowControl w:val="1"/>
              <w:jc w:val="center"/>
              <w:spacing w:line="240" w:lineRule="exact"/>
              <w:rPr>
                <w:color w:val="auto"/>
                <w:sz w:val="18"/>
                <w:kern w:val="0"/>
                <w:szCs w:val="18"/>
                <w:rFonts w:ascii="宋体" w:hAnsi="宋体" w:eastAsia="宋体" w:cs="宋体" w:hint="eastAsia"/>
              </w:rPr>
            </w:pPr>
            <w:r>
              <w:rPr>
                <w:color w:val="auto"/>
                <w:sz w:val="18"/>
                <w:kern w:val="0"/>
                <w:szCs w:val="18"/>
                <w:rFonts w:ascii="宋体" w:hAnsi="宋体" w:eastAsia="宋体" w:cs="宋体" w:hint="eastAsia"/>
              </w:rPr>
              <w:t>实际</w:t>
            </w:r>
          </w:p>
          <w:p>
            <w:pPr>
              <w:widowControl w:val="1"/>
              <w:jc w:val="center"/>
              <w:spacing w:line="240" w:lineRule="exact"/>
              <w:rPr>
                <w:color w:val="auto"/>
                <w:sz w:val="18"/>
                <w:kern w:val="0"/>
                <w:szCs w:val="18"/>
                <w:rFonts w:ascii="宋体" w:hAnsi="宋体" w:eastAsia="宋体" w:cs="宋体" w:hint="eastAsia"/>
              </w:rPr>
            </w:pPr>
            <w:r>
              <w:rPr>
                <w:color w:val="auto"/>
                <w:sz w:val="18"/>
                <w:kern w:val="0"/>
                <w:szCs w:val="18"/>
                <w:rFonts w:ascii="宋体" w:hAnsi="宋体" w:eastAsia="宋体" w:cs="宋体" w:hint="eastAsia"/>
              </w:rPr>
              <w:t>完成值</w:t>
            </w:r>
          </w:p>
        </w:tc>
        <w:tc>
          <w:tcPr>
            <w:tcW w:w="555" w:type="dxa"/>
            <w:vAlign w:val="center"/>
            <w:tcBorders>
              <w:top w:val="nil"/>
              <w:left w:val="nil"/>
              <w:bottom w:val="single" w:color="auto" w:sz="4" w:space="0"/>
              <w:right w:val="single" w:color="auto" w:sz="4" w:space="0"/>
            </w:tcBorders>
          </w:tcPr>
          <w:p>
            <w:pPr>
              <w:widowControl w:val="1"/>
              <w:jc w:val="center"/>
              <w:spacing w:line="240" w:lineRule="exact"/>
              <w:rPr>
                <w:color w:val="auto"/>
                <w:sz w:val="18"/>
                <w:kern w:val="0"/>
                <w:szCs w:val="18"/>
                <w:rFonts w:ascii="宋体" w:hAnsi="宋体" w:eastAsia="宋体" w:cs="宋体" w:hint="eastAsia"/>
              </w:rPr>
            </w:pPr>
            <w:r>
              <w:rPr>
                <w:color w:val="auto"/>
                <w:sz w:val="18"/>
                <w:kern w:val="0"/>
                <w:szCs w:val="18"/>
                <w:rFonts w:ascii="宋体" w:hAnsi="宋体" w:eastAsia="宋体" w:cs="宋体" w:hint="eastAsia"/>
              </w:rPr>
              <w:t>分值</w:t>
            </w:r>
          </w:p>
        </w:tc>
        <w:tc>
          <w:tcPr>
            <w:tcW w:w="825" w:type="dxa"/>
            <w:vAlign w:val="center"/>
            <w:tcBorders>
              <w:top w:val="nil"/>
              <w:left w:val="nil"/>
              <w:bottom w:val="single" w:color="auto" w:sz="4" w:space="0"/>
              <w:right w:val="single" w:color="auto" w:sz="4" w:space="0"/>
            </w:tcBorders>
          </w:tcPr>
          <w:p>
            <w:pPr>
              <w:widowControl w:val="1"/>
              <w:jc w:val="center"/>
              <w:spacing w:line="240" w:lineRule="exact"/>
              <w:rPr>
                <w:color w:val="auto"/>
                <w:sz w:val="18"/>
                <w:kern w:val="0"/>
                <w:szCs w:val="18"/>
                <w:rFonts w:ascii="宋体" w:hAnsi="宋体" w:eastAsia="宋体" w:cs="宋体" w:hint="eastAsia"/>
              </w:rPr>
            </w:pPr>
            <w:r>
              <w:rPr>
                <w:color w:val="auto"/>
                <w:sz w:val="18"/>
                <w:kern w:val="0"/>
                <w:szCs w:val="18"/>
                <w:rFonts w:ascii="宋体" w:hAnsi="宋体" w:eastAsia="宋体" w:cs="宋体" w:hint="eastAsia"/>
              </w:rPr>
              <w:t>得分</w:t>
            </w:r>
          </w:p>
        </w:tc>
        <w:tc>
          <w:tcPr>
            <w:tcW w:w="1943" w:type="dxa"/>
            <w:vAlign w:val="center"/>
            <w:tcBorders>
              <w:top w:val="single" w:color="auto" w:sz="4" w:space="0"/>
              <w:left w:val="nil"/>
              <w:bottom w:val="single" w:color="auto" w:sz="4" w:space="0"/>
              <w:right w:val="single" w:color="auto" w:sz="4" w:space="0"/>
            </w:tcBorders>
          </w:tcPr>
          <w:p>
            <w:pPr>
              <w:widowControl w:val="1"/>
              <w:jc w:val="center"/>
              <w:spacing w:line="240" w:lineRule="exact"/>
              <w:rPr>
                <w:color w:val="auto"/>
                <w:sz w:val="18"/>
                <w:kern w:val="0"/>
                <w:szCs w:val="18"/>
                <w:rFonts w:ascii="宋体" w:hAnsi="宋体" w:eastAsia="宋体" w:cs="宋体" w:hint="eastAsia"/>
              </w:rPr>
            </w:pPr>
            <w:r>
              <w:rPr>
                <w:color w:val="auto"/>
                <w:sz w:val="18"/>
                <w:kern w:val="0"/>
                <w:szCs w:val="18"/>
                <w:rFonts w:ascii="宋体" w:hAnsi="宋体" w:eastAsia="宋体" w:cs="宋体" w:hint="eastAsia"/>
              </w:rPr>
              <w:t>偏差原因分析及改进措施</w:t>
            </w:r>
          </w:p>
        </w:tc>
      </w:tr>
      <w:tr>
        <w:tblPrEx>
          <w:tblCellMar>
            <w:top w:type="dxa" w:w="0.000000"/>
            <w:bottom w:type="dxa" w:w="0.000000"/>
            <w:left w:type="dxa" w:w="108.000000"/>
            <w:right w:type="dxa" w:w="108.000000"/>
          </w:tblCellMar>
          <w:tblLayout w:type="fixed"/>
        </w:tblPrEx>
        <w:trPr>
          <w:trHeight w:val="1692" w:hRule="exact"/>
          <w:jc w:val="center"/>
        </w:trPr>
        <w:tc>
          <w:tcPr>
            <w:tcW w:w="396" w:type="dxa"/>
            <w:vMerge w:val="continue"/>
            <w:vAlign w:val="center"/>
            <w:tcBorders>
              <w:left w:val="single" w:color="auto" w:sz="4" w:space="0"/>
              <w:right w:val="single" w:color="auto" w:sz="4" w:space="0"/>
            </w:tcBorders>
          </w:tcPr>
          <w:p>
            <w:pPr>
              <w:widowControl w:val="1"/>
              <w:jc w:val="center"/>
              <w:spacing w:line="240" w:lineRule="exact"/>
              <w:rPr>
                <w:color w:val="auto"/>
                <w:sz w:val="18"/>
                <w:kern w:val="0"/>
                <w:szCs w:val="18"/>
                <w:rFonts w:ascii="宋体" w:hAnsi="宋体" w:eastAsia="宋体" w:cs="宋体" w:hint="eastAsia"/>
              </w:rPr>
            </w:pPr>
          </w:p>
        </w:tc>
        <w:tc>
          <w:tcPr>
            <w:tcW w:w="458" w:type="dxa"/>
            <w:vMerge w:val="restart"/>
            <w:vAlign w:val="center"/>
            <w:tcBorders>
              <w:top w:val="nil"/>
              <w:left w:val="single" w:color="auto" w:sz="4" w:space="0"/>
              <w:right w:val="single" w:color="auto" w:sz="4" w:space="0"/>
            </w:tcBorders>
          </w:tcPr>
          <w:p>
            <w:pPr>
              <w:widowControl w:val="1"/>
              <w:jc w:val="center"/>
              <w:spacing w:line="240" w:lineRule="exact"/>
              <w:rPr>
                <w:color w:val="auto"/>
                <w:sz w:val="18"/>
                <w:kern w:val="0"/>
                <w:szCs w:val="18"/>
                <w:rFonts w:ascii="宋体" w:hAnsi="宋体" w:eastAsia="宋体" w:cs="宋体" w:hint="eastAsia"/>
              </w:rPr>
            </w:pPr>
            <w:r>
              <w:rPr>
                <w:color w:val="auto"/>
                <w:sz w:val="18"/>
                <w:kern w:val="0"/>
                <w:szCs w:val="18"/>
                <w:rFonts w:ascii="宋体" w:hAnsi="宋体" w:eastAsia="宋体" w:cs="宋体" w:hint="eastAsia"/>
              </w:rPr>
              <w:t>产出指标</w:t>
            </w:r>
          </w:p>
        </w:tc>
        <w:tc>
          <w:tcPr>
            <w:tcW w:w="883" w:type="dxa"/>
            <w:vMerge w:val="restart"/>
            <w:vAlign w:val="center"/>
            <w:tcBorders>
              <w:top w:val="nil"/>
              <w:left w:val="single" w:color="auto" w:sz="4" w:space="0"/>
              <w:right w:val="single" w:color="auto" w:sz="4" w:space="0"/>
            </w:tcBorders>
            <w:shd w:val="clear" w:color="auto" w:fill="auto"/>
          </w:tcPr>
          <w:p>
            <w:pPr>
              <w:widowControl w:val="1"/>
              <w:jc w:val="center"/>
              <w:spacing w:line="240" w:lineRule="exact"/>
              <w:rPr>
                <w:color w:val="auto"/>
                <w:sz w:val="18"/>
                <w:kern w:val="0"/>
                <w:szCs w:val="18"/>
                <w:rFonts w:ascii="宋体" w:hAnsi="宋体" w:eastAsia="宋体" w:cs="宋体" w:hint="eastAsia"/>
              </w:rPr>
            </w:pPr>
            <w:r>
              <w:rPr>
                <w:color w:val="auto"/>
                <w:sz w:val="18"/>
                <w:kern w:val="0"/>
                <w:szCs w:val="18"/>
                <w:rFonts w:ascii="宋体" w:hAnsi="宋体" w:eastAsia="宋体" w:cs="宋体" w:hint="eastAsia"/>
              </w:rPr>
              <w:t>数量指标</w:t>
            </w:r>
          </w:p>
        </w:tc>
        <w:tc>
          <w:tcPr>
            <w:tcW w:w="1722" w:type="dxa"/>
            <w:vAlign w:val="center"/>
            <w:tcBorders>
              <w:top w:val="single" w:color="auto" w:sz="4" w:space="0"/>
              <w:left w:val="nil"/>
              <w:bottom w:val="single" w:color="auto" w:sz="4" w:space="0"/>
              <w:right w:val="single" w:color="auto" w:sz="4" w:space="0"/>
            </w:tcBorders>
            <w:shd w:val="clear" w:color="auto" w:fill="auto"/>
          </w:tcPr>
          <w:p>
            <w:pPr>
              <w:widowControl w:val="1"/>
              <w:keepNext w:val="0"/>
              <w:keepLines w:val="0"/>
              <w:jc w:val="left"/>
              <w:suppressLineNumbers w:val="0"/>
              <w:rPr>
                <w:color w:val="auto"/>
                <w:sz w:val="18"/>
                <w:kern w:val="0"/>
                <w:szCs w:val="18"/>
                <w:rFonts w:ascii="宋体" w:hAnsi="宋体" w:eastAsia="宋体" w:cs="宋体" w:hint="eastAsia"/>
              </w:rPr>
            </w:pPr>
            <w:r>
              <w:rPr>
                <w:i w:val="0"/>
                <w:u w:val="none"/>
                <w:color w:val="auto"/>
                <w:sz w:val="18"/>
                <w:lang w:val="en-US" w:eastAsia="zh-CN" w:bidi="ar"/>
                <w:iCs w:val="0"/>
                <w:kern w:val="0"/>
                <w:szCs w:val="18"/>
                <w:rFonts w:ascii="宋体" w:hAnsi="宋体" w:eastAsia="宋体" w:cs="宋体" w:hint="eastAsia"/>
              </w:rPr>
              <w:t>建设不同优质饲划品种生产评比田面积</w:t>
            </w:r>
          </w:p>
        </w:tc>
        <w:tc>
          <w:tcPr>
            <w:tcW w:w="855" w:type="dxa"/>
            <w:vAlign w:val="center"/>
            <w:tcBorders>
              <w:top w:val="nil"/>
              <w:left w:val="nil"/>
              <w:bottom w:val="single" w:color="auto" w:sz="4" w:space="0"/>
              <w:right w:val="single" w:color="auto" w:sz="4" w:space="0"/>
            </w:tcBorders>
            <w:shd w:val="clear" w:color="auto" w:fill="auto"/>
          </w:tcPr>
          <w:p>
            <w:pPr>
              <w:widowControl w:val="1"/>
              <w:keepNext w:val="0"/>
              <w:keepLines w:val="0"/>
              <w:jc w:val="center"/>
              <w:suppressLineNumbers w:val="0"/>
              <w:rPr>
                <w:color w:val="auto"/>
                <w:sz w:val="18"/>
                <w:kern w:val="0"/>
                <w:szCs w:val="18"/>
                <w:rFonts w:ascii="宋体" w:hAnsi="宋体" w:eastAsia="宋体" w:cs="宋体" w:hint="eastAsia"/>
              </w:rPr>
            </w:pPr>
            <w:r>
              <w:rPr>
                <w:rStyle w:val="54"/>
                <w:color w:val="auto"/>
                <w:sz w:val="18"/>
                <w:lang w:val="en-US" w:eastAsia="zh-CN" w:bidi="ar"/>
                <w:szCs w:val="18"/>
                <w:rFonts w:ascii="宋体" w:hAnsi="宋体" w:eastAsia="宋体" w:cs="宋体" w:hint="eastAsia"/>
              </w:rPr>
              <w:t>≥</w:t>
            </w:r>
            <w:r>
              <w:rPr>
                <w:rStyle w:val="55"/>
                <w:color w:val="auto"/>
                <w:sz w:val="18"/>
                <w:lang w:val="en-US" w:eastAsia="zh-CN" w:bidi="ar"/>
                <w:szCs w:val="18"/>
                <w:rFonts w:ascii="宋体" w:hAnsi="宋体" w:eastAsia="宋体" w:cs="宋体" w:hint="eastAsia"/>
              </w:rPr>
              <w:t>4000亩</w:t>
            </w:r>
          </w:p>
        </w:tc>
        <w:tc>
          <w:tcPr>
            <w:tcW w:w="885" w:type="dxa"/>
            <w:vAlign w:val="center"/>
            <w:tcBorders>
              <w:top w:val="nil"/>
              <w:left w:val="nil"/>
              <w:bottom w:val="single" w:color="auto" w:sz="4" w:space="0"/>
              <w:right w:val="single" w:color="auto" w:sz="4" w:space="0"/>
            </w:tcBorders>
            <w:shd w:val="clear" w:color="auto" w:fill="auto"/>
          </w:tcPr>
          <w:p>
            <w:pPr>
              <w:widowControl w:val="1"/>
              <w:jc w:val="center"/>
              <w:rPr>
                <w:color w:val="auto"/>
                <w:sz w:val="18"/>
                <w:lang w:val="en-US" w:eastAsia="zh-CN" w:bidi="ar-SA"/>
                <w:kern w:val="2"/>
                <w:szCs w:val="18"/>
                <w:rFonts w:ascii="宋体" w:hAnsi="宋体" w:eastAsia="宋体" w:cs="宋体" w:hint="eastAsia"/>
              </w:rPr>
            </w:pPr>
            <w:r>
              <w:rPr>
                <w:color w:val="auto"/>
                <w:sz w:val="18"/>
                <w:lang w:val="en-US" w:eastAsia="zh-CN" w:bidi="ar-SA"/>
                <w:kern w:val="2"/>
                <w:szCs w:val="18"/>
                <w:rFonts w:ascii="宋体" w:hAnsi="宋体" w:eastAsia="宋体" w:cs="宋体" w:hint="eastAsia"/>
              </w:rPr>
              <w:t>4100.93亩</w:t>
            </w:r>
          </w:p>
        </w:tc>
        <w:tc>
          <w:tcPr>
            <w:tcW w:w="555" w:type="dxa"/>
            <w:vAlign w:val="center"/>
            <w:tcBorders>
              <w:top w:val="nil"/>
              <w:left w:val="nil"/>
              <w:bottom w:val="single" w:color="auto" w:sz="4" w:space="0"/>
              <w:right w:val="single" w:color="auto" w:sz="4" w:space="0"/>
            </w:tcBorders>
            <w:shd w:val="clear" w:color="auto" w:fill="auto"/>
          </w:tcPr>
          <w:p>
            <w:pPr>
              <w:jc w:val="center"/>
              <w:rPr>
                <w:color w:val="auto"/>
                <w:sz w:val="18"/>
                <w:lang w:val="en-US" w:eastAsia="zh-CN" w:bidi="ar-SA"/>
                <w:kern w:val="2"/>
                <w:szCs w:val="18"/>
                <w:rFonts w:ascii="宋体" w:hAnsi="宋体" w:eastAsia="宋体" w:cs="宋体" w:hint="default"/>
              </w:rPr>
            </w:pPr>
            <w:r>
              <w:rPr>
                <w:color w:val="auto"/>
                <w:sz w:val="18"/>
                <w:lang w:val="en-US" w:eastAsia="zh-CN" w:bidi="ar-SA"/>
                <w:kern w:val="2"/>
                <w:szCs w:val="18"/>
                <w:rFonts w:ascii="宋体" w:hAnsi="宋体" w:eastAsia="宋体" w:cs="宋体" w:hint="eastAsia"/>
              </w:rPr>
              <w:t>2.3</w:t>
            </w:r>
          </w:p>
        </w:tc>
        <w:tc>
          <w:tcPr>
            <w:tcW w:w="825" w:type="dxa"/>
            <w:vAlign w:val="center"/>
            <w:tcBorders>
              <w:top w:val="nil"/>
              <w:left w:val="nil"/>
              <w:bottom w:val="single" w:color="auto" w:sz="4" w:space="0"/>
              <w:right w:val="single" w:color="auto" w:sz="4" w:space="0"/>
            </w:tcBorders>
            <w:shd w:val="clear" w:color="auto" w:fill="auto"/>
          </w:tcPr>
          <w:p>
            <w:pPr>
              <w:widowControl w:val="1"/>
              <w:jc w:val="center"/>
              <w:spacing w:line="240" w:lineRule="exact"/>
              <w:rPr>
                <w:color w:val="auto"/>
                <w:sz w:val="18"/>
                <w:lang w:val="en-US" w:eastAsia="zh-CN"/>
                <w:kern w:val="0"/>
                <w:szCs w:val="18"/>
                <w:rFonts w:ascii="宋体" w:hAnsi="宋体" w:eastAsia="宋体" w:cs="宋体" w:hint="default"/>
              </w:rPr>
            </w:pPr>
            <w:r>
              <w:rPr>
                <w:color w:val="auto"/>
                <w:sz w:val="18"/>
                <w:lang w:val="en-US" w:eastAsia="zh-CN"/>
                <w:kern w:val="0"/>
                <w:szCs w:val="18"/>
                <w:rFonts w:ascii="宋体" w:hAnsi="宋体" w:eastAsia="宋体" w:cs="宋体" w:hint="eastAsia"/>
              </w:rPr>
              <w:t>2.3</w:t>
            </w:r>
          </w:p>
        </w:tc>
        <w:tc>
          <w:tcPr>
            <w:tcW w:w="1943" w:type="dxa"/>
            <w:vAlign w:val="center"/>
            <w:tcBorders>
              <w:top w:val="single" w:color="auto" w:sz="4" w:space="0"/>
              <w:left w:val="nil"/>
              <w:bottom w:val="single" w:color="auto" w:sz="4" w:space="0"/>
              <w:right w:val="single" w:color="auto" w:sz="4" w:space="0"/>
            </w:tcBorders>
            <w:shd w:val="clear" w:color="auto" w:fill="auto"/>
          </w:tcPr>
          <w:p>
            <w:pPr>
              <w:widowControl w:val="1"/>
              <w:jc w:val="center"/>
              <w:spacing w:line="240" w:lineRule="exact"/>
              <w:rPr>
                <w:color w:val="auto"/>
                <w:sz w:val="18"/>
                <w:lang w:val="en-US" w:eastAsia="zh-Hans"/>
                <w:kern w:val="0"/>
                <w:szCs w:val="18"/>
                <w:rFonts w:ascii="宋体" w:hAnsi="宋体" w:eastAsia="宋体" w:cs="宋体" w:hint="default"/>
              </w:rPr>
            </w:pPr>
            <w:r>
              <w:rPr>
                <w:color w:val="auto"/>
                <w:sz w:val="18"/>
                <w:lang w:val="en-US" w:eastAsia="zh-Hans"/>
                <w:kern w:val="0"/>
                <w:szCs w:val="18"/>
                <w:rFonts w:ascii="宋体" w:hAnsi="宋体" w:eastAsia="宋体" w:cs="宋体" w:hint="eastAsia"/>
              </w:rPr>
              <w:t>偏差原因：</w:t>
            </w:r>
            <w:r>
              <w:rPr>
                <w:color w:val="auto"/>
                <w:sz w:val="18"/>
                <w:kern w:val="0"/>
                <w:szCs w:val="18"/>
                <w:rFonts w:ascii="宋体" w:hAnsi="宋体" w:eastAsia="宋体" w:cs="宋体" w:hint="eastAsia"/>
              </w:rPr>
              <w:t>克州超额完成种植任务</w:t>
            </w:r>
            <w:r>
              <w:rPr>
                <w:color w:val="auto"/>
                <w:sz w:val="18"/>
                <w:lang w:eastAsia="zh-CN"/>
                <w:kern w:val="0"/>
                <w:szCs w:val="18"/>
                <w:rFonts w:ascii="宋体" w:hAnsi="宋体" w:eastAsia="宋体" w:cs="宋体" w:hint="eastAsia"/>
              </w:rPr>
              <w:t>。</w:t>
            </w:r>
            <w:r>
              <w:rPr>
                <w:color w:val="auto"/>
                <w:sz w:val="18"/>
                <w:lang w:val="en-US" w:eastAsia="zh-Hans"/>
                <w:kern w:val="0"/>
                <w:szCs w:val="18"/>
                <w:rFonts w:ascii="宋体" w:hAnsi="宋体" w:eastAsia="宋体" w:cs="宋体" w:hint="eastAsia"/>
              </w:rPr>
              <w:t>改进措施：对近三年的数据进行测算，在下一年更加严谨设置年度指标值。</w:t>
            </w:r>
          </w:p>
        </w:tc>
      </w:tr>
      <w:tr>
        <w:tblPrEx>
          <w:tblCellMar>
            <w:top w:type="dxa" w:w="0.000000"/>
            <w:bottom w:type="dxa" w:w="0.000000"/>
            <w:left w:type="dxa" w:w="108.000000"/>
            <w:right w:type="dxa" w:w="108.000000"/>
          </w:tblCellMar>
          <w:tblLayout w:type="fixed"/>
        </w:tblPrEx>
        <w:trPr>
          <w:trHeight w:val="1566" w:hRule="exact"/>
          <w:jc w:val="center"/>
        </w:trPr>
        <w:tc>
          <w:tcPr>
            <w:tcW w:w="396" w:type="dxa"/>
            <w:vMerge w:val="continue"/>
            <w:vAlign w:val="center"/>
            <w:tcBorders>
              <w:left w:val="single" w:color="auto" w:sz="4" w:space="0"/>
              <w:right w:val="single" w:color="auto" w:sz="4" w:space="0"/>
            </w:tcBorders>
          </w:tcPr>
          <w:p>
            <w:pPr>
              <w:widowControl w:val="1"/>
              <w:jc w:val="center"/>
              <w:spacing w:line="240" w:lineRule="exact"/>
              <w:rPr>
                <w:color w:val="auto"/>
                <w:sz w:val="18"/>
                <w:kern w:val="0"/>
                <w:szCs w:val="18"/>
                <w:rFonts w:ascii="宋体" w:hAnsi="宋体" w:eastAsia="宋体" w:cs="宋体" w:hint="eastAsia"/>
              </w:rPr>
            </w:pPr>
          </w:p>
        </w:tc>
        <w:tc>
          <w:tcPr>
            <w:tcW w:w="458" w:type="dxa"/>
            <w:vMerge w:val="continue"/>
            <w:vAlign w:val="center"/>
            <w:tcBorders>
              <w:left w:val="single" w:color="auto" w:sz="4" w:space="0"/>
              <w:right w:val="single" w:color="auto" w:sz="4" w:space="0"/>
            </w:tcBorders>
          </w:tcPr>
          <w:p>
            <w:pPr>
              <w:widowControl w:val="1"/>
              <w:jc w:val="center"/>
              <w:spacing w:line="240" w:lineRule="exact"/>
              <w:rPr>
                <w:color w:val="auto"/>
                <w:sz w:val="18"/>
                <w:kern w:val="0"/>
                <w:szCs w:val="18"/>
                <w:rFonts w:ascii="宋体" w:hAnsi="宋体" w:eastAsia="宋体" w:cs="宋体" w:hint="eastAsia"/>
              </w:rPr>
            </w:pPr>
          </w:p>
        </w:tc>
        <w:tc>
          <w:tcPr>
            <w:tcW w:w="883" w:type="dxa"/>
            <w:vMerge w:val="continue"/>
            <w:vAlign w:val="center"/>
            <w:tcBorders>
              <w:left w:val="single" w:color="auto" w:sz="4" w:space="0"/>
              <w:right w:val="single" w:color="auto" w:sz="4" w:space="0"/>
            </w:tcBorders>
            <w:shd w:val="clear" w:color="auto" w:fill="auto"/>
          </w:tcPr>
          <w:p>
            <w:pPr>
              <w:widowControl w:val="1"/>
              <w:jc w:val="center"/>
              <w:spacing w:line="240" w:lineRule="exact"/>
              <w:rPr>
                <w:color w:val="auto"/>
                <w:sz w:val="18"/>
                <w:kern w:val="0"/>
                <w:szCs w:val="18"/>
                <w:rFonts w:ascii="宋体" w:hAnsi="宋体" w:eastAsia="宋体" w:cs="宋体" w:hint="eastAsia"/>
              </w:rPr>
            </w:pPr>
          </w:p>
        </w:tc>
        <w:tc>
          <w:tcPr>
            <w:tcW w:w="1722" w:type="dxa"/>
            <w:vAlign w:val="center"/>
            <w:tcBorders>
              <w:top w:val="single" w:color="auto" w:sz="4" w:space="0"/>
              <w:left w:val="nil"/>
              <w:bottom w:val="single" w:color="auto" w:sz="4" w:space="0"/>
              <w:right w:val="single" w:color="auto" w:sz="4" w:space="0"/>
            </w:tcBorders>
            <w:shd w:val="clear" w:color="auto" w:fill="auto"/>
          </w:tcPr>
          <w:p>
            <w:pPr>
              <w:widowControl w:val="1"/>
              <w:keepNext w:val="0"/>
              <w:keepLines w:val="0"/>
              <w:jc w:val="left"/>
              <w:suppressLineNumbers w:val="0"/>
              <w:rPr>
                <w:color w:val="auto"/>
                <w:sz w:val="18"/>
                <w:kern w:val="0"/>
                <w:szCs w:val="18"/>
                <w:rFonts w:ascii="宋体" w:hAnsi="宋体" w:eastAsia="宋体" w:cs="宋体" w:hint="eastAsia"/>
              </w:rPr>
            </w:pPr>
            <w:r>
              <w:rPr>
                <w:i w:val="0"/>
                <w:u w:val="none"/>
                <w:color w:val="auto"/>
                <w:sz w:val="18"/>
                <w:lang w:val="en-US" w:eastAsia="zh-CN" w:bidi="ar"/>
                <w:iCs w:val="0"/>
                <w:kern w:val="0"/>
                <w:szCs w:val="18"/>
                <w:rFonts w:ascii="宋体" w:hAnsi="宋体" w:eastAsia="宋体" w:cs="宋体" w:hint="eastAsia"/>
              </w:rPr>
              <w:t>建设优质饲划高产栽培示范田面积</w:t>
            </w:r>
          </w:p>
        </w:tc>
        <w:tc>
          <w:tcPr>
            <w:tcW w:w="855" w:type="dxa"/>
            <w:vAlign w:val="center"/>
            <w:tcBorders>
              <w:top w:val="nil"/>
              <w:left w:val="nil"/>
              <w:bottom w:val="single" w:color="auto" w:sz="4" w:space="0"/>
              <w:right w:val="single" w:color="auto" w:sz="4" w:space="0"/>
            </w:tcBorders>
            <w:shd w:val="clear" w:color="auto" w:fill="auto"/>
          </w:tcPr>
          <w:p>
            <w:pPr>
              <w:widowControl w:val="1"/>
              <w:keepNext w:val="0"/>
              <w:keepLines w:val="0"/>
              <w:jc w:val="center"/>
              <w:suppressLineNumbers w:val="0"/>
              <w:rPr>
                <w:color w:val="auto"/>
                <w:sz w:val="18"/>
                <w:kern w:val="0"/>
                <w:szCs w:val="18"/>
                <w:rFonts w:ascii="宋体" w:hAnsi="宋体" w:eastAsia="宋体" w:cs="宋体" w:hint="eastAsia"/>
              </w:rPr>
            </w:pPr>
            <w:r>
              <w:rPr>
                <w:rStyle w:val="54"/>
                <w:color w:val="auto"/>
                <w:sz w:val="18"/>
                <w:lang w:val="en-US" w:eastAsia="zh-CN" w:bidi="ar"/>
                <w:szCs w:val="18"/>
                <w:rFonts w:ascii="宋体" w:hAnsi="宋体" w:eastAsia="宋体" w:cs="宋体" w:hint="eastAsia"/>
              </w:rPr>
              <w:t>≥10000</w:t>
            </w:r>
            <w:r>
              <w:rPr>
                <w:rStyle w:val="55"/>
                <w:color w:val="auto"/>
                <w:sz w:val="18"/>
                <w:lang w:val="en-US" w:eastAsia="zh-CN" w:bidi="ar"/>
                <w:szCs w:val="18"/>
                <w:rFonts w:ascii="宋体" w:hAnsi="宋体" w:eastAsia="宋体" w:cs="宋体" w:hint="eastAsia"/>
              </w:rPr>
              <w:t>亩</w:t>
            </w:r>
          </w:p>
        </w:tc>
        <w:tc>
          <w:tcPr>
            <w:tcW w:w="885" w:type="dxa"/>
            <w:vAlign w:val="center"/>
            <w:tcBorders>
              <w:top w:val="nil"/>
              <w:left w:val="nil"/>
              <w:bottom w:val="single" w:color="auto" w:sz="4" w:space="0"/>
              <w:right w:val="single" w:color="auto" w:sz="4" w:space="0"/>
            </w:tcBorders>
            <w:shd w:val="clear" w:color="auto" w:fill="auto"/>
          </w:tcPr>
          <w:p>
            <w:pPr>
              <w:jc w:val="center"/>
              <w:rPr>
                <w:color w:val="auto"/>
                <w:sz w:val="18"/>
                <w:lang w:val="en-US" w:eastAsia="zh-CN" w:bidi="ar-SA"/>
                <w:kern w:val="2"/>
                <w:szCs w:val="18"/>
                <w:rFonts w:ascii="宋体" w:hAnsi="宋体" w:eastAsia="宋体" w:cs="宋体" w:hint="eastAsia"/>
              </w:rPr>
            </w:pPr>
            <w:r>
              <w:rPr>
                <w:color w:val="auto"/>
                <w:sz w:val="18"/>
                <w:lang w:val="en-US" w:eastAsia="zh-CN" w:bidi="ar-SA"/>
                <w:kern w:val="2"/>
                <w:szCs w:val="18"/>
                <w:rFonts w:ascii="宋体" w:hAnsi="宋体" w:eastAsia="宋体" w:cs="宋体" w:hint="eastAsia"/>
              </w:rPr>
              <w:t>10850亩</w:t>
            </w:r>
          </w:p>
        </w:tc>
        <w:tc>
          <w:tcPr>
            <w:tcW w:w="555" w:type="dxa"/>
            <w:vAlign w:val="center"/>
            <w:tcBorders>
              <w:top w:val="nil"/>
              <w:left w:val="nil"/>
              <w:bottom w:val="single" w:color="auto" w:sz="4" w:space="0"/>
              <w:right w:val="single" w:color="auto" w:sz="4" w:space="0"/>
            </w:tcBorders>
            <w:shd w:val="clear" w:color="auto" w:fill="auto"/>
          </w:tcPr>
          <w:p>
            <w:pPr>
              <w:jc w:val="center"/>
              <w:rPr>
                <w:color w:val="auto"/>
                <w:sz w:val="18"/>
                <w:lang w:val="en-US" w:eastAsia="zh-CN" w:bidi="ar-SA"/>
                <w:kern w:val="2"/>
                <w:szCs w:val="18"/>
                <w:rFonts w:ascii="宋体" w:hAnsi="宋体" w:eastAsia="宋体" w:cs="宋体" w:hint="default"/>
              </w:rPr>
            </w:pPr>
            <w:r>
              <w:rPr>
                <w:color w:val="auto"/>
                <w:sz w:val="18"/>
                <w:lang w:val="en-US" w:eastAsia="zh-CN" w:bidi="ar-SA"/>
                <w:kern w:val="2"/>
                <w:szCs w:val="18"/>
                <w:rFonts w:ascii="宋体" w:hAnsi="宋体" w:eastAsia="宋体" w:cs="宋体" w:hint="eastAsia"/>
              </w:rPr>
              <w:t>2.3</w:t>
            </w:r>
          </w:p>
        </w:tc>
        <w:tc>
          <w:tcPr>
            <w:tcW w:w="825" w:type="dxa"/>
            <w:vAlign w:val="center"/>
            <w:tcBorders>
              <w:top w:val="nil"/>
              <w:left w:val="nil"/>
              <w:bottom w:val="single" w:color="auto" w:sz="4" w:space="0"/>
              <w:right w:val="single" w:color="auto" w:sz="4" w:space="0"/>
            </w:tcBorders>
            <w:shd w:val="clear" w:color="auto" w:fill="auto"/>
          </w:tcPr>
          <w:p>
            <w:pPr>
              <w:widowControl w:val="1"/>
              <w:jc w:val="center"/>
              <w:spacing w:line="240" w:lineRule="exact"/>
              <w:rPr>
                <w:color w:val="auto"/>
                <w:sz w:val="18"/>
                <w:lang w:val="en-US" w:eastAsia="zh-CN"/>
                <w:kern w:val="0"/>
                <w:szCs w:val="18"/>
                <w:rFonts w:ascii="宋体" w:hAnsi="宋体" w:eastAsia="宋体" w:cs="宋体" w:hint="default"/>
              </w:rPr>
            </w:pPr>
            <w:r>
              <w:rPr>
                <w:color w:val="auto"/>
                <w:sz w:val="18"/>
                <w:lang w:val="en-US" w:eastAsia="zh-CN"/>
                <w:kern w:val="0"/>
                <w:szCs w:val="18"/>
                <w:rFonts w:ascii="宋体" w:hAnsi="宋体" w:eastAsia="宋体" w:cs="宋体" w:hint="eastAsia"/>
              </w:rPr>
              <w:t>2.3</w:t>
            </w:r>
          </w:p>
        </w:tc>
        <w:tc>
          <w:tcPr>
            <w:tcW w:w="1943" w:type="dxa"/>
            <w:vAlign w:val="center"/>
            <w:tcBorders>
              <w:top w:val="single" w:color="auto" w:sz="4" w:space="0"/>
              <w:left w:val="nil"/>
              <w:bottom w:val="single" w:color="auto" w:sz="4" w:space="0"/>
              <w:right w:val="single" w:color="auto" w:sz="4" w:space="0"/>
            </w:tcBorders>
            <w:shd w:val="clear" w:color="auto" w:fill="auto"/>
          </w:tcPr>
          <w:p>
            <w:pPr>
              <w:widowControl w:val="1"/>
              <w:jc w:val="center"/>
              <w:spacing w:line="240" w:lineRule="exact"/>
              <w:rPr>
                <w:color w:val="auto"/>
                <w:sz w:val="18"/>
                <w:lang w:eastAsia="zh-CN"/>
                <w:kern w:val="0"/>
                <w:szCs w:val="18"/>
                <w:rFonts w:ascii="宋体" w:hAnsi="宋体" w:eastAsia="宋体" w:cs="宋体" w:hint="eastAsia"/>
              </w:rPr>
            </w:pPr>
            <w:r>
              <w:rPr>
                <w:color w:val="auto"/>
                <w:sz w:val="18"/>
                <w:lang w:val="en-US" w:eastAsia="zh-Hans"/>
                <w:kern w:val="0"/>
                <w:szCs w:val="18"/>
                <w:rFonts w:ascii="宋体" w:hAnsi="宋体" w:eastAsia="宋体" w:cs="宋体" w:hint="eastAsia"/>
              </w:rPr>
              <w:t>偏差原因：</w:t>
            </w:r>
            <w:r>
              <w:rPr>
                <w:color w:val="auto"/>
                <w:sz w:val="18"/>
                <w:kern w:val="0"/>
                <w:szCs w:val="18"/>
                <w:rFonts w:ascii="宋体" w:hAnsi="宋体" w:eastAsia="宋体" w:cs="宋体" w:hint="eastAsia"/>
              </w:rPr>
              <w:t>巴州超额完成种植面积</w:t>
            </w:r>
            <w:r>
              <w:rPr>
                <w:color w:val="auto"/>
                <w:sz w:val="18"/>
                <w:lang w:eastAsia="zh-CN"/>
                <w:kern w:val="0"/>
                <w:szCs w:val="18"/>
                <w:rFonts w:ascii="宋体" w:hAnsi="宋体" w:eastAsia="宋体" w:cs="宋体" w:hint="eastAsia"/>
              </w:rPr>
              <w:t>。</w:t>
            </w:r>
            <w:r>
              <w:rPr>
                <w:color w:val="auto"/>
                <w:sz w:val="18"/>
                <w:lang w:val="en-US" w:eastAsia="zh-Hans"/>
                <w:kern w:val="0"/>
                <w:szCs w:val="18"/>
                <w:rFonts w:ascii="宋体" w:hAnsi="宋体" w:eastAsia="宋体" w:cs="宋体" w:hint="eastAsia"/>
              </w:rPr>
              <w:t>改进措施：对近三年的数据进行测算，在下一年更加严谨设置年度指标值。</w:t>
            </w:r>
          </w:p>
        </w:tc>
      </w:tr>
      <w:tr>
        <w:tblPrEx>
          <w:tblCellMar>
            <w:top w:type="dxa" w:w="0.000000"/>
            <w:bottom w:type="dxa" w:w="0.000000"/>
            <w:left w:type="dxa" w:w="108.000000"/>
            <w:right w:type="dxa" w:w="108.000000"/>
          </w:tblCellMar>
          <w:tblLayout w:type="fixed"/>
        </w:tblPrEx>
        <w:trPr>
          <w:trHeight w:val="600" w:hRule="exact"/>
          <w:jc w:val="center"/>
        </w:trPr>
        <w:tc>
          <w:tcPr>
            <w:tcW w:w="396" w:type="dxa"/>
            <w:vMerge w:val="continue"/>
            <w:vAlign w:val="center"/>
            <w:tcBorders>
              <w:left w:val="single" w:color="auto" w:sz="4" w:space="0"/>
              <w:right w:val="single" w:color="auto" w:sz="4" w:space="0"/>
            </w:tcBorders>
          </w:tcPr>
          <w:p>
            <w:pPr>
              <w:widowControl w:val="1"/>
              <w:jc w:val="center"/>
              <w:spacing w:line="240" w:lineRule="exact"/>
              <w:rPr>
                <w:color w:val="auto"/>
                <w:sz w:val="18"/>
                <w:kern w:val="0"/>
                <w:szCs w:val="18"/>
                <w:rFonts w:ascii="宋体" w:hAnsi="宋体" w:eastAsia="宋体" w:cs="宋体" w:hint="eastAsia"/>
              </w:rPr>
            </w:pPr>
          </w:p>
        </w:tc>
        <w:tc>
          <w:tcPr>
            <w:tcW w:w="458" w:type="dxa"/>
            <w:vMerge w:val="continue"/>
            <w:vAlign w:val="center"/>
            <w:tcBorders>
              <w:left w:val="single" w:color="auto" w:sz="4" w:space="0"/>
              <w:right w:val="single" w:color="auto" w:sz="4" w:space="0"/>
            </w:tcBorders>
          </w:tcPr>
          <w:p>
            <w:pPr>
              <w:widowControl w:val="1"/>
              <w:jc w:val="center"/>
              <w:spacing w:line="240" w:lineRule="exact"/>
              <w:rPr>
                <w:color w:val="auto"/>
                <w:sz w:val="18"/>
                <w:kern w:val="0"/>
                <w:szCs w:val="18"/>
                <w:rFonts w:ascii="宋体" w:hAnsi="宋体" w:eastAsia="宋体" w:cs="宋体" w:hint="eastAsia"/>
              </w:rPr>
            </w:pPr>
          </w:p>
        </w:tc>
        <w:tc>
          <w:tcPr>
            <w:tcW w:w="883" w:type="dxa"/>
            <w:vMerge w:val="continue"/>
            <w:vAlign w:val="center"/>
            <w:tcBorders>
              <w:left w:val="single" w:color="auto" w:sz="4" w:space="0"/>
              <w:right w:val="single" w:color="auto" w:sz="4" w:space="0"/>
            </w:tcBorders>
            <w:shd w:val="clear" w:color="auto" w:fill="auto"/>
          </w:tcPr>
          <w:p>
            <w:pPr>
              <w:widowControl w:val="1"/>
              <w:jc w:val="center"/>
              <w:spacing w:line="240" w:lineRule="exact"/>
              <w:rPr>
                <w:color w:val="auto"/>
                <w:sz w:val="18"/>
                <w:kern w:val="0"/>
                <w:szCs w:val="18"/>
                <w:rFonts w:ascii="宋体" w:hAnsi="宋体" w:eastAsia="宋体" w:cs="宋体" w:hint="eastAsia"/>
              </w:rPr>
            </w:pPr>
          </w:p>
        </w:tc>
        <w:tc>
          <w:tcPr>
            <w:tcW w:w="1722" w:type="dxa"/>
            <w:vAlign w:val="center"/>
            <w:tcBorders>
              <w:top w:val="single" w:color="auto" w:sz="4" w:space="0"/>
              <w:left w:val="nil"/>
              <w:bottom w:val="single" w:color="auto" w:sz="4" w:space="0"/>
              <w:right w:val="single" w:color="auto" w:sz="4" w:space="0"/>
            </w:tcBorders>
            <w:shd w:val="clear" w:color="auto" w:fill="auto"/>
          </w:tcPr>
          <w:p>
            <w:pPr>
              <w:widowControl w:val="1"/>
              <w:keepNext w:val="0"/>
              <w:keepLines w:val="0"/>
              <w:jc w:val="left"/>
              <w:suppressLineNumbers w:val="0"/>
              <w:rPr>
                <w:color w:val="auto"/>
                <w:sz w:val="18"/>
                <w:kern w:val="0"/>
                <w:szCs w:val="18"/>
                <w:rFonts w:ascii="宋体" w:hAnsi="宋体" w:eastAsia="宋体" w:cs="宋体" w:hint="eastAsia"/>
              </w:rPr>
            </w:pPr>
            <w:r>
              <w:rPr>
                <w:i w:val="0"/>
                <w:u w:val="none"/>
                <w:color w:val="auto"/>
                <w:sz w:val="18"/>
                <w:lang w:val="en-US" w:eastAsia="zh-CN" w:bidi="ar"/>
                <w:iCs w:val="0"/>
                <w:kern w:val="0"/>
                <w:szCs w:val="18"/>
                <w:rFonts w:ascii="宋体" w:hAnsi="宋体" w:eastAsia="宋体" w:cs="宋体" w:hint="eastAsia"/>
              </w:rPr>
              <w:t>完成畜禽遗传资源性能测定数量</w:t>
            </w:r>
          </w:p>
        </w:tc>
        <w:tc>
          <w:tcPr>
            <w:tcW w:w="855" w:type="dxa"/>
            <w:vAlign w:val="center"/>
            <w:tcBorders>
              <w:top w:val="nil"/>
              <w:left w:val="nil"/>
              <w:bottom w:val="single" w:color="auto" w:sz="4" w:space="0"/>
              <w:right w:val="single" w:color="auto" w:sz="4" w:space="0"/>
            </w:tcBorders>
            <w:shd w:val="clear" w:color="auto" w:fill="auto"/>
          </w:tcPr>
          <w:p>
            <w:pPr>
              <w:widowControl w:val="1"/>
              <w:keepNext w:val="0"/>
              <w:keepLines w:val="0"/>
              <w:jc w:val="center"/>
              <w:suppressLineNumbers w:val="0"/>
              <w:rPr>
                <w:color w:val="auto"/>
                <w:sz w:val="18"/>
                <w:kern w:val="0"/>
                <w:szCs w:val="18"/>
                <w:rFonts w:ascii="宋体" w:hAnsi="宋体" w:eastAsia="宋体" w:cs="宋体" w:hint="eastAsia"/>
              </w:rPr>
            </w:pPr>
            <w:r>
              <w:rPr>
                <w:rStyle w:val="54"/>
                <w:color w:val="auto"/>
                <w:sz w:val="18"/>
                <w:lang w:val="en-US" w:eastAsia="zh-CN" w:bidi="ar"/>
                <w:szCs w:val="18"/>
                <w:rFonts w:ascii="宋体" w:hAnsi="宋体" w:eastAsia="宋体" w:cs="宋体" w:hint="eastAsia"/>
              </w:rPr>
              <w:t>≥5</w:t>
            </w:r>
            <w:r>
              <w:rPr>
                <w:rStyle w:val="55"/>
                <w:color w:val="auto"/>
                <w:sz w:val="18"/>
                <w:lang w:val="en-US" w:eastAsia="zh-CN" w:bidi="ar"/>
                <w:szCs w:val="18"/>
                <w:rFonts w:ascii="宋体" w:hAnsi="宋体" w:eastAsia="宋体" w:cs="宋体" w:hint="eastAsia"/>
              </w:rPr>
              <w:t>个</w:t>
            </w:r>
          </w:p>
        </w:tc>
        <w:tc>
          <w:tcPr>
            <w:tcW w:w="885" w:type="dxa"/>
            <w:vAlign w:val="center"/>
            <w:tcBorders>
              <w:top w:val="nil"/>
              <w:left w:val="nil"/>
              <w:bottom w:val="single" w:color="auto" w:sz="4" w:space="0"/>
              <w:right w:val="single" w:color="auto" w:sz="4" w:space="0"/>
            </w:tcBorders>
            <w:shd w:val="clear" w:color="auto" w:fill="auto"/>
          </w:tcPr>
          <w:p>
            <w:pPr>
              <w:jc w:val="center"/>
              <w:rPr>
                <w:color w:val="auto"/>
                <w:sz w:val="18"/>
                <w:lang w:val="en-US" w:eastAsia="zh-CN" w:bidi="ar-SA"/>
                <w:kern w:val="2"/>
                <w:szCs w:val="18"/>
                <w:rFonts w:ascii="宋体" w:hAnsi="宋体" w:eastAsia="宋体" w:cs="宋体" w:hint="eastAsia"/>
              </w:rPr>
            </w:pPr>
            <w:r>
              <w:rPr>
                <w:color w:val="auto"/>
                <w:sz w:val="18"/>
                <w:lang w:val="en-US" w:eastAsia="zh-CN" w:bidi="ar-SA"/>
                <w:kern w:val="2"/>
                <w:szCs w:val="18"/>
                <w:rFonts w:ascii="宋体" w:hAnsi="宋体" w:eastAsia="宋体" w:cs="宋体" w:hint="eastAsia"/>
              </w:rPr>
              <w:t>5个</w:t>
            </w:r>
          </w:p>
        </w:tc>
        <w:tc>
          <w:tcPr>
            <w:tcW w:w="555" w:type="dxa"/>
            <w:vAlign w:val="center"/>
            <w:tcBorders>
              <w:top w:val="nil"/>
              <w:left w:val="nil"/>
              <w:bottom w:val="single" w:color="auto" w:sz="4" w:space="0"/>
              <w:right w:val="single" w:color="auto" w:sz="4" w:space="0"/>
            </w:tcBorders>
            <w:shd w:val="clear" w:color="auto" w:fill="auto"/>
          </w:tcPr>
          <w:p>
            <w:pPr>
              <w:jc w:val="center"/>
              <w:rPr>
                <w:color w:val="auto"/>
                <w:sz w:val="18"/>
                <w:lang w:val="en-US" w:eastAsia="zh-CN" w:bidi="ar-SA"/>
                <w:kern w:val="2"/>
                <w:szCs w:val="18"/>
                <w:rFonts w:ascii="宋体" w:hAnsi="宋体" w:eastAsia="宋体" w:cs="宋体" w:hint="default"/>
              </w:rPr>
            </w:pPr>
            <w:r>
              <w:rPr>
                <w:color w:val="auto"/>
                <w:sz w:val="18"/>
                <w:lang w:val="en-US" w:eastAsia="zh-CN" w:bidi="ar-SA"/>
                <w:kern w:val="2"/>
                <w:szCs w:val="18"/>
                <w:rFonts w:ascii="宋体" w:hAnsi="宋体" w:eastAsia="宋体" w:cs="宋体" w:hint="eastAsia"/>
              </w:rPr>
              <w:t>2.3</w:t>
            </w:r>
          </w:p>
        </w:tc>
        <w:tc>
          <w:tcPr>
            <w:tcW w:w="825" w:type="dxa"/>
            <w:vAlign w:val="center"/>
            <w:tcBorders>
              <w:top w:val="nil"/>
              <w:left w:val="nil"/>
              <w:bottom w:val="single" w:color="auto" w:sz="4" w:space="0"/>
              <w:right w:val="single" w:color="auto" w:sz="4" w:space="0"/>
            </w:tcBorders>
            <w:shd w:val="clear" w:color="auto" w:fill="auto"/>
          </w:tcPr>
          <w:p>
            <w:pPr>
              <w:widowControl w:val="1"/>
              <w:jc w:val="center"/>
              <w:spacing w:line="240" w:lineRule="exact"/>
              <w:rPr>
                <w:color w:val="auto"/>
                <w:sz w:val="18"/>
                <w:lang w:val="en-US" w:eastAsia="zh-CN"/>
                <w:kern w:val="0"/>
                <w:szCs w:val="18"/>
                <w:rFonts w:ascii="宋体" w:hAnsi="宋体" w:eastAsia="宋体" w:cs="宋体" w:hint="default"/>
              </w:rPr>
            </w:pPr>
            <w:r>
              <w:rPr>
                <w:color w:val="auto"/>
                <w:sz w:val="18"/>
                <w:lang w:val="en-US" w:eastAsia="zh-CN"/>
                <w:kern w:val="0"/>
                <w:szCs w:val="18"/>
                <w:rFonts w:ascii="宋体" w:hAnsi="宋体" w:eastAsia="宋体" w:cs="宋体" w:hint="eastAsia"/>
              </w:rPr>
              <w:t>2.3</w:t>
            </w:r>
          </w:p>
        </w:tc>
        <w:tc>
          <w:tcPr>
            <w:tcW w:w="1943" w:type="dxa"/>
            <w:vAlign w:val="center"/>
            <w:tcBorders>
              <w:top w:val="single" w:color="auto" w:sz="4" w:space="0"/>
              <w:left w:val="nil"/>
              <w:bottom w:val="single" w:color="auto" w:sz="4" w:space="0"/>
              <w:right w:val="single" w:color="auto" w:sz="4" w:space="0"/>
            </w:tcBorders>
            <w:shd w:val="clear" w:color="auto" w:fill="auto"/>
          </w:tcPr>
          <w:p>
            <w:pPr>
              <w:widowControl w:val="1"/>
              <w:jc w:val="center"/>
              <w:spacing w:line="240" w:lineRule="exact"/>
              <w:rPr>
                <w:color w:val="auto"/>
                <w:sz w:val="18"/>
                <w:kern w:val="0"/>
                <w:szCs w:val="18"/>
                <w:rFonts w:ascii="宋体" w:hAnsi="宋体" w:eastAsia="宋体" w:cs="宋体" w:hint="eastAsia"/>
              </w:rPr>
            </w:pPr>
          </w:p>
        </w:tc>
      </w:tr>
      <w:tr>
        <w:tblPrEx>
          <w:tblCellMar>
            <w:top w:type="dxa" w:w="0.000000"/>
            <w:bottom w:type="dxa" w:w="0.000000"/>
            <w:left w:type="dxa" w:w="108.000000"/>
            <w:right w:type="dxa" w:w="108.000000"/>
          </w:tblCellMar>
          <w:tblLayout w:type="fixed"/>
        </w:tblPrEx>
        <w:trPr>
          <w:trHeight w:val="660" w:hRule="exact"/>
          <w:jc w:val="center"/>
        </w:trPr>
        <w:tc>
          <w:tcPr>
            <w:tcW w:w="396" w:type="dxa"/>
            <w:vMerge w:val="continue"/>
            <w:vAlign w:val="center"/>
            <w:tcBorders>
              <w:left w:val="single" w:color="auto" w:sz="4" w:space="0"/>
              <w:right w:val="single" w:color="auto" w:sz="4" w:space="0"/>
            </w:tcBorders>
          </w:tcPr>
          <w:p>
            <w:pPr>
              <w:widowControl w:val="1"/>
              <w:jc w:val="center"/>
              <w:spacing w:line="240" w:lineRule="exact"/>
              <w:rPr>
                <w:color w:val="auto"/>
                <w:sz w:val="18"/>
                <w:kern w:val="0"/>
                <w:szCs w:val="18"/>
                <w:rFonts w:ascii="宋体" w:hAnsi="宋体" w:eastAsia="宋体" w:cs="宋体" w:hint="eastAsia"/>
              </w:rPr>
            </w:pPr>
          </w:p>
        </w:tc>
        <w:tc>
          <w:tcPr>
            <w:tcW w:w="458" w:type="dxa"/>
            <w:vMerge w:val="continue"/>
            <w:vAlign w:val="center"/>
            <w:tcBorders>
              <w:left w:val="single" w:color="auto" w:sz="4" w:space="0"/>
              <w:right w:val="single" w:color="auto" w:sz="4" w:space="0"/>
            </w:tcBorders>
          </w:tcPr>
          <w:p>
            <w:pPr>
              <w:widowControl w:val="1"/>
              <w:jc w:val="center"/>
              <w:spacing w:line="240" w:lineRule="exact"/>
              <w:rPr>
                <w:color w:val="auto"/>
                <w:sz w:val="18"/>
                <w:kern w:val="0"/>
                <w:szCs w:val="18"/>
                <w:rFonts w:ascii="宋体" w:hAnsi="宋体" w:eastAsia="宋体" w:cs="宋体" w:hint="eastAsia"/>
              </w:rPr>
            </w:pPr>
          </w:p>
        </w:tc>
        <w:tc>
          <w:tcPr>
            <w:tcW w:w="883" w:type="dxa"/>
            <w:vMerge w:val="continue"/>
            <w:vAlign w:val="center"/>
            <w:tcBorders>
              <w:left w:val="single" w:color="auto" w:sz="4" w:space="0"/>
              <w:right w:val="single" w:color="auto" w:sz="4" w:space="0"/>
            </w:tcBorders>
            <w:shd w:val="clear" w:color="auto" w:fill="auto"/>
          </w:tcPr>
          <w:p>
            <w:pPr>
              <w:widowControl w:val="1"/>
              <w:jc w:val="center"/>
              <w:spacing w:line="240" w:lineRule="exact"/>
              <w:rPr>
                <w:color w:val="auto"/>
                <w:sz w:val="18"/>
                <w:kern w:val="0"/>
                <w:szCs w:val="18"/>
                <w:rFonts w:ascii="宋体" w:hAnsi="宋体" w:eastAsia="宋体" w:cs="宋体" w:hint="eastAsia"/>
              </w:rPr>
            </w:pPr>
          </w:p>
        </w:tc>
        <w:tc>
          <w:tcPr>
            <w:tcW w:w="1722" w:type="dxa"/>
            <w:vAlign w:val="center"/>
            <w:tcBorders>
              <w:top w:val="single" w:color="auto" w:sz="4" w:space="0"/>
              <w:left w:val="nil"/>
              <w:bottom w:val="single" w:color="auto" w:sz="4" w:space="0"/>
              <w:right w:val="single" w:color="auto" w:sz="4" w:space="0"/>
            </w:tcBorders>
            <w:shd w:val="clear" w:color="auto" w:fill="auto"/>
          </w:tcPr>
          <w:p>
            <w:pPr>
              <w:widowControl w:val="1"/>
              <w:keepNext w:val="0"/>
              <w:keepLines w:val="0"/>
              <w:jc w:val="left"/>
              <w:suppressLineNumbers w:val="0"/>
              <w:rPr>
                <w:color w:val="auto"/>
                <w:sz w:val="18"/>
                <w:kern w:val="0"/>
                <w:szCs w:val="18"/>
                <w:rFonts w:ascii="宋体" w:hAnsi="宋体" w:eastAsia="宋体" w:cs="宋体" w:hint="eastAsia"/>
              </w:rPr>
            </w:pPr>
            <w:r>
              <w:rPr>
                <w:i w:val="0"/>
                <w:u w:val="none"/>
                <w:color w:val="auto"/>
                <w:sz w:val="18"/>
                <w:lang w:val="en-US" w:eastAsia="zh-CN" w:bidi="ar"/>
                <w:iCs w:val="0"/>
                <w:kern w:val="0"/>
                <w:szCs w:val="18"/>
                <w:rFonts w:ascii="宋体" w:hAnsi="宋体" w:eastAsia="宋体" w:cs="宋体" w:hint="eastAsia"/>
              </w:rPr>
              <w:t>新增荷斯坦能繁母牛数量</w:t>
            </w:r>
          </w:p>
        </w:tc>
        <w:tc>
          <w:tcPr>
            <w:tcW w:w="855" w:type="dxa"/>
            <w:vAlign w:val="center"/>
            <w:tcBorders>
              <w:top w:val="nil"/>
              <w:left w:val="nil"/>
              <w:bottom w:val="single" w:color="auto" w:sz="4" w:space="0"/>
              <w:right w:val="single" w:color="auto" w:sz="4" w:space="0"/>
            </w:tcBorders>
            <w:shd w:val="clear" w:color="auto" w:fill="auto"/>
          </w:tcPr>
          <w:p>
            <w:pPr>
              <w:widowControl w:val="1"/>
              <w:keepNext w:val="0"/>
              <w:keepLines w:val="0"/>
              <w:jc w:val="center"/>
              <w:suppressLineNumbers w:val="0"/>
              <w:rPr>
                <w:color w:val="auto"/>
                <w:sz w:val="18"/>
                <w:kern w:val="0"/>
                <w:szCs w:val="18"/>
                <w:rFonts w:ascii="宋体" w:hAnsi="宋体" w:eastAsia="宋体" w:cs="宋体" w:hint="eastAsia"/>
              </w:rPr>
            </w:pPr>
            <w:r>
              <w:rPr>
                <w:rStyle w:val="54"/>
                <w:color w:val="auto"/>
                <w:sz w:val="18"/>
                <w:lang w:val="en-US" w:eastAsia="zh-CN" w:bidi="ar"/>
                <w:szCs w:val="18"/>
                <w:rFonts w:ascii="宋体" w:hAnsi="宋体" w:eastAsia="宋体" w:cs="宋体" w:hint="eastAsia"/>
              </w:rPr>
              <w:t>≥4200</w:t>
            </w:r>
            <w:r>
              <w:rPr>
                <w:rStyle w:val="55"/>
                <w:color w:val="auto"/>
                <w:sz w:val="18"/>
                <w:lang w:val="en-US" w:eastAsia="zh-CN" w:bidi="ar"/>
                <w:szCs w:val="18"/>
                <w:rFonts w:ascii="宋体" w:hAnsi="宋体" w:eastAsia="宋体" w:cs="宋体" w:hint="eastAsia"/>
              </w:rPr>
              <w:t>头</w:t>
            </w:r>
          </w:p>
        </w:tc>
        <w:tc>
          <w:tcPr>
            <w:tcW w:w="885" w:type="dxa"/>
            <w:vAlign w:val="center"/>
            <w:tcBorders>
              <w:top w:val="nil"/>
              <w:left w:val="nil"/>
              <w:bottom w:val="single" w:color="auto" w:sz="4" w:space="0"/>
              <w:right w:val="single" w:color="auto" w:sz="4" w:space="0"/>
            </w:tcBorders>
            <w:shd w:val="clear" w:color="auto" w:fill="auto"/>
          </w:tcPr>
          <w:p>
            <w:pPr>
              <w:jc w:val="center"/>
              <w:rPr>
                <w:color w:val="auto"/>
                <w:sz w:val="18"/>
                <w:lang w:val="en-US" w:eastAsia="zh-CN" w:bidi="ar-SA"/>
                <w:kern w:val="2"/>
                <w:szCs w:val="18"/>
                <w:rFonts w:ascii="宋体" w:hAnsi="宋体" w:eastAsia="宋体" w:cs="宋体" w:hint="default"/>
              </w:rPr>
            </w:pPr>
            <w:r>
              <w:rPr>
                <w:color w:val="auto"/>
                <w:sz w:val="18"/>
                <w:lang w:val="en-US" w:eastAsia="zh-CN" w:bidi="ar-SA"/>
                <w:kern w:val="2"/>
                <w:szCs w:val="18"/>
                <w:rFonts w:ascii="宋体" w:hAnsi="宋体" w:eastAsia="宋体" w:cs="宋体" w:hint="eastAsia"/>
              </w:rPr>
              <w:t>4200头</w:t>
            </w:r>
          </w:p>
        </w:tc>
        <w:tc>
          <w:tcPr>
            <w:tcW w:w="555" w:type="dxa"/>
            <w:vAlign w:val="center"/>
            <w:tcBorders>
              <w:top w:val="nil"/>
              <w:left w:val="nil"/>
              <w:bottom w:val="single" w:color="auto" w:sz="4" w:space="0"/>
              <w:right w:val="single" w:color="auto" w:sz="4" w:space="0"/>
            </w:tcBorders>
            <w:shd w:val="clear" w:color="auto" w:fill="auto"/>
          </w:tcPr>
          <w:p>
            <w:pPr>
              <w:jc w:val="center"/>
              <w:rPr>
                <w:color w:val="auto"/>
                <w:sz w:val="18"/>
                <w:lang w:val="en-US" w:eastAsia="zh-CN" w:bidi="ar-SA"/>
                <w:kern w:val="2"/>
                <w:szCs w:val="18"/>
                <w:rFonts w:ascii="宋体" w:hAnsi="宋体" w:eastAsia="宋体" w:cs="宋体" w:hint="default"/>
              </w:rPr>
            </w:pPr>
            <w:r>
              <w:rPr>
                <w:color w:val="auto"/>
                <w:sz w:val="18"/>
                <w:lang w:val="en-US" w:eastAsia="zh-CN" w:bidi="ar-SA"/>
                <w:kern w:val="2"/>
                <w:szCs w:val="18"/>
                <w:rFonts w:ascii="宋体" w:hAnsi="宋体" w:eastAsia="宋体" w:cs="宋体" w:hint="eastAsia"/>
              </w:rPr>
              <w:t>2.3</w:t>
            </w:r>
          </w:p>
        </w:tc>
        <w:tc>
          <w:tcPr>
            <w:tcW w:w="825" w:type="dxa"/>
            <w:vAlign w:val="center"/>
            <w:tcBorders>
              <w:top w:val="nil"/>
              <w:left w:val="nil"/>
              <w:bottom w:val="single" w:color="auto" w:sz="4" w:space="0"/>
              <w:right w:val="single" w:color="auto" w:sz="4" w:space="0"/>
            </w:tcBorders>
            <w:shd w:val="clear" w:color="auto" w:fill="auto"/>
          </w:tcPr>
          <w:p>
            <w:pPr>
              <w:widowControl w:val="1"/>
              <w:jc w:val="center"/>
              <w:spacing w:line="240" w:lineRule="exact"/>
              <w:rPr>
                <w:color w:val="auto"/>
                <w:sz w:val="18"/>
                <w:lang w:val="en-US" w:eastAsia="zh-CN"/>
                <w:kern w:val="0"/>
                <w:szCs w:val="18"/>
                <w:rFonts w:ascii="宋体" w:hAnsi="宋体" w:eastAsia="宋体" w:cs="宋体" w:hint="default"/>
              </w:rPr>
            </w:pPr>
            <w:r>
              <w:rPr>
                <w:color w:val="auto"/>
                <w:sz w:val="18"/>
                <w:lang w:val="en-US" w:eastAsia="zh-CN"/>
                <w:kern w:val="0"/>
                <w:szCs w:val="18"/>
                <w:rFonts w:ascii="宋体" w:hAnsi="宋体" w:eastAsia="宋体" w:cs="宋体" w:hint="eastAsia"/>
              </w:rPr>
              <w:t>2.3</w:t>
            </w:r>
          </w:p>
        </w:tc>
        <w:tc>
          <w:tcPr>
            <w:tcW w:w="1943" w:type="dxa"/>
            <w:vAlign w:val="center"/>
            <w:tcBorders>
              <w:top w:val="single" w:color="auto" w:sz="4" w:space="0"/>
              <w:left w:val="nil"/>
              <w:bottom w:val="single" w:color="auto" w:sz="4" w:space="0"/>
              <w:right w:val="single" w:color="auto" w:sz="4" w:space="0"/>
            </w:tcBorders>
            <w:shd w:val="clear" w:color="auto" w:fill="auto"/>
          </w:tcPr>
          <w:p>
            <w:pPr>
              <w:widowControl w:val="1"/>
              <w:jc w:val="center"/>
              <w:spacing w:line="240" w:lineRule="exact"/>
              <w:rPr>
                <w:color w:val="auto"/>
                <w:sz w:val="18"/>
                <w:kern w:val="0"/>
                <w:szCs w:val="18"/>
                <w:rFonts w:ascii="宋体" w:hAnsi="宋体" w:eastAsia="宋体" w:cs="宋体" w:hint="eastAsia"/>
              </w:rPr>
            </w:pPr>
          </w:p>
        </w:tc>
      </w:tr>
      <w:tr>
        <w:tblPrEx>
          <w:tblCellMar>
            <w:top w:type="dxa" w:w="0.000000"/>
            <w:bottom w:type="dxa" w:w="0.000000"/>
            <w:left w:type="dxa" w:w="108.000000"/>
            <w:right w:type="dxa" w:w="108.000000"/>
          </w:tblCellMar>
          <w:tblLayout w:type="fixed"/>
        </w:tblPrEx>
        <w:trPr>
          <w:trHeight w:val="615" w:hRule="exact"/>
          <w:jc w:val="center"/>
        </w:trPr>
        <w:tc>
          <w:tcPr>
            <w:tcW w:w="396" w:type="dxa"/>
            <w:vMerge w:val="continue"/>
            <w:vAlign w:val="center"/>
            <w:tcBorders>
              <w:left w:val="single" w:color="auto" w:sz="4" w:space="0"/>
              <w:right w:val="single" w:color="auto" w:sz="4" w:space="0"/>
            </w:tcBorders>
          </w:tcPr>
          <w:p>
            <w:pPr>
              <w:widowControl w:val="1"/>
              <w:jc w:val="center"/>
              <w:spacing w:line="240" w:lineRule="exact"/>
              <w:rPr>
                <w:color w:val="auto"/>
                <w:sz w:val="18"/>
                <w:kern w:val="0"/>
                <w:szCs w:val="18"/>
                <w:rFonts w:ascii="宋体" w:hAnsi="宋体" w:eastAsia="宋体" w:cs="宋体" w:hint="eastAsia"/>
              </w:rPr>
            </w:pPr>
          </w:p>
        </w:tc>
        <w:tc>
          <w:tcPr>
            <w:tcW w:w="458" w:type="dxa"/>
            <w:vMerge w:val="continue"/>
            <w:vAlign w:val="center"/>
            <w:tcBorders>
              <w:left w:val="single" w:color="auto" w:sz="4" w:space="0"/>
              <w:right w:val="single" w:color="auto" w:sz="4" w:space="0"/>
            </w:tcBorders>
          </w:tcPr>
          <w:p>
            <w:pPr>
              <w:widowControl w:val="1"/>
              <w:jc w:val="center"/>
              <w:spacing w:line="240" w:lineRule="exact"/>
              <w:rPr>
                <w:color w:val="auto"/>
                <w:sz w:val="18"/>
                <w:kern w:val="0"/>
                <w:szCs w:val="18"/>
                <w:rFonts w:ascii="宋体" w:hAnsi="宋体" w:eastAsia="宋体" w:cs="宋体" w:hint="eastAsia"/>
              </w:rPr>
            </w:pPr>
          </w:p>
        </w:tc>
        <w:tc>
          <w:tcPr>
            <w:tcW w:w="883" w:type="dxa"/>
            <w:vMerge w:val="continue"/>
            <w:vAlign w:val="center"/>
            <w:tcBorders>
              <w:left w:val="single" w:color="auto" w:sz="4" w:space="0"/>
              <w:right w:val="single" w:color="auto" w:sz="4" w:space="0"/>
            </w:tcBorders>
            <w:shd w:val="clear" w:color="auto" w:fill="auto"/>
          </w:tcPr>
          <w:p>
            <w:pPr>
              <w:widowControl w:val="1"/>
              <w:jc w:val="center"/>
              <w:spacing w:line="240" w:lineRule="exact"/>
              <w:rPr>
                <w:color w:val="auto"/>
                <w:sz w:val="18"/>
                <w:kern w:val="0"/>
                <w:szCs w:val="18"/>
                <w:rFonts w:ascii="宋体" w:hAnsi="宋体" w:eastAsia="宋体" w:cs="宋体" w:hint="eastAsia"/>
              </w:rPr>
            </w:pPr>
          </w:p>
        </w:tc>
        <w:tc>
          <w:tcPr>
            <w:tcW w:w="1722" w:type="dxa"/>
            <w:vAlign w:val="center"/>
            <w:tcBorders>
              <w:top w:val="single" w:color="auto" w:sz="4" w:space="0"/>
              <w:left w:val="nil"/>
              <w:bottom w:val="single" w:color="auto" w:sz="4" w:space="0"/>
              <w:right w:val="single" w:color="auto" w:sz="4" w:space="0"/>
            </w:tcBorders>
            <w:shd w:val="clear" w:color="auto" w:fill="auto"/>
          </w:tcPr>
          <w:p>
            <w:pPr>
              <w:widowControl w:val="1"/>
              <w:keepNext w:val="0"/>
              <w:keepLines w:val="0"/>
              <w:jc w:val="left"/>
              <w:suppressLineNumbers w:val="0"/>
              <w:rPr>
                <w:color w:val="auto"/>
                <w:sz w:val="18"/>
                <w:kern w:val="0"/>
                <w:szCs w:val="18"/>
                <w:rFonts w:ascii="宋体" w:hAnsi="宋体" w:eastAsia="宋体" w:cs="宋体" w:hint="eastAsia"/>
              </w:rPr>
            </w:pPr>
            <w:r>
              <w:rPr>
                <w:i w:val="0"/>
                <w:u w:val="none"/>
                <w:color w:val="auto"/>
                <w:sz w:val="18"/>
                <w:lang w:val="en-US" w:eastAsia="zh-CN" w:bidi="ar"/>
                <w:iCs w:val="0"/>
                <w:kern w:val="0"/>
                <w:szCs w:val="18"/>
                <w:rFonts w:ascii="宋体" w:hAnsi="宋体" w:eastAsia="宋体" w:cs="宋体" w:hint="eastAsia"/>
              </w:rPr>
              <w:t>畜产品质量安全监测批次</w:t>
            </w:r>
          </w:p>
        </w:tc>
        <w:tc>
          <w:tcPr>
            <w:tcW w:w="855" w:type="dxa"/>
            <w:vAlign w:val="center"/>
            <w:tcBorders>
              <w:top w:val="nil"/>
              <w:left w:val="nil"/>
              <w:bottom w:val="single" w:color="auto" w:sz="4" w:space="0"/>
              <w:right w:val="single" w:color="auto" w:sz="4" w:space="0"/>
            </w:tcBorders>
            <w:shd w:val="clear" w:color="auto" w:fill="auto"/>
          </w:tcPr>
          <w:p>
            <w:pPr>
              <w:widowControl w:val="1"/>
              <w:keepNext w:val="0"/>
              <w:keepLines w:val="0"/>
              <w:jc w:val="center"/>
              <w:suppressLineNumbers w:val="0"/>
              <w:rPr>
                <w:color w:val="auto"/>
                <w:sz w:val="18"/>
                <w:kern w:val="0"/>
                <w:szCs w:val="18"/>
                <w:rFonts w:ascii="宋体" w:hAnsi="宋体" w:eastAsia="宋体" w:cs="宋体" w:hint="eastAsia"/>
              </w:rPr>
            </w:pPr>
            <w:r>
              <w:rPr>
                <w:rStyle w:val="54"/>
                <w:color w:val="auto"/>
                <w:sz w:val="18"/>
                <w:lang w:val="en-US" w:eastAsia="zh-CN" w:bidi="ar"/>
                <w:szCs w:val="18"/>
                <w:rFonts w:ascii="宋体" w:hAnsi="宋体" w:eastAsia="宋体" w:cs="宋体" w:hint="eastAsia"/>
              </w:rPr>
              <w:t>≥3000</w:t>
            </w:r>
            <w:r>
              <w:rPr>
                <w:rStyle w:val="55"/>
                <w:color w:val="auto"/>
                <w:sz w:val="18"/>
                <w:lang w:val="en-US" w:eastAsia="zh-CN" w:bidi="ar"/>
                <w:szCs w:val="18"/>
                <w:rFonts w:ascii="宋体" w:hAnsi="宋体" w:eastAsia="宋体" w:cs="宋体" w:hint="eastAsia"/>
              </w:rPr>
              <w:t>批次</w:t>
            </w:r>
          </w:p>
        </w:tc>
        <w:tc>
          <w:tcPr>
            <w:tcW w:w="885" w:type="dxa"/>
            <w:vAlign w:val="center"/>
            <w:tcBorders>
              <w:top w:val="nil"/>
              <w:left w:val="nil"/>
              <w:bottom w:val="single" w:color="auto" w:sz="4" w:space="0"/>
              <w:right w:val="single" w:color="auto" w:sz="4" w:space="0"/>
            </w:tcBorders>
            <w:shd w:val="clear" w:color="auto" w:fill="auto"/>
          </w:tcPr>
          <w:p>
            <w:pPr>
              <w:jc w:val="center"/>
              <w:rPr>
                <w:color w:val="auto"/>
                <w:sz w:val="18"/>
                <w:lang w:val="en-US" w:eastAsia="zh-CN" w:bidi="ar-SA"/>
                <w:kern w:val="2"/>
                <w:szCs w:val="18"/>
                <w:rFonts w:ascii="宋体" w:hAnsi="宋体" w:eastAsia="宋体" w:cs="宋体" w:hint="eastAsia"/>
              </w:rPr>
            </w:pPr>
            <w:r>
              <w:rPr>
                <w:color w:val="auto"/>
                <w:sz w:val="18"/>
                <w:lang w:val="en-US" w:eastAsia="zh-CN" w:bidi="ar"/>
                <w:kern w:val="0"/>
                <w:szCs w:val="18"/>
                <w:rFonts w:ascii="宋体" w:hAnsi="宋体" w:eastAsia="宋体" w:cs="宋体" w:hint="eastAsia"/>
              </w:rPr>
              <w:t>3000批次</w:t>
            </w:r>
          </w:p>
        </w:tc>
        <w:tc>
          <w:tcPr>
            <w:tcW w:w="555" w:type="dxa"/>
            <w:vAlign w:val="center"/>
            <w:tcBorders>
              <w:top w:val="nil"/>
              <w:left w:val="nil"/>
              <w:bottom w:val="single" w:color="auto" w:sz="4" w:space="0"/>
              <w:right w:val="single" w:color="auto" w:sz="4" w:space="0"/>
            </w:tcBorders>
            <w:shd w:val="clear" w:color="auto" w:fill="auto"/>
          </w:tcPr>
          <w:p>
            <w:pPr>
              <w:jc w:val="center"/>
              <w:rPr>
                <w:color w:val="auto"/>
                <w:sz w:val="18"/>
                <w:lang w:val="en-US" w:eastAsia="zh-CN" w:bidi="ar-SA"/>
                <w:kern w:val="2"/>
                <w:szCs w:val="18"/>
                <w:rFonts w:ascii="宋体" w:hAnsi="宋体" w:eastAsia="宋体" w:cs="宋体" w:hint="default"/>
              </w:rPr>
            </w:pPr>
            <w:r>
              <w:rPr>
                <w:color w:val="auto"/>
                <w:sz w:val="18"/>
                <w:lang w:val="en-US" w:eastAsia="zh-CN" w:bidi="ar-SA"/>
                <w:kern w:val="2"/>
                <w:szCs w:val="18"/>
                <w:rFonts w:ascii="宋体" w:hAnsi="宋体" w:eastAsia="宋体" w:cs="宋体" w:hint="eastAsia"/>
              </w:rPr>
              <w:t>2.3</w:t>
            </w:r>
          </w:p>
        </w:tc>
        <w:tc>
          <w:tcPr>
            <w:tcW w:w="825" w:type="dxa"/>
            <w:vAlign w:val="center"/>
            <w:tcBorders>
              <w:top w:val="nil"/>
              <w:left w:val="nil"/>
              <w:bottom w:val="single" w:color="auto" w:sz="4" w:space="0"/>
              <w:right w:val="single" w:color="auto" w:sz="4" w:space="0"/>
            </w:tcBorders>
            <w:shd w:val="clear" w:color="auto" w:fill="auto"/>
          </w:tcPr>
          <w:p>
            <w:pPr>
              <w:widowControl w:val="1"/>
              <w:jc w:val="center"/>
              <w:spacing w:line="240" w:lineRule="exact"/>
              <w:rPr>
                <w:color w:val="auto"/>
                <w:sz w:val="18"/>
                <w:lang w:val="en-US" w:eastAsia="zh-CN"/>
                <w:kern w:val="0"/>
                <w:szCs w:val="18"/>
                <w:rFonts w:ascii="宋体" w:hAnsi="宋体" w:eastAsia="宋体" w:cs="宋体" w:hint="default"/>
              </w:rPr>
            </w:pPr>
            <w:r>
              <w:rPr>
                <w:color w:val="auto"/>
                <w:sz w:val="18"/>
                <w:lang w:val="en-US" w:eastAsia="zh-CN"/>
                <w:kern w:val="0"/>
                <w:szCs w:val="18"/>
                <w:rFonts w:ascii="宋体" w:hAnsi="宋体" w:eastAsia="宋体" w:cs="宋体" w:hint="eastAsia"/>
              </w:rPr>
              <w:t>2.3</w:t>
            </w:r>
          </w:p>
        </w:tc>
        <w:tc>
          <w:tcPr>
            <w:tcW w:w="1943" w:type="dxa"/>
            <w:vAlign w:val="center"/>
            <w:tcBorders>
              <w:top w:val="single" w:color="auto" w:sz="4" w:space="0"/>
              <w:left w:val="nil"/>
              <w:bottom w:val="single" w:color="auto" w:sz="4" w:space="0"/>
              <w:right w:val="single" w:color="auto" w:sz="4" w:space="0"/>
            </w:tcBorders>
            <w:shd w:val="clear" w:color="auto" w:fill="auto"/>
          </w:tcPr>
          <w:p>
            <w:pPr>
              <w:widowControl w:val="1"/>
              <w:jc w:val="center"/>
              <w:spacing w:line="240" w:lineRule="exact"/>
              <w:rPr>
                <w:color w:val="auto"/>
                <w:sz w:val="18"/>
                <w:kern w:val="0"/>
                <w:szCs w:val="18"/>
                <w:rFonts w:ascii="宋体" w:hAnsi="宋体" w:eastAsia="宋体" w:cs="宋体" w:hint="eastAsia"/>
              </w:rPr>
            </w:pPr>
          </w:p>
        </w:tc>
      </w:tr>
      <w:tr>
        <w:tblPrEx>
          <w:tblCellMar>
            <w:top w:type="dxa" w:w="0.000000"/>
            <w:bottom w:type="dxa" w:w="0.000000"/>
            <w:left w:type="dxa" w:w="108.000000"/>
            <w:right w:type="dxa" w:w="108.000000"/>
          </w:tblCellMar>
          <w:tblLayout w:type="fixed"/>
        </w:tblPrEx>
        <w:trPr>
          <w:trHeight w:val="600" w:hRule="exact"/>
          <w:jc w:val="center"/>
        </w:trPr>
        <w:tc>
          <w:tcPr>
            <w:tcW w:w="396" w:type="dxa"/>
            <w:vMerge w:val="continue"/>
            <w:vAlign w:val="center"/>
            <w:tcBorders>
              <w:left w:val="single" w:color="auto" w:sz="4" w:space="0"/>
              <w:right w:val="single" w:color="auto" w:sz="4" w:space="0"/>
            </w:tcBorders>
          </w:tcPr>
          <w:p>
            <w:pPr>
              <w:widowControl w:val="1"/>
              <w:jc w:val="center"/>
              <w:spacing w:line="240" w:lineRule="exact"/>
              <w:rPr>
                <w:color w:val="auto"/>
                <w:sz w:val="18"/>
                <w:kern w:val="0"/>
                <w:szCs w:val="18"/>
                <w:rFonts w:ascii="宋体" w:hAnsi="宋体" w:eastAsia="宋体" w:cs="宋体" w:hint="eastAsia"/>
              </w:rPr>
            </w:pPr>
          </w:p>
        </w:tc>
        <w:tc>
          <w:tcPr>
            <w:tcW w:w="458" w:type="dxa"/>
            <w:vMerge w:val="continue"/>
            <w:vAlign w:val="center"/>
            <w:tcBorders>
              <w:left w:val="single" w:color="auto" w:sz="4" w:space="0"/>
              <w:right w:val="single" w:color="auto" w:sz="4" w:space="0"/>
            </w:tcBorders>
          </w:tcPr>
          <w:p>
            <w:pPr>
              <w:widowControl w:val="1"/>
              <w:jc w:val="center"/>
              <w:spacing w:line="240" w:lineRule="exact"/>
              <w:rPr>
                <w:color w:val="auto"/>
                <w:sz w:val="18"/>
                <w:kern w:val="0"/>
                <w:szCs w:val="18"/>
                <w:rFonts w:ascii="宋体" w:hAnsi="宋体" w:eastAsia="宋体" w:cs="宋体" w:hint="eastAsia"/>
              </w:rPr>
            </w:pPr>
          </w:p>
        </w:tc>
        <w:tc>
          <w:tcPr>
            <w:tcW w:w="883" w:type="dxa"/>
            <w:vMerge w:val="continue"/>
            <w:vAlign w:val="center"/>
            <w:tcBorders>
              <w:left w:val="single" w:color="auto" w:sz="4" w:space="0"/>
              <w:right w:val="single" w:color="auto" w:sz="4" w:space="0"/>
            </w:tcBorders>
            <w:shd w:val="clear" w:color="auto" w:fill="auto"/>
          </w:tcPr>
          <w:p>
            <w:pPr>
              <w:widowControl w:val="1"/>
              <w:jc w:val="center"/>
              <w:spacing w:line="240" w:lineRule="exact"/>
              <w:rPr>
                <w:color w:val="auto"/>
                <w:sz w:val="18"/>
                <w:kern w:val="0"/>
                <w:szCs w:val="18"/>
                <w:rFonts w:ascii="宋体" w:hAnsi="宋体" w:eastAsia="宋体" w:cs="宋体" w:hint="eastAsia"/>
              </w:rPr>
            </w:pPr>
          </w:p>
        </w:tc>
        <w:tc>
          <w:tcPr>
            <w:tcW w:w="1722" w:type="dxa"/>
            <w:vAlign w:val="center"/>
            <w:tcBorders>
              <w:top w:val="single" w:color="auto" w:sz="4" w:space="0"/>
              <w:left w:val="nil"/>
              <w:bottom w:val="single" w:color="auto" w:sz="4" w:space="0"/>
              <w:right w:val="single" w:color="auto" w:sz="4" w:space="0"/>
            </w:tcBorders>
            <w:shd w:val="clear" w:color="auto" w:fill="auto"/>
          </w:tcPr>
          <w:p>
            <w:pPr>
              <w:widowControl w:val="1"/>
              <w:keepNext w:val="0"/>
              <w:keepLines w:val="0"/>
              <w:jc w:val="left"/>
              <w:suppressLineNumbers w:val="0"/>
              <w:rPr>
                <w:color w:val="auto"/>
                <w:sz w:val="18"/>
                <w:kern w:val="0"/>
                <w:szCs w:val="18"/>
                <w:rFonts w:ascii="宋体" w:hAnsi="宋体" w:eastAsia="宋体" w:cs="宋体" w:hint="eastAsia"/>
              </w:rPr>
            </w:pPr>
            <w:r>
              <w:rPr>
                <w:i w:val="0"/>
                <w:u w:val="none"/>
                <w:color w:val="auto"/>
                <w:sz w:val="18"/>
                <w:lang w:val="en-US" w:eastAsia="zh-CN" w:bidi="ar"/>
                <w:iCs w:val="0"/>
                <w:kern w:val="0"/>
                <w:szCs w:val="18"/>
                <w:rFonts w:ascii="宋体" w:hAnsi="宋体" w:eastAsia="宋体" w:cs="宋体" w:hint="eastAsia"/>
              </w:rPr>
              <w:t>新增奶产量</w:t>
            </w:r>
          </w:p>
        </w:tc>
        <w:tc>
          <w:tcPr>
            <w:tcW w:w="855" w:type="dxa"/>
            <w:vAlign w:val="center"/>
            <w:tcBorders>
              <w:top w:val="nil"/>
              <w:left w:val="nil"/>
              <w:bottom w:val="single" w:color="auto" w:sz="4" w:space="0"/>
              <w:right w:val="single" w:color="auto" w:sz="4" w:space="0"/>
            </w:tcBorders>
            <w:shd w:val="clear" w:color="auto" w:fill="auto"/>
          </w:tcPr>
          <w:p>
            <w:pPr>
              <w:widowControl w:val="1"/>
              <w:keepNext w:val="0"/>
              <w:keepLines w:val="0"/>
              <w:jc w:val="center"/>
              <w:suppressLineNumbers w:val="0"/>
              <w:rPr>
                <w:color w:val="auto"/>
                <w:sz w:val="18"/>
                <w:kern w:val="0"/>
                <w:szCs w:val="18"/>
                <w:rFonts w:ascii="宋体" w:hAnsi="宋体" w:eastAsia="宋体" w:cs="宋体" w:hint="eastAsia"/>
              </w:rPr>
            </w:pPr>
            <w:r>
              <w:rPr>
                <w:rStyle w:val="54"/>
                <w:color w:val="auto"/>
                <w:sz w:val="18"/>
                <w:lang w:val="en-US" w:eastAsia="zh-CN" w:bidi="ar"/>
                <w:szCs w:val="18"/>
                <w:rFonts w:ascii="宋体" w:hAnsi="宋体" w:eastAsia="宋体" w:cs="宋体" w:hint="eastAsia"/>
              </w:rPr>
              <w:t>≥10000</w:t>
            </w:r>
            <w:r>
              <w:rPr>
                <w:rStyle w:val="55"/>
                <w:color w:val="auto"/>
                <w:sz w:val="18"/>
                <w:lang w:val="en-US" w:eastAsia="zh-CN" w:bidi="ar"/>
                <w:szCs w:val="18"/>
                <w:rFonts w:ascii="宋体" w:hAnsi="宋体" w:eastAsia="宋体" w:cs="宋体" w:hint="eastAsia"/>
              </w:rPr>
              <w:t>吨</w:t>
            </w:r>
          </w:p>
        </w:tc>
        <w:tc>
          <w:tcPr>
            <w:tcW w:w="885" w:type="dxa"/>
            <w:vAlign w:val="center"/>
            <w:tcBorders>
              <w:top w:val="nil"/>
              <w:left w:val="nil"/>
              <w:bottom w:val="single" w:color="auto" w:sz="4" w:space="0"/>
              <w:right w:val="single" w:color="auto" w:sz="4" w:space="0"/>
            </w:tcBorders>
            <w:shd w:val="clear" w:color="auto" w:fill="auto"/>
          </w:tcPr>
          <w:p>
            <w:pPr>
              <w:jc w:val="center"/>
              <w:rPr>
                <w:color w:val="auto"/>
                <w:sz w:val="18"/>
                <w:lang w:val="en-US" w:eastAsia="zh-CN" w:bidi="ar-SA"/>
                <w:kern w:val="2"/>
                <w:szCs w:val="18"/>
                <w:rFonts w:ascii="宋体" w:hAnsi="宋体" w:eastAsia="宋体" w:cs="宋体" w:hint="default"/>
              </w:rPr>
            </w:pPr>
            <w:r>
              <w:rPr>
                <w:color w:val="auto"/>
                <w:sz w:val="18"/>
                <w:lang w:val="en-US" w:eastAsia="zh-CN" w:bidi="ar-SA"/>
                <w:kern w:val="2"/>
                <w:szCs w:val="18"/>
                <w:rFonts w:ascii="宋体" w:hAnsi="宋体" w:eastAsia="宋体" w:cs="宋体" w:hint="eastAsia"/>
              </w:rPr>
              <w:t>10000吨</w:t>
            </w:r>
          </w:p>
        </w:tc>
        <w:tc>
          <w:tcPr>
            <w:tcW w:w="555" w:type="dxa"/>
            <w:vAlign w:val="center"/>
            <w:tcBorders>
              <w:top w:val="nil"/>
              <w:left w:val="nil"/>
              <w:bottom w:val="single" w:color="auto" w:sz="4" w:space="0"/>
              <w:right w:val="single" w:color="auto" w:sz="4" w:space="0"/>
            </w:tcBorders>
            <w:shd w:val="clear" w:color="auto" w:fill="auto"/>
          </w:tcPr>
          <w:p>
            <w:pPr>
              <w:jc w:val="center"/>
              <w:rPr>
                <w:color w:val="auto"/>
                <w:sz w:val="18"/>
                <w:lang w:val="en-US" w:eastAsia="zh-CN" w:bidi="ar-SA"/>
                <w:kern w:val="2"/>
                <w:szCs w:val="18"/>
                <w:rFonts w:ascii="宋体" w:hAnsi="宋体" w:eastAsia="宋体" w:cs="宋体" w:hint="default"/>
              </w:rPr>
            </w:pPr>
            <w:r>
              <w:rPr>
                <w:color w:val="auto"/>
                <w:sz w:val="18"/>
                <w:lang w:val="en-US" w:eastAsia="zh-CN" w:bidi="ar-SA"/>
                <w:kern w:val="2"/>
                <w:szCs w:val="18"/>
                <w:rFonts w:ascii="宋体" w:hAnsi="宋体" w:eastAsia="宋体" w:cs="宋体" w:hint="eastAsia"/>
              </w:rPr>
              <w:t>2.3</w:t>
            </w:r>
          </w:p>
        </w:tc>
        <w:tc>
          <w:tcPr>
            <w:tcW w:w="825" w:type="dxa"/>
            <w:vAlign w:val="center"/>
            <w:tcBorders>
              <w:top w:val="nil"/>
              <w:left w:val="nil"/>
              <w:bottom w:val="single" w:color="auto" w:sz="4" w:space="0"/>
              <w:right w:val="single" w:color="auto" w:sz="4" w:space="0"/>
            </w:tcBorders>
            <w:shd w:val="clear" w:color="auto" w:fill="auto"/>
          </w:tcPr>
          <w:p>
            <w:pPr>
              <w:widowControl w:val="1"/>
              <w:jc w:val="center"/>
              <w:spacing w:line="240" w:lineRule="exact"/>
              <w:rPr>
                <w:color w:val="auto"/>
                <w:sz w:val="18"/>
                <w:lang w:val="en-US" w:eastAsia="zh-CN"/>
                <w:kern w:val="0"/>
                <w:szCs w:val="18"/>
                <w:rFonts w:ascii="宋体" w:hAnsi="宋体" w:eastAsia="宋体" w:cs="宋体" w:hint="default"/>
              </w:rPr>
            </w:pPr>
            <w:r>
              <w:rPr>
                <w:color w:val="auto"/>
                <w:sz w:val="18"/>
                <w:lang w:val="en-US" w:eastAsia="zh-CN"/>
                <w:kern w:val="0"/>
                <w:szCs w:val="18"/>
                <w:rFonts w:ascii="宋体" w:hAnsi="宋体" w:eastAsia="宋体" w:cs="宋体" w:hint="eastAsia"/>
              </w:rPr>
              <w:t>2.3</w:t>
            </w:r>
          </w:p>
        </w:tc>
        <w:tc>
          <w:tcPr>
            <w:tcW w:w="1943" w:type="dxa"/>
            <w:vAlign w:val="center"/>
            <w:tcBorders>
              <w:top w:val="single" w:color="auto" w:sz="4" w:space="0"/>
              <w:left w:val="nil"/>
              <w:bottom w:val="single" w:color="auto" w:sz="4" w:space="0"/>
              <w:right w:val="single" w:color="auto" w:sz="4" w:space="0"/>
            </w:tcBorders>
            <w:shd w:val="clear" w:color="auto" w:fill="auto"/>
          </w:tcPr>
          <w:p>
            <w:pPr>
              <w:widowControl w:val="1"/>
              <w:jc w:val="center"/>
              <w:spacing w:line="240" w:lineRule="exact"/>
              <w:rPr>
                <w:color w:val="auto"/>
                <w:sz w:val="18"/>
                <w:kern w:val="0"/>
                <w:szCs w:val="18"/>
                <w:rFonts w:ascii="宋体" w:hAnsi="宋体" w:eastAsia="宋体" w:cs="宋体" w:hint="eastAsia"/>
              </w:rPr>
            </w:pPr>
          </w:p>
        </w:tc>
      </w:tr>
      <w:tr>
        <w:tblPrEx>
          <w:tblCellMar>
            <w:top w:type="dxa" w:w="0.000000"/>
            <w:bottom w:type="dxa" w:w="0.000000"/>
            <w:left w:type="dxa" w:w="108.000000"/>
            <w:right w:type="dxa" w:w="108.000000"/>
          </w:tblCellMar>
          <w:tblLayout w:type="fixed"/>
        </w:tblPrEx>
        <w:trPr>
          <w:trHeight w:val="1260" w:hRule="exact"/>
          <w:jc w:val="center"/>
        </w:trPr>
        <w:tc>
          <w:tcPr>
            <w:tcW w:w="396" w:type="dxa"/>
            <w:vMerge w:val="continue"/>
            <w:vAlign w:val="center"/>
            <w:tcBorders>
              <w:left w:val="single" w:color="auto" w:sz="4" w:space="0"/>
              <w:right w:val="single" w:color="auto" w:sz="4" w:space="0"/>
            </w:tcBorders>
          </w:tcPr>
          <w:p>
            <w:pPr>
              <w:widowControl w:val="1"/>
              <w:jc w:val="center"/>
              <w:spacing w:line="240" w:lineRule="exact"/>
              <w:rPr>
                <w:color w:val="auto"/>
                <w:sz w:val="18"/>
                <w:kern w:val="0"/>
                <w:szCs w:val="18"/>
                <w:rFonts w:ascii="宋体" w:hAnsi="宋体" w:eastAsia="宋体" w:cs="宋体" w:hint="eastAsia"/>
              </w:rPr>
            </w:pPr>
          </w:p>
        </w:tc>
        <w:tc>
          <w:tcPr>
            <w:tcW w:w="458" w:type="dxa"/>
            <w:vMerge w:val="continue"/>
            <w:vAlign w:val="center"/>
            <w:tcBorders>
              <w:left w:val="single" w:color="auto" w:sz="4" w:space="0"/>
              <w:right w:val="single" w:color="auto" w:sz="4" w:space="0"/>
            </w:tcBorders>
          </w:tcPr>
          <w:p>
            <w:pPr>
              <w:widowControl w:val="1"/>
              <w:jc w:val="center"/>
              <w:spacing w:line="240" w:lineRule="exact"/>
              <w:rPr>
                <w:color w:val="auto"/>
                <w:sz w:val="18"/>
                <w:kern w:val="0"/>
                <w:szCs w:val="18"/>
                <w:rFonts w:ascii="宋体" w:hAnsi="宋体" w:eastAsia="宋体" w:cs="宋体" w:hint="eastAsia"/>
              </w:rPr>
            </w:pPr>
          </w:p>
        </w:tc>
        <w:tc>
          <w:tcPr>
            <w:tcW w:w="883" w:type="dxa"/>
            <w:vMerge w:val="continue"/>
            <w:vAlign w:val="center"/>
            <w:tcBorders>
              <w:left w:val="single" w:color="auto" w:sz="4" w:space="0"/>
              <w:right w:val="single" w:color="auto" w:sz="4" w:space="0"/>
            </w:tcBorders>
          </w:tcPr>
          <w:p>
            <w:pPr>
              <w:widowControl w:val="1"/>
              <w:jc w:val="center"/>
              <w:spacing w:line="240" w:lineRule="exact"/>
              <w:rPr>
                <w:color w:val="auto"/>
                <w:sz w:val="18"/>
                <w:kern w:val="0"/>
                <w:szCs w:val="18"/>
                <w:rFonts w:ascii="宋体" w:hAnsi="宋体" w:eastAsia="宋体" w:cs="宋体" w:hint="eastAsia"/>
              </w:rPr>
            </w:pPr>
          </w:p>
        </w:tc>
        <w:tc>
          <w:tcPr>
            <w:tcW w:w="1722" w:type="dxa"/>
            <w:vAlign w:val="center"/>
            <w:tcBorders>
              <w:top w:val="single" w:color="auto" w:sz="4" w:space="0"/>
              <w:left w:val="nil"/>
              <w:bottom w:val="single" w:color="auto" w:sz="4" w:space="0"/>
              <w:right w:val="single" w:color="auto" w:sz="4" w:space="0"/>
            </w:tcBorders>
          </w:tcPr>
          <w:p>
            <w:pPr>
              <w:widowControl w:val="1"/>
              <w:keepNext w:val="0"/>
              <w:keepLines w:val="0"/>
              <w:jc w:val="left"/>
              <w:suppressLineNumbers w:val="0"/>
              <w:rPr>
                <w:color w:val="auto"/>
                <w:sz w:val="18"/>
                <w:kern w:val="0"/>
                <w:szCs w:val="18"/>
                <w:rFonts w:ascii="宋体" w:hAnsi="宋体" w:eastAsia="宋体" w:cs="宋体" w:hint="eastAsia"/>
              </w:rPr>
            </w:pPr>
            <w:r>
              <w:rPr>
                <w:i w:val="0"/>
                <w:u w:val="none"/>
                <w:color w:val="auto"/>
                <w:sz w:val="18"/>
                <w:lang w:val="en-US" w:eastAsia="zh-CN" w:bidi="ar"/>
                <w:iCs w:val="0"/>
                <w:kern w:val="0"/>
                <w:szCs w:val="18"/>
                <w:rFonts w:ascii="宋体" w:hAnsi="宋体" w:eastAsia="宋体" w:cs="宋体" w:hint="eastAsia"/>
              </w:rPr>
              <w:t>支持建设畜禽遗传资源保种场（保护区、基因库)建设数量</w:t>
            </w:r>
          </w:p>
        </w:tc>
        <w:tc>
          <w:tcPr>
            <w:tcW w:w="855" w:type="dxa"/>
            <w:vAlign w:val="center"/>
            <w:tcBorders>
              <w:top w:val="nil"/>
              <w:left w:val="nil"/>
              <w:bottom w:val="single" w:color="auto" w:sz="4" w:space="0"/>
              <w:right w:val="single" w:color="auto" w:sz="4" w:space="0"/>
            </w:tcBorders>
          </w:tcPr>
          <w:p>
            <w:pPr>
              <w:widowControl w:val="1"/>
              <w:keepNext w:val="0"/>
              <w:keepLines w:val="0"/>
              <w:jc w:val="center"/>
              <w:suppressLineNumbers w:val="0"/>
              <w:rPr>
                <w:color w:val="auto"/>
                <w:sz w:val="18"/>
                <w:kern w:val="0"/>
                <w:szCs w:val="18"/>
                <w:rFonts w:ascii="宋体" w:hAnsi="宋体" w:eastAsia="宋体" w:cs="宋体" w:hint="eastAsia"/>
              </w:rPr>
            </w:pPr>
            <w:r>
              <w:rPr>
                <w:rStyle w:val="54"/>
                <w:color w:val="auto"/>
                <w:sz w:val="18"/>
                <w:lang w:val="en-US" w:eastAsia="zh-CN" w:bidi="ar"/>
                <w:szCs w:val="18"/>
                <w:rFonts w:ascii="宋体" w:hAnsi="宋体" w:eastAsia="宋体" w:cs="宋体" w:hint="eastAsia"/>
              </w:rPr>
              <w:t>≥14</w:t>
            </w:r>
            <w:r>
              <w:rPr>
                <w:rStyle w:val="55"/>
                <w:color w:val="auto"/>
                <w:sz w:val="18"/>
                <w:lang w:val="en-US" w:eastAsia="zh-CN" w:bidi="ar"/>
                <w:szCs w:val="18"/>
                <w:rFonts w:ascii="宋体" w:hAnsi="宋体" w:eastAsia="宋体" w:cs="宋体" w:hint="eastAsia"/>
              </w:rPr>
              <w:t>个</w:t>
            </w:r>
          </w:p>
        </w:tc>
        <w:tc>
          <w:tcPr>
            <w:tcW w:w="885" w:type="dxa"/>
            <w:vAlign w:val="center"/>
            <w:tcBorders>
              <w:top w:val="nil"/>
              <w:left w:val="nil"/>
              <w:bottom w:val="single" w:color="auto" w:sz="4" w:space="0"/>
              <w:right w:val="single" w:color="auto" w:sz="4" w:space="0"/>
            </w:tcBorders>
          </w:tcPr>
          <w:p>
            <w:pPr>
              <w:jc w:val="center"/>
              <w:rPr>
                <w:color w:val="auto"/>
                <w:sz w:val="18"/>
                <w:lang w:val="en-US" w:eastAsia="zh-CN" w:bidi="ar-SA"/>
                <w:kern w:val="2"/>
                <w:szCs w:val="18"/>
                <w:rFonts w:ascii="宋体" w:hAnsi="宋体" w:eastAsia="宋体" w:cs="宋体" w:hint="eastAsia"/>
              </w:rPr>
            </w:pPr>
            <w:r>
              <w:rPr>
                <w:rStyle w:val="54"/>
                <w:color w:val="auto"/>
                <w:sz w:val="18"/>
                <w:lang w:val="en-US" w:eastAsia="zh-CN" w:bidi="ar"/>
                <w:szCs w:val="18"/>
                <w:rFonts w:ascii="宋体" w:hAnsi="宋体" w:eastAsia="宋体" w:cs="宋体" w:hint="eastAsia"/>
              </w:rPr>
              <w:t>14</w:t>
            </w:r>
            <w:r>
              <w:rPr>
                <w:rStyle w:val="55"/>
                <w:color w:val="auto"/>
                <w:sz w:val="18"/>
                <w:lang w:val="en-US" w:eastAsia="zh-CN" w:bidi="ar"/>
                <w:szCs w:val="18"/>
                <w:rFonts w:ascii="宋体" w:hAnsi="宋体" w:eastAsia="宋体" w:cs="宋体" w:hint="eastAsia"/>
              </w:rPr>
              <w:t>个</w:t>
            </w:r>
          </w:p>
        </w:tc>
        <w:tc>
          <w:tcPr>
            <w:tcW w:w="555" w:type="dxa"/>
            <w:vAlign w:val="center"/>
            <w:tcBorders>
              <w:top w:val="nil"/>
              <w:left w:val="nil"/>
              <w:bottom w:val="single" w:color="auto" w:sz="4" w:space="0"/>
              <w:right w:val="single" w:color="auto" w:sz="4" w:space="0"/>
            </w:tcBorders>
          </w:tcPr>
          <w:p>
            <w:pPr>
              <w:jc w:val="center"/>
              <w:rPr>
                <w:color w:val="auto"/>
                <w:sz w:val="18"/>
                <w:lang w:val="en-US" w:eastAsia="zh-CN" w:bidi="ar-SA"/>
                <w:kern w:val="2"/>
                <w:szCs w:val="18"/>
                <w:rFonts w:ascii="宋体" w:hAnsi="宋体" w:eastAsia="宋体" w:cs="宋体" w:hint="default"/>
              </w:rPr>
            </w:pPr>
            <w:r>
              <w:rPr>
                <w:color w:val="auto"/>
                <w:sz w:val="18"/>
                <w:lang w:val="en-US" w:eastAsia="zh-CN" w:bidi="ar-SA"/>
                <w:kern w:val="2"/>
                <w:szCs w:val="18"/>
                <w:rFonts w:ascii="宋体" w:hAnsi="宋体" w:eastAsia="宋体" w:cs="宋体" w:hint="eastAsia"/>
              </w:rPr>
              <w:t>2.3</w:t>
            </w:r>
          </w:p>
        </w:tc>
        <w:tc>
          <w:tcPr>
            <w:tcW w:w="825" w:type="dxa"/>
            <w:vAlign w:val="center"/>
            <w:tcBorders>
              <w:top w:val="nil"/>
              <w:left w:val="nil"/>
              <w:bottom w:val="single" w:color="auto" w:sz="4" w:space="0"/>
              <w:right w:val="single" w:color="auto" w:sz="4" w:space="0"/>
            </w:tcBorders>
          </w:tcPr>
          <w:p>
            <w:pPr>
              <w:widowControl w:val="1"/>
              <w:jc w:val="center"/>
              <w:spacing w:line="240" w:lineRule="exact"/>
              <w:rPr>
                <w:color w:val="auto"/>
                <w:sz w:val="18"/>
                <w:kern w:val="0"/>
                <w:szCs w:val="18"/>
                <w:rFonts w:ascii="宋体" w:hAnsi="宋体" w:eastAsia="宋体" w:cs="宋体" w:hint="eastAsia"/>
              </w:rPr>
            </w:pPr>
            <w:r>
              <w:rPr>
                <w:color w:val="auto"/>
                <w:sz w:val="18"/>
                <w:lang w:val="en-US" w:eastAsia="zh-CN" w:bidi="ar-SA"/>
                <w:kern w:val="2"/>
                <w:szCs w:val="18"/>
                <w:rFonts w:ascii="宋体" w:hAnsi="宋体" w:eastAsia="宋体" w:cs="宋体" w:hint="eastAsia"/>
              </w:rPr>
              <w:t>2.3</w:t>
            </w:r>
          </w:p>
        </w:tc>
        <w:tc>
          <w:tcPr>
            <w:tcW w:w="1943" w:type="dxa"/>
            <w:vAlign w:val="center"/>
            <w:tcBorders>
              <w:top w:val="single" w:color="auto" w:sz="4" w:space="0"/>
              <w:left w:val="nil"/>
              <w:bottom w:val="single" w:color="auto" w:sz="4" w:space="0"/>
              <w:right w:val="single" w:color="auto" w:sz="4" w:space="0"/>
            </w:tcBorders>
          </w:tcPr>
          <w:p>
            <w:pPr>
              <w:widowControl w:val="1"/>
              <w:jc w:val="center"/>
              <w:spacing w:line="240" w:lineRule="exact"/>
              <w:rPr>
                <w:color w:val="auto"/>
                <w:sz w:val="18"/>
                <w:kern w:val="0"/>
                <w:szCs w:val="18"/>
                <w:rFonts w:ascii="宋体" w:hAnsi="宋体" w:eastAsia="宋体" w:cs="宋体" w:hint="eastAsia"/>
              </w:rPr>
            </w:pPr>
          </w:p>
        </w:tc>
      </w:tr>
      <w:tr>
        <w:tblPrEx>
          <w:tblCellMar>
            <w:top w:type="dxa" w:w="0.000000"/>
            <w:bottom w:type="dxa" w:w="0.000000"/>
            <w:left w:type="dxa" w:w="108.000000"/>
            <w:right w:type="dxa" w:w="108.000000"/>
          </w:tblCellMar>
          <w:tblLayout w:type="fixed"/>
        </w:tblPrEx>
        <w:trPr>
          <w:trHeight w:val="4283" w:hRule="exact"/>
          <w:jc w:val="center"/>
        </w:trPr>
        <w:tc>
          <w:tcPr>
            <w:tcW w:w="396" w:type="dxa"/>
            <w:vMerge w:val="continue"/>
            <w:vAlign w:val="center"/>
            <w:tcBorders>
              <w:left w:val="single" w:color="auto" w:sz="4" w:space="0"/>
              <w:right w:val="single" w:color="auto" w:sz="4" w:space="0"/>
            </w:tcBorders>
          </w:tcPr>
          <w:p>
            <w:pPr>
              <w:widowControl w:val="1"/>
              <w:jc w:val="center"/>
              <w:spacing w:line="240" w:lineRule="exact"/>
              <w:rPr>
                <w:color w:val="auto"/>
                <w:sz w:val="18"/>
                <w:kern w:val="0"/>
                <w:szCs w:val="18"/>
                <w:rFonts w:ascii="宋体" w:hAnsi="宋体" w:eastAsia="宋体" w:cs="宋体" w:hint="eastAsia"/>
              </w:rPr>
            </w:pPr>
          </w:p>
        </w:tc>
        <w:tc>
          <w:tcPr>
            <w:tcW w:w="458" w:type="dxa"/>
            <w:vMerge w:val="continue"/>
            <w:vAlign w:val="center"/>
            <w:tcBorders>
              <w:left w:val="single" w:color="auto" w:sz="4" w:space="0"/>
              <w:right w:val="single" w:color="auto" w:sz="4" w:space="0"/>
            </w:tcBorders>
          </w:tcPr>
          <w:p>
            <w:pPr>
              <w:widowControl w:val="1"/>
              <w:jc w:val="center"/>
              <w:spacing w:line="240" w:lineRule="exact"/>
              <w:rPr>
                <w:color w:val="auto"/>
                <w:sz w:val="18"/>
                <w:kern w:val="0"/>
                <w:szCs w:val="18"/>
                <w:rFonts w:ascii="宋体" w:hAnsi="宋体" w:eastAsia="宋体" w:cs="宋体" w:hint="eastAsia"/>
              </w:rPr>
            </w:pPr>
          </w:p>
        </w:tc>
        <w:tc>
          <w:tcPr>
            <w:tcW w:w="883" w:type="dxa"/>
            <w:vMerge w:val="continue"/>
            <w:vAlign w:val="center"/>
            <w:tcBorders>
              <w:left w:val="single" w:color="auto" w:sz="4" w:space="0"/>
              <w:right w:val="single" w:color="auto" w:sz="4" w:space="0"/>
            </w:tcBorders>
          </w:tcPr>
          <w:p>
            <w:pPr>
              <w:widowControl w:val="1"/>
              <w:jc w:val="center"/>
              <w:spacing w:line="240" w:lineRule="exact"/>
              <w:rPr>
                <w:color w:val="auto"/>
                <w:sz w:val="18"/>
                <w:kern w:val="0"/>
                <w:szCs w:val="18"/>
                <w:rFonts w:ascii="宋体" w:hAnsi="宋体" w:eastAsia="宋体" w:cs="宋体" w:hint="eastAsia"/>
              </w:rPr>
            </w:pPr>
          </w:p>
        </w:tc>
        <w:tc>
          <w:tcPr>
            <w:tcW w:w="1722" w:type="dxa"/>
            <w:vAlign w:val="center"/>
            <w:tcBorders>
              <w:top w:val="single" w:color="auto" w:sz="4" w:space="0"/>
              <w:left w:val="nil"/>
              <w:bottom w:val="single" w:color="auto" w:sz="4" w:space="0"/>
              <w:right w:val="single" w:color="auto" w:sz="4" w:space="0"/>
            </w:tcBorders>
          </w:tcPr>
          <w:p>
            <w:pPr>
              <w:widowControl w:val="1"/>
              <w:keepNext w:val="0"/>
              <w:keepLines w:val="0"/>
              <w:jc w:val="left"/>
              <w:suppressLineNumbers w:val="0"/>
              <w:rPr>
                <w:color w:val="auto"/>
                <w:sz w:val="18"/>
                <w:kern w:val="0"/>
                <w:szCs w:val="18"/>
                <w:rFonts w:ascii="宋体" w:hAnsi="宋体" w:eastAsia="宋体" w:cs="宋体" w:hint="eastAsia"/>
              </w:rPr>
            </w:pPr>
            <w:r>
              <w:rPr>
                <w:i w:val="0"/>
                <w:u w:val="none"/>
                <w:color w:val="auto"/>
                <w:sz w:val="18"/>
                <w:lang w:val="en-US" w:eastAsia="zh-CN" w:bidi="ar"/>
                <w:iCs w:val="0"/>
                <w:kern w:val="0"/>
                <w:szCs w:val="18"/>
                <w:rFonts w:ascii="宋体" w:hAnsi="宋体" w:eastAsia="宋体" w:cs="宋体" w:hint="eastAsia"/>
              </w:rPr>
              <w:t>肉类增长比例</w:t>
            </w:r>
          </w:p>
        </w:tc>
        <w:tc>
          <w:tcPr>
            <w:tcW w:w="855" w:type="dxa"/>
            <w:vAlign w:val="center"/>
            <w:tcBorders>
              <w:top w:val="nil"/>
              <w:left w:val="nil"/>
              <w:bottom w:val="single" w:color="auto" w:sz="4" w:space="0"/>
              <w:right w:val="single" w:color="auto" w:sz="4" w:space="0"/>
            </w:tcBorders>
          </w:tcPr>
          <w:p>
            <w:pPr>
              <w:widowControl w:val="1"/>
              <w:keepNext w:val="0"/>
              <w:keepLines w:val="0"/>
              <w:jc w:val="center"/>
              <w:suppressLineNumbers w:val="0"/>
              <w:rPr>
                <w:color w:val="auto"/>
                <w:sz w:val="18"/>
                <w:kern w:val="0"/>
                <w:szCs w:val="18"/>
                <w:rFonts w:ascii="宋体" w:hAnsi="宋体" w:eastAsia="宋体" w:cs="宋体" w:hint="eastAsia"/>
              </w:rPr>
            </w:pPr>
            <w:r>
              <w:rPr>
                <w:i w:val="0"/>
                <w:u w:val="none"/>
                <w:color w:val="auto"/>
                <w:sz w:val="18"/>
                <w:lang w:val="en-US" w:eastAsia="zh-CN" w:bidi="ar"/>
                <w:iCs w:val="0"/>
                <w:kern w:val="0"/>
                <w:szCs w:val="18"/>
                <w:rFonts w:ascii="宋体" w:hAnsi="宋体" w:eastAsia="宋体" w:cs="宋体" w:hint="eastAsia"/>
              </w:rPr>
              <w:t>≥5%</w:t>
            </w:r>
          </w:p>
        </w:tc>
        <w:tc>
          <w:tcPr>
            <w:tcW w:w="885" w:type="dxa"/>
            <w:vAlign w:val="center"/>
            <w:tcBorders>
              <w:top w:val="nil"/>
              <w:left w:val="nil"/>
              <w:bottom w:val="single" w:color="auto" w:sz="4" w:space="0"/>
              <w:right w:val="single" w:color="auto" w:sz="4" w:space="0"/>
            </w:tcBorders>
          </w:tcPr>
          <w:p>
            <w:pPr>
              <w:jc w:val="center"/>
              <w:rPr>
                <w:color w:val="auto"/>
                <w:sz w:val="18"/>
                <w:lang w:val="en-US" w:eastAsia="zh-CN" w:bidi="ar-SA"/>
                <w:kern w:val="2"/>
                <w:szCs w:val="18"/>
                <w:rFonts w:ascii="宋体" w:hAnsi="宋体" w:eastAsia="宋体" w:cs="宋体" w:hint="eastAsia"/>
              </w:rPr>
            </w:pPr>
            <w:r>
              <w:rPr>
                <w:color w:val="auto"/>
                <w:sz w:val="18"/>
                <w:lang w:val="en-US" w:eastAsia="zh-CN" w:bidi="ar-SA"/>
                <w:kern w:val="2"/>
                <w:szCs w:val="18"/>
                <w:rFonts w:ascii="宋体" w:hAnsi="宋体" w:eastAsia="宋体" w:cs="宋体" w:hint="eastAsia"/>
              </w:rPr>
              <w:t>4.3%</w:t>
            </w:r>
          </w:p>
        </w:tc>
        <w:tc>
          <w:tcPr>
            <w:tcW w:w="555" w:type="dxa"/>
            <w:vAlign w:val="center"/>
            <w:tcBorders>
              <w:top w:val="nil"/>
              <w:left w:val="nil"/>
              <w:bottom w:val="single" w:color="auto" w:sz="4" w:space="0"/>
              <w:right w:val="single" w:color="auto" w:sz="4" w:space="0"/>
            </w:tcBorders>
          </w:tcPr>
          <w:p>
            <w:pPr>
              <w:jc w:val="center"/>
              <w:rPr>
                <w:color w:val="auto"/>
                <w:sz w:val="18"/>
                <w:lang w:val="en-US" w:eastAsia="zh-CN" w:bidi="ar-SA"/>
                <w:kern w:val="2"/>
                <w:szCs w:val="18"/>
                <w:rFonts w:ascii="宋体" w:hAnsi="宋体" w:eastAsia="宋体" w:cs="宋体" w:hint="default"/>
              </w:rPr>
            </w:pPr>
            <w:r>
              <w:rPr>
                <w:color w:val="auto"/>
                <w:sz w:val="18"/>
                <w:lang w:val="en-US" w:eastAsia="zh-CN" w:bidi="ar-SA"/>
                <w:kern w:val="2"/>
                <w:szCs w:val="18"/>
                <w:rFonts w:ascii="宋体" w:hAnsi="宋体" w:eastAsia="宋体" w:cs="宋体" w:hint="eastAsia"/>
              </w:rPr>
              <w:t>2.3</w:t>
            </w:r>
          </w:p>
        </w:tc>
        <w:tc>
          <w:tcPr>
            <w:tcW w:w="825" w:type="dxa"/>
            <w:vAlign w:val="center"/>
            <w:tcBorders>
              <w:top w:val="nil"/>
              <w:left w:val="nil"/>
              <w:bottom w:val="single" w:color="auto" w:sz="4" w:space="0"/>
              <w:right w:val="single" w:color="auto" w:sz="4" w:space="0"/>
            </w:tcBorders>
          </w:tcPr>
          <w:p>
            <w:pPr>
              <w:widowControl w:val="1"/>
              <w:jc w:val="center"/>
              <w:spacing w:line="240" w:lineRule="exact"/>
              <w:rPr>
                <w:color w:val="auto"/>
                <w:sz w:val="18"/>
                <w:lang w:val="en-US" w:eastAsia="zh-CN"/>
                <w:kern w:val="0"/>
                <w:szCs w:val="18"/>
                <w:rFonts w:ascii="宋体" w:hAnsi="宋体" w:eastAsia="宋体" w:cs="宋体" w:hint="default"/>
              </w:rPr>
            </w:pPr>
            <w:r>
              <w:rPr>
                <w:color w:val="auto"/>
                <w:sz w:val="18"/>
                <w:lang w:val="en-US" w:eastAsia="zh-CN"/>
                <w:kern w:val="0"/>
                <w:szCs w:val="18"/>
                <w:rFonts w:ascii="宋体" w:hAnsi="宋体" w:eastAsia="宋体" w:cs="宋体" w:hint="eastAsia"/>
              </w:rPr>
              <w:t>1.98</w:t>
            </w:r>
          </w:p>
        </w:tc>
        <w:tc>
          <w:tcPr>
            <w:tcW w:w="1943" w:type="dxa"/>
            <w:vAlign w:val="center"/>
            <w:tcBorders>
              <w:top w:val="single" w:color="auto" w:sz="4" w:space="0"/>
              <w:left w:val="nil"/>
              <w:bottom w:val="single" w:color="auto" w:sz="4" w:space="0"/>
              <w:right w:val="single" w:color="auto" w:sz="4" w:space="0"/>
            </w:tcBorders>
          </w:tcPr>
          <w:p>
            <w:pPr>
              <w:widowControl w:val="1"/>
              <w:jc w:val="center"/>
              <w:spacing w:line="240" w:lineRule="exact"/>
              <w:rPr>
                <w:color w:val="auto"/>
                <w:sz w:val="18"/>
                <w:kern w:val="0"/>
                <w:szCs w:val="18"/>
                <w:rFonts w:ascii="宋体" w:hAnsi="宋体" w:eastAsia="宋体" w:cs="宋体" w:hint="eastAsia"/>
              </w:rPr>
            </w:pPr>
            <w:r>
              <w:rPr>
                <w:color w:val="auto"/>
                <w:sz w:val="18"/>
                <w:lang w:val="en-US" w:eastAsia="zh-Hans"/>
                <w:kern w:val="0"/>
                <w:szCs w:val="18"/>
                <w:rFonts w:ascii="宋体" w:hAnsi="宋体" w:eastAsia="宋体" w:cs="宋体" w:hint="eastAsia"/>
              </w:rPr>
              <w:t>偏差原因：</w:t>
            </w:r>
            <w:r>
              <w:rPr>
                <w:color w:val="auto"/>
                <w:sz w:val="18"/>
                <w:kern w:val="0"/>
                <w:szCs w:val="18"/>
                <w:rFonts w:ascii="宋体" w:hAnsi="宋体" w:eastAsia="宋体" w:cs="宋体" w:hint="eastAsia"/>
              </w:rPr>
              <w:t>受2022年7月—12月突发新冠疫情影响，全疆长期处于静态管理状态，对饲草料调运、畜产品交易、畜牧业生产影响较大，特别是秋季为牧区牲畜传统出栏旺季，加之畜牧业生产流通不畅，虽然解封后压栏情况有所缓解，但依然影响了肉蛋产量，导致没有完成预期目标。改进措施：下年度做好应对措施，实施备选方案，以防此类情况出现。</w:t>
            </w:r>
          </w:p>
        </w:tc>
      </w:tr>
      <w:tr>
        <w:tblPrEx>
          <w:tblCellMar>
            <w:top w:type="dxa" w:w="0.000000"/>
            <w:bottom w:type="dxa" w:w="0.000000"/>
            <w:left w:type="dxa" w:w="108.000000"/>
            <w:right w:type="dxa" w:w="108.000000"/>
          </w:tblCellMar>
          <w:tblLayout w:type="fixed"/>
        </w:tblPrEx>
        <w:trPr>
          <w:trHeight w:val="600" w:hRule="exact"/>
          <w:jc w:val="center"/>
        </w:trPr>
        <w:tc>
          <w:tcPr>
            <w:tcW w:w="396" w:type="dxa"/>
            <w:vMerge w:val="continue"/>
            <w:vAlign w:val="center"/>
            <w:tcBorders>
              <w:left w:val="single" w:color="auto" w:sz="4" w:space="0"/>
              <w:right w:val="single" w:color="auto" w:sz="4" w:space="0"/>
            </w:tcBorders>
          </w:tcPr>
          <w:p>
            <w:pPr>
              <w:widowControl w:val="1"/>
              <w:jc w:val="center"/>
              <w:spacing w:line="240" w:lineRule="exact"/>
              <w:rPr>
                <w:color w:val="auto"/>
                <w:sz w:val="18"/>
                <w:kern w:val="0"/>
                <w:szCs w:val="18"/>
                <w:rFonts w:ascii="宋体" w:hAnsi="宋体" w:eastAsia="宋体" w:cs="宋体" w:hint="eastAsia"/>
              </w:rPr>
            </w:pPr>
          </w:p>
        </w:tc>
        <w:tc>
          <w:tcPr>
            <w:tcW w:w="458" w:type="dxa"/>
            <w:vMerge w:val="continue"/>
            <w:vAlign w:val="center"/>
            <w:tcBorders>
              <w:left w:val="single" w:color="auto" w:sz="4" w:space="0"/>
              <w:right w:val="single" w:color="auto" w:sz="4" w:space="0"/>
            </w:tcBorders>
          </w:tcPr>
          <w:p>
            <w:pPr>
              <w:widowControl w:val="1"/>
              <w:jc w:val="center"/>
              <w:spacing w:line="240" w:lineRule="exact"/>
              <w:rPr>
                <w:color w:val="auto"/>
                <w:sz w:val="18"/>
                <w:kern w:val="0"/>
                <w:szCs w:val="18"/>
                <w:rFonts w:ascii="宋体" w:hAnsi="宋体" w:eastAsia="宋体" w:cs="宋体" w:hint="eastAsia"/>
              </w:rPr>
            </w:pPr>
          </w:p>
        </w:tc>
        <w:tc>
          <w:tcPr>
            <w:tcW w:w="883" w:type="dxa"/>
            <w:vMerge w:val="continue"/>
            <w:vAlign w:val="center"/>
            <w:tcBorders>
              <w:left w:val="single" w:color="auto" w:sz="4" w:space="0"/>
              <w:right w:val="single" w:color="auto" w:sz="4" w:space="0"/>
            </w:tcBorders>
          </w:tcPr>
          <w:p>
            <w:pPr>
              <w:widowControl w:val="1"/>
              <w:jc w:val="center"/>
              <w:spacing w:line="240" w:lineRule="exact"/>
              <w:rPr>
                <w:color w:val="auto"/>
                <w:sz w:val="18"/>
                <w:kern w:val="0"/>
                <w:szCs w:val="18"/>
                <w:rFonts w:ascii="宋体" w:hAnsi="宋体" w:eastAsia="宋体" w:cs="宋体" w:hint="eastAsia"/>
              </w:rPr>
            </w:pPr>
          </w:p>
        </w:tc>
        <w:tc>
          <w:tcPr>
            <w:tcW w:w="1722" w:type="dxa"/>
            <w:vAlign w:val="center"/>
            <w:tcBorders>
              <w:top w:val="single" w:color="auto" w:sz="4" w:space="0"/>
              <w:left w:val="nil"/>
              <w:bottom w:val="single" w:color="auto" w:sz="4" w:space="0"/>
              <w:right w:val="single" w:color="auto" w:sz="4" w:space="0"/>
            </w:tcBorders>
            <w:shd w:val="clear" w:color="auto" w:fill="auto"/>
          </w:tcPr>
          <w:p>
            <w:pPr>
              <w:widowControl w:val="1"/>
              <w:keepNext w:val="0"/>
              <w:keepLines w:val="0"/>
              <w:jc w:val="left"/>
              <w:suppressLineNumbers w:val="0"/>
              <w:rPr>
                <w:color w:val="auto"/>
                <w:sz w:val="18"/>
                <w:kern w:val="0"/>
                <w:szCs w:val="18"/>
                <w:rFonts w:ascii="宋体" w:hAnsi="宋体" w:eastAsia="宋体" w:cs="宋体" w:hint="eastAsia"/>
              </w:rPr>
            </w:pPr>
            <w:r>
              <w:rPr>
                <w:i w:val="0"/>
                <w:u w:val="none"/>
                <w:color w:val="auto"/>
                <w:sz w:val="18"/>
                <w:lang w:val="en-US" w:eastAsia="zh-CN" w:bidi="ar"/>
                <w:iCs w:val="0"/>
                <w:kern w:val="0"/>
                <w:szCs w:val="18"/>
                <w:rFonts w:ascii="宋体" w:hAnsi="宋体" w:eastAsia="宋体" w:cs="宋体" w:hint="eastAsia"/>
              </w:rPr>
              <w:t>支持绒毛羊示范企业</w:t>
            </w:r>
          </w:p>
        </w:tc>
        <w:tc>
          <w:tcPr>
            <w:tcW w:w="855" w:type="dxa"/>
            <w:vAlign w:val="center"/>
            <w:tcBorders>
              <w:top w:val="nil"/>
              <w:left w:val="nil"/>
              <w:bottom w:val="single" w:color="auto" w:sz="4" w:space="0"/>
              <w:right w:val="single" w:color="auto" w:sz="4" w:space="0"/>
            </w:tcBorders>
            <w:shd w:val="clear" w:color="auto" w:fill="auto"/>
          </w:tcPr>
          <w:p>
            <w:pPr>
              <w:widowControl w:val="1"/>
              <w:keepNext w:val="0"/>
              <w:keepLines w:val="0"/>
              <w:jc w:val="center"/>
              <w:suppressLineNumbers w:val="0"/>
              <w:rPr>
                <w:color w:val="auto"/>
                <w:sz w:val="18"/>
                <w:kern w:val="0"/>
                <w:szCs w:val="18"/>
                <w:rFonts w:ascii="宋体" w:hAnsi="宋体" w:eastAsia="宋体" w:cs="宋体" w:hint="eastAsia"/>
              </w:rPr>
            </w:pPr>
            <w:r>
              <w:rPr>
                <w:rStyle w:val="54"/>
                <w:color w:val="auto"/>
                <w:sz w:val="18"/>
                <w:lang w:val="en-US" w:eastAsia="zh-CN" w:bidi="ar"/>
                <w:szCs w:val="18"/>
                <w:rFonts w:ascii="宋体" w:hAnsi="宋体" w:eastAsia="宋体" w:cs="宋体" w:hint="eastAsia"/>
              </w:rPr>
              <w:t>≥5</w:t>
            </w:r>
            <w:r>
              <w:rPr>
                <w:rStyle w:val="55"/>
                <w:color w:val="auto"/>
                <w:sz w:val="18"/>
                <w:lang w:val="en-US" w:eastAsia="zh-CN" w:bidi="ar"/>
                <w:szCs w:val="18"/>
                <w:rFonts w:ascii="宋体" w:hAnsi="宋体" w:eastAsia="宋体" w:cs="宋体" w:hint="eastAsia"/>
              </w:rPr>
              <w:t>个</w:t>
            </w:r>
          </w:p>
        </w:tc>
        <w:tc>
          <w:tcPr>
            <w:tcW w:w="885" w:type="dxa"/>
            <w:vAlign w:val="center"/>
            <w:tcBorders>
              <w:top w:val="nil"/>
              <w:left w:val="nil"/>
              <w:bottom w:val="single" w:color="auto" w:sz="4" w:space="0"/>
              <w:right w:val="single" w:color="auto" w:sz="4" w:space="0"/>
            </w:tcBorders>
            <w:shd w:val="clear" w:color="auto" w:fill="auto"/>
          </w:tcPr>
          <w:p>
            <w:pPr>
              <w:jc w:val="center"/>
              <w:rPr>
                <w:color w:val="auto"/>
                <w:sz w:val="18"/>
                <w:lang w:val="en-US" w:eastAsia="zh-CN" w:bidi="ar-SA"/>
                <w:kern w:val="2"/>
                <w:szCs w:val="18"/>
                <w:rFonts w:ascii="宋体" w:hAnsi="宋体" w:eastAsia="宋体" w:cs="宋体" w:hint="default"/>
              </w:rPr>
            </w:pPr>
            <w:r>
              <w:rPr>
                <w:color w:val="auto"/>
                <w:sz w:val="18"/>
                <w:lang w:val="en-US" w:eastAsia="zh-CN" w:bidi="ar-SA"/>
                <w:kern w:val="2"/>
                <w:szCs w:val="18"/>
                <w:rFonts w:ascii="宋体" w:hAnsi="宋体" w:eastAsia="宋体" w:cs="宋体" w:hint="eastAsia"/>
              </w:rPr>
              <w:t>5个</w:t>
            </w:r>
          </w:p>
        </w:tc>
        <w:tc>
          <w:tcPr>
            <w:tcW w:w="555" w:type="dxa"/>
            <w:vAlign w:val="center"/>
            <w:tcBorders>
              <w:top w:val="nil"/>
              <w:left w:val="nil"/>
              <w:bottom w:val="single" w:color="auto" w:sz="4" w:space="0"/>
              <w:right w:val="single" w:color="auto" w:sz="4" w:space="0"/>
            </w:tcBorders>
            <w:shd w:val="clear" w:color="auto" w:fill="auto"/>
          </w:tcPr>
          <w:p>
            <w:pPr>
              <w:jc w:val="center"/>
              <w:rPr>
                <w:color w:val="auto"/>
                <w:sz w:val="18"/>
                <w:lang w:val="en-US" w:eastAsia="zh-CN" w:bidi="ar-SA"/>
                <w:kern w:val="2"/>
                <w:szCs w:val="18"/>
                <w:rFonts w:ascii="宋体" w:hAnsi="宋体" w:eastAsia="宋体" w:cs="宋体" w:hint="default"/>
              </w:rPr>
            </w:pPr>
            <w:r>
              <w:rPr>
                <w:color w:val="auto"/>
                <w:sz w:val="18"/>
                <w:lang w:val="en-US" w:eastAsia="zh-CN" w:bidi="ar-SA"/>
                <w:kern w:val="2"/>
                <w:szCs w:val="18"/>
                <w:rFonts w:ascii="宋体" w:hAnsi="宋体" w:eastAsia="宋体" w:cs="宋体" w:hint="eastAsia"/>
              </w:rPr>
              <w:t>2.3</w:t>
            </w:r>
          </w:p>
        </w:tc>
        <w:tc>
          <w:tcPr>
            <w:tcW w:w="825" w:type="dxa"/>
            <w:vAlign w:val="center"/>
            <w:tcBorders>
              <w:top w:val="nil"/>
              <w:left w:val="nil"/>
              <w:bottom w:val="single" w:color="auto" w:sz="4" w:space="0"/>
              <w:right w:val="single" w:color="auto" w:sz="4" w:space="0"/>
            </w:tcBorders>
            <w:shd w:val="clear" w:color="auto" w:fill="auto"/>
          </w:tcPr>
          <w:p>
            <w:pPr>
              <w:widowControl w:val="1"/>
              <w:jc w:val="center"/>
              <w:spacing w:line="240" w:lineRule="exact"/>
              <w:rPr>
                <w:color w:val="auto"/>
                <w:sz w:val="18"/>
                <w:lang w:val="en-US" w:eastAsia="zh-CN"/>
                <w:kern w:val="0"/>
                <w:szCs w:val="18"/>
                <w:rFonts w:ascii="宋体" w:hAnsi="宋体" w:eastAsia="宋体" w:cs="宋体" w:hint="default"/>
              </w:rPr>
            </w:pPr>
            <w:r>
              <w:rPr>
                <w:color w:val="auto"/>
                <w:sz w:val="18"/>
                <w:lang w:val="en-US" w:eastAsia="zh-CN"/>
                <w:kern w:val="0"/>
                <w:szCs w:val="18"/>
                <w:rFonts w:ascii="宋体" w:hAnsi="宋体" w:eastAsia="宋体" w:cs="宋体" w:hint="eastAsia"/>
              </w:rPr>
              <w:t>2.3</w:t>
            </w:r>
          </w:p>
        </w:tc>
        <w:tc>
          <w:tcPr>
            <w:tcW w:w="1943" w:type="dxa"/>
            <w:vAlign w:val="center"/>
            <w:tcBorders>
              <w:top w:val="single" w:color="auto" w:sz="4" w:space="0"/>
              <w:left w:val="nil"/>
              <w:bottom w:val="single" w:color="auto" w:sz="4" w:space="0"/>
              <w:right w:val="single" w:color="auto" w:sz="4" w:space="0"/>
            </w:tcBorders>
            <w:shd w:val="clear" w:color="auto" w:fill="auto"/>
          </w:tcPr>
          <w:p>
            <w:pPr>
              <w:widowControl w:val="1"/>
              <w:jc w:val="center"/>
              <w:spacing w:line="240" w:lineRule="exact"/>
              <w:rPr>
                <w:color w:val="auto"/>
                <w:sz w:val="18"/>
                <w:kern w:val="0"/>
                <w:szCs w:val="18"/>
                <w:rFonts w:ascii="宋体" w:hAnsi="宋体" w:eastAsia="宋体" w:cs="宋体" w:hint="eastAsia"/>
              </w:rPr>
            </w:pPr>
          </w:p>
        </w:tc>
      </w:tr>
      <w:tr>
        <w:tblPrEx>
          <w:tblCellMar>
            <w:top w:type="dxa" w:w="0.000000"/>
            <w:bottom w:type="dxa" w:w="0.000000"/>
            <w:left w:type="dxa" w:w="108.000000"/>
            <w:right w:type="dxa" w:w="108.000000"/>
          </w:tblCellMar>
          <w:tblLayout w:type="fixed"/>
        </w:tblPrEx>
        <w:trPr>
          <w:trHeight w:val="600" w:hRule="exact"/>
          <w:jc w:val="center"/>
        </w:trPr>
        <w:tc>
          <w:tcPr>
            <w:tcW w:w="396" w:type="dxa"/>
            <w:vMerge w:val="continue"/>
            <w:vAlign w:val="center"/>
            <w:tcBorders>
              <w:left w:val="single" w:color="auto" w:sz="4" w:space="0"/>
              <w:right w:val="single" w:color="auto" w:sz="4" w:space="0"/>
            </w:tcBorders>
          </w:tcPr>
          <w:p>
            <w:pPr>
              <w:widowControl w:val="1"/>
              <w:jc w:val="center"/>
              <w:spacing w:line="240" w:lineRule="exact"/>
              <w:rPr>
                <w:color w:val="auto"/>
                <w:sz w:val="18"/>
                <w:kern w:val="0"/>
                <w:szCs w:val="18"/>
                <w:rFonts w:ascii="宋体" w:hAnsi="宋体" w:eastAsia="宋体" w:cs="宋体" w:hint="eastAsia"/>
              </w:rPr>
            </w:pPr>
          </w:p>
        </w:tc>
        <w:tc>
          <w:tcPr>
            <w:tcW w:w="458" w:type="dxa"/>
            <w:vMerge w:val="continue"/>
            <w:vAlign w:val="center"/>
            <w:tcBorders>
              <w:left w:val="single" w:color="auto" w:sz="4" w:space="0"/>
              <w:right w:val="single" w:color="auto" w:sz="4" w:space="0"/>
            </w:tcBorders>
          </w:tcPr>
          <w:p>
            <w:pPr>
              <w:widowControl w:val="1"/>
              <w:jc w:val="center"/>
              <w:spacing w:line="240" w:lineRule="exact"/>
              <w:rPr>
                <w:color w:val="auto"/>
                <w:sz w:val="18"/>
                <w:kern w:val="0"/>
                <w:szCs w:val="18"/>
                <w:rFonts w:ascii="宋体" w:hAnsi="宋体" w:eastAsia="宋体" w:cs="宋体" w:hint="eastAsia"/>
              </w:rPr>
            </w:pPr>
          </w:p>
        </w:tc>
        <w:tc>
          <w:tcPr>
            <w:tcW w:w="883" w:type="dxa"/>
            <w:vMerge w:val="continue"/>
            <w:vAlign w:val="center"/>
            <w:tcBorders>
              <w:left w:val="single" w:color="auto" w:sz="4" w:space="0"/>
              <w:bottom w:val="single" w:color="auto" w:sz="4" w:space="0"/>
              <w:right w:val="single" w:color="auto" w:sz="4" w:space="0"/>
            </w:tcBorders>
          </w:tcPr>
          <w:p>
            <w:pPr>
              <w:widowControl w:val="1"/>
              <w:jc w:val="center"/>
              <w:spacing w:line="240" w:lineRule="exact"/>
              <w:rPr>
                <w:color w:val="auto"/>
                <w:sz w:val="18"/>
                <w:kern w:val="0"/>
                <w:szCs w:val="18"/>
                <w:rFonts w:ascii="宋体" w:hAnsi="宋体" w:eastAsia="宋体" w:cs="宋体" w:hint="eastAsia"/>
              </w:rPr>
            </w:pPr>
          </w:p>
        </w:tc>
        <w:tc>
          <w:tcPr>
            <w:tcW w:w="1722" w:type="dxa"/>
            <w:vAlign w:val="center"/>
            <w:tcBorders>
              <w:top w:val="single" w:color="auto" w:sz="4" w:space="0"/>
              <w:left w:val="nil"/>
              <w:bottom w:val="single" w:color="auto" w:sz="4" w:space="0"/>
              <w:right w:val="single" w:color="auto" w:sz="4" w:space="0"/>
            </w:tcBorders>
          </w:tcPr>
          <w:p>
            <w:pPr>
              <w:widowControl w:val="1"/>
              <w:keepNext w:val="0"/>
              <w:keepLines w:val="0"/>
              <w:jc w:val="left"/>
              <w:suppressLineNumbers w:val="0"/>
              <w:rPr>
                <w:color w:val="auto"/>
                <w:sz w:val="18"/>
                <w:kern w:val="0"/>
                <w:szCs w:val="18"/>
                <w:rFonts w:ascii="宋体" w:hAnsi="宋体" w:eastAsia="宋体" w:cs="宋体" w:hint="eastAsia"/>
              </w:rPr>
            </w:pPr>
            <w:r>
              <w:rPr>
                <w:i w:val="0"/>
                <w:u w:val="none"/>
                <w:color w:val="auto"/>
                <w:sz w:val="18"/>
                <w:lang w:val="en-US" w:eastAsia="zh-CN" w:bidi="ar"/>
                <w:iCs w:val="0"/>
                <w:kern w:val="0"/>
                <w:szCs w:val="18"/>
                <w:rFonts w:ascii="宋体" w:hAnsi="宋体" w:eastAsia="宋体" w:cs="宋体" w:hint="eastAsia"/>
              </w:rPr>
              <w:t>动物检疫电子出证系统出证覆盖率</w:t>
            </w:r>
          </w:p>
        </w:tc>
        <w:tc>
          <w:tcPr>
            <w:tcW w:w="855" w:type="dxa"/>
            <w:vAlign w:val="center"/>
            <w:tcBorders>
              <w:top w:val="nil"/>
              <w:left w:val="nil"/>
              <w:bottom w:val="single" w:color="auto" w:sz="4" w:space="0"/>
              <w:right w:val="single" w:color="auto" w:sz="4" w:space="0"/>
            </w:tcBorders>
          </w:tcPr>
          <w:p>
            <w:pPr>
              <w:widowControl w:val="1"/>
              <w:keepNext w:val="0"/>
              <w:keepLines w:val="0"/>
              <w:jc w:val="center"/>
              <w:suppressLineNumbers w:val="0"/>
              <w:rPr>
                <w:color w:val="auto"/>
                <w:sz w:val="18"/>
                <w:kern w:val="0"/>
                <w:szCs w:val="18"/>
                <w:rFonts w:ascii="宋体" w:hAnsi="宋体" w:eastAsia="宋体" w:cs="宋体" w:hint="eastAsia"/>
              </w:rPr>
            </w:pPr>
            <w:r>
              <w:rPr>
                <w:i w:val="0"/>
                <w:u w:val="none"/>
                <w:color w:val="auto"/>
                <w:sz w:val="18"/>
                <w:lang w:val="en-US" w:eastAsia="zh-CN" w:bidi="ar"/>
                <w:iCs w:val="0"/>
                <w:kern w:val="0"/>
                <w:szCs w:val="18"/>
                <w:rFonts w:ascii="宋体" w:hAnsi="宋体" w:eastAsia="宋体" w:cs="宋体" w:hint="eastAsia"/>
              </w:rPr>
              <w:t>100%</w:t>
            </w:r>
          </w:p>
        </w:tc>
        <w:tc>
          <w:tcPr>
            <w:tcW w:w="885" w:type="dxa"/>
            <w:vAlign w:val="center"/>
            <w:tcBorders>
              <w:top w:val="nil"/>
              <w:left w:val="nil"/>
              <w:bottom w:val="single" w:color="auto" w:sz="4" w:space="0"/>
              <w:right w:val="single" w:color="auto" w:sz="4" w:space="0"/>
            </w:tcBorders>
          </w:tcPr>
          <w:p>
            <w:pPr>
              <w:jc w:val="center"/>
              <w:rPr>
                <w:color w:val="auto"/>
                <w:sz w:val="18"/>
                <w:lang w:val="en-US" w:eastAsia="zh-CN" w:bidi="ar-SA"/>
                <w:kern w:val="2"/>
                <w:szCs w:val="18"/>
                <w:rFonts w:ascii="宋体" w:hAnsi="宋体" w:eastAsia="宋体" w:cs="宋体" w:hint="default"/>
              </w:rPr>
            </w:pPr>
            <w:r>
              <w:rPr>
                <w:color w:val="auto"/>
                <w:sz w:val="18"/>
                <w:lang w:val="en-US" w:eastAsia="zh-CN" w:bidi="ar-SA"/>
                <w:kern w:val="2"/>
                <w:szCs w:val="18"/>
                <w:rFonts w:ascii="宋体" w:hAnsi="宋体" w:eastAsia="宋体" w:cs="宋体" w:hint="eastAsia"/>
              </w:rPr>
              <w:t>100%</w:t>
            </w:r>
          </w:p>
        </w:tc>
        <w:tc>
          <w:tcPr>
            <w:tcW w:w="555" w:type="dxa"/>
            <w:vAlign w:val="center"/>
            <w:tcBorders>
              <w:top w:val="nil"/>
              <w:left w:val="nil"/>
              <w:bottom w:val="single" w:color="auto" w:sz="4" w:space="0"/>
              <w:right w:val="single" w:color="auto" w:sz="4" w:space="0"/>
            </w:tcBorders>
          </w:tcPr>
          <w:p>
            <w:pPr>
              <w:jc w:val="center"/>
              <w:rPr>
                <w:color w:val="auto"/>
                <w:sz w:val="18"/>
                <w:lang w:val="en-US" w:eastAsia="zh-CN" w:bidi="ar-SA"/>
                <w:kern w:val="2"/>
                <w:szCs w:val="18"/>
                <w:rFonts w:ascii="宋体" w:hAnsi="宋体" w:eastAsia="宋体" w:cs="宋体" w:hint="default"/>
              </w:rPr>
            </w:pPr>
            <w:r>
              <w:rPr>
                <w:color w:val="auto"/>
                <w:sz w:val="18"/>
                <w:lang w:val="en-US" w:eastAsia="zh-CN" w:bidi="ar-SA"/>
                <w:kern w:val="2"/>
                <w:szCs w:val="18"/>
                <w:rFonts w:ascii="宋体" w:hAnsi="宋体" w:eastAsia="宋体" w:cs="宋体" w:hint="eastAsia"/>
              </w:rPr>
              <w:t>2.3</w:t>
            </w:r>
          </w:p>
        </w:tc>
        <w:tc>
          <w:tcPr>
            <w:tcW w:w="825" w:type="dxa"/>
            <w:vAlign w:val="center"/>
            <w:tcBorders>
              <w:top w:val="nil"/>
              <w:left w:val="nil"/>
              <w:bottom w:val="single" w:color="auto" w:sz="4" w:space="0"/>
              <w:right w:val="single" w:color="auto" w:sz="4" w:space="0"/>
            </w:tcBorders>
          </w:tcPr>
          <w:p>
            <w:pPr>
              <w:widowControl w:val="1"/>
              <w:jc w:val="center"/>
              <w:spacing w:line="240" w:lineRule="exact"/>
              <w:rPr>
                <w:color w:val="auto"/>
                <w:sz w:val="18"/>
                <w:lang w:val="en-US" w:eastAsia="zh-CN"/>
                <w:kern w:val="0"/>
                <w:szCs w:val="18"/>
                <w:rFonts w:ascii="宋体" w:hAnsi="宋体" w:eastAsia="宋体" w:cs="宋体" w:hint="default"/>
              </w:rPr>
            </w:pPr>
            <w:r>
              <w:rPr>
                <w:color w:val="auto"/>
                <w:sz w:val="18"/>
                <w:lang w:val="en-US" w:eastAsia="zh-CN"/>
                <w:kern w:val="0"/>
                <w:szCs w:val="18"/>
                <w:rFonts w:ascii="宋体" w:hAnsi="宋体" w:eastAsia="宋体" w:cs="宋体" w:hint="eastAsia"/>
              </w:rPr>
              <w:t>2.3</w:t>
            </w:r>
          </w:p>
        </w:tc>
        <w:tc>
          <w:tcPr>
            <w:tcW w:w="1943" w:type="dxa"/>
            <w:vAlign w:val="center"/>
            <w:tcBorders>
              <w:top w:val="single" w:color="auto" w:sz="4" w:space="0"/>
              <w:left w:val="nil"/>
              <w:bottom w:val="single" w:color="auto" w:sz="4" w:space="0"/>
              <w:right w:val="single" w:color="auto" w:sz="4" w:space="0"/>
            </w:tcBorders>
          </w:tcPr>
          <w:p>
            <w:pPr>
              <w:widowControl w:val="1"/>
              <w:jc w:val="center"/>
              <w:spacing w:line="240" w:lineRule="exact"/>
              <w:rPr>
                <w:color w:val="auto"/>
                <w:sz w:val="18"/>
                <w:kern w:val="0"/>
                <w:szCs w:val="18"/>
                <w:rFonts w:ascii="宋体" w:hAnsi="宋体" w:eastAsia="宋体" w:cs="宋体" w:hint="eastAsia"/>
              </w:rPr>
            </w:pPr>
          </w:p>
        </w:tc>
      </w:tr>
      <w:tr>
        <w:tblPrEx>
          <w:tblCellMar>
            <w:top w:type="dxa" w:w="0.000000"/>
            <w:bottom w:type="dxa" w:w="0.000000"/>
            <w:left w:type="dxa" w:w="108.000000"/>
            <w:right w:type="dxa" w:w="108.000000"/>
          </w:tblCellMar>
          <w:tblLayout w:type="fixed"/>
        </w:tblPrEx>
        <w:trPr>
          <w:trHeight w:val="1951" w:hRule="exact"/>
          <w:jc w:val="center"/>
        </w:trPr>
        <w:tc>
          <w:tcPr>
            <w:tcW w:w="396" w:type="dxa"/>
            <w:vMerge w:val="continue"/>
            <w:vAlign w:val="center"/>
            <w:tcBorders>
              <w:left w:val="single" w:color="auto" w:sz="4" w:space="0"/>
              <w:right w:val="single" w:color="auto" w:sz="4" w:space="0"/>
            </w:tcBorders>
          </w:tcPr>
          <w:p>
            <w:pPr>
              <w:widowControl w:val="1"/>
              <w:jc w:val="center"/>
              <w:spacing w:line="240" w:lineRule="exact"/>
              <w:rPr>
                <w:color w:val="auto"/>
                <w:sz w:val="18"/>
                <w:kern w:val="0"/>
                <w:szCs w:val="18"/>
                <w:rFonts w:ascii="宋体" w:hAnsi="宋体" w:eastAsia="宋体" w:cs="宋体" w:hint="eastAsia"/>
              </w:rPr>
            </w:pPr>
          </w:p>
        </w:tc>
        <w:tc>
          <w:tcPr>
            <w:tcW w:w="458" w:type="dxa"/>
            <w:vMerge w:val="continue"/>
            <w:vAlign w:val="center"/>
            <w:tcBorders>
              <w:left w:val="single" w:color="auto" w:sz="4" w:space="0"/>
              <w:right w:val="single" w:color="auto" w:sz="4" w:space="0"/>
            </w:tcBorders>
          </w:tcPr>
          <w:p>
            <w:pPr>
              <w:widowControl w:val="1"/>
              <w:jc w:val="center"/>
              <w:spacing w:line="240" w:lineRule="exact"/>
              <w:rPr>
                <w:color w:val="auto"/>
                <w:sz w:val="18"/>
                <w:kern w:val="0"/>
                <w:szCs w:val="18"/>
                <w:rFonts w:ascii="宋体" w:hAnsi="宋体" w:eastAsia="宋体" w:cs="宋体" w:hint="eastAsia"/>
              </w:rPr>
            </w:pPr>
          </w:p>
        </w:tc>
        <w:tc>
          <w:tcPr>
            <w:tcW w:w="883" w:type="dxa"/>
            <w:vMerge w:val="restart"/>
            <w:vAlign w:val="center"/>
            <w:tcBorders>
              <w:top w:val="nil"/>
              <w:left w:val="single" w:color="auto" w:sz="4" w:space="0"/>
              <w:bottom w:val="single" w:color="auto" w:sz="4" w:space="0"/>
              <w:right w:val="single" w:color="auto" w:sz="4" w:space="0"/>
            </w:tcBorders>
          </w:tcPr>
          <w:p>
            <w:pPr>
              <w:widowControl w:val="1"/>
              <w:jc w:val="center"/>
              <w:spacing w:line="240" w:lineRule="exact"/>
              <w:rPr>
                <w:color w:val="auto"/>
                <w:sz w:val="18"/>
                <w:kern w:val="0"/>
                <w:szCs w:val="18"/>
                <w:rFonts w:ascii="宋体" w:hAnsi="宋体" w:eastAsia="宋体" w:cs="宋体" w:hint="eastAsia"/>
              </w:rPr>
            </w:pPr>
            <w:r>
              <w:rPr>
                <w:color w:val="auto"/>
                <w:sz w:val="18"/>
                <w:kern w:val="0"/>
                <w:szCs w:val="18"/>
                <w:rFonts w:ascii="宋体" w:hAnsi="宋体" w:eastAsia="宋体" w:cs="宋体" w:hint="eastAsia"/>
              </w:rPr>
              <w:t>质量指标</w:t>
            </w:r>
          </w:p>
        </w:tc>
        <w:tc>
          <w:tcPr>
            <w:tcW w:w="1722" w:type="dxa"/>
            <w:vAlign w:val="center"/>
            <w:tcBorders>
              <w:top w:val="single" w:color="auto" w:sz="4" w:space="0"/>
              <w:left w:val="nil"/>
              <w:bottom w:val="single" w:color="auto" w:sz="4" w:space="0"/>
              <w:right w:val="single" w:color="auto" w:sz="4" w:space="0"/>
            </w:tcBorders>
          </w:tcPr>
          <w:p>
            <w:pPr>
              <w:widowControl w:val="1"/>
              <w:keepNext w:val="0"/>
              <w:keepLines w:val="0"/>
              <w:jc w:val="left"/>
              <w:suppressLineNumbers w:val="0"/>
              <w:rPr>
                <w:color w:val="auto"/>
                <w:sz w:val="18"/>
                <w:kern w:val="0"/>
                <w:szCs w:val="18"/>
                <w:rFonts w:ascii="宋体" w:hAnsi="宋体" w:eastAsia="宋体" w:cs="宋体" w:hint="eastAsia"/>
              </w:rPr>
            </w:pPr>
            <w:r>
              <w:rPr>
                <w:i w:val="0"/>
                <w:u w:val="none"/>
                <w:color w:val="auto"/>
                <w:sz w:val="18"/>
                <w:lang w:val="en-US" w:eastAsia="zh-CN" w:bidi="ar"/>
                <w:iCs w:val="0"/>
                <w:kern w:val="0"/>
                <w:szCs w:val="18"/>
                <w:rFonts w:ascii="宋体" w:hAnsi="宋体" w:eastAsia="宋体" w:cs="宋体" w:hint="eastAsia"/>
              </w:rPr>
              <w:t>保种场（保护区、基因库)的保种建设任务完成率</w:t>
            </w:r>
          </w:p>
        </w:tc>
        <w:tc>
          <w:tcPr>
            <w:tcW w:w="855" w:type="dxa"/>
            <w:vAlign w:val="center"/>
            <w:tcBorders>
              <w:top w:val="nil"/>
              <w:left w:val="nil"/>
              <w:bottom w:val="single" w:color="auto" w:sz="4" w:space="0"/>
              <w:right w:val="single" w:color="auto" w:sz="4" w:space="0"/>
            </w:tcBorders>
          </w:tcPr>
          <w:p>
            <w:pPr>
              <w:widowControl w:val="1"/>
              <w:keepNext w:val="0"/>
              <w:keepLines w:val="0"/>
              <w:jc w:val="center"/>
              <w:suppressLineNumbers w:val="0"/>
              <w:rPr>
                <w:color w:val="auto"/>
                <w:sz w:val="18"/>
                <w:kern w:val="0"/>
                <w:szCs w:val="18"/>
                <w:rFonts w:ascii="宋体" w:hAnsi="宋体" w:eastAsia="宋体" w:cs="宋体" w:hint="eastAsia"/>
              </w:rPr>
            </w:pPr>
            <w:r>
              <w:rPr>
                <w:i w:val="0"/>
                <w:u w:val="none"/>
                <w:color w:val="auto"/>
                <w:sz w:val="18"/>
                <w:lang w:val="en-US" w:eastAsia="zh-CN" w:bidi="ar"/>
                <w:iCs w:val="0"/>
                <w:kern w:val="0"/>
                <w:szCs w:val="18"/>
                <w:rFonts w:ascii="宋体" w:hAnsi="宋体" w:eastAsia="宋体" w:cs="宋体" w:hint="eastAsia"/>
              </w:rPr>
              <w:t>≥80%</w:t>
            </w:r>
          </w:p>
        </w:tc>
        <w:tc>
          <w:tcPr>
            <w:tcW w:w="885" w:type="dxa"/>
            <w:vAlign w:val="center"/>
            <w:tcBorders>
              <w:top w:val="nil"/>
              <w:left w:val="nil"/>
              <w:bottom w:val="single" w:color="auto" w:sz="4" w:space="0"/>
              <w:right w:val="single" w:color="auto" w:sz="4" w:space="0"/>
            </w:tcBorders>
          </w:tcPr>
          <w:p>
            <w:pPr>
              <w:widowControl w:val="1"/>
              <w:jc w:val="center"/>
              <w:rPr>
                <w:color w:val="auto"/>
                <w:sz w:val="18"/>
                <w:lang w:val="en-US" w:eastAsia="zh-CN" w:bidi="ar-SA"/>
                <w:kern w:val="2"/>
                <w:szCs w:val="18"/>
                <w:rFonts w:ascii="宋体" w:hAnsi="宋体" w:eastAsia="宋体" w:cs="宋体" w:hint="default"/>
              </w:rPr>
            </w:pPr>
            <w:r>
              <w:rPr>
                <w:color w:val="auto"/>
                <w:sz w:val="18"/>
                <w:lang w:val="en-US" w:eastAsia="zh-CN" w:bidi="ar-SA"/>
                <w:kern w:val="2"/>
                <w:szCs w:val="18"/>
                <w:rFonts w:ascii="宋体" w:hAnsi="宋体" w:eastAsia="宋体" w:cs="宋体" w:hint="eastAsia"/>
              </w:rPr>
              <w:t>90%</w:t>
            </w:r>
          </w:p>
        </w:tc>
        <w:tc>
          <w:tcPr>
            <w:tcW w:w="555" w:type="dxa"/>
            <w:vAlign w:val="center"/>
            <w:tcBorders>
              <w:top w:val="nil"/>
              <w:left w:val="nil"/>
              <w:bottom w:val="single" w:color="auto" w:sz="4" w:space="0"/>
              <w:right w:val="single" w:color="auto" w:sz="4" w:space="0"/>
            </w:tcBorders>
          </w:tcPr>
          <w:p>
            <w:pPr>
              <w:jc w:val="center"/>
              <w:rPr>
                <w:color w:val="auto"/>
                <w:sz w:val="18"/>
                <w:lang w:val="en-US" w:eastAsia="zh-CN" w:bidi="ar-SA"/>
                <w:kern w:val="2"/>
                <w:szCs w:val="18"/>
                <w:rFonts w:ascii="宋体" w:hAnsi="宋体" w:eastAsia="宋体" w:cs="宋体" w:hint="default"/>
              </w:rPr>
            </w:pPr>
            <w:r>
              <w:rPr>
                <w:color w:val="auto"/>
                <w:sz w:val="18"/>
                <w:lang w:val="en-US" w:eastAsia="zh-CN" w:bidi="ar-SA"/>
                <w:kern w:val="2"/>
                <w:szCs w:val="18"/>
                <w:rFonts w:ascii="宋体" w:hAnsi="宋体" w:eastAsia="宋体" w:cs="宋体" w:hint="eastAsia"/>
              </w:rPr>
              <w:t>2.3</w:t>
            </w:r>
          </w:p>
        </w:tc>
        <w:tc>
          <w:tcPr>
            <w:tcW w:w="825" w:type="dxa"/>
            <w:vAlign w:val="center"/>
            <w:tcBorders>
              <w:top w:val="nil"/>
              <w:left w:val="nil"/>
              <w:bottom w:val="single" w:color="auto" w:sz="4" w:space="0"/>
              <w:right w:val="single" w:color="auto" w:sz="4" w:space="0"/>
            </w:tcBorders>
          </w:tcPr>
          <w:p>
            <w:pPr>
              <w:widowControl w:val="1"/>
              <w:jc w:val="center"/>
              <w:spacing w:line="240" w:lineRule="exact"/>
              <w:rPr>
                <w:color w:val="auto"/>
                <w:sz w:val="18"/>
                <w:lang w:val="en-US" w:eastAsia="zh-CN"/>
                <w:kern w:val="0"/>
                <w:szCs w:val="18"/>
                <w:rFonts w:ascii="宋体" w:hAnsi="宋体" w:eastAsia="宋体" w:cs="宋体" w:hint="default"/>
              </w:rPr>
            </w:pPr>
            <w:r>
              <w:rPr>
                <w:color w:val="auto"/>
                <w:sz w:val="18"/>
                <w:lang w:val="en-US" w:eastAsia="zh-CN"/>
                <w:kern w:val="0"/>
                <w:szCs w:val="18"/>
                <w:rFonts w:ascii="宋体" w:hAnsi="宋体" w:eastAsia="宋体" w:cs="宋体" w:hint="eastAsia"/>
              </w:rPr>
              <w:t>2.3</w:t>
            </w:r>
          </w:p>
        </w:tc>
        <w:tc>
          <w:tcPr>
            <w:tcW w:w="1943" w:type="dxa"/>
            <w:vAlign w:val="center"/>
            <w:tcBorders>
              <w:top w:val="single" w:color="auto" w:sz="4" w:space="0"/>
              <w:left w:val="nil"/>
              <w:bottom w:val="single" w:color="auto" w:sz="4" w:space="0"/>
              <w:right w:val="single" w:color="auto" w:sz="4" w:space="0"/>
            </w:tcBorders>
          </w:tcPr>
          <w:p>
            <w:pPr>
              <w:widowControl w:val="1"/>
              <w:jc w:val="center"/>
              <w:spacing w:line="240" w:lineRule="exact"/>
              <w:rPr>
                <w:color w:val="auto"/>
                <w:sz w:val="18"/>
                <w:lang w:eastAsia="zh-CN"/>
                <w:kern w:val="0"/>
                <w:szCs w:val="18"/>
                <w:rFonts w:ascii="宋体" w:hAnsi="宋体" w:eastAsia="宋体" w:cs="宋体" w:hint="eastAsia"/>
              </w:rPr>
            </w:pPr>
            <w:r>
              <w:rPr>
                <w:color w:val="auto"/>
                <w:sz w:val="18"/>
                <w:lang w:val="en-US" w:eastAsia="zh-Hans"/>
                <w:kern w:val="0"/>
                <w:szCs w:val="18"/>
                <w:rFonts w:ascii="宋体" w:hAnsi="宋体" w:eastAsia="宋体" w:cs="宋体" w:hint="eastAsia"/>
              </w:rPr>
              <w:t>偏差原因：</w:t>
            </w:r>
            <w:r>
              <w:rPr>
                <w:color w:val="auto"/>
                <w:sz w:val="18"/>
                <w:lang w:eastAsia="zh-CN"/>
                <w:kern w:val="0"/>
                <w:szCs w:val="18"/>
                <w:rFonts w:ascii="宋体" w:hAnsi="宋体" w:eastAsia="宋体" w:cs="宋体" w:hint="eastAsia"/>
              </w:rPr>
              <w:t>项目确定的14家保种场（保护区、基因库）积极推进工作，任务完成略高于预期。</w:t>
            </w:r>
            <w:r>
              <w:rPr>
                <w:color w:val="auto"/>
                <w:sz w:val="18"/>
                <w:lang w:val="en-US" w:eastAsia="zh-Hans"/>
                <w:kern w:val="0"/>
                <w:szCs w:val="18"/>
                <w:rFonts w:ascii="宋体" w:hAnsi="宋体" w:eastAsia="宋体" w:cs="宋体" w:hint="eastAsia"/>
              </w:rPr>
              <w:t>改进措施：</w:t>
            </w:r>
            <w:r>
              <w:rPr>
                <w:color w:val="auto"/>
                <w:sz w:val="18"/>
                <w:lang w:eastAsia="zh-CN"/>
                <w:kern w:val="0"/>
                <w:szCs w:val="18"/>
                <w:rFonts w:ascii="宋体" w:hAnsi="宋体" w:eastAsia="宋体" w:cs="宋体" w:hint="eastAsia"/>
              </w:rPr>
              <w:t>后期设置绩效目标值会结合往年数据，更加精确设置。</w:t>
            </w:r>
          </w:p>
        </w:tc>
      </w:tr>
      <w:tr>
        <w:tblPrEx>
          <w:tblCellMar>
            <w:top w:type="dxa" w:w="0.000000"/>
            <w:bottom w:type="dxa" w:w="0.000000"/>
            <w:left w:type="dxa" w:w="108.000000"/>
            <w:right w:type="dxa" w:w="108.000000"/>
          </w:tblCellMar>
          <w:tblLayout w:type="fixed"/>
        </w:tblPrEx>
        <w:trPr>
          <w:trHeight w:val="586" w:hRule="exact"/>
          <w:jc w:val="center"/>
        </w:trPr>
        <w:tc>
          <w:tcPr>
            <w:tcW w:w="396" w:type="dxa"/>
            <w:vMerge w:val="continue"/>
            <w:vAlign w:val="center"/>
            <w:tcBorders>
              <w:left w:val="single" w:color="auto" w:sz="4" w:space="0"/>
              <w:right w:val="single" w:color="auto" w:sz="4" w:space="0"/>
            </w:tcBorders>
          </w:tcPr>
          <w:p>
            <w:pPr>
              <w:widowControl w:val="1"/>
              <w:jc w:val="center"/>
              <w:spacing w:line="240" w:lineRule="exact"/>
              <w:rPr>
                <w:color w:val="auto"/>
                <w:sz w:val="18"/>
                <w:kern w:val="0"/>
                <w:szCs w:val="18"/>
                <w:rFonts w:ascii="宋体" w:hAnsi="宋体" w:eastAsia="宋体" w:cs="宋体" w:hint="eastAsia"/>
              </w:rPr>
            </w:pPr>
          </w:p>
        </w:tc>
        <w:tc>
          <w:tcPr>
            <w:tcW w:w="458" w:type="dxa"/>
            <w:vMerge w:val="continue"/>
            <w:vAlign w:val="center"/>
            <w:tcBorders>
              <w:left w:val="single" w:color="auto" w:sz="4" w:space="0"/>
              <w:right w:val="single" w:color="auto" w:sz="4" w:space="0"/>
            </w:tcBorders>
          </w:tcPr>
          <w:p>
            <w:pPr>
              <w:widowControl w:val="1"/>
              <w:jc w:val="center"/>
              <w:spacing w:line="240" w:lineRule="exact"/>
              <w:rPr>
                <w:color w:val="auto"/>
                <w:sz w:val="18"/>
                <w:kern w:val="0"/>
                <w:szCs w:val="18"/>
                <w:rFonts w:ascii="宋体" w:hAnsi="宋体" w:eastAsia="宋体" w:cs="宋体" w:hint="eastAsia"/>
              </w:rPr>
            </w:pPr>
          </w:p>
        </w:tc>
        <w:tc>
          <w:tcPr>
            <w:tcW w:w="883" w:type="dxa"/>
            <w:vMerge w:val="continue"/>
            <w:vAlign w:val="center"/>
            <w:tcBorders>
              <w:top w:val="nil"/>
              <w:left w:val="single" w:color="auto" w:sz="4" w:space="0"/>
              <w:bottom w:val="single" w:color="auto" w:sz="4" w:space="0"/>
              <w:right w:val="single" w:color="auto" w:sz="4" w:space="0"/>
            </w:tcBorders>
          </w:tcPr>
          <w:p>
            <w:pPr>
              <w:widowControl w:val="1"/>
              <w:jc w:val="center"/>
              <w:spacing w:line="240" w:lineRule="exact"/>
              <w:rPr>
                <w:color w:val="auto"/>
                <w:sz w:val="18"/>
                <w:kern w:val="0"/>
                <w:szCs w:val="18"/>
                <w:rFonts w:ascii="宋体" w:hAnsi="宋体" w:eastAsia="宋体" w:cs="宋体" w:hint="eastAsia"/>
              </w:rPr>
            </w:pPr>
          </w:p>
        </w:tc>
        <w:tc>
          <w:tcPr>
            <w:tcW w:w="1722" w:type="dxa"/>
            <w:vAlign w:val="center"/>
            <w:tcBorders>
              <w:top w:val="single" w:color="auto" w:sz="4" w:space="0"/>
              <w:left w:val="nil"/>
              <w:bottom w:val="single" w:color="auto" w:sz="4" w:space="0"/>
              <w:right w:val="single" w:color="auto" w:sz="4" w:space="0"/>
            </w:tcBorders>
          </w:tcPr>
          <w:p>
            <w:pPr>
              <w:widowControl w:val="1"/>
              <w:keepNext w:val="0"/>
              <w:keepLines w:val="0"/>
              <w:jc w:val="left"/>
              <w:suppressLineNumbers w:val="0"/>
              <w:rPr>
                <w:color w:val="auto"/>
                <w:sz w:val="18"/>
                <w:kern w:val="0"/>
                <w:szCs w:val="18"/>
                <w:rFonts w:ascii="宋体" w:hAnsi="宋体" w:eastAsia="宋体" w:cs="宋体" w:hint="eastAsia"/>
              </w:rPr>
            </w:pPr>
            <w:r>
              <w:rPr>
                <w:i w:val="0"/>
                <w:u w:val="none"/>
                <w:color w:val="auto"/>
                <w:sz w:val="18"/>
                <w:lang w:val="en-US" w:eastAsia="zh-CN" w:bidi="ar"/>
                <w:iCs w:val="0"/>
                <w:kern w:val="0"/>
                <w:szCs w:val="18"/>
                <w:rFonts w:ascii="宋体" w:hAnsi="宋体" w:eastAsia="宋体" w:cs="宋体" w:hint="eastAsia"/>
              </w:rPr>
              <w:t>畜产品质量监测结果准确率</w:t>
            </w:r>
          </w:p>
        </w:tc>
        <w:tc>
          <w:tcPr>
            <w:tcW w:w="855" w:type="dxa"/>
            <w:vAlign w:val="center"/>
            <w:tcBorders>
              <w:top w:val="nil"/>
              <w:left w:val="nil"/>
              <w:bottom w:val="single" w:color="auto" w:sz="4" w:space="0"/>
              <w:right w:val="single" w:color="auto" w:sz="4" w:space="0"/>
            </w:tcBorders>
          </w:tcPr>
          <w:p>
            <w:pPr>
              <w:widowControl w:val="1"/>
              <w:keepNext w:val="0"/>
              <w:keepLines w:val="0"/>
              <w:jc w:val="center"/>
              <w:suppressLineNumbers w:val="0"/>
              <w:rPr>
                <w:color w:val="auto"/>
                <w:sz w:val="18"/>
                <w:kern w:val="0"/>
                <w:szCs w:val="18"/>
                <w:rFonts w:ascii="宋体" w:hAnsi="宋体" w:eastAsia="宋体" w:cs="宋体" w:hint="eastAsia"/>
              </w:rPr>
            </w:pPr>
            <w:r>
              <w:rPr>
                <w:i w:val="0"/>
                <w:u w:val="none"/>
                <w:color w:val="auto"/>
                <w:sz w:val="18"/>
                <w:lang w:val="en-US" w:eastAsia="zh-CN" w:bidi="ar"/>
                <w:iCs w:val="0"/>
                <w:kern w:val="0"/>
                <w:szCs w:val="18"/>
                <w:rFonts w:ascii="宋体" w:hAnsi="宋体" w:eastAsia="宋体" w:cs="宋体" w:hint="eastAsia"/>
              </w:rPr>
              <w:t>≥98%</w:t>
            </w:r>
          </w:p>
        </w:tc>
        <w:tc>
          <w:tcPr>
            <w:tcW w:w="885" w:type="dxa"/>
            <w:vAlign w:val="center"/>
            <w:tcBorders>
              <w:top w:val="nil"/>
              <w:left w:val="nil"/>
              <w:bottom w:val="single" w:color="auto" w:sz="4" w:space="0"/>
              <w:right w:val="single" w:color="auto" w:sz="4" w:space="0"/>
            </w:tcBorders>
          </w:tcPr>
          <w:p>
            <w:pPr>
              <w:jc w:val="center"/>
              <w:rPr>
                <w:color w:val="auto"/>
                <w:sz w:val="18"/>
                <w:lang w:val="en-US" w:eastAsia="zh-CN" w:bidi="ar-SA"/>
                <w:kern w:val="2"/>
                <w:szCs w:val="18"/>
                <w:rFonts w:ascii="宋体" w:hAnsi="宋体" w:eastAsia="宋体" w:cs="宋体" w:hint="eastAsia"/>
              </w:rPr>
            </w:pPr>
            <w:r>
              <w:rPr>
                <w:color w:val="auto"/>
                <w:sz w:val="18"/>
                <w:lang w:val="en-US" w:eastAsia="zh-CN" w:bidi="ar"/>
                <w:kern w:val="0"/>
                <w:szCs w:val="18"/>
                <w:rFonts w:ascii="宋体" w:hAnsi="宋体" w:eastAsia="宋体" w:cs="宋体" w:hint="eastAsia"/>
              </w:rPr>
              <w:t>100%</w:t>
            </w:r>
          </w:p>
        </w:tc>
        <w:tc>
          <w:tcPr>
            <w:tcW w:w="555" w:type="dxa"/>
            <w:vAlign w:val="center"/>
            <w:tcBorders>
              <w:top w:val="nil"/>
              <w:left w:val="nil"/>
              <w:bottom w:val="single" w:color="auto" w:sz="4" w:space="0"/>
              <w:right w:val="single" w:color="auto" w:sz="4" w:space="0"/>
            </w:tcBorders>
          </w:tcPr>
          <w:p>
            <w:pPr>
              <w:jc w:val="center"/>
              <w:rPr>
                <w:color w:val="auto"/>
                <w:sz w:val="18"/>
                <w:lang w:val="en-US" w:eastAsia="zh-CN" w:bidi="ar-SA"/>
                <w:kern w:val="2"/>
                <w:szCs w:val="18"/>
                <w:rFonts w:ascii="宋体" w:hAnsi="宋体" w:eastAsia="宋体" w:cs="宋体" w:hint="default"/>
              </w:rPr>
            </w:pPr>
            <w:r>
              <w:rPr>
                <w:color w:val="auto"/>
                <w:sz w:val="18"/>
                <w:lang w:val="en-US" w:eastAsia="zh-CN" w:bidi="ar-SA"/>
                <w:kern w:val="2"/>
                <w:szCs w:val="18"/>
                <w:rFonts w:ascii="宋体" w:hAnsi="宋体" w:eastAsia="宋体" w:cs="宋体" w:hint="eastAsia"/>
              </w:rPr>
              <w:t>2.3</w:t>
            </w:r>
          </w:p>
        </w:tc>
        <w:tc>
          <w:tcPr>
            <w:tcW w:w="825" w:type="dxa"/>
            <w:vAlign w:val="center"/>
            <w:tcBorders>
              <w:top w:val="nil"/>
              <w:left w:val="nil"/>
              <w:bottom w:val="single" w:color="auto" w:sz="4" w:space="0"/>
              <w:right w:val="single" w:color="auto" w:sz="4" w:space="0"/>
            </w:tcBorders>
          </w:tcPr>
          <w:p>
            <w:pPr>
              <w:widowControl w:val="1"/>
              <w:jc w:val="center"/>
              <w:spacing w:line="240" w:lineRule="exact"/>
              <w:rPr>
                <w:color w:val="auto"/>
                <w:sz w:val="18"/>
                <w:lang w:val="en-US" w:eastAsia="zh-CN"/>
                <w:kern w:val="0"/>
                <w:szCs w:val="18"/>
                <w:rFonts w:ascii="宋体" w:hAnsi="宋体" w:eastAsia="宋体" w:cs="宋体" w:hint="default"/>
              </w:rPr>
            </w:pPr>
            <w:r>
              <w:rPr>
                <w:color w:val="auto"/>
                <w:sz w:val="18"/>
                <w:lang w:val="en-US" w:eastAsia="zh-CN"/>
                <w:kern w:val="0"/>
                <w:szCs w:val="18"/>
                <w:rFonts w:ascii="宋体" w:hAnsi="宋体" w:eastAsia="宋体" w:cs="宋体" w:hint="eastAsia"/>
              </w:rPr>
              <w:t>2.3</w:t>
            </w:r>
          </w:p>
        </w:tc>
        <w:tc>
          <w:tcPr>
            <w:tcW w:w="1943" w:type="dxa"/>
            <w:vAlign w:val="center"/>
            <w:tcBorders>
              <w:top w:val="single" w:color="auto" w:sz="4" w:space="0"/>
              <w:left w:val="nil"/>
              <w:bottom w:val="single" w:color="auto" w:sz="4" w:space="0"/>
              <w:right w:val="single" w:color="auto" w:sz="4" w:space="0"/>
            </w:tcBorders>
          </w:tcPr>
          <w:p>
            <w:pPr>
              <w:jc w:val="center"/>
              <w:rPr>
                <w:color w:val="auto"/>
                <w:sz w:val="18"/>
                <w:lang w:val="en-US" w:eastAsia="zh-CN" w:bidi="ar-SA"/>
                <w:kern w:val="2"/>
                <w:szCs w:val="18"/>
                <w:rFonts w:ascii="宋体" w:hAnsi="宋体" w:eastAsia="宋体" w:cs="宋体" w:hint="eastAsia"/>
              </w:rPr>
            </w:pPr>
            <w:r>
              <w:rPr>
                <w:color w:val="auto"/>
                <w:sz w:val="18"/>
                <w:lang w:val="en-US" w:eastAsia="zh-CN" w:bidi="ar"/>
                <w:kern w:val="0"/>
                <w:szCs w:val="18"/>
                <w:rFonts w:ascii="宋体" w:hAnsi="宋体" w:eastAsia="宋体" w:cs="宋体" w:hint="eastAsia"/>
              </w:rPr>
              <w:t>本年度未出现复核样品。</w:t>
            </w:r>
          </w:p>
        </w:tc>
      </w:tr>
      <w:tr>
        <w:tblPrEx>
          <w:tblCellMar>
            <w:top w:type="dxa" w:w="0.000000"/>
            <w:bottom w:type="dxa" w:w="0.000000"/>
            <w:left w:type="dxa" w:w="108.000000"/>
            <w:right w:type="dxa" w:w="108.000000"/>
          </w:tblCellMar>
          <w:tblLayout w:type="fixed"/>
        </w:tblPrEx>
        <w:trPr>
          <w:trHeight w:val="615" w:hRule="exact"/>
          <w:jc w:val="center"/>
        </w:trPr>
        <w:tc>
          <w:tcPr>
            <w:tcW w:w="396" w:type="dxa"/>
            <w:vMerge w:val="continue"/>
            <w:vAlign w:val="center"/>
            <w:tcBorders>
              <w:left w:val="single" w:color="auto" w:sz="4" w:space="0"/>
              <w:right w:val="single" w:color="auto" w:sz="4" w:space="0"/>
            </w:tcBorders>
          </w:tcPr>
          <w:p>
            <w:pPr>
              <w:widowControl w:val="1"/>
              <w:jc w:val="center"/>
              <w:spacing w:line="240" w:lineRule="exact"/>
              <w:rPr>
                <w:color w:val="auto"/>
                <w:sz w:val="18"/>
                <w:kern w:val="0"/>
                <w:szCs w:val="18"/>
                <w:rFonts w:ascii="宋体" w:hAnsi="宋体" w:eastAsia="宋体" w:cs="宋体" w:hint="eastAsia"/>
              </w:rPr>
            </w:pPr>
          </w:p>
        </w:tc>
        <w:tc>
          <w:tcPr>
            <w:tcW w:w="458" w:type="dxa"/>
            <w:vMerge w:val="continue"/>
            <w:vAlign w:val="center"/>
            <w:tcBorders>
              <w:left w:val="single" w:color="auto" w:sz="4" w:space="0"/>
              <w:right w:val="single" w:color="auto" w:sz="4" w:space="0"/>
            </w:tcBorders>
          </w:tcPr>
          <w:p>
            <w:pPr>
              <w:widowControl w:val="1"/>
              <w:jc w:val="center"/>
              <w:spacing w:line="240" w:lineRule="exact"/>
              <w:rPr>
                <w:color w:val="auto"/>
                <w:sz w:val="18"/>
                <w:kern w:val="0"/>
                <w:szCs w:val="18"/>
                <w:rFonts w:ascii="宋体" w:hAnsi="宋体" w:eastAsia="宋体" w:cs="宋体" w:hint="eastAsia"/>
              </w:rPr>
            </w:pPr>
          </w:p>
        </w:tc>
        <w:tc>
          <w:tcPr>
            <w:tcW w:w="883" w:type="dxa"/>
            <w:vMerge w:val="continue"/>
            <w:vAlign w:val="center"/>
            <w:tcBorders>
              <w:top w:val="nil"/>
              <w:left w:val="single" w:color="auto" w:sz="4" w:space="0"/>
              <w:bottom w:val="single" w:color="auto" w:sz="4" w:space="0"/>
              <w:right w:val="single" w:color="auto" w:sz="4" w:space="0"/>
            </w:tcBorders>
          </w:tcPr>
          <w:p>
            <w:pPr>
              <w:widowControl w:val="1"/>
              <w:jc w:val="center"/>
              <w:spacing w:line="240" w:lineRule="exact"/>
              <w:rPr>
                <w:color w:val="auto"/>
                <w:sz w:val="18"/>
                <w:kern w:val="0"/>
                <w:szCs w:val="18"/>
                <w:rFonts w:ascii="宋体" w:hAnsi="宋体" w:eastAsia="宋体" w:cs="宋体" w:hint="eastAsia"/>
              </w:rPr>
            </w:pPr>
          </w:p>
        </w:tc>
        <w:tc>
          <w:tcPr>
            <w:tcW w:w="1722" w:type="dxa"/>
            <w:vAlign w:val="center"/>
            <w:tcBorders>
              <w:top w:val="single" w:color="auto" w:sz="4" w:space="0"/>
              <w:left w:val="nil"/>
              <w:bottom w:val="single" w:color="auto" w:sz="4" w:space="0"/>
              <w:right w:val="single" w:color="auto" w:sz="4" w:space="0"/>
            </w:tcBorders>
          </w:tcPr>
          <w:p>
            <w:pPr>
              <w:widowControl w:val="1"/>
              <w:keepNext w:val="0"/>
              <w:keepLines w:val="0"/>
              <w:jc w:val="left"/>
              <w:suppressLineNumbers w:val="0"/>
              <w:rPr>
                <w:color w:val="auto"/>
                <w:sz w:val="18"/>
                <w:kern w:val="0"/>
                <w:szCs w:val="18"/>
                <w:rFonts w:ascii="宋体" w:hAnsi="宋体" w:eastAsia="宋体" w:cs="宋体" w:hint="eastAsia"/>
              </w:rPr>
            </w:pPr>
            <w:r>
              <w:rPr>
                <w:i w:val="0"/>
                <w:u w:val="none"/>
                <w:color w:val="auto"/>
                <w:sz w:val="18"/>
                <w:lang w:val="en-US" w:eastAsia="zh-CN" w:bidi="ar"/>
                <w:iCs w:val="0"/>
                <w:kern w:val="0"/>
                <w:szCs w:val="18"/>
                <w:rFonts w:ascii="宋体" w:hAnsi="宋体" w:eastAsia="宋体" w:cs="宋体" w:hint="eastAsia"/>
              </w:rPr>
              <w:t>畜禽产品定量检测全年合格率</w:t>
            </w:r>
          </w:p>
        </w:tc>
        <w:tc>
          <w:tcPr>
            <w:tcW w:w="855" w:type="dxa"/>
            <w:vAlign w:val="center"/>
            <w:tcBorders>
              <w:top w:val="nil"/>
              <w:left w:val="nil"/>
              <w:bottom w:val="single" w:color="auto" w:sz="4" w:space="0"/>
              <w:right w:val="single" w:color="auto" w:sz="4" w:space="0"/>
            </w:tcBorders>
          </w:tcPr>
          <w:p>
            <w:pPr>
              <w:widowControl w:val="1"/>
              <w:keepNext w:val="0"/>
              <w:keepLines w:val="0"/>
              <w:jc w:val="center"/>
              <w:suppressLineNumbers w:val="0"/>
              <w:rPr>
                <w:color w:val="auto"/>
                <w:sz w:val="18"/>
                <w:kern w:val="0"/>
                <w:szCs w:val="18"/>
                <w:rFonts w:ascii="宋体" w:hAnsi="宋体" w:eastAsia="宋体" w:cs="宋体" w:hint="eastAsia"/>
              </w:rPr>
            </w:pPr>
            <w:r>
              <w:rPr>
                <w:i w:val="0"/>
                <w:u w:val="none"/>
                <w:color w:val="auto"/>
                <w:sz w:val="18"/>
                <w:lang w:val="en-US" w:eastAsia="zh-CN" w:bidi="ar"/>
                <w:iCs w:val="0"/>
                <w:kern w:val="0"/>
                <w:szCs w:val="18"/>
                <w:rFonts w:ascii="宋体" w:hAnsi="宋体" w:eastAsia="宋体" w:cs="宋体" w:hint="eastAsia"/>
              </w:rPr>
              <w:t>≥96%</w:t>
            </w:r>
          </w:p>
        </w:tc>
        <w:tc>
          <w:tcPr>
            <w:tcW w:w="885" w:type="dxa"/>
            <w:vAlign w:val="center"/>
            <w:tcBorders>
              <w:top w:val="nil"/>
              <w:left w:val="nil"/>
              <w:bottom w:val="single" w:color="auto" w:sz="4" w:space="0"/>
              <w:right w:val="single" w:color="auto" w:sz="4" w:space="0"/>
            </w:tcBorders>
          </w:tcPr>
          <w:p>
            <w:pPr>
              <w:jc w:val="center"/>
              <w:rPr>
                <w:color w:val="auto"/>
                <w:sz w:val="18"/>
                <w:lang w:val="en-US" w:eastAsia="zh-CN" w:bidi="ar-SA"/>
                <w:kern w:val="2"/>
                <w:szCs w:val="18"/>
                <w:rFonts w:ascii="宋体" w:hAnsi="宋体" w:eastAsia="宋体" w:cs="宋体" w:hint="eastAsia"/>
              </w:rPr>
            </w:pPr>
            <w:r>
              <w:rPr>
                <w:color w:val="auto"/>
                <w:sz w:val="18"/>
                <w:lang w:val="en-US" w:eastAsia="zh-CN" w:bidi="ar"/>
                <w:kern w:val="0"/>
                <w:szCs w:val="18"/>
                <w:rFonts w:ascii="宋体" w:hAnsi="宋体" w:eastAsia="宋体" w:cs="宋体" w:hint="eastAsia"/>
              </w:rPr>
              <w:t>100%</w:t>
            </w:r>
          </w:p>
        </w:tc>
        <w:tc>
          <w:tcPr>
            <w:tcW w:w="555" w:type="dxa"/>
            <w:vAlign w:val="center"/>
            <w:tcBorders>
              <w:top w:val="nil"/>
              <w:left w:val="nil"/>
              <w:bottom w:val="single" w:color="auto" w:sz="4" w:space="0"/>
              <w:right w:val="single" w:color="auto" w:sz="4" w:space="0"/>
            </w:tcBorders>
          </w:tcPr>
          <w:p>
            <w:pPr>
              <w:jc w:val="center"/>
              <w:rPr>
                <w:color w:val="auto"/>
                <w:sz w:val="18"/>
                <w:lang w:val="en-US" w:eastAsia="zh-CN" w:bidi="ar-SA"/>
                <w:kern w:val="2"/>
                <w:szCs w:val="18"/>
                <w:rFonts w:ascii="宋体" w:hAnsi="宋体" w:eastAsia="宋体" w:cs="宋体" w:hint="default"/>
              </w:rPr>
            </w:pPr>
            <w:r>
              <w:rPr>
                <w:color w:val="auto"/>
                <w:sz w:val="18"/>
                <w:lang w:val="en-US" w:eastAsia="zh-CN" w:bidi="ar-SA"/>
                <w:kern w:val="2"/>
                <w:szCs w:val="18"/>
                <w:rFonts w:ascii="宋体" w:hAnsi="宋体" w:eastAsia="宋体" w:cs="宋体" w:hint="eastAsia"/>
              </w:rPr>
              <w:t>2.3</w:t>
            </w:r>
          </w:p>
        </w:tc>
        <w:tc>
          <w:tcPr>
            <w:tcW w:w="825" w:type="dxa"/>
            <w:vAlign w:val="center"/>
            <w:tcBorders>
              <w:top w:val="nil"/>
              <w:left w:val="nil"/>
              <w:bottom w:val="single" w:color="auto" w:sz="4" w:space="0"/>
              <w:right w:val="single" w:color="auto" w:sz="4" w:space="0"/>
            </w:tcBorders>
          </w:tcPr>
          <w:p>
            <w:pPr>
              <w:widowControl w:val="1"/>
              <w:jc w:val="center"/>
              <w:spacing w:line="240" w:lineRule="exact"/>
              <w:rPr>
                <w:color w:val="auto"/>
                <w:sz w:val="18"/>
                <w:lang w:val="en-US" w:eastAsia="zh-CN"/>
                <w:kern w:val="0"/>
                <w:szCs w:val="18"/>
                <w:rFonts w:ascii="宋体" w:hAnsi="宋体" w:eastAsia="宋体" w:cs="宋体" w:hint="default"/>
              </w:rPr>
            </w:pPr>
            <w:r>
              <w:rPr>
                <w:color w:val="auto"/>
                <w:sz w:val="18"/>
                <w:lang w:val="en-US" w:eastAsia="zh-CN"/>
                <w:kern w:val="0"/>
                <w:szCs w:val="18"/>
                <w:rFonts w:ascii="宋体" w:hAnsi="宋体" w:eastAsia="宋体" w:cs="宋体" w:hint="eastAsia"/>
              </w:rPr>
              <w:t>2.3</w:t>
            </w:r>
          </w:p>
        </w:tc>
        <w:tc>
          <w:tcPr>
            <w:tcW w:w="1943" w:type="dxa"/>
            <w:vAlign w:val="center"/>
            <w:tcBorders>
              <w:top w:val="single" w:color="auto" w:sz="4" w:space="0"/>
              <w:left w:val="nil"/>
              <w:bottom w:val="single" w:color="auto" w:sz="4" w:space="0"/>
              <w:right w:val="single" w:color="auto" w:sz="4" w:space="0"/>
            </w:tcBorders>
          </w:tcPr>
          <w:p>
            <w:pPr>
              <w:jc w:val="center"/>
              <w:rPr>
                <w:color w:val="auto"/>
                <w:sz w:val="18"/>
                <w:lang w:val="en-US" w:eastAsia="zh-CN" w:bidi="ar-SA"/>
                <w:kern w:val="2"/>
                <w:szCs w:val="18"/>
                <w:rFonts w:ascii="宋体" w:hAnsi="宋体" w:eastAsia="宋体" w:cs="宋体" w:hint="eastAsia"/>
              </w:rPr>
            </w:pPr>
            <w:r>
              <w:rPr>
                <w:color w:val="auto"/>
                <w:sz w:val="18"/>
                <w:lang w:val="en-US" w:eastAsia="zh-CN" w:bidi="ar"/>
                <w:kern w:val="0"/>
                <w:szCs w:val="18"/>
                <w:rFonts w:ascii="宋体" w:hAnsi="宋体" w:eastAsia="宋体" w:cs="宋体" w:hint="eastAsia"/>
              </w:rPr>
              <w:t>全年未检出不合格产品。</w:t>
            </w:r>
          </w:p>
        </w:tc>
      </w:tr>
      <w:tr>
        <w:tblPrEx>
          <w:tblCellMar>
            <w:top w:type="dxa" w:w="0.000000"/>
            <w:bottom w:type="dxa" w:w="0.000000"/>
            <w:left w:type="dxa" w:w="108.000000"/>
            <w:right w:type="dxa" w:w="108.000000"/>
          </w:tblCellMar>
          <w:tblLayout w:type="fixed"/>
        </w:tblPrEx>
        <w:trPr>
          <w:trHeight w:val="615" w:hRule="exact"/>
          <w:jc w:val="center"/>
        </w:trPr>
        <w:tc>
          <w:tcPr>
            <w:tcW w:w="396" w:type="dxa"/>
            <w:vMerge w:val="continue"/>
            <w:vAlign w:val="center"/>
            <w:tcBorders>
              <w:left w:val="single" w:color="auto" w:sz="4" w:space="0"/>
              <w:right w:val="single" w:color="auto" w:sz="4" w:space="0"/>
            </w:tcBorders>
          </w:tcPr>
          <w:p>
            <w:pPr>
              <w:widowControl w:val="1"/>
              <w:jc w:val="center"/>
              <w:spacing w:line="240" w:lineRule="exact"/>
              <w:rPr>
                <w:color w:val="auto"/>
                <w:sz w:val="18"/>
                <w:kern w:val="0"/>
                <w:szCs w:val="18"/>
                <w:rFonts w:ascii="宋体" w:hAnsi="宋体" w:eastAsia="宋体" w:cs="宋体" w:hint="eastAsia"/>
              </w:rPr>
            </w:pPr>
          </w:p>
        </w:tc>
        <w:tc>
          <w:tcPr>
            <w:tcW w:w="458" w:type="dxa"/>
            <w:vMerge w:val="continue"/>
            <w:vAlign w:val="center"/>
            <w:tcBorders>
              <w:left w:val="single" w:color="auto" w:sz="4" w:space="0"/>
              <w:right w:val="single" w:color="auto" w:sz="4" w:space="0"/>
            </w:tcBorders>
          </w:tcPr>
          <w:p>
            <w:pPr>
              <w:widowControl w:val="1"/>
              <w:jc w:val="center"/>
              <w:spacing w:line="240" w:lineRule="exact"/>
              <w:rPr>
                <w:color w:val="auto"/>
                <w:sz w:val="18"/>
                <w:kern w:val="0"/>
                <w:szCs w:val="18"/>
                <w:rFonts w:ascii="宋体" w:hAnsi="宋体" w:eastAsia="宋体" w:cs="宋体" w:hint="eastAsia"/>
              </w:rPr>
            </w:pPr>
          </w:p>
        </w:tc>
        <w:tc>
          <w:tcPr>
            <w:tcW w:w="883" w:type="dxa"/>
            <w:vMerge w:val="restart"/>
            <w:vAlign w:val="center"/>
            <w:tcBorders>
              <w:top w:val="nil"/>
              <w:left w:val="single" w:color="auto" w:sz="4" w:space="0"/>
              <w:bottom w:val="single" w:color="auto" w:sz="4" w:space="0"/>
              <w:right w:val="single" w:color="auto" w:sz="4" w:space="0"/>
            </w:tcBorders>
          </w:tcPr>
          <w:p>
            <w:pPr>
              <w:widowControl w:val="1"/>
              <w:jc w:val="center"/>
              <w:spacing w:line="240" w:lineRule="exact"/>
              <w:rPr>
                <w:color w:val="auto"/>
                <w:sz w:val="18"/>
                <w:kern w:val="0"/>
                <w:szCs w:val="18"/>
                <w:rFonts w:ascii="宋体" w:hAnsi="宋体" w:eastAsia="宋体" w:cs="宋体" w:hint="eastAsia"/>
              </w:rPr>
            </w:pPr>
            <w:r>
              <w:rPr>
                <w:color w:val="auto"/>
                <w:sz w:val="18"/>
                <w:kern w:val="0"/>
                <w:szCs w:val="18"/>
                <w:rFonts w:ascii="宋体" w:hAnsi="宋体" w:eastAsia="宋体" w:cs="宋体" w:hint="eastAsia"/>
              </w:rPr>
              <w:t>时效指标</w:t>
            </w:r>
          </w:p>
        </w:tc>
        <w:tc>
          <w:tcPr>
            <w:tcW w:w="1722" w:type="dxa"/>
            <w:vAlign w:val="center"/>
            <w:tcBorders>
              <w:top w:val="single" w:color="auto" w:sz="4" w:space="0"/>
              <w:left w:val="nil"/>
              <w:bottom w:val="single" w:color="auto" w:sz="4" w:space="0"/>
              <w:right w:val="single" w:color="auto" w:sz="4" w:space="0"/>
            </w:tcBorders>
          </w:tcPr>
          <w:p>
            <w:pPr>
              <w:widowControl w:val="1"/>
              <w:keepNext w:val="0"/>
              <w:keepLines w:val="0"/>
              <w:jc w:val="left"/>
              <w:suppressLineNumbers w:val="0"/>
              <w:rPr>
                <w:color w:val="auto"/>
                <w:sz w:val="18"/>
                <w:kern w:val="0"/>
                <w:szCs w:val="18"/>
                <w:rFonts w:ascii="宋体" w:hAnsi="宋体" w:eastAsia="宋体" w:cs="宋体" w:hint="eastAsia"/>
              </w:rPr>
            </w:pPr>
            <w:r>
              <w:rPr>
                <w:i w:val="0"/>
                <w:u w:val="none"/>
                <w:color w:val="auto"/>
                <w:sz w:val="18"/>
                <w:lang w:val="en-US" w:eastAsia="zh-CN" w:bidi="ar"/>
                <w:iCs w:val="0"/>
                <w:kern w:val="0"/>
                <w:szCs w:val="18"/>
                <w:rFonts w:ascii="宋体" w:hAnsi="宋体" w:eastAsia="宋体" w:cs="宋体" w:hint="eastAsia"/>
              </w:rPr>
              <w:t>产品质量安全监测及时率</w:t>
            </w:r>
          </w:p>
        </w:tc>
        <w:tc>
          <w:tcPr>
            <w:tcW w:w="855" w:type="dxa"/>
            <w:vAlign w:val="center"/>
            <w:tcBorders>
              <w:top w:val="nil"/>
              <w:left w:val="nil"/>
              <w:bottom w:val="single" w:color="auto" w:sz="4" w:space="0"/>
              <w:right w:val="single" w:color="auto" w:sz="4" w:space="0"/>
            </w:tcBorders>
          </w:tcPr>
          <w:p>
            <w:pPr>
              <w:widowControl w:val="1"/>
              <w:keepNext w:val="0"/>
              <w:keepLines w:val="0"/>
              <w:jc w:val="center"/>
              <w:suppressLineNumbers w:val="0"/>
              <w:rPr>
                <w:color w:val="auto"/>
                <w:sz w:val="18"/>
                <w:kern w:val="0"/>
                <w:szCs w:val="18"/>
                <w:rFonts w:ascii="宋体" w:hAnsi="宋体" w:eastAsia="宋体" w:cs="宋体" w:hint="eastAsia"/>
              </w:rPr>
            </w:pPr>
            <w:r>
              <w:rPr>
                <w:i w:val="0"/>
                <w:u w:val="none"/>
                <w:color w:val="auto"/>
                <w:sz w:val="18"/>
                <w:lang w:val="en-US" w:eastAsia="zh-CN" w:bidi="ar"/>
                <w:iCs w:val="0"/>
                <w:kern w:val="0"/>
                <w:szCs w:val="18"/>
                <w:rFonts w:ascii="宋体" w:hAnsi="宋体" w:eastAsia="宋体" w:cs="宋体" w:hint="eastAsia"/>
              </w:rPr>
              <w:t>100%</w:t>
            </w:r>
          </w:p>
        </w:tc>
        <w:tc>
          <w:tcPr>
            <w:tcW w:w="885" w:type="dxa"/>
            <w:vAlign w:val="center"/>
            <w:tcBorders>
              <w:top w:val="nil"/>
              <w:left w:val="nil"/>
              <w:bottom w:val="single" w:color="auto" w:sz="4" w:space="0"/>
              <w:right w:val="single" w:color="auto" w:sz="4" w:space="0"/>
            </w:tcBorders>
          </w:tcPr>
          <w:p>
            <w:pPr>
              <w:widowControl w:val="1"/>
              <w:jc w:val="center"/>
              <w:rPr>
                <w:color w:val="auto"/>
                <w:sz w:val="18"/>
                <w:lang w:val="en-US" w:eastAsia="zh-CN" w:bidi="ar-SA"/>
                <w:kern w:val="2"/>
                <w:szCs w:val="18"/>
                <w:rFonts w:ascii="宋体" w:hAnsi="宋体" w:eastAsia="宋体" w:cs="宋体" w:hint="eastAsia"/>
              </w:rPr>
            </w:pPr>
            <w:r>
              <w:rPr>
                <w:color w:val="auto"/>
                <w:sz w:val="18"/>
                <w:lang w:val="en-US" w:eastAsia="zh-CN" w:bidi="ar"/>
                <w:kern w:val="0"/>
                <w:szCs w:val="18"/>
                <w:rFonts w:ascii="宋体" w:hAnsi="宋体" w:eastAsia="宋体" w:cs="宋体" w:hint="eastAsia"/>
              </w:rPr>
              <w:t>100%</w:t>
            </w:r>
          </w:p>
        </w:tc>
        <w:tc>
          <w:tcPr>
            <w:tcW w:w="555" w:type="dxa"/>
            <w:vAlign w:val="center"/>
            <w:tcBorders>
              <w:top w:val="nil"/>
              <w:left w:val="nil"/>
              <w:bottom w:val="single" w:color="auto" w:sz="4" w:space="0"/>
              <w:right w:val="single" w:color="auto" w:sz="4" w:space="0"/>
            </w:tcBorders>
          </w:tcPr>
          <w:p>
            <w:pPr>
              <w:jc w:val="center"/>
              <w:rPr>
                <w:color w:val="auto"/>
                <w:sz w:val="18"/>
                <w:lang w:val="en-US" w:eastAsia="zh-CN" w:bidi="ar-SA"/>
                <w:kern w:val="2"/>
                <w:szCs w:val="18"/>
                <w:rFonts w:ascii="宋体" w:hAnsi="宋体" w:eastAsia="宋体" w:cs="宋体" w:hint="default"/>
              </w:rPr>
            </w:pPr>
            <w:r>
              <w:rPr>
                <w:color w:val="auto"/>
                <w:sz w:val="18"/>
                <w:lang w:val="en-US" w:eastAsia="zh-CN" w:bidi="ar-SA"/>
                <w:kern w:val="2"/>
                <w:szCs w:val="18"/>
                <w:rFonts w:ascii="宋体" w:hAnsi="宋体" w:eastAsia="宋体" w:cs="宋体" w:hint="eastAsia"/>
              </w:rPr>
              <w:t>2.3</w:t>
            </w:r>
          </w:p>
        </w:tc>
        <w:tc>
          <w:tcPr>
            <w:tcW w:w="825" w:type="dxa"/>
            <w:vAlign w:val="center"/>
            <w:tcBorders>
              <w:top w:val="nil"/>
              <w:left w:val="nil"/>
              <w:bottom w:val="single" w:color="auto" w:sz="4" w:space="0"/>
              <w:right w:val="single" w:color="auto" w:sz="4" w:space="0"/>
            </w:tcBorders>
          </w:tcPr>
          <w:p>
            <w:pPr>
              <w:widowControl w:val="1"/>
              <w:jc w:val="center"/>
              <w:spacing w:line="240" w:lineRule="exact"/>
              <w:rPr>
                <w:color w:val="auto"/>
                <w:sz w:val="18"/>
                <w:lang w:val="en-US" w:eastAsia="zh-CN"/>
                <w:kern w:val="0"/>
                <w:szCs w:val="18"/>
                <w:rFonts w:ascii="宋体" w:hAnsi="宋体" w:eastAsia="宋体" w:cs="宋体" w:hint="default"/>
              </w:rPr>
            </w:pPr>
            <w:r>
              <w:rPr>
                <w:color w:val="auto"/>
                <w:sz w:val="18"/>
                <w:lang w:val="en-US" w:eastAsia="zh-CN"/>
                <w:kern w:val="0"/>
                <w:szCs w:val="18"/>
                <w:rFonts w:ascii="宋体" w:hAnsi="宋体" w:eastAsia="宋体" w:cs="宋体" w:hint="eastAsia"/>
              </w:rPr>
              <w:t>2.3</w:t>
            </w:r>
          </w:p>
        </w:tc>
        <w:tc>
          <w:tcPr>
            <w:tcW w:w="1943" w:type="dxa"/>
            <w:vAlign w:val="center"/>
            <w:tcBorders>
              <w:top w:val="single" w:color="auto" w:sz="4" w:space="0"/>
              <w:left w:val="nil"/>
              <w:bottom w:val="single" w:color="auto" w:sz="4" w:space="0"/>
              <w:right w:val="single" w:color="auto" w:sz="4" w:space="0"/>
            </w:tcBorders>
          </w:tcPr>
          <w:p>
            <w:pPr>
              <w:widowControl w:val="1"/>
              <w:jc w:val="center"/>
              <w:spacing w:line="240" w:lineRule="exact"/>
              <w:rPr>
                <w:color w:val="auto"/>
                <w:sz w:val="18"/>
                <w:kern w:val="0"/>
                <w:szCs w:val="18"/>
                <w:rFonts w:ascii="宋体" w:hAnsi="宋体" w:eastAsia="宋体" w:cs="宋体" w:hint="eastAsia"/>
              </w:rPr>
            </w:pPr>
          </w:p>
        </w:tc>
      </w:tr>
      <w:tr>
        <w:tblPrEx>
          <w:tblCellMar>
            <w:top w:type="dxa" w:w="0.000000"/>
            <w:bottom w:type="dxa" w:w="0.000000"/>
            <w:left w:type="dxa" w:w="108.000000"/>
            <w:right w:type="dxa" w:w="108.000000"/>
          </w:tblCellMar>
          <w:tblLayout w:type="fixed"/>
        </w:tblPrEx>
        <w:trPr>
          <w:trHeight w:val="615" w:hRule="exact"/>
          <w:jc w:val="center"/>
        </w:trPr>
        <w:tc>
          <w:tcPr>
            <w:tcW w:w="396" w:type="dxa"/>
            <w:vMerge w:val="continue"/>
            <w:vAlign w:val="center"/>
            <w:tcBorders>
              <w:left w:val="single" w:color="auto" w:sz="4" w:space="0"/>
              <w:right w:val="single" w:color="auto" w:sz="4" w:space="0"/>
            </w:tcBorders>
          </w:tcPr>
          <w:p>
            <w:pPr>
              <w:widowControl w:val="1"/>
              <w:jc w:val="center"/>
              <w:spacing w:line="240" w:lineRule="exact"/>
              <w:rPr>
                <w:color w:val="auto"/>
                <w:sz w:val="18"/>
                <w:kern w:val="0"/>
                <w:szCs w:val="18"/>
                <w:rFonts w:ascii="宋体" w:hAnsi="宋体" w:eastAsia="宋体" w:cs="宋体" w:hint="eastAsia"/>
              </w:rPr>
            </w:pPr>
          </w:p>
        </w:tc>
        <w:tc>
          <w:tcPr>
            <w:tcW w:w="458" w:type="dxa"/>
            <w:vMerge w:val="continue"/>
            <w:vAlign w:val="center"/>
            <w:tcBorders>
              <w:left w:val="single" w:color="auto" w:sz="4" w:space="0"/>
              <w:right w:val="single" w:color="auto" w:sz="4" w:space="0"/>
            </w:tcBorders>
          </w:tcPr>
          <w:p>
            <w:pPr>
              <w:widowControl w:val="1"/>
              <w:jc w:val="center"/>
              <w:spacing w:line="240" w:lineRule="exact"/>
              <w:rPr>
                <w:color w:val="auto"/>
                <w:sz w:val="18"/>
                <w:kern w:val="0"/>
                <w:szCs w:val="18"/>
                <w:rFonts w:ascii="宋体" w:hAnsi="宋体" w:eastAsia="宋体" w:cs="宋体" w:hint="eastAsia"/>
              </w:rPr>
            </w:pPr>
          </w:p>
        </w:tc>
        <w:tc>
          <w:tcPr>
            <w:tcW w:w="883" w:type="dxa"/>
            <w:vMerge w:val="continue"/>
            <w:vAlign w:val="center"/>
            <w:tcBorders>
              <w:top w:val="nil"/>
              <w:left w:val="single" w:color="auto" w:sz="4" w:space="0"/>
              <w:bottom w:val="single" w:color="auto" w:sz="4" w:space="0"/>
              <w:right w:val="single" w:color="auto" w:sz="4" w:space="0"/>
            </w:tcBorders>
          </w:tcPr>
          <w:p>
            <w:pPr>
              <w:widowControl w:val="1"/>
              <w:jc w:val="center"/>
              <w:spacing w:line="240" w:lineRule="exact"/>
              <w:rPr>
                <w:color w:val="auto"/>
                <w:sz w:val="18"/>
                <w:kern w:val="0"/>
                <w:szCs w:val="18"/>
                <w:rFonts w:ascii="宋体" w:hAnsi="宋体" w:eastAsia="宋体" w:cs="宋体" w:hint="eastAsia"/>
              </w:rPr>
            </w:pPr>
          </w:p>
        </w:tc>
        <w:tc>
          <w:tcPr>
            <w:tcW w:w="1722" w:type="dxa"/>
            <w:vAlign w:val="center"/>
            <w:tcBorders>
              <w:top w:val="single" w:color="auto" w:sz="4" w:space="0"/>
              <w:left w:val="nil"/>
              <w:bottom w:val="single" w:color="auto" w:sz="4" w:space="0"/>
              <w:right w:val="single" w:color="auto" w:sz="4" w:space="0"/>
            </w:tcBorders>
            <w:shd w:val="clear" w:color="auto" w:fill="auto"/>
          </w:tcPr>
          <w:p>
            <w:pPr>
              <w:widowControl w:val="1"/>
              <w:keepNext w:val="0"/>
              <w:keepLines w:val="0"/>
              <w:jc w:val="left"/>
              <w:suppressLineNumbers w:val="0"/>
              <w:rPr>
                <w:color w:val="auto"/>
                <w:sz w:val="18"/>
                <w:kern w:val="0"/>
                <w:szCs w:val="18"/>
                <w:rFonts w:ascii="宋体" w:hAnsi="宋体" w:eastAsia="宋体" w:cs="宋体" w:hint="eastAsia"/>
              </w:rPr>
            </w:pPr>
            <w:r>
              <w:rPr>
                <w:i w:val="0"/>
                <w:u w:val="none"/>
                <w:color w:val="auto"/>
                <w:sz w:val="18"/>
                <w:lang w:val="en-US" w:eastAsia="zh-CN" w:bidi="ar"/>
                <w:iCs w:val="0"/>
                <w:kern w:val="0"/>
                <w:szCs w:val="18"/>
                <w:rFonts w:ascii="宋体" w:hAnsi="宋体" w:eastAsia="宋体" w:cs="宋体" w:hint="eastAsia"/>
              </w:rPr>
              <w:t>优质饲草栽培按期完成率</w:t>
            </w:r>
          </w:p>
        </w:tc>
        <w:tc>
          <w:tcPr>
            <w:tcW w:w="855" w:type="dxa"/>
            <w:vAlign w:val="center"/>
            <w:tcBorders>
              <w:top w:val="nil"/>
              <w:left w:val="nil"/>
              <w:bottom w:val="single" w:color="auto" w:sz="4" w:space="0"/>
              <w:right w:val="single" w:color="auto" w:sz="4" w:space="0"/>
            </w:tcBorders>
            <w:shd w:val="clear" w:color="auto" w:fill="auto"/>
          </w:tcPr>
          <w:p>
            <w:pPr>
              <w:widowControl w:val="1"/>
              <w:keepNext w:val="0"/>
              <w:keepLines w:val="0"/>
              <w:jc w:val="center"/>
              <w:suppressLineNumbers w:val="0"/>
              <w:rPr>
                <w:color w:val="auto"/>
                <w:sz w:val="18"/>
                <w:kern w:val="0"/>
                <w:szCs w:val="18"/>
                <w:rFonts w:ascii="宋体" w:hAnsi="宋体" w:eastAsia="宋体" w:cs="宋体" w:hint="eastAsia"/>
              </w:rPr>
            </w:pPr>
            <w:r>
              <w:rPr>
                <w:i w:val="0"/>
                <w:u w:val="none"/>
                <w:color w:val="auto"/>
                <w:sz w:val="18"/>
                <w:lang w:val="en-US" w:eastAsia="zh-CN" w:bidi="ar"/>
                <w:iCs w:val="0"/>
                <w:kern w:val="0"/>
                <w:szCs w:val="18"/>
                <w:rFonts w:ascii="宋体" w:hAnsi="宋体" w:eastAsia="宋体" w:cs="宋体" w:hint="eastAsia"/>
              </w:rPr>
              <w:t>100%</w:t>
            </w:r>
          </w:p>
        </w:tc>
        <w:tc>
          <w:tcPr>
            <w:tcW w:w="885" w:type="dxa"/>
            <w:vAlign w:val="center"/>
            <w:tcBorders>
              <w:top w:val="nil"/>
              <w:left w:val="nil"/>
              <w:bottom w:val="single" w:color="auto" w:sz="4" w:space="0"/>
              <w:right w:val="single" w:color="auto" w:sz="4" w:space="0"/>
            </w:tcBorders>
            <w:shd w:val="clear" w:color="auto" w:fill="auto"/>
          </w:tcPr>
          <w:p>
            <w:pPr>
              <w:jc w:val="center"/>
              <w:rPr>
                <w:color w:val="auto"/>
                <w:sz w:val="18"/>
                <w:lang w:val="en-US" w:eastAsia="zh-CN" w:bidi="ar-SA"/>
                <w:kern w:val="2"/>
                <w:szCs w:val="18"/>
                <w:rFonts w:ascii="宋体" w:hAnsi="宋体" w:eastAsia="宋体" w:cs="宋体" w:hint="default"/>
              </w:rPr>
            </w:pPr>
            <w:r>
              <w:rPr>
                <w:color w:val="auto"/>
                <w:sz w:val="18"/>
                <w:lang w:val="en-US" w:eastAsia="zh-CN" w:bidi="ar-SA"/>
                <w:kern w:val="2"/>
                <w:szCs w:val="18"/>
                <w:rFonts w:ascii="宋体" w:hAnsi="宋体" w:eastAsia="宋体" w:cs="宋体" w:hint="eastAsia"/>
              </w:rPr>
              <w:t>100%</w:t>
            </w:r>
          </w:p>
        </w:tc>
        <w:tc>
          <w:tcPr>
            <w:tcW w:w="555" w:type="dxa"/>
            <w:vAlign w:val="center"/>
            <w:tcBorders>
              <w:top w:val="nil"/>
              <w:left w:val="nil"/>
              <w:bottom w:val="single" w:color="auto" w:sz="4" w:space="0"/>
              <w:right w:val="single" w:color="auto" w:sz="4" w:space="0"/>
            </w:tcBorders>
            <w:shd w:val="clear" w:color="auto" w:fill="auto"/>
          </w:tcPr>
          <w:p>
            <w:pPr>
              <w:jc w:val="center"/>
              <w:rPr>
                <w:color w:val="auto"/>
                <w:sz w:val="18"/>
                <w:lang w:val="en-US" w:eastAsia="zh-CN" w:bidi="ar-SA"/>
                <w:kern w:val="2"/>
                <w:szCs w:val="18"/>
                <w:rFonts w:ascii="宋体" w:hAnsi="宋体" w:eastAsia="宋体" w:cs="宋体" w:hint="default"/>
              </w:rPr>
            </w:pPr>
            <w:r>
              <w:rPr>
                <w:color w:val="auto"/>
                <w:sz w:val="18"/>
                <w:lang w:val="en-US" w:eastAsia="zh-CN" w:bidi="ar-SA"/>
                <w:kern w:val="2"/>
                <w:szCs w:val="18"/>
                <w:rFonts w:ascii="宋体" w:hAnsi="宋体" w:eastAsia="宋体" w:cs="宋体" w:hint="eastAsia"/>
              </w:rPr>
              <w:t>2.3</w:t>
            </w:r>
          </w:p>
        </w:tc>
        <w:tc>
          <w:tcPr>
            <w:tcW w:w="825" w:type="dxa"/>
            <w:vAlign w:val="center"/>
            <w:tcBorders>
              <w:top w:val="nil"/>
              <w:left w:val="nil"/>
              <w:bottom w:val="single" w:color="auto" w:sz="4" w:space="0"/>
              <w:right w:val="single" w:color="auto" w:sz="4" w:space="0"/>
            </w:tcBorders>
            <w:shd w:val="clear" w:color="auto" w:fill="auto"/>
          </w:tcPr>
          <w:p>
            <w:pPr>
              <w:widowControl w:val="1"/>
              <w:jc w:val="center"/>
              <w:spacing w:line="240" w:lineRule="exact"/>
              <w:rPr>
                <w:color w:val="auto"/>
                <w:sz w:val="18"/>
                <w:lang w:val="en-US" w:eastAsia="zh-CN"/>
                <w:kern w:val="0"/>
                <w:szCs w:val="18"/>
                <w:rFonts w:ascii="宋体" w:hAnsi="宋体" w:eastAsia="宋体" w:cs="宋体" w:hint="default"/>
              </w:rPr>
            </w:pPr>
            <w:r>
              <w:rPr>
                <w:color w:val="auto"/>
                <w:sz w:val="18"/>
                <w:lang w:val="en-US" w:eastAsia="zh-CN"/>
                <w:kern w:val="0"/>
                <w:szCs w:val="18"/>
                <w:rFonts w:ascii="宋体" w:hAnsi="宋体" w:eastAsia="宋体" w:cs="宋体" w:hint="eastAsia"/>
              </w:rPr>
              <w:t>2.3</w:t>
            </w:r>
          </w:p>
        </w:tc>
        <w:tc>
          <w:tcPr>
            <w:tcW w:w="1943" w:type="dxa"/>
            <w:vAlign w:val="center"/>
            <w:tcBorders>
              <w:top w:val="single" w:color="auto" w:sz="4" w:space="0"/>
              <w:left w:val="nil"/>
              <w:bottom w:val="single" w:color="auto" w:sz="4" w:space="0"/>
              <w:right w:val="single" w:color="auto" w:sz="4" w:space="0"/>
            </w:tcBorders>
            <w:shd w:val="clear" w:color="auto" w:fill="auto"/>
          </w:tcPr>
          <w:p>
            <w:pPr>
              <w:widowControl w:val="1"/>
              <w:jc w:val="center"/>
              <w:spacing w:line="240" w:lineRule="exact"/>
              <w:rPr>
                <w:color w:val="auto"/>
                <w:sz w:val="18"/>
                <w:kern w:val="0"/>
                <w:szCs w:val="18"/>
                <w:rFonts w:ascii="宋体" w:hAnsi="宋体" w:eastAsia="宋体" w:cs="宋体" w:hint="eastAsia"/>
              </w:rPr>
            </w:pPr>
          </w:p>
        </w:tc>
      </w:tr>
      <w:tr>
        <w:tblPrEx>
          <w:tblCellMar>
            <w:top w:type="dxa" w:w="0.000000"/>
            <w:bottom w:type="dxa" w:w="0.000000"/>
            <w:left w:type="dxa" w:w="108.000000"/>
            <w:right w:type="dxa" w:w="108.000000"/>
          </w:tblCellMar>
          <w:tblLayout w:type="fixed"/>
        </w:tblPrEx>
        <w:trPr>
          <w:trHeight w:val="615" w:hRule="exact"/>
          <w:jc w:val="center"/>
        </w:trPr>
        <w:tc>
          <w:tcPr>
            <w:tcW w:w="396" w:type="dxa"/>
            <w:vMerge w:val="continue"/>
            <w:vAlign w:val="center"/>
            <w:tcBorders>
              <w:left w:val="single" w:color="auto" w:sz="4" w:space="0"/>
              <w:right w:val="single" w:color="auto" w:sz="4" w:space="0"/>
            </w:tcBorders>
          </w:tcPr>
          <w:p>
            <w:pPr>
              <w:widowControl w:val="1"/>
              <w:jc w:val="center"/>
              <w:spacing w:line="240" w:lineRule="exact"/>
              <w:rPr>
                <w:color w:val="auto"/>
                <w:sz w:val="18"/>
                <w:kern w:val="0"/>
                <w:szCs w:val="18"/>
                <w:rFonts w:ascii="宋体" w:hAnsi="宋体" w:eastAsia="宋体" w:cs="宋体" w:hint="eastAsia"/>
              </w:rPr>
            </w:pPr>
          </w:p>
        </w:tc>
        <w:tc>
          <w:tcPr>
            <w:tcW w:w="458" w:type="dxa"/>
            <w:vMerge w:val="continue"/>
            <w:vAlign w:val="center"/>
            <w:tcBorders>
              <w:left w:val="single" w:color="auto" w:sz="4" w:space="0"/>
              <w:right w:val="single" w:color="auto" w:sz="4" w:space="0"/>
            </w:tcBorders>
          </w:tcPr>
          <w:p>
            <w:pPr>
              <w:widowControl w:val="1"/>
              <w:jc w:val="center"/>
              <w:spacing w:line="240" w:lineRule="exact"/>
              <w:rPr>
                <w:color w:val="auto"/>
                <w:sz w:val="18"/>
                <w:kern w:val="0"/>
                <w:szCs w:val="18"/>
                <w:rFonts w:ascii="宋体" w:hAnsi="宋体" w:eastAsia="宋体" w:cs="宋体" w:hint="eastAsia"/>
              </w:rPr>
            </w:pPr>
          </w:p>
        </w:tc>
        <w:tc>
          <w:tcPr>
            <w:tcW w:w="883" w:type="dxa"/>
            <w:vMerge w:val="continue"/>
            <w:vAlign w:val="center"/>
            <w:tcBorders>
              <w:top w:val="nil"/>
              <w:left w:val="single" w:color="auto" w:sz="4" w:space="0"/>
              <w:bottom w:val="single" w:color="auto" w:sz="4" w:space="0"/>
              <w:right w:val="single" w:color="auto" w:sz="4" w:space="0"/>
            </w:tcBorders>
          </w:tcPr>
          <w:p>
            <w:pPr>
              <w:widowControl w:val="1"/>
              <w:jc w:val="center"/>
              <w:spacing w:line="240" w:lineRule="exact"/>
              <w:rPr>
                <w:color w:val="auto"/>
                <w:sz w:val="18"/>
                <w:kern w:val="0"/>
                <w:szCs w:val="18"/>
                <w:rFonts w:ascii="宋体" w:hAnsi="宋体" w:eastAsia="宋体" w:cs="宋体" w:hint="eastAsia"/>
              </w:rPr>
            </w:pPr>
          </w:p>
        </w:tc>
        <w:tc>
          <w:tcPr>
            <w:tcW w:w="1722" w:type="dxa"/>
            <w:vAlign w:val="center"/>
            <w:tcBorders>
              <w:top w:val="single" w:color="auto" w:sz="4" w:space="0"/>
              <w:left w:val="nil"/>
              <w:bottom w:val="single" w:color="auto" w:sz="4" w:space="0"/>
              <w:right w:val="single" w:color="auto" w:sz="4" w:space="0"/>
            </w:tcBorders>
            <w:shd w:val="clear" w:color="auto" w:fill="auto"/>
          </w:tcPr>
          <w:p>
            <w:pPr>
              <w:widowControl w:val="1"/>
              <w:keepNext w:val="0"/>
              <w:keepLines w:val="0"/>
              <w:jc w:val="left"/>
              <w:suppressLineNumbers w:val="0"/>
              <w:rPr>
                <w:color w:val="auto"/>
                <w:sz w:val="18"/>
                <w:kern w:val="0"/>
                <w:szCs w:val="18"/>
                <w:rFonts w:ascii="宋体" w:hAnsi="宋体" w:eastAsia="宋体" w:cs="宋体" w:hint="eastAsia"/>
              </w:rPr>
            </w:pPr>
            <w:r>
              <w:rPr>
                <w:i w:val="0"/>
                <w:u w:val="none"/>
                <w:color w:val="auto"/>
                <w:sz w:val="18"/>
                <w:lang w:val="en-US" w:eastAsia="zh-CN" w:bidi="ar"/>
                <w:iCs w:val="0"/>
                <w:kern w:val="0"/>
                <w:szCs w:val="18"/>
                <w:rFonts w:ascii="宋体" w:hAnsi="宋体" w:eastAsia="宋体" w:cs="宋体" w:hint="eastAsia"/>
              </w:rPr>
              <w:t>建立产业技术体系按期完成率</w:t>
            </w:r>
          </w:p>
        </w:tc>
        <w:tc>
          <w:tcPr>
            <w:tcW w:w="855" w:type="dxa"/>
            <w:vAlign w:val="center"/>
            <w:tcBorders>
              <w:top w:val="nil"/>
              <w:left w:val="nil"/>
              <w:bottom w:val="single" w:color="auto" w:sz="4" w:space="0"/>
              <w:right w:val="single" w:color="auto" w:sz="4" w:space="0"/>
            </w:tcBorders>
            <w:shd w:val="clear" w:color="auto" w:fill="auto"/>
          </w:tcPr>
          <w:p>
            <w:pPr>
              <w:widowControl w:val="1"/>
              <w:keepNext w:val="0"/>
              <w:keepLines w:val="0"/>
              <w:jc w:val="center"/>
              <w:suppressLineNumbers w:val="0"/>
              <w:rPr>
                <w:color w:val="auto"/>
                <w:sz w:val="18"/>
                <w:kern w:val="0"/>
                <w:szCs w:val="18"/>
                <w:rFonts w:ascii="宋体" w:hAnsi="宋体" w:eastAsia="宋体" w:cs="宋体" w:hint="eastAsia"/>
              </w:rPr>
            </w:pPr>
            <w:r>
              <w:rPr>
                <w:i w:val="0"/>
                <w:u w:val="none"/>
                <w:color w:val="auto"/>
                <w:sz w:val="18"/>
                <w:lang w:val="en-US" w:eastAsia="zh-CN" w:bidi="ar"/>
                <w:iCs w:val="0"/>
                <w:kern w:val="0"/>
                <w:szCs w:val="18"/>
                <w:rFonts w:ascii="宋体" w:hAnsi="宋体" w:eastAsia="宋体" w:cs="宋体" w:hint="eastAsia"/>
              </w:rPr>
              <w:t>100%</w:t>
            </w:r>
          </w:p>
        </w:tc>
        <w:tc>
          <w:tcPr>
            <w:tcW w:w="885" w:type="dxa"/>
            <w:vAlign w:val="center"/>
            <w:tcBorders>
              <w:top w:val="nil"/>
              <w:left w:val="nil"/>
              <w:bottom w:val="single" w:color="auto" w:sz="4" w:space="0"/>
              <w:right w:val="single" w:color="auto" w:sz="4" w:space="0"/>
            </w:tcBorders>
            <w:shd w:val="clear" w:color="auto" w:fill="auto"/>
          </w:tcPr>
          <w:p>
            <w:pPr>
              <w:jc w:val="center"/>
              <w:rPr>
                <w:color w:val="auto"/>
                <w:sz w:val="18"/>
                <w:lang w:val="en-US" w:eastAsia="zh-CN" w:bidi="ar-SA"/>
                <w:kern w:val="2"/>
                <w:szCs w:val="18"/>
                <w:rFonts w:ascii="宋体" w:hAnsi="宋体" w:eastAsia="宋体" w:cs="宋体" w:hint="eastAsia"/>
              </w:rPr>
            </w:pPr>
            <w:r>
              <w:rPr>
                <w:i w:val="0"/>
                <w:u w:val="none"/>
                <w:color w:val="auto"/>
                <w:sz w:val="18"/>
                <w:lang w:val="en-US" w:eastAsia="zh-CN" w:bidi="ar"/>
                <w:iCs w:val="0"/>
                <w:kern w:val="0"/>
                <w:szCs w:val="18"/>
                <w:rFonts w:ascii="宋体" w:hAnsi="宋体" w:eastAsia="宋体" w:cs="宋体" w:hint="eastAsia"/>
              </w:rPr>
              <w:t>100%</w:t>
            </w:r>
          </w:p>
        </w:tc>
        <w:tc>
          <w:tcPr>
            <w:tcW w:w="555" w:type="dxa"/>
            <w:vAlign w:val="center"/>
            <w:tcBorders>
              <w:top w:val="nil"/>
              <w:left w:val="nil"/>
              <w:bottom w:val="single" w:color="auto" w:sz="4" w:space="0"/>
              <w:right w:val="single" w:color="auto" w:sz="4" w:space="0"/>
            </w:tcBorders>
            <w:shd w:val="clear" w:color="auto" w:fill="auto"/>
          </w:tcPr>
          <w:p>
            <w:pPr>
              <w:jc w:val="center"/>
              <w:rPr>
                <w:color w:val="auto"/>
                <w:sz w:val="18"/>
                <w:lang w:val="en-US" w:eastAsia="zh-CN" w:bidi="ar-SA"/>
                <w:kern w:val="2"/>
                <w:szCs w:val="18"/>
                <w:rFonts w:ascii="宋体" w:hAnsi="宋体" w:eastAsia="宋体" w:cs="宋体" w:hint="default"/>
              </w:rPr>
            </w:pPr>
            <w:r>
              <w:rPr>
                <w:color w:val="auto"/>
                <w:sz w:val="18"/>
                <w:lang w:val="en-US" w:eastAsia="zh-CN" w:bidi="ar-SA"/>
                <w:kern w:val="2"/>
                <w:szCs w:val="18"/>
                <w:rFonts w:ascii="宋体" w:hAnsi="宋体" w:eastAsia="宋体" w:cs="宋体" w:hint="eastAsia"/>
              </w:rPr>
              <w:t>2.3</w:t>
            </w:r>
          </w:p>
        </w:tc>
        <w:tc>
          <w:tcPr>
            <w:tcW w:w="825" w:type="dxa"/>
            <w:vAlign w:val="center"/>
            <w:tcBorders>
              <w:top w:val="nil"/>
              <w:left w:val="nil"/>
              <w:bottom w:val="single" w:color="auto" w:sz="4" w:space="0"/>
              <w:right w:val="single" w:color="auto" w:sz="4" w:space="0"/>
            </w:tcBorders>
            <w:shd w:val="clear" w:color="auto" w:fill="auto"/>
          </w:tcPr>
          <w:p>
            <w:pPr>
              <w:widowControl w:val="1"/>
              <w:jc w:val="center"/>
              <w:spacing w:line="240" w:lineRule="exact"/>
              <w:rPr>
                <w:color w:val="auto"/>
                <w:sz w:val="18"/>
                <w:lang w:val="en-US" w:eastAsia="zh-CN"/>
                <w:kern w:val="0"/>
                <w:szCs w:val="18"/>
                <w:rFonts w:ascii="宋体" w:hAnsi="宋体" w:eastAsia="宋体" w:cs="宋体" w:hint="default"/>
              </w:rPr>
            </w:pPr>
            <w:r>
              <w:rPr>
                <w:color w:val="auto"/>
                <w:sz w:val="18"/>
                <w:lang w:val="en-US" w:eastAsia="zh-CN"/>
                <w:kern w:val="0"/>
                <w:szCs w:val="18"/>
                <w:rFonts w:ascii="宋体" w:hAnsi="宋体" w:eastAsia="宋体" w:cs="宋体" w:hint="eastAsia"/>
              </w:rPr>
              <w:t>2.3</w:t>
            </w:r>
          </w:p>
        </w:tc>
        <w:tc>
          <w:tcPr>
            <w:tcW w:w="1943" w:type="dxa"/>
            <w:vAlign w:val="center"/>
            <w:tcBorders>
              <w:top w:val="single" w:color="auto" w:sz="4" w:space="0"/>
              <w:left w:val="nil"/>
              <w:bottom w:val="single" w:color="auto" w:sz="4" w:space="0"/>
              <w:right w:val="single" w:color="auto" w:sz="4" w:space="0"/>
            </w:tcBorders>
            <w:shd w:val="clear" w:color="auto" w:fill="auto"/>
          </w:tcPr>
          <w:p>
            <w:pPr>
              <w:widowControl w:val="1"/>
              <w:jc w:val="center"/>
              <w:spacing w:line="240" w:lineRule="exact"/>
              <w:rPr>
                <w:color w:val="auto"/>
                <w:sz w:val="18"/>
                <w:kern w:val="0"/>
                <w:szCs w:val="18"/>
                <w:rFonts w:ascii="宋体" w:hAnsi="宋体" w:eastAsia="宋体" w:cs="宋体" w:hint="eastAsia"/>
              </w:rPr>
            </w:pPr>
          </w:p>
        </w:tc>
      </w:tr>
      <w:tr>
        <w:tblPrEx>
          <w:tblCellMar>
            <w:top w:type="dxa" w:w="0.000000"/>
            <w:bottom w:type="dxa" w:w="0.000000"/>
            <w:left w:type="dxa" w:w="108.000000"/>
            <w:right w:type="dxa" w:w="108.000000"/>
          </w:tblCellMar>
          <w:tblLayout w:type="fixed"/>
        </w:tblPrEx>
        <w:trPr>
          <w:trHeight w:val="1521" w:hRule="exact"/>
          <w:jc w:val="center"/>
        </w:trPr>
        <w:tc>
          <w:tcPr>
            <w:tcW w:w="396" w:type="dxa"/>
            <w:vMerge w:val="continue"/>
            <w:vAlign w:val="center"/>
            <w:tcBorders>
              <w:left w:val="single" w:color="auto" w:sz="4" w:space="0"/>
              <w:right w:val="single" w:color="auto" w:sz="4" w:space="0"/>
            </w:tcBorders>
          </w:tcPr>
          <w:p>
            <w:pPr>
              <w:widowControl w:val="1"/>
              <w:jc w:val="center"/>
              <w:spacing w:line="240" w:lineRule="exact"/>
              <w:rPr>
                <w:color w:val="auto"/>
                <w:sz w:val="18"/>
                <w:kern w:val="0"/>
                <w:szCs w:val="18"/>
                <w:rFonts w:ascii="宋体" w:hAnsi="宋体" w:eastAsia="宋体" w:cs="宋体" w:hint="eastAsia"/>
              </w:rPr>
            </w:pPr>
          </w:p>
        </w:tc>
        <w:tc>
          <w:tcPr>
            <w:tcW w:w="458" w:type="dxa"/>
            <w:vMerge w:val="continue"/>
            <w:vAlign w:val="center"/>
            <w:tcBorders>
              <w:left w:val="single" w:color="auto" w:sz="4" w:space="0"/>
              <w:right w:val="single" w:color="auto" w:sz="4" w:space="0"/>
            </w:tcBorders>
          </w:tcPr>
          <w:p>
            <w:pPr>
              <w:widowControl w:val="1"/>
              <w:jc w:val="center"/>
              <w:spacing w:line="240" w:lineRule="exact"/>
              <w:rPr>
                <w:color w:val="auto"/>
                <w:sz w:val="18"/>
                <w:kern w:val="0"/>
                <w:szCs w:val="18"/>
                <w:rFonts w:ascii="宋体" w:hAnsi="宋体" w:eastAsia="宋体" w:cs="宋体" w:hint="eastAsia"/>
              </w:rPr>
            </w:pPr>
          </w:p>
        </w:tc>
        <w:tc>
          <w:tcPr>
            <w:tcW w:w="883" w:type="dxa"/>
            <w:vMerge w:val="restart"/>
            <w:vAlign w:val="center"/>
            <w:tcBorders>
              <w:top w:val="nil"/>
              <w:left w:val="single" w:color="auto" w:sz="4" w:space="0"/>
              <w:right w:val="single" w:color="auto" w:sz="4" w:space="0"/>
            </w:tcBorders>
          </w:tcPr>
          <w:p>
            <w:pPr>
              <w:widowControl w:val="1"/>
              <w:jc w:val="center"/>
              <w:spacing w:line="240" w:lineRule="exact"/>
              <w:rPr>
                <w:color w:val="auto"/>
                <w:sz w:val="18"/>
                <w:kern w:val="0"/>
                <w:szCs w:val="18"/>
                <w:rFonts w:ascii="宋体" w:hAnsi="宋体" w:eastAsia="宋体" w:cs="宋体" w:hint="eastAsia"/>
              </w:rPr>
            </w:pPr>
            <w:r>
              <w:rPr>
                <w:color w:val="auto"/>
                <w:sz w:val="18"/>
                <w:kern w:val="0"/>
                <w:szCs w:val="18"/>
                <w:rFonts w:ascii="宋体" w:hAnsi="宋体" w:eastAsia="宋体" w:cs="宋体" w:hint="eastAsia"/>
              </w:rPr>
              <w:t>成本指标</w:t>
            </w:r>
          </w:p>
        </w:tc>
        <w:tc>
          <w:tcPr>
            <w:tcW w:w="1722" w:type="dxa"/>
            <w:vAlign w:val="center"/>
            <w:tcBorders>
              <w:top w:val="single" w:color="auto" w:sz="4" w:space="0"/>
              <w:left w:val="nil"/>
              <w:bottom w:val="single" w:color="auto" w:sz="4" w:space="0"/>
              <w:right w:val="single" w:color="auto" w:sz="4" w:space="0"/>
            </w:tcBorders>
            <w:shd w:val="clear" w:color="auto" w:fill="auto"/>
          </w:tcPr>
          <w:p>
            <w:pPr>
              <w:widowControl w:val="1"/>
              <w:keepNext w:val="0"/>
              <w:keepLines w:val="0"/>
              <w:jc w:val="left"/>
              <w:suppressLineNumbers w:val="0"/>
              <w:rPr>
                <w:color w:val="auto"/>
                <w:sz w:val="18"/>
                <w:kern w:val="0"/>
                <w:szCs w:val="18"/>
                <w:rFonts w:ascii="宋体" w:hAnsi="宋体" w:eastAsia="宋体" w:cs="宋体" w:hint="eastAsia"/>
              </w:rPr>
            </w:pPr>
            <w:r>
              <w:rPr>
                <w:i w:val="0"/>
                <w:u w:val="none"/>
                <w:color w:val="auto"/>
                <w:sz w:val="18"/>
                <w:lang w:val="en-US" w:eastAsia="zh-CN" w:bidi="ar"/>
                <w:iCs w:val="0"/>
                <w:kern w:val="0"/>
                <w:szCs w:val="18"/>
                <w:rFonts w:ascii="宋体" w:hAnsi="宋体" w:eastAsia="宋体" w:cs="宋体" w:hint="eastAsia"/>
              </w:rPr>
              <w:t>种业提升及产业技术体系成本</w:t>
            </w:r>
          </w:p>
        </w:tc>
        <w:tc>
          <w:tcPr>
            <w:tcW w:w="855" w:type="dxa"/>
            <w:vAlign w:val="center"/>
            <w:tcBorders>
              <w:top w:val="nil"/>
              <w:left w:val="nil"/>
              <w:bottom w:val="single" w:color="auto" w:sz="4" w:space="0"/>
              <w:right w:val="single" w:color="auto" w:sz="4" w:space="0"/>
            </w:tcBorders>
            <w:shd w:val="clear" w:color="auto" w:fill="auto"/>
          </w:tcPr>
          <w:p>
            <w:pPr>
              <w:widowControl w:val="1"/>
              <w:keepNext w:val="0"/>
              <w:keepLines w:val="0"/>
              <w:jc w:val="center"/>
              <w:suppressLineNumbers w:val="0"/>
              <w:rPr>
                <w:color w:val="auto"/>
                <w:sz w:val="18"/>
                <w:kern w:val="0"/>
                <w:szCs w:val="18"/>
                <w:rFonts w:ascii="宋体" w:hAnsi="宋体" w:eastAsia="宋体" w:cs="宋体" w:hint="eastAsia"/>
              </w:rPr>
            </w:pPr>
            <w:r>
              <w:rPr>
                <w:i w:val="0"/>
                <w:u w:val="none"/>
                <w:color w:val="auto"/>
                <w:sz w:val="18"/>
                <w:lang w:val="en-US" w:eastAsia="zh-CN" w:bidi="ar"/>
                <w:iCs w:val="0"/>
                <w:kern w:val="0"/>
                <w:szCs w:val="18"/>
                <w:rFonts w:ascii="宋体" w:hAnsi="宋体" w:eastAsia="宋体" w:cs="宋体" w:hint="eastAsia"/>
              </w:rPr>
              <w:t>≤</w:t>
            </w:r>
            <w:r>
              <w:rPr>
                <w:rStyle w:val="56"/>
                <w:color w:val="auto"/>
                <w:sz w:val="18"/>
                <w:lang w:val="en-US" w:eastAsia="zh-CN" w:bidi="ar"/>
                <w:szCs w:val="18"/>
                <w:rFonts w:ascii="宋体" w:hAnsi="宋体" w:eastAsia="宋体" w:cs="宋体" w:hint="eastAsia"/>
              </w:rPr>
              <w:t>3496</w:t>
            </w:r>
            <w:r>
              <w:rPr>
                <w:rStyle w:val="57"/>
                <w:color w:val="auto"/>
                <w:sz w:val="18"/>
                <w:lang w:val="en-US" w:eastAsia="zh-CN" w:bidi="ar"/>
                <w:szCs w:val="18"/>
                <w:rFonts w:ascii="宋体" w:hAnsi="宋体" w:eastAsia="宋体" w:cs="宋体" w:hint="eastAsia"/>
              </w:rPr>
              <w:t>万元</w:t>
            </w:r>
          </w:p>
        </w:tc>
        <w:tc>
          <w:tcPr>
            <w:tcW w:w="885" w:type="dxa"/>
            <w:vAlign w:val="center"/>
            <w:tcBorders>
              <w:top w:val="nil"/>
              <w:left w:val="nil"/>
              <w:bottom w:val="single" w:color="auto" w:sz="4" w:space="0"/>
              <w:right w:val="single" w:color="auto" w:sz="4" w:space="0"/>
            </w:tcBorders>
            <w:shd w:val="clear" w:color="auto" w:fill="auto"/>
          </w:tcPr>
          <w:p>
            <w:pPr>
              <w:widowControl w:val="1"/>
              <w:jc w:val="center"/>
              <w:rPr>
                <w:color w:val="auto"/>
                <w:sz w:val="18"/>
                <w:lang w:val="en-US" w:eastAsia="zh-CN" w:bidi="ar-SA"/>
                <w:kern w:val="2"/>
                <w:szCs w:val="18"/>
                <w:rFonts w:ascii="宋体" w:hAnsi="宋体" w:eastAsia="宋体" w:cs="宋体" w:hint="eastAsia"/>
              </w:rPr>
            </w:pPr>
            <w:r>
              <w:rPr>
                <w:color w:val="auto"/>
                <w:sz w:val="18"/>
                <w:lang w:val="en-US" w:eastAsia="zh-CN" w:bidi="ar-SA"/>
                <w:kern w:val="2"/>
                <w:szCs w:val="18"/>
                <w:rFonts w:ascii="宋体" w:hAnsi="宋体" w:eastAsia="宋体" w:cs="宋体" w:hint="eastAsia"/>
              </w:rPr>
              <w:t>3172.89万元</w:t>
            </w:r>
          </w:p>
        </w:tc>
        <w:tc>
          <w:tcPr>
            <w:tcW w:w="555" w:type="dxa"/>
            <w:vAlign w:val="center"/>
            <w:tcBorders>
              <w:top w:val="nil"/>
              <w:left w:val="nil"/>
              <w:bottom w:val="single" w:color="auto" w:sz="4" w:space="0"/>
              <w:right w:val="single" w:color="auto" w:sz="4" w:space="0"/>
            </w:tcBorders>
            <w:shd w:val="clear" w:color="auto" w:fill="auto"/>
          </w:tcPr>
          <w:p>
            <w:pPr>
              <w:jc w:val="center"/>
              <w:rPr>
                <w:color w:val="auto"/>
                <w:sz w:val="18"/>
                <w:lang w:val="en-US" w:eastAsia="zh-CN" w:bidi="ar-SA"/>
                <w:kern w:val="2"/>
                <w:szCs w:val="18"/>
                <w:rFonts w:ascii="宋体" w:hAnsi="宋体" w:eastAsia="宋体" w:cs="宋体" w:hint="default"/>
              </w:rPr>
            </w:pPr>
            <w:r>
              <w:rPr>
                <w:color w:val="auto"/>
                <w:sz w:val="18"/>
                <w:lang w:val="en-US" w:eastAsia="zh-CN" w:bidi="ar-SA"/>
                <w:kern w:val="2"/>
                <w:szCs w:val="18"/>
                <w:rFonts w:ascii="宋体" w:hAnsi="宋体" w:eastAsia="宋体" w:cs="宋体" w:hint="eastAsia"/>
              </w:rPr>
              <w:t>2.2</w:t>
            </w:r>
          </w:p>
        </w:tc>
        <w:tc>
          <w:tcPr>
            <w:tcW w:w="825" w:type="dxa"/>
            <w:vAlign w:val="center"/>
            <w:tcBorders>
              <w:top w:val="nil"/>
              <w:left w:val="nil"/>
              <w:bottom w:val="single" w:color="auto" w:sz="4" w:space="0"/>
              <w:right w:val="single" w:color="auto" w:sz="4" w:space="0"/>
            </w:tcBorders>
            <w:shd w:val="clear" w:color="auto" w:fill="auto"/>
          </w:tcPr>
          <w:p>
            <w:pPr>
              <w:widowControl w:val="1"/>
              <w:jc w:val="center"/>
              <w:spacing w:line="240" w:lineRule="exact"/>
              <w:rPr>
                <w:color w:val="auto"/>
                <w:sz w:val="18"/>
                <w:lang w:val="en-US" w:eastAsia="zh-CN"/>
                <w:kern w:val="0"/>
                <w:szCs w:val="18"/>
                <w:rFonts w:ascii="宋体" w:hAnsi="宋体" w:eastAsia="宋体" w:cs="宋体" w:hint="eastAsia"/>
              </w:rPr>
            </w:pPr>
            <w:r>
              <w:rPr>
                <w:color w:val="auto"/>
                <w:sz w:val="18"/>
                <w:lang w:val="en-US" w:eastAsia="zh-CN"/>
                <w:kern w:val="0"/>
                <w:szCs w:val="18"/>
                <w:rFonts w:ascii="宋体" w:hAnsi="宋体" w:eastAsia="宋体" w:cs="宋体" w:hint="eastAsia"/>
              </w:rPr>
              <w:t>2</w:t>
            </w:r>
          </w:p>
        </w:tc>
        <w:tc>
          <w:tcPr>
            <w:tcW w:w="1943" w:type="dxa"/>
            <w:vAlign w:val="center"/>
            <w:tcBorders>
              <w:top w:val="single" w:color="auto" w:sz="4" w:space="0"/>
              <w:left w:val="nil"/>
              <w:bottom w:val="single" w:color="auto" w:sz="4" w:space="0"/>
              <w:right w:val="single" w:color="auto" w:sz="4" w:space="0"/>
            </w:tcBorders>
            <w:shd w:val="clear" w:color="auto" w:fill="auto"/>
          </w:tcPr>
          <w:p>
            <w:pPr>
              <w:widowControl w:val="1"/>
              <w:jc w:val="center"/>
              <w:spacing w:line="240" w:lineRule="exact"/>
              <w:rPr>
                <w:color w:val="auto"/>
                <w:sz w:val="18"/>
                <w:kern w:val="0"/>
                <w:szCs w:val="18"/>
                <w:rFonts w:ascii="宋体" w:hAnsi="宋体" w:eastAsia="宋体" w:cs="宋体" w:hint="eastAsia"/>
              </w:rPr>
            </w:pPr>
            <w:r>
              <w:rPr>
                <w:color w:val="auto"/>
                <w:sz w:val="18"/>
                <w:lang w:val="en-US" w:eastAsia="zh-Hans"/>
                <w:kern w:val="0"/>
                <w:szCs w:val="18"/>
                <w:rFonts w:ascii="宋体" w:hAnsi="宋体" w:eastAsia="宋体" w:cs="宋体" w:hint="eastAsia"/>
              </w:rPr>
              <w:t>偏差原因：</w:t>
            </w:r>
            <w:r>
              <w:rPr>
                <w:color w:val="auto"/>
                <w:sz w:val="18"/>
                <w:kern w:val="0"/>
                <w:szCs w:val="18"/>
                <w:rFonts w:ascii="宋体" w:hAnsi="宋体" w:eastAsia="宋体" w:cs="宋体" w:hint="eastAsia"/>
              </w:rPr>
              <w:t>受到疫情影响，部分县市兑付资金困难。</w:t>
            </w:r>
            <w:r>
              <w:rPr>
                <w:color w:val="auto"/>
                <w:sz w:val="18"/>
                <w:lang w:val="en-US" w:eastAsia="zh-Hans"/>
                <w:kern w:val="0"/>
                <w:szCs w:val="18"/>
                <w:rFonts w:ascii="宋体" w:hAnsi="宋体" w:eastAsia="宋体" w:cs="宋体" w:hint="eastAsia"/>
              </w:rPr>
              <w:t>改进措施：</w:t>
            </w:r>
            <w:r>
              <w:rPr>
                <w:color w:val="auto"/>
                <w:sz w:val="18"/>
                <w:kern w:val="0"/>
                <w:szCs w:val="18"/>
                <w:rFonts w:ascii="宋体" w:hAnsi="宋体" w:eastAsia="宋体" w:cs="宋体" w:hint="eastAsia"/>
              </w:rPr>
              <w:t>下一步督促</w:t>
            </w:r>
            <w:r>
              <w:rPr>
                <w:color w:val="auto"/>
                <w:sz w:val="18"/>
                <w:lang w:eastAsia="zh-CN"/>
                <w:kern w:val="0"/>
                <w:szCs w:val="18"/>
                <w:rFonts w:ascii="宋体" w:hAnsi="宋体" w:eastAsia="宋体" w:cs="宋体" w:hint="eastAsia"/>
              </w:rPr>
              <w:t>相关县市</w:t>
            </w:r>
            <w:r>
              <w:rPr>
                <w:color w:val="auto"/>
                <w:sz w:val="18"/>
                <w:kern w:val="0"/>
                <w:szCs w:val="18"/>
                <w:rFonts w:ascii="宋体" w:hAnsi="宋体" w:eastAsia="宋体" w:cs="宋体" w:hint="eastAsia"/>
              </w:rPr>
              <w:t>积极与财政部门沟通，加快资金拨付进度。</w:t>
            </w:r>
          </w:p>
        </w:tc>
      </w:tr>
      <w:tr>
        <w:tblPrEx>
          <w:tblCellMar>
            <w:top w:type="dxa" w:w="0.000000"/>
            <w:bottom w:type="dxa" w:w="0.000000"/>
            <w:left w:type="dxa" w:w="108.000000"/>
            <w:right w:type="dxa" w:w="108.000000"/>
          </w:tblCellMar>
          <w:tblLayout w:type="fixed"/>
        </w:tblPrEx>
        <w:trPr>
          <w:trHeight w:val="615" w:hRule="exact"/>
          <w:jc w:val="center"/>
        </w:trPr>
        <w:tc>
          <w:tcPr>
            <w:tcW w:w="396" w:type="dxa"/>
            <w:vMerge w:val="continue"/>
            <w:vAlign w:val="center"/>
            <w:tcBorders>
              <w:left w:val="single" w:color="auto" w:sz="4" w:space="0"/>
              <w:right w:val="single" w:color="auto" w:sz="4" w:space="0"/>
            </w:tcBorders>
          </w:tcPr>
          <w:p>
            <w:pPr>
              <w:widowControl w:val="1"/>
              <w:jc w:val="center"/>
              <w:spacing w:line="240" w:lineRule="exact"/>
              <w:rPr>
                <w:color w:val="auto"/>
                <w:sz w:val="18"/>
                <w:kern w:val="0"/>
                <w:szCs w:val="18"/>
                <w:rFonts w:ascii="宋体" w:hAnsi="宋体" w:eastAsia="宋体" w:cs="宋体" w:hint="eastAsia"/>
              </w:rPr>
            </w:pPr>
          </w:p>
        </w:tc>
        <w:tc>
          <w:tcPr>
            <w:tcW w:w="458" w:type="dxa"/>
            <w:vMerge w:val="continue"/>
            <w:vAlign w:val="center"/>
            <w:tcBorders>
              <w:left w:val="single" w:color="auto" w:sz="4" w:space="0"/>
              <w:right w:val="single" w:color="auto" w:sz="4" w:space="0"/>
            </w:tcBorders>
          </w:tcPr>
          <w:p>
            <w:pPr>
              <w:widowControl w:val="1"/>
              <w:jc w:val="center"/>
              <w:spacing w:line="240" w:lineRule="exact"/>
              <w:rPr>
                <w:color w:val="auto"/>
                <w:sz w:val="18"/>
                <w:kern w:val="0"/>
                <w:szCs w:val="18"/>
                <w:rFonts w:ascii="宋体" w:hAnsi="宋体" w:eastAsia="宋体" w:cs="宋体" w:hint="eastAsia"/>
              </w:rPr>
            </w:pPr>
          </w:p>
        </w:tc>
        <w:tc>
          <w:tcPr>
            <w:tcW w:w="883" w:type="dxa"/>
            <w:vMerge w:val="continue"/>
            <w:vAlign w:val="center"/>
            <w:tcBorders>
              <w:left w:val="single" w:color="auto" w:sz="4" w:space="0"/>
              <w:right w:val="single" w:color="auto" w:sz="4" w:space="0"/>
            </w:tcBorders>
          </w:tcPr>
          <w:p>
            <w:pPr>
              <w:widowControl w:val="1"/>
              <w:jc w:val="center"/>
              <w:spacing w:line="240" w:lineRule="exact"/>
              <w:rPr>
                <w:color w:val="auto"/>
                <w:sz w:val="18"/>
                <w:kern w:val="0"/>
                <w:szCs w:val="18"/>
                <w:rFonts w:ascii="宋体" w:hAnsi="宋体" w:eastAsia="宋体" w:cs="宋体" w:hint="eastAsia"/>
              </w:rPr>
            </w:pPr>
          </w:p>
        </w:tc>
        <w:tc>
          <w:tcPr>
            <w:tcW w:w="1722" w:type="dxa"/>
            <w:vAlign w:val="center"/>
            <w:tcBorders>
              <w:top w:val="single" w:color="auto" w:sz="4" w:space="0"/>
              <w:left w:val="nil"/>
              <w:bottom w:val="single" w:color="auto" w:sz="4" w:space="0"/>
              <w:right w:val="single" w:color="auto" w:sz="4" w:space="0"/>
            </w:tcBorders>
            <w:shd w:val="clear" w:color="auto" w:fill="auto"/>
          </w:tcPr>
          <w:p>
            <w:pPr>
              <w:widowControl w:val="1"/>
              <w:keepNext w:val="0"/>
              <w:keepLines w:val="0"/>
              <w:jc w:val="left"/>
              <w:suppressLineNumbers w:val="0"/>
              <w:rPr>
                <w:color w:val="auto"/>
                <w:sz w:val="18"/>
                <w:kern w:val="0"/>
                <w:szCs w:val="18"/>
                <w:rFonts w:ascii="宋体" w:hAnsi="宋体" w:eastAsia="宋体" w:cs="宋体" w:hint="eastAsia"/>
              </w:rPr>
            </w:pPr>
            <w:r>
              <w:rPr>
                <w:i w:val="0"/>
                <w:u w:val="none"/>
                <w:color w:val="auto"/>
                <w:sz w:val="18"/>
                <w:lang w:val="en-US" w:eastAsia="zh-CN" w:bidi="ar"/>
                <w:iCs w:val="0"/>
                <w:kern w:val="0"/>
                <w:szCs w:val="18"/>
                <w:rFonts w:ascii="宋体" w:hAnsi="宋体" w:eastAsia="宋体" w:cs="宋体" w:hint="eastAsia"/>
              </w:rPr>
              <w:t>奶业生产发展成本</w:t>
            </w:r>
          </w:p>
        </w:tc>
        <w:tc>
          <w:tcPr>
            <w:tcW w:w="855" w:type="dxa"/>
            <w:vAlign w:val="center"/>
            <w:tcBorders>
              <w:top w:val="nil"/>
              <w:left w:val="nil"/>
              <w:bottom w:val="single" w:color="auto" w:sz="4" w:space="0"/>
              <w:right w:val="single" w:color="auto" w:sz="4" w:space="0"/>
            </w:tcBorders>
            <w:shd w:val="clear" w:color="auto" w:fill="auto"/>
          </w:tcPr>
          <w:p>
            <w:pPr>
              <w:widowControl w:val="1"/>
              <w:keepNext w:val="0"/>
              <w:keepLines w:val="0"/>
              <w:jc w:val="center"/>
              <w:suppressLineNumbers w:val="0"/>
              <w:rPr>
                <w:color w:val="auto"/>
                <w:sz w:val="18"/>
                <w:kern w:val="0"/>
                <w:szCs w:val="18"/>
                <w:rFonts w:ascii="宋体" w:hAnsi="宋体" w:eastAsia="宋体" w:cs="宋体" w:hint="eastAsia"/>
              </w:rPr>
            </w:pPr>
            <w:r>
              <w:rPr>
                <w:i w:val="0"/>
                <w:u w:val="none"/>
                <w:color w:val="auto"/>
                <w:sz w:val="18"/>
                <w:lang w:val="en-US" w:eastAsia="zh-CN" w:bidi="ar"/>
                <w:iCs w:val="0"/>
                <w:kern w:val="0"/>
                <w:szCs w:val="18"/>
                <w:rFonts w:ascii="宋体" w:hAnsi="宋体" w:eastAsia="宋体" w:cs="宋体" w:hint="eastAsia"/>
              </w:rPr>
              <w:t>≤1000</w:t>
            </w:r>
            <w:r>
              <w:rPr>
                <w:rStyle w:val="57"/>
                <w:color w:val="auto"/>
                <w:sz w:val="18"/>
                <w:lang w:val="en-US" w:eastAsia="zh-CN" w:bidi="ar"/>
                <w:szCs w:val="18"/>
                <w:rFonts w:ascii="宋体" w:hAnsi="宋体" w:eastAsia="宋体" w:cs="宋体" w:hint="eastAsia"/>
              </w:rPr>
              <w:t>万元</w:t>
            </w:r>
          </w:p>
        </w:tc>
        <w:tc>
          <w:tcPr>
            <w:tcW w:w="885" w:type="dxa"/>
            <w:vAlign w:val="center"/>
            <w:tcBorders>
              <w:top w:val="nil"/>
              <w:left w:val="nil"/>
              <w:bottom w:val="single" w:color="auto" w:sz="4" w:space="0"/>
              <w:right w:val="single" w:color="auto" w:sz="4" w:space="0"/>
            </w:tcBorders>
            <w:shd w:val="clear" w:color="auto" w:fill="auto"/>
          </w:tcPr>
          <w:p>
            <w:pPr>
              <w:jc w:val="center"/>
              <w:rPr>
                <w:color w:val="auto"/>
                <w:sz w:val="18"/>
                <w:lang w:val="en-US" w:eastAsia="zh-CN" w:bidi="ar-SA"/>
                <w:kern w:val="2"/>
                <w:szCs w:val="18"/>
                <w:rFonts w:ascii="宋体" w:hAnsi="宋体" w:eastAsia="宋体" w:cs="宋体" w:hint="eastAsia"/>
              </w:rPr>
            </w:pPr>
            <w:r>
              <w:rPr>
                <w:i w:val="0"/>
                <w:u w:val="none"/>
                <w:color w:val="auto"/>
                <w:sz w:val="18"/>
                <w:lang w:val="en-US" w:eastAsia="zh-CN" w:bidi="ar"/>
                <w:iCs w:val="0"/>
                <w:kern w:val="0"/>
                <w:szCs w:val="18"/>
                <w:rFonts w:ascii="宋体" w:hAnsi="宋体" w:eastAsia="宋体" w:cs="宋体" w:hint="eastAsia"/>
              </w:rPr>
              <w:t>1000</w:t>
            </w:r>
            <w:r>
              <w:rPr>
                <w:rStyle w:val="57"/>
                <w:color w:val="auto"/>
                <w:sz w:val="18"/>
                <w:lang w:val="en-US" w:eastAsia="zh-CN" w:bidi="ar"/>
                <w:szCs w:val="18"/>
                <w:rFonts w:ascii="宋体" w:hAnsi="宋体" w:eastAsia="宋体" w:cs="宋体" w:hint="eastAsia"/>
              </w:rPr>
              <w:t>万元</w:t>
            </w:r>
          </w:p>
        </w:tc>
        <w:tc>
          <w:tcPr>
            <w:tcW w:w="555" w:type="dxa"/>
            <w:vAlign w:val="center"/>
            <w:tcBorders>
              <w:top w:val="nil"/>
              <w:left w:val="nil"/>
              <w:bottom w:val="single" w:color="auto" w:sz="4" w:space="0"/>
              <w:right w:val="single" w:color="auto" w:sz="4" w:space="0"/>
            </w:tcBorders>
            <w:shd w:val="clear" w:color="auto" w:fill="auto"/>
          </w:tcPr>
          <w:p>
            <w:pPr>
              <w:jc w:val="center"/>
              <w:rPr>
                <w:color w:val="auto"/>
                <w:sz w:val="18"/>
                <w:lang w:val="en-US" w:eastAsia="zh-CN" w:bidi="ar-SA"/>
                <w:kern w:val="2"/>
                <w:szCs w:val="18"/>
                <w:rFonts w:ascii="宋体" w:hAnsi="宋体" w:eastAsia="宋体" w:cs="宋体" w:hint="default"/>
              </w:rPr>
            </w:pPr>
            <w:r>
              <w:rPr>
                <w:color w:val="auto"/>
                <w:sz w:val="18"/>
                <w:lang w:val="en-US" w:eastAsia="zh-CN" w:bidi="ar-SA"/>
                <w:kern w:val="2"/>
                <w:szCs w:val="18"/>
                <w:rFonts w:ascii="宋体" w:hAnsi="宋体" w:eastAsia="宋体" w:cs="宋体" w:hint="eastAsia"/>
              </w:rPr>
              <w:t>2.2</w:t>
            </w:r>
          </w:p>
        </w:tc>
        <w:tc>
          <w:tcPr>
            <w:tcW w:w="825" w:type="dxa"/>
            <w:vAlign w:val="center"/>
            <w:tcBorders>
              <w:top w:val="nil"/>
              <w:left w:val="nil"/>
              <w:bottom w:val="single" w:color="auto" w:sz="4" w:space="0"/>
              <w:right w:val="single" w:color="auto" w:sz="4" w:space="0"/>
            </w:tcBorders>
            <w:shd w:val="clear" w:color="auto" w:fill="auto"/>
          </w:tcPr>
          <w:p>
            <w:pPr>
              <w:widowControl w:val="1"/>
              <w:jc w:val="center"/>
              <w:spacing w:line="240" w:lineRule="exact"/>
              <w:rPr>
                <w:color w:val="auto"/>
                <w:sz w:val="18"/>
                <w:lang w:val="en-US" w:eastAsia="zh-CN"/>
                <w:kern w:val="0"/>
                <w:szCs w:val="18"/>
                <w:rFonts w:ascii="宋体" w:hAnsi="宋体" w:eastAsia="宋体" w:cs="宋体" w:hint="default"/>
              </w:rPr>
            </w:pPr>
            <w:r>
              <w:rPr>
                <w:color w:val="auto"/>
                <w:sz w:val="18"/>
                <w:lang w:val="en-US" w:eastAsia="zh-CN"/>
                <w:kern w:val="0"/>
                <w:szCs w:val="18"/>
                <w:rFonts w:ascii="宋体" w:hAnsi="宋体" w:eastAsia="宋体" w:cs="宋体" w:hint="eastAsia"/>
              </w:rPr>
              <w:t>2.2</w:t>
            </w:r>
          </w:p>
        </w:tc>
        <w:tc>
          <w:tcPr>
            <w:tcW w:w="1943" w:type="dxa"/>
            <w:vAlign w:val="center"/>
            <w:tcBorders>
              <w:top w:val="single" w:color="auto" w:sz="4" w:space="0"/>
              <w:left w:val="nil"/>
              <w:bottom w:val="single" w:color="auto" w:sz="4" w:space="0"/>
              <w:right w:val="single" w:color="auto" w:sz="4" w:space="0"/>
            </w:tcBorders>
            <w:shd w:val="clear" w:color="auto" w:fill="auto"/>
          </w:tcPr>
          <w:p>
            <w:pPr>
              <w:widowControl w:val="1"/>
              <w:jc w:val="center"/>
              <w:spacing w:line="240" w:lineRule="exact"/>
              <w:rPr>
                <w:color w:val="auto"/>
                <w:sz w:val="18"/>
                <w:kern w:val="0"/>
                <w:szCs w:val="18"/>
                <w:rFonts w:ascii="宋体" w:hAnsi="宋体" w:eastAsia="宋体" w:cs="宋体" w:hint="eastAsia"/>
              </w:rPr>
            </w:pPr>
          </w:p>
        </w:tc>
      </w:tr>
      <w:tr>
        <w:tblPrEx>
          <w:tblCellMar>
            <w:top w:type="dxa" w:w="0.000000"/>
            <w:bottom w:type="dxa" w:w="0.000000"/>
            <w:left w:type="dxa" w:w="108.000000"/>
            <w:right w:type="dxa" w:w="108.000000"/>
          </w:tblCellMar>
          <w:tblLayout w:type="fixed"/>
        </w:tblPrEx>
        <w:trPr>
          <w:trHeight w:val="1743" w:hRule="exact"/>
          <w:jc w:val="center"/>
        </w:trPr>
        <w:tc>
          <w:tcPr>
            <w:tcW w:w="396" w:type="dxa"/>
            <w:vMerge w:val="continue"/>
            <w:vAlign w:val="center"/>
            <w:tcBorders>
              <w:left w:val="single" w:color="auto" w:sz="4" w:space="0"/>
              <w:right w:val="single" w:color="auto" w:sz="4" w:space="0"/>
            </w:tcBorders>
          </w:tcPr>
          <w:p>
            <w:pPr>
              <w:widowControl w:val="1"/>
              <w:jc w:val="center"/>
              <w:spacing w:line="240" w:lineRule="exact"/>
              <w:rPr>
                <w:color w:val="auto"/>
                <w:sz w:val="18"/>
                <w:kern w:val="0"/>
                <w:szCs w:val="18"/>
                <w:rFonts w:ascii="宋体" w:hAnsi="宋体" w:eastAsia="宋体" w:cs="宋体" w:hint="eastAsia"/>
              </w:rPr>
            </w:pPr>
          </w:p>
        </w:tc>
        <w:tc>
          <w:tcPr>
            <w:tcW w:w="458" w:type="dxa"/>
            <w:vMerge w:val="continue"/>
            <w:vAlign w:val="center"/>
            <w:tcBorders>
              <w:left w:val="single" w:color="auto" w:sz="4" w:space="0"/>
              <w:right w:val="single" w:color="auto" w:sz="4" w:space="0"/>
            </w:tcBorders>
          </w:tcPr>
          <w:p>
            <w:pPr>
              <w:widowControl w:val="1"/>
              <w:jc w:val="center"/>
              <w:spacing w:line="240" w:lineRule="exact"/>
              <w:rPr>
                <w:color w:val="auto"/>
                <w:sz w:val="18"/>
                <w:kern w:val="0"/>
                <w:szCs w:val="18"/>
                <w:rFonts w:ascii="宋体" w:hAnsi="宋体" w:eastAsia="宋体" w:cs="宋体" w:hint="eastAsia"/>
              </w:rPr>
            </w:pPr>
          </w:p>
        </w:tc>
        <w:tc>
          <w:tcPr>
            <w:tcW w:w="883" w:type="dxa"/>
            <w:vMerge w:val="continue"/>
            <w:vAlign w:val="center"/>
            <w:tcBorders>
              <w:left w:val="single" w:color="auto" w:sz="4" w:space="0"/>
              <w:right w:val="single" w:color="auto" w:sz="4" w:space="0"/>
            </w:tcBorders>
          </w:tcPr>
          <w:p>
            <w:pPr>
              <w:widowControl w:val="1"/>
              <w:jc w:val="center"/>
              <w:spacing w:line="240" w:lineRule="exact"/>
              <w:rPr>
                <w:color w:val="auto"/>
                <w:sz w:val="18"/>
                <w:kern w:val="0"/>
                <w:szCs w:val="18"/>
                <w:rFonts w:ascii="宋体" w:hAnsi="宋体" w:eastAsia="宋体" w:cs="宋体" w:hint="eastAsia"/>
              </w:rPr>
            </w:pPr>
          </w:p>
        </w:tc>
        <w:tc>
          <w:tcPr>
            <w:tcW w:w="1722" w:type="dxa"/>
            <w:vAlign w:val="center"/>
            <w:tcBorders>
              <w:top w:val="single" w:color="auto" w:sz="4" w:space="0"/>
              <w:left w:val="nil"/>
              <w:bottom w:val="single" w:color="auto" w:sz="4" w:space="0"/>
              <w:right w:val="single" w:color="auto" w:sz="4" w:space="0"/>
            </w:tcBorders>
          </w:tcPr>
          <w:p>
            <w:pPr>
              <w:widowControl w:val="1"/>
              <w:keepNext w:val="0"/>
              <w:keepLines w:val="0"/>
              <w:jc w:val="left"/>
              <w:suppressLineNumbers w:val="0"/>
              <w:rPr>
                <w:color w:val="auto"/>
                <w:sz w:val="18"/>
                <w:kern w:val="0"/>
                <w:szCs w:val="18"/>
                <w:rFonts w:ascii="宋体" w:hAnsi="宋体" w:eastAsia="宋体" w:cs="宋体" w:hint="eastAsia"/>
              </w:rPr>
            </w:pPr>
            <w:r>
              <w:rPr>
                <w:i w:val="0"/>
                <w:u w:val="none"/>
                <w:color w:val="auto"/>
                <w:sz w:val="18"/>
                <w:lang w:val="en-US" w:eastAsia="zh-CN" w:bidi="ar"/>
                <w:iCs w:val="0"/>
                <w:kern w:val="0"/>
                <w:szCs w:val="18"/>
                <w:rFonts w:ascii="宋体" w:hAnsi="宋体" w:eastAsia="宋体" w:cs="宋体" w:hint="eastAsia"/>
              </w:rPr>
              <w:t>优质饲草料产业发展成本</w:t>
            </w:r>
          </w:p>
        </w:tc>
        <w:tc>
          <w:tcPr>
            <w:tcW w:w="855" w:type="dxa"/>
            <w:vAlign w:val="center"/>
            <w:tcBorders>
              <w:top w:val="nil"/>
              <w:left w:val="nil"/>
              <w:bottom w:val="single" w:color="auto" w:sz="4" w:space="0"/>
              <w:right w:val="single" w:color="auto" w:sz="4" w:space="0"/>
            </w:tcBorders>
          </w:tcPr>
          <w:p>
            <w:pPr>
              <w:widowControl w:val="1"/>
              <w:keepNext w:val="0"/>
              <w:keepLines w:val="0"/>
              <w:jc w:val="center"/>
              <w:suppressLineNumbers w:val="0"/>
              <w:rPr>
                <w:color w:val="auto"/>
                <w:sz w:val="18"/>
                <w:kern w:val="0"/>
                <w:szCs w:val="18"/>
                <w:rFonts w:ascii="宋体" w:hAnsi="宋体" w:eastAsia="宋体" w:cs="宋体" w:hint="eastAsia"/>
              </w:rPr>
            </w:pPr>
            <w:r>
              <w:rPr>
                <w:i w:val="0"/>
                <w:u w:val="none"/>
                <w:color w:val="auto"/>
                <w:sz w:val="18"/>
                <w:lang w:val="en-US" w:eastAsia="zh-CN" w:bidi="ar"/>
                <w:iCs w:val="0"/>
                <w:kern w:val="0"/>
                <w:szCs w:val="18"/>
                <w:rFonts w:ascii="宋体" w:hAnsi="宋体" w:eastAsia="宋体" w:cs="宋体" w:hint="eastAsia"/>
              </w:rPr>
              <w:t>≤1000</w:t>
            </w:r>
            <w:r>
              <w:rPr>
                <w:rStyle w:val="57"/>
                <w:color w:val="auto"/>
                <w:sz w:val="18"/>
                <w:lang w:val="en-US" w:eastAsia="zh-CN" w:bidi="ar"/>
                <w:szCs w:val="18"/>
                <w:rFonts w:ascii="宋体" w:hAnsi="宋体" w:eastAsia="宋体" w:cs="宋体" w:hint="eastAsia"/>
              </w:rPr>
              <w:t>万元</w:t>
            </w:r>
          </w:p>
        </w:tc>
        <w:tc>
          <w:tcPr>
            <w:tcW w:w="885" w:type="dxa"/>
            <w:vAlign w:val="center"/>
            <w:tcBorders>
              <w:top w:val="nil"/>
              <w:left w:val="nil"/>
              <w:bottom w:val="single" w:color="auto" w:sz="4" w:space="0"/>
              <w:right w:val="single" w:color="auto" w:sz="4" w:space="0"/>
            </w:tcBorders>
          </w:tcPr>
          <w:p>
            <w:pPr>
              <w:jc w:val="center"/>
              <w:rPr>
                <w:color w:val="auto"/>
                <w:sz w:val="18"/>
                <w:lang w:val="en-US" w:eastAsia="zh-CN" w:bidi="ar-SA"/>
                <w:kern w:val="2"/>
                <w:szCs w:val="18"/>
                <w:rFonts w:ascii="宋体" w:hAnsi="宋体" w:eastAsia="宋体" w:cs="宋体" w:hint="eastAsia"/>
              </w:rPr>
            </w:pPr>
            <w:r>
              <w:rPr>
                <w:color w:val="auto"/>
                <w:sz w:val="18"/>
                <w:lang w:val="en-US" w:eastAsia="zh-CN" w:bidi="ar-SA"/>
                <w:kern w:val="2"/>
                <w:szCs w:val="18"/>
                <w:rFonts w:ascii="宋体" w:hAnsi="宋体" w:eastAsia="宋体" w:cs="宋体" w:hint="eastAsia"/>
              </w:rPr>
              <w:t>943.57万元</w:t>
            </w:r>
          </w:p>
        </w:tc>
        <w:tc>
          <w:tcPr>
            <w:tcW w:w="555" w:type="dxa"/>
            <w:vAlign w:val="center"/>
            <w:tcBorders>
              <w:top w:val="nil"/>
              <w:left w:val="nil"/>
              <w:bottom w:val="single" w:color="auto" w:sz="4" w:space="0"/>
              <w:right w:val="single" w:color="auto" w:sz="4" w:space="0"/>
            </w:tcBorders>
          </w:tcPr>
          <w:p>
            <w:pPr>
              <w:jc w:val="center"/>
              <w:rPr>
                <w:color w:val="auto"/>
                <w:sz w:val="18"/>
                <w:lang w:val="en-US" w:eastAsia="zh-CN" w:bidi="ar-SA"/>
                <w:kern w:val="2"/>
                <w:szCs w:val="18"/>
                <w:rFonts w:ascii="宋体" w:hAnsi="宋体" w:eastAsia="宋体" w:cs="宋体" w:hint="default"/>
              </w:rPr>
            </w:pPr>
            <w:r>
              <w:rPr>
                <w:color w:val="auto"/>
                <w:sz w:val="18"/>
                <w:lang w:val="en-US" w:eastAsia="zh-CN" w:bidi="ar-SA"/>
                <w:kern w:val="2"/>
                <w:szCs w:val="18"/>
                <w:rFonts w:ascii="宋体" w:hAnsi="宋体" w:eastAsia="宋体" w:cs="宋体" w:hint="eastAsia"/>
              </w:rPr>
              <w:t>2.2</w:t>
            </w:r>
          </w:p>
        </w:tc>
        <w:tc>
          <w:tcPr>
            <w:tcW w:w="825" w:type="dxa"/>
            <w:vAlign w:val="center"/>
            <w:tcBorders>
              <w:top w:val="nil"/>
              <w:left w:val="nil"/>
              <w:bottom w:val="single" w:color="auto" w:sz="4" w:space="0"/>
              <w:right w:val="single" w:color="auto" w:sz="4" w:space="0"/>
            </w:tcBorders>
          </w:tcPr>
          <w:p>
            <w:pPr>
              <w:widowControl w:val="1"/>
              <w:jc w:val="center"/>
              <w:spacing w:line="240" w:lineRule="exact"/>
              <w:rPr>
                <w:color w:val="auto"/>
                <w:sz w:val="18"/>
                <w:lang w:val="en-US" w:eastAsia="zh-CN"/>
                <w:kern w:val="0"/>
                <w:szCs w:val="18"/>
                <w:rFonts w:ascii="宋体" w:hAnsi="宋体" w:eastAsia="宋体" w:cs="宋体" w:hint="default"/>
              </w:rPr>
            </w:pPr>
            <w:r>
              <w:rPr>
                <w:color w:val="auto"/>
                <w:sz w:val="18"/>
                <w:lang w:val="en-US" w:eastAsia="zh-CN"/>
                <w:kern w:val="0"/>
                <w:szCs w:val="18"/>
                <w:rFonts w:ascii="宋体" w:hAnsi="宋体" w:eastAsia="宋体" w:cs="宋体" w:hint="eastAsia"/>
              </w:rPr>
              <w:t>2.08</w:t>
            </w:r>
          </w:p>
        </w:tc>
        <w:tc>
          <w:tcPr>
            <w:tcW w:w="1943" w:type="dxa"/>
            <w:vAlign w:val="center"/>
            <w:tcBorders>
              <w:top w:val="single" w:color="auto" w:sz="4" w:space="0"/>
              <w:left w:val="nil"/>
              <w:bottom w:val="single" w:color="auto" w:sz="4" w:space="0"/>
              <w:right w:val="single" w:color="auto" w:sz="4" w:space="0"/>
            </w:tcBorders>
            <w:shd w:val="clear" w:color="auto" w:fill="auto"/>
          </w:tcPr>
          <w:p>
            <w:pPr>
              <w:widowControl w:val="1"/>
              <w:jc w:val="center"/>
              <w:spacing w:line="240" w:lineRule="exact"/>
              <w:rPr>
                <w:color w:val="auto"/>
                <w:sz w:val="18"/>
                <w:lang w:eastAsia="zh-CN"/>
                <w:kern w:val="0"/>
                <w:szCs w:val="18"/>
                <w:rFonts w:ascii="宋体" w:hAnsi="宋体" w:eastAsia="宋体" w:cs="宋体" w:hint="eastAsia"/>
              </w:rPr>
            </w:pPr>
            <w:r>
              <w:rPr>
                <w:color w:val="auto"/>
                <w:sz w:val="18"/>
                <w:lang w:val="en-US" w:eastAsia="zh-Hans"/>
                <w:kern w:val="0"/>
                <w:szCs w:val="18"/>
                <w:rFonts w:ascii="宋体" w:hAnsi="宋体" w:eastAsia="宋体" w:cs="宋体" w:hint="eastAsia"/>
              </w:rPr>
              <w:t>偏差原因：</w:t>
            </w:r>
            <w:r>
              <w:rPr>
                <w:color w:val="auto"/>
                <w:sz w:val="18"/>
                <w:kern w:val="0"/>
                <w:szCs w:val="18"/>
                <w:rFonts w:ascii="宋体" w:hAnsi="宋体" w:eastAsia="宋体" w:cs="宋体" w:hint="eastAsia"/>
              </w:rPr>
              <w:t>喀什和阿勒泰地区因财政资金原因暂未拨付</w:t>
            </w:r>
            <w:r>
              <w:rPr>
                <w:color w:val="auto"/>
                <w:sz w:val="18"/>
                <w:lang w:eastAsia="zh-CN"/>
                <w:kern w:val="0"/>
                <w:szCs w:val="18"/>
                <w:rFonts w:ascii="宋体" w:hAnsi="宋体" w:eastAsia="宋体" w:cs="宋体" w:hint="eastAsia"/>
              </w:rPr>
              <w:t>。</w:t>
            </w:r>
            <w:r>
              <w:rPr>
                <w:color w:val="auto"/>
                <w:sz w:val="18"/>
                <w:lang w:val="en-US" w:eastAsia="zh-Hans"/>
                <w:kern w:val="0"/>
                <w:szCs w:val="18"/>
                <w:rFonts w:ascii="宋体" w:hAnsi="宋体" w:eastAsia="宋体" w:cs="宋体" w:hint="eastAsia"/>
              </w:rPr>
              <w:t>改进措施：</w:t>
            </w:r>
            <w:r>
              <w:rPr>
                <w:color w:val="auto"/>
                <w:sz w:val="18"/>
                <w:lang w:eastAsia="zh-CN"/>
                <w:kern w:val="0"/>
                <w:szCs w:val="18"/>
                <w:rFonts w:ascii="宋体" w:hAnsi="宋体" w:eastAsia="宋体" w:cs="宋体" w:hint="eastAsia"/>
              </w:rPr>
              <w:t>督促喀什和阿勒泰地区积极与财政部门沟通，加快资金拨付进度。</w:t>
            </w:r>
          </w:p>
        </w:tc>
      </w:tr>
      <w:tr>
        <w:tblPrEx>
          <w:tblCellMar>
            <w:top w:type="dxa" w:w="0.000000"/>
            <w:bottom w:type="dxa" w:w="0.000000"/>
            <w:left w:type="dxa" w:w="108.000000"/>
            <w:right w:type="dxa" w:w="108.000000"/>
          </w:tblCellMar>
          <w:tblLayout w:type="fixed"/>
        </w:tblPrEx>
        <w:trPr>
          <w:trHeight w:val="2693" w:hRule="exact"/>
          <w:jc w:val="center"/>
        </w:trPr>
        <w:tc>
          <w:tcPr>
            <w:tcW w:w="396" w:type="dxa"/>
            <w:vMerge w:val="continue"/>
            <w:vAlign w:val="center"/>
            <w:tcBorders>
              <w:left w:val="single" w:color="auto" w:sz="4" w:space="0"/>
              <w:right w:val="single" w:color="auto" w:sz="4" w:space="0"/>
            </w:tcBorders>
          </w:tcPr>
          <w:p>
            <w:pPr>
              <w:widowControl w:val="1"/>
              <w:jc w:val="center"/>
              <w:spacing w:line="240" w:lineRule="exact"/>
              <w:rPr>
                <w:color w:val="auto"/>
                <w:sz w:val="18"/>
                <w:kern w:val="0"/>
                <w:szCs w:val="18"/>
                <w:rFonts w:ascii="宋体" w:hAnsi="宋体" w:eastAsia="宋体" w:cs="宋体" w:hint="eastAsia"/>
              </w:rPr>
            </w:pPr>
          </w:p>
        </w:tc>
        <w:tc>
          <w:tcPr>
            <w:tcW w:w="458" w:type="dxa"/>
            <w:vMerge w:val="continue"/>
            <w:vAlign w:val="center"/>
            <w:tcBorders>
              <w:left w:val="single" w:color="auto" w:sz="4" w:space="0"/>
              <w:right w:val="single" w:color="auto" w:sz="4" w:space="0"/>
            </w:tcBorders>
          </w:tcPr>
          <w:p>
            <w:pPr>
              <w:widowControl w:val="1"/>
              <w:jc w:val="center"/>
              <w:spacing w:line="240" w:lineRule="exact"/>
              <w:rPr>
                <w:color w:val="auto"/>
                <w:sz w:val="18"/>
                <w:kern w:val="0"/>
                <w:szCs w:val="18"/>
                <w:rFonts w:ascii="宋体" w:hAnsi="宋体" w:eastAsia="宋体" w:cs="宋体" w:hint="eastAsia"/>
              </w:rPr>
            </w:pPr>
          </w:p>
        </w:tc>
        <w:tc>
          <w:tcPr>
            <w:tcW w:w="883" w:type="dxa"/>
            <w:vMerge w:val="continue"/>
            <w:vAlign w:val="center"/>
            <w:tcBorders>
              <w:left w:val="single" w:color="auto" w:sz="4" w:space="0"/>
              <w:right w:val="single" w:color="auto" w:sz="4" w:space="0"/>
            </w:tcBorders>
          </w:tcPr>
          <w:p>
            <w:pPr>
              <w:widowControl w:val="1"/>
              <w:jc w:val="center"/>
              <w:spacing w:line="240" w:lineRule="exact"/>
              <w:rPr>
                <w:color w:val="auto"/>
                <w:sz w:val="18"/>
                <w:kern w:val="0"/>
                <w:szCs w:val="18"/>
                <w:rFonts w:ascii="宋体" w:hAnsi="宋体" w:eastAsia="宋体" w:cs="宋体" w:hint="eastAsia"/>
              </w:rPr>
            </w:pPr>
          </w:p>
        </w:tc>
        <w:tc>
          <w:tcPr>
            <w:tcW w:w="1722" w:type="dxa"/>
            <w:vAlign w:val="center"/>
            <w:tcBorders>
              <w:top w:val="single" w:color="auto" w:sz="4" w:space="0"/>
              <w:left w:val="nil"/>
              <w:bottom w:val="single" w:color="auto" w:sz="4" w:space="0"/>
              <w:right w:val="single" w:color="auto" w:sz="4" w:space="0"/>
            </w:tcBorders>
            <w:shd w:val="clear" w:color="auto" w:fill="auto"/>
          </w:tcPr>
          <w:p>
            <w:pPr>
              <w:widowControl w:val="1"/>
              <w:keepNext w:val="0"/>
              <w:keepLines w:val="0"/>
              <w:jc w:val="left"/>
              <w:suppressLineNumbers w:val="0"/>
              <w:rPr>
                <w:color w:val="auto"/>
                <w:sz w:val="18"/>
                <w:kern w:val="0"/>
                <w:szCs w:val="18"/>
                <w:rFonts w:ascii="宋体" w:hAnsi="宋体" w:eastAsia="宋体" w:cs="宋体" w:hint="eastAsia"/>
              </w:rPr>
            </w:pPr>
            <w:r>
              <w:rPr>
                <w:i w:val="0"/>
                <w:u w:val="none"/>
                <w:color w:val="auto"/>
                <w:sz w:val="18"/>
                <w:lang w:val="en-US" w:eastAsia="zh-CN" w:bidi="ar"/>
                <w:iCs w:val="0"/>
                <w:kern w:val="0"/>
                <w:szCs w:val="18"/>
                <w:rFonts w:ascii="宋体" w:hAnsi="宋体" w:eastAsia="宋体" w:cs="宋体" w:hint="eastAsia"/>
              </w:rPr>
              <w:t>畜禽遗传保护成本</w:t>
            </w:r>
          </w:p>
        </w:tc>
        <w:tc>
          <w:tcPr>
            <w:tcW w:w="855" w:type="dxa"/>
            <w:vAlign w:val="center"/>
            <w:tcBorders>
              <w:top w:val="nil"/>
              <w:left w:val="nil"/>
              <w:bottom w:val="single" w:color="auto" w:sz="4" w:space="0"/>
              <w:right w:val="single" w:color="auto" w:sz="4" w:space="0"/>
            </w:tcBorders>
            <w:shd w:val="clear" w:color="auto" w:fill="auto"/>
          </w:tcPr>
          <w:p>
            <w:pPr>
              <w:widowControl w:val="1"/>
              <w:keepNext w:val="0"/>
              <w:keepLines w:val="0"/>
              <w:jc w:val="center"/>
              <w:suppressLineNumbers w:val="0"/>
              <w:rPr>
                <w:color w:val="auto"/>
                <w:sz w:val="18"/>
                <w:kern w:val="0"/>
                <w:szCs w:val="18"/>
                <w:rFonts w:ascii="宋体" w:hAnsi="宋体" w:eastAsia="宋体" w:cs="宋体" w:hint="eastAsia"/>
              </w:rPr>
            </w:pPr>
            <w:r>
              <w:rPr>
                <w:i w:val="0"/>
                <w:u w:val="none"/>
                <w:color w:val="auto"/>
                <w:sz w:val="18"/>
                <w:lang w:val="en-US" w:eastAsia="zh-CN" w:bidi="ar"/>
                <w:iCs w:val="0"/>
                <w:kern w:val="0"/>
                <w:szCs w:val="18"/>
                <w:rFonts w:ascii="宋体" w:hAnsi="宋体" w:eastAsia="宋体" w:cs="宋体" w:hint="eastAsia"/>
              </w:rPr>
              <w:t>≤300</w:t>
            </w:r>
            <w:r>
              <w:rPr>
                <w:rStyle w:val="57"/>
                <w:color w:val="auto"/>
                <w:sz w:val="18"/>
                <w:lang w:val="en-US" w:eastAsia="zh-CN" w:bidi="ar"/>
                <w:szCs w:val="18"/>
                <w:rFonts w:ascii="宋体" w:hAnsi="宋体" w:eastAsia="宋体" w:cs="宋体" w:hint="eastAsia"/>
              </w:rPr>
              <w:t>万元</w:t>
            </w:r>
          </w:p>
        </w:tc>
        <w:tc>
          <w:tcPr>
            <w:tcW w:w="885" w:type="dxa"/>
            <w:vAlign w:val="center"/>
            <w:tcBorders>
              <w:top w:val="nil"/>
              <w:left w:val="nil"/>
              <w:bottom w:val="single" w:color="auto" w:sz="4" w:space="0"/>
              <w:right w:val="single" w:color="auto" w:sz="4" w:space="0"/>
            </w:tcBorders>
            <w:shd w:val="clear" w:color="auto" w:fill="auto"/>
          </w:tcPr>
          <w:p>
            <w:pPr>
              <w:jc w:val="center"/>
              <w:rPr>
                <w:color w:val="auto"/>
                <w:sz w:val="18"/>
                <w:lang w:val="en-US" w:eastAsia="zh-CN" w:bidi="ar-SA"/>
                <w:kern w:val="2"/>
                <w:szCs w:val="18"/>
                <w:rFonts w:ascii="宋体" w:hAnsi="宋体" w:eastAsia="宋体" w:cs="宋体" w:hint="eastAsia"/>
              </w:rPr>
            </w:pPr>
            <w:r>
              <w:rPr>
                <w:color w:val="auto"/>
                <w:sz w:val="18"/>
                <w:szCs w:val="18"/>
                <w:rFonts w:ascii="宋体" w:hAnsi="宋体" w:eastAsia="宋体" w:cs="宋体" w:hint="eastAsia"/>
              </w:rPr>
              <w:t>297.28万元</w:t>
            </w:r>
          </w:p>
        </w:tc>
        <w:tc>
          <w:tcPr>
            <w:tcW w:w="555" w:type="dxa"/>
            <w:vAlign w:val="center"/>
            <w:tcBorders>
              <w:top w:val="nil"/>
              <w:left w:val="nil"/>
              <w:bottom w:val="single" w:color="auto" w:sz="4" w:space="0"/>
              <w:right w:val="single" w:color="auto" w:sz="4" w:space="0"/>
            </w:tcBorders>
            <w:shd w:val="clear" w:color="auto" w:fill="auto"/>
          </w:tcPr>
          <w:p>
            <w:pPr>
              <w:jc w:val="center"/>
              <w:rPr>
                <w:color w:val="auto"/>
                <w:sz w:val="18"/>
                <w:lang w:val="en-US" w:eastAsia="zh-CN" w:bidi="ar-SA"/>
                <w:kern w:val="2"/>
                <w:szCs w:val="18"/>
                <w:rFonts w:ascii="宋体" w:hAnsi="宋体" w:eastAsia="宋体" w:cs="宋体" w:hint="default"/>
              </w:rPr>
            </w:pPr>
            <w:r>
              <w:rPr>
                <w:color w:val="auto"/>
                <w:sz w:val="18"/>
                <w:lang w:val="en-US" w:eastAsia="zh-CN" w:bidi="ar-SA"/>
                <w:kern w:val="2"/>
                <w:szCs w:val="18"/>
                <w:rFonts w:ascii="宋体" w:hAnsi="宋体" w:eastAsia="宋体" w:cs="宋体" w:hint="eastAsia"/>
              </w:rPr>
              <w:t>2.2</w:t>
            </w:r>
          </w:p>
        </w:tc>
        <w:tc>
          <w:tcPr>
            <w:tcW w:w="825" w:type="dxa"/>
            <w:vAlign w:val="center"/>
            <w:tcBorders>
              <w:top w:val="nil"/>
              <w:left w:val="nil"/>
              <w:bottom w:val="single" w:color="auto" w:sz="4" w:space="0"/>
              <w:right w:val="single" w:color="auto" w:sz="4" w:space="0"/>
            </w:tcBorders>
            <w:shd w:val="clear" w:color="auto" w:fill="auto"/>
          </w:tcPr>
          <w:p>
            <w:pPr>
              <w:widowControl w:val="1"/>
              <w:jc w:val="center"/>
              <w:spacing w:line="240" w:lineRule="exact"/>
              <w:rPr>
                <w:color w:val="auto"/>
                <w:sz w:val="18"/>
                <w:lang w:val="en-US" w:eastAsia="zh-CN"/>
                <w:kern w:val="0"/>
                <w:szCs w:val="18"/>
                <w:rFonts w:ascii="宋体" w:hAnsi="宋体" w:eastAsia="宋体" w:cs="宋体" w:hint="default"/>
              </w:rPr>
            </w:pPr>
            <w:r>
              <w:rPr>
                <w:color w:val="auto"/>
                <w:sz w:val="18"/>
                <w:lang w:val="en-US" w:eastAsia="zh-CN"/>
                <w:kern w:val="0"/>
                <w:szCs w:val="18"/>
                <w:rFonts w:ascii="宋体" w:hAnsi="宋体" w:eastAsia="宋体" w:cs="宋体" w:hint="eastAsia"/>
              </w:rPr>
              <w:t>2.18</w:t>
            </w:r>
          </w:p>
        </w:tc>
        <w:tc>
          <w:tcPr>
            <w:tcW w:w="1943" w:type="dxa"/>
            <w:vAlign w:val="center"/>
            <w:tcBorders>
              <w:top w:val="single" w:color="auto" w:sz="4" w:space="0"/>
              <w:left w:val="nil"/>
              <w:bottom w:val="single" w:color="auto" w:sz="4" w:space="0"/>
              <w:right w:val="single" w:color="auto" w:sz="4" w:space="0"/>
            </w:tcBorders>
            <w:shd w:val="clear" w:color="auto" w:fill="auto"/>
          </w:tcPr>
          <w:p>
            <w:pPr>
              <w:widowControl w:val="1"/>
              <w:jc w:val="center"/>
              <w:spacing w:line="240" w:lineRule="exact"/>
              <w:rPr>
                <w:color w:val="auto"/>
                <w:sz w:val="18"/>
                <w:kern w:val="0"/>
                <w:szCs w:val="18"/>
                <w:rFonts w:ascii="宋体" w:hAnsi="宋体" w:eastAsia="宋体" w:cs="宋体" w:hint="eastAsia"/>
              </w:rPr>
            </w:pPr>
            <w:r>
              <w:rPr>
                <w:color w:val="auto"/>
                <w:sz w:val="18"/>
                <w:kern w:val="0"/>
                <w:szCs w:val="18"/>
                <w:rFonts w:ascii="宋体" w:hAnsi="宋体" w:eastAsia="宋体" w:cs="宋体" w:hint="eastAsia"/>
              </w:rPr>
              <w:t xml:space="preserve">偏差原因：受2022年冠肺炎疫情影响，阿勒泰地区计划开展的阿勒泰白头牛保种技术培训尚未全部完成，剩余2.72万元资金未完全支出。整改措施：加强与阿勒泰地区工作对接，督促尽快按要求完成项目任务计划，完成剩余资金拨付。 </w:t>
            </w:r>
          </w:p>
        </w:tc>
      </w:tr>
      <w:tr>
        <w:tblPrEx>
          <w:tblCellMar>
            <w:top w:type="dxa" w:w="0.000000"/>
            <w:bottom w:type="dxa" w:w="0.000000"/>
            <w:left w:type="dxa" w:w="108.000000"/>
            <w:right w:type="dxa" w:w="108.000000"/>
          </w:tblCellMar>
          <w:tblLayout w:type="fixed"/>
        </w:tblPrEx>
        <w:trPr>
          <w:trHeight w:val="735" w:hRule="exact"/>
          <w:jc w:val="center"/>
        </w:trPr>
        <w:tc>
          <w:tcPr>
            <w:tcW w:w="396" w:type="dxa"/>
            <w:vMerge w:val="continue"/>
            <w:vAlign w:val="center"/>
            <w:tcBorders>
              <w:left w:val="single" w:color="auto" w:sz="4" w:space="0"/>
              <w:right w:val="single" w:color="auto" w:sz="4" w:space="0"/>
            </w:tcBorders>
          </w:tcPr>
          <w:p>
            <w:pPr>
              <w:widowControl w:val="1"/>
              <w:jc w:val="center"/>
              <w:spacing w:line="240" w:lineRule="exact"/>
              <w:rPr>
                <w:color w:val="auto"/>
                <w:sz w:val="18"/>
                <w:kern w:val="0"/>
                <w:szCs w:val="18"/>
                <w:rFonts w:ascii="宋体" w:hAnsi="宋体" w:eastAsia="宋体" w:cs="宋体" w:hint="eastAsia"/>
              </w:rPr>
            </w:pPr>
          </w:p>
        </w:tc>
        <w:tc>
          <w:tcPr>
            <w:tcW w:w="458" w:type="dxa"/>
            <w:vMerge w:val="continue"/>
            <w:vAlign w:val="center"/>
            <w:tcBorders>
              <w:left w:val="single" w:color="auto" w:sz="4" w:space="0"/>
              <w:right w:val="single" w:color="auto" w:sz="4" w:space="0"/>
            </w:tcBorders>
          </w:tcPr>
          <w:p>
            <w:pPr>
              <w:widowControl w:val="1"/>
              <w:jc w:val="center"/>
              <w:spacing w:line="240" w:lineRule="exact"/>
              <w:rPr>
                <w:color w:val="auto"/>
                <w:sz w:val="18"/>
                <w:kern w:val="0"/>
                <w:szCs w:val="18"/>
                <w:rFonts w:ascii="宋体" w:hAnsi="宋体" w:eastAsia="宋体" w:cs="宋体" w:hint="eastAsia"/>
              </w:rPr>
            </w:pPr>
          </w:p>
        </w:tc>
        <w:tc>
          <w:tcPr>
            <w:tcW w:w="883" w:type="dxa"/>
            <w:vMerge w:val="continue"/>
            <w:vAlign w:val="center"/>
            <w:tcBorders>
              <w:left w:val="single" w:color="auto" w:sz="4" w:space="0"/>
              <w:right w:val="single" w:color="auto" w:sz="4" w:space="0"/>
            </w:tcBorders>
          </w:tcPr>
          <w:p>
            <w:pPr>
              <w:widowControl w:val="1"/>
              <w:jc w:val="center"/>
              <w:spacing w:line="240" w:lineRule="exact"/>
              <w:rPr>
                <w:color w:val="auto"/>
                <w:sz w:val="18"/>
                <w:kern w:val="0"/>
                <w:szCs w:val="18"/>
                <w:rFonts w:ascii="宋体" w:hAnsi="宋体" w:eastAsia="宋体" w:cs="宋体" w:hint="eastAsia"/>
              </w:rPr>
            </w:pPr>
          </w:p>
        </w:tc>
        <w:tc>
          <w:tcPr>
            <w:tcW w:w="1722" w:type="dxa"/>
            <w:vAlign w:val="center"/>
            <w:tcBorders>
              <w:top w:val="single" w:color="auto" w:sz="4" w:space="0"/>
              <w:left w:val="nil"/>
              <w:bottom w:val="single" w:color="auto" w:sz="4" w:space="0"/>
              <w:right w:val="single" w:color="auto" w:sz="4" w:space="0"/>
            </w:tcBorders>
            <w:shd w:val="clear" w:color="auto" w:fill="auto"/>
          </w:tcPr>
          <w:p>
            <w:pPr>
              <w:widowControl w:val="1"/>
              <w:keepNext w:val="0"/>
              <w:keepLines w:val="0"/>
              <w:jc w:val="left"/>
              <w:suppressLineNumbers w:val="0"/>
              <w:rPr>
                <w:color w:val="auto"/>
                <w:sz w:val="18"/>
                <w:kern w:val="0"/>
                <w:szCs w:val="18"/>
                <w:rFonts w:ascii="宋体" w:hAnsi="宋体" w:eastAsia="宋体" w:cs="宋体" w:hint="eastAsia"/>
              </w:rPr>
            </w:pPr>
            <w:r>
              <w:rPr>
                <w:i w:val="0"/>
                <w:u w:val="none"/>
                <w:color w:val="auto"/>
                <w:sz w:val="18"/>
                <w:lang w:val="en-US" w:eastAsia="zh-CN" w:bidi="ar"/>
                <w:iCs w:val="0"/>
                <w:kern w:val="0"/>
                <w:szCs w:val="18"/>
                <w:rFonts w:ascii="宋体" w:hAnsi="宋体" w:eastAsia="宋体" w:cs="宋体" w:hint="eastAsia"/>
              </w:rPr>
              <w:t>畜产品质量安全监测成本</w:t>
            </w:r>
          </w:p>
        </w:tc>
        <w:tc>
          <w:tcPr>
            <w:tcW w:w="855" w:type="dxa"/>
            <w:vAlign w:val="center"/>
            <w:tcBorders>
              <w:top w:val="nil"/>
              <w:left w:val="nil"/>
              <w:bottom w:val="single" w:color="auto" w:sz="4" w:space="0"/>
              <w:right w:val="single" w:color="auto" w:sz="4" w:space="0"/>
            </w:tcBorders>
            <w:shd w:val="clear" w:color="auto" w:fill="auto"/>
          </w:tcPr>
          <w:p>
            <w:pPr>
              <w:widowControl w:val="1"/>
              <w:keepNext w:val="0"/>
              <w:keepLines w:val="0"/>
              <w:jc w:val="center"/>
              <w:suppressLineNumbers w:val="0"/>
              <w:rPr>
                <w:color w:val="auto"/>
                <w:sz w:val="18"/>
                <w:kern w:val="0"/>
                <w:szCs w:val="18"/>
                <w:rFonts w:ascii="宋体" w:hAnsi="宋体" w:eastAsia="宋体" w:cs="宋体" w:hint="eastAsia"/>
              </w:rPr>
            </w:pPr>
            <w:r>
              <w:rPr>
                <w:i w:val="0"/>
                <w:u w:val="none"/>
                <w:color w:val="auto"/>
                <w:sz w:val="18"/>
                <w:lang w:val="en-US" w:eastAsia="zh-CN" w:bidi="ar"/>
                <w:iCs w:val="0"/>
                <w:kern w:val="0"/>
                <w:szCs w:val="18"/>
                <w:rFonts w:ascii="宋体" w:hAnsi="宋体" w:eastAsia="宋体" w:cs="宋体" w:hint="eastAsia"/>
              </w:rPr>
              <w:t>≤600</w:t>
            </w:r>
            <w:r>
              <w:rPr>
                <w:rStyle w:val="57"/>
                <w:color w:val="auto"/>
                <w:sz w:val="18"/>
                <w:lang w:val="en-US" w:eastAsia="zh-CN" w:bidi="ar"/>
                <w:szCs w:val="18"/>
                <w:rFonts w:ascii="宋体" w:hAnsi="宋体" w:eastAsia="宋体" w:cs="宋体" w:hint="eastAsia"/>
              </w:rPr>
              <w:t>万元</w:t>
            </w:r>
          </w:p>
        </w:tc>
        <w:tc>
          <w:tcPr>
            <w:tcW w:w="885" w:type="dxa"/>
            <w:vAlign w:val="center"/>
            <w:tcBorders>
              <w:top w:val="nil"/>
              <w:left w:val="nil"/>
              <w:bottom w:val="single" w:color="auto" w:sz="4" w:space="0"/>
              <w:right w:val="single" w:color="auto" w:sz="4" w:space="0"/>
            </w:tcBorders>
            <w:shd w:val="clear" w:color="auto" w:fill="auto"/>
          </w:tcPr>
          <w:p>
            <w:pPr>
              <w:jc w:val="center"/>
              <w:rPr>
                <w:color w:val="auto"/>
                <w:sz w:val="18"/>
                <w:lang w:val="en-US" w:eastAsia="zh-CN" w:bidi="ar-SA"/>
                <w:kern w:val="2"/>
                <w:szCs w:val="18"/>
                <w:rFonts w:ascii="宋体" w:hAnsi="宋体" w:eastAsia="宋体" w:cs="宋体" w:hint="eastAsia"/>
              </w:rPr>
            </w:pPr>
            <w:r>
              <w:rPr>
                <w:color w:val="auto"/>
                <w:sz w:val="18"/>
                <w:lang w:val="en-US" w:eastAsia="zh-CN"/>
                <w:kern w:val="0"/>
                <w:szCs w:val="18"/>
                <w:rFonts w:ascii="宋体" w:hAnsi="宋体" w:eastAsia="宋体" w:cs="宋体" w:hint="eastAsia"/>
              </w:rPr>
              <w:t>600万元</w:t>
            </w:r>
          </w:p>
        </w:tc>
        <w:tc>
          <w:tcPr>
            <w:tcW w:w="555" w:type="dxa"/>
            <w:vAlign w:val="center"/>
            <w:tcBorders>
              <w:top w:val="nil"/>
              <w:left w:val="nil"/>
              <w:bottom w:val="single" w:color="auto" w:sz="4" w:space="0"/>
              <w:right w:val="single" w:color="auto" w:sz="4" w:space="0"/>
            </w:tcBorders>
            <w:shd w:val="clear" w:color="auto" w:fill="auto"/>
          </w:tcPr>
          <w:p>
            <w:pPr>
              <w:jc w:val="center"/>
              <w:rPr>
                <w:color w:val="auto"/>
                <w:sz w:val="18"/>
                <w:lang w:val="en-US" w:eastAsia="zh-CN" w:bidi="ar-SA"/>
                <w:kern w:val="2"/>
                <w:szCs w:val="18"/>
                <w:rFonts w:ascii="宋体" w:hAnsi="宋体" w:eastAsia="宋体" w:cs="宋体" w:hint="default"/>
              </w:rPr>
            </w:pPr>
            <w:r>
              <w:rPr>
                <w:color w:val="auto"/>
                <w:sz w:val="18"/>
                <w:lang w:val="en-US" w:eastAsia="zh-CN" w:bidi="ar-SA"/>
                <w:kern w:val="2"/>
                <w:szCs w:val="18"/>
                <w:rFonts w:ascii="宋体" w:hAnsi="宋体" w:eastAsia="宋体" w:cs="宋体" w:hint="eastAsia"/>
              </w:rPr>
              <w:t>2.2</w:t>
            </w:r>
          </w:p>
        </w:tc>
        <w:tc>
          <w:tcPr>
            <w:tcW w:w="825" w:type="dxa"/>
            <w:vAlign w:val="center"/>
            <w:tcBorders>
              <w:top w:val="nil"/>
              <w:left w:val="nil"/>
              <w:bottom w:val="single" w:color="auto" w:sz="4" w:space="0"/>
              <w:right w:val="single" w:color="auto" w:sz="4" w:space="0"/>
            </w:tcBorders>
            <w:shd w:val="clear" w:color="auto" w:fill="auto"/>
          </w:tcPr>
          <w:p>
            <w:pPr>
              <w:widowControl w:val="1"/>
              <w:jc w:val="center"/>
              <w:spacing w:line="240" w:lineRule="exact"/>
              <w:rPr>
                <w:color w:val="auto"/>
                <w:sz w:val="18"/>
                <w:lang w:val="en-US" w:eastAsia="zh-CN"/>
                <w:kern w:val="0"/>
                <w:szCs w:val="18"/>
                <w:rFonts w:ascii="宋体" w:hAnsi="宋体" w:eastAsia="宋体" w:cs="宋体" w:hint="default"/>
              </w:rPr>
            </w:pPr>
            <w:r>
              <w:rPr>
                <w:color w:val="auto"/>
                <w:sz w:val="18"/>
                <w:lang w:val="en-US" w:eastAsia="zh-CN"/>
                <w:kern w:val="0"/>
                <w:szCs w:val="18"/>
                <w:rFonts w:ascii="宋体" w:hAnsi="宋体" w:eastAsia="宋体" w:cs="宋体" w:hint="eastAsia"/>
              </w:rPr>
              <w:t>2.2</w:t>
            </w:r>
          </w:p>
        </w:tc>
        <w:tc>
          <w:tcPr>
            <w:tcW w:w="1943" w:type="dxa"/>
            <w:vAlign w:val="center"/>
            <w:tcBorders>
              <w:top w:val="single" w:color="auto" w:sz="4" w:space="0"/>
              <w:left w:val="nil"/>
              <w:bottom w:val="single" w:color="auto" w:sz="4" w:space="0"/>
              <w:right w:val="single" w:color="auto" w:sz="4" w:space="0"/>
            </w:tcBorders>
            <w:shd w:val="clear" w:color="auto" w:fill="auto"/>
          </w:tcPr>
          <w:p>
            <w:pPr>
              <w:widowControl w:val="1"/>
              <w:jc w:val="center"/>
              <w:spacing w:line="240" w:lineRule="exact"/>
              <w:rPr>
                <w:color w:val="auto"/>
                <w:sz w:val="18"/>
                <w:kern w:val="0"/>
                <w:szCs w:val="18"/>
                <w:rFonts w:ascii="宋体" w:hAnsi="宋体" w:eastAsia="宋体" w:cs="宋体" w:hint="eastAsia"/>
              </w:rPr>
            </w:pPr>
          </w:p>
        </w:tc>
      </w:tr>
      <w:tr>
        <w:tblPrEx>
          <w:tblCellMar>
            <w:top w:type="dxa" w:w="0.000000"/>
            <w:bottom w:type="dxa" w:w="0.000000"/>
            <w:left w:type="dxa" w:w="108.000000"/>
            <w:right w:type="dxa" w:w="108.000000"/>
          </w:tblCellMar>
          <w:tblLayout w:type="fixed"/>
        </w:tblPrEx>
        <w:trPr>
          <w:trHeight w:val="690" w:hRule="exact"/>
          <w:jc w:val="center"/>
        </w:trPr>
        <w:tc>
          <w:tcPr>
            <w:tcW w:w="396" w:type="dxa"/>
            <w:vMerge w:val="continue"/>
            <w:vAlign w:val="center"/>
            <w:tcBorders>
              <w:left w:val="single" w:color="auto" w:sz="4" w:space="0"/>
              <w:right w:val="single" w:color="auto" w:sz="4" w:space="0"/>
            </w:tcBorders>
          </w:tcPr>
          <w:p>
            <w:pPr>
              <w:widowControl w:val="1"/>
              <w:jc w:val="center"/>
              <w:spacing w:line="240" w:lineRule="exact"/>
              <w:rPr>
                <w:color w:val="auto"/>
                <w:sz w:val="18"/>
                <w:kern w:val="0"/>
                <w:szCs w:val="18"/>
                <w:rFonts w:ascii="宋体" w:hAnsi="宋体" w:eastAsia="宋体" w:cs="宋体" w:hint="eastAsia"/>
              </w:rPr>
            </w:pPr>
          </w:p>
        </w:tc>
        <w:tc>
          <w:tcPr>
            <w:tcW w:w="458" w:type="dxa"/>
            <w:vMerge w:val="continue"/>
            <w:vAlign w:val="center"/>
            <w:tcBorders>
              <w:left w:val="single" w:color="auto" w:sz="4" w:space="0"/>
              <w:bottom w:val="single" w:color="auto" w:sz="4" w:space="0"/>
              <w:right w:val="single" w:color="auto" w:sz="4" w:space="0"/>
            </w:tcBorders>
          </w:tcPr>
          <w:p>
            <w:pPr>
              <w:widowControl w:val="1"/>
              <w:jc w:val="center"/>
              <w:spacing w:line="240" w:lineRule="exact"/>
              <w:rPr>
                <w:color w:val="auto"/>
                <w:sz w:val="18"/>
                <w:kern w:val="0"/>
                <w:szCs w:val="18"/>
                <w:rFonts w:ascii="宋体" w:hAnsi="宋体" w:eastAsia="宋体" w:cs="宋体" w:hint="eastAsia"/>
              </w:rPr>
            </w:pPr>
          </w:p>
        </w:tc>
        <w:tc>
          <w:tcPr>
            <w:tcW w:w="883" w:type="dxa"/>
            <w:vMerge w:val="continue"/>
            <w:vAlign w:val="center"/>
            <w:tcBorders>
              <w:left w:val="single" w:color="auto" w:sz="4" w:space="0"/>
              <w:bottom w:val="single" w:color="auto" w:sz="4" w:space="0"/>
              <w:right w:val="single" w:color="auto" w:sz="4" w:space="0"/>
            </w:tcBorders>
          </w:tcPr>
          <w:p>
            <w:pPr>
              <w:widowControl w:val="1"/>
              <w:jc w:val="center"/>
              <w:spacing w:line="240" w:lineRule="exact"/>
              <w:rPr>
                <w:color w:val="auto"/>
                <w:sz w:val="18"/>
                <w:kern w:val="0"/>
                <w:szCs w:val="18"/>
                <w:rFonts w:ascii="宋体" w:hAnsi="宋体" w:eastAsia="宋体" w:cs="宋体" w:hint="eastAsia"/>
              </w:rPr>
            </w:pPr>
          </w:p>
        </w:tc>
        <w:tc>
          <w:tcPr>
            <w:tcW w:w="1722" w:type="dxa"/>
            <w:vAlign w:val="center"/>
            <w:tcBorders>
              <w:top w:val="single" w:color="auto" w:sz="4" w:space="0"/>
              <w:left w:val="nil"/>
              <w:bottom w:val="single" w:color="auto" w:sz="4" w:space="0"/>
              <w:right w:val="single" w:color="auto" w:sz="4" w:space="0"/>
            </w:tcBorders>
          </w:tcPr>
          <w:p>
            <w:pPr>
              <w:widowControl w:val="1"/>
              <w:keepNext w:val="0"/>
              <w:keepLines w:val="0"/>
              <w:jc w:val="left"/>
              <w:suppressLineNumbers w:val="0"/>
              <w:rPr>
                <w:color w:val="auto"/>
                <w:sz w:val="18"/>
                <w:kern w:val="0"/>
                <w:szCs w:val="18"/>
                <w:rFonts w:ascii="宋体" w:hAnsi="宋体" w:eastAsia="宋体" w:cs="宋体" w:hint="eastAsia"/>
              </w:rPr>
            </w:pPr>
            <w:r>
              <w:rPr>
                <w:i w:val="0"/>
                <w:u w:val="none"/>
                <w:color w:val="auto"/>
                <w:sz w:val="18"/>
                <w:lang w:val="en-US" w:eastAsia="zh-CN" w:bidi="ar"/>
                <w:iCs w:val="0"/>
                <w:kern w:val="0"/>
                <w:szCs w:val="18"/>
                <w:rFonts w:ascii="宋体" w:hAnsi="宋体" w:eastAsia="宋体" w:cs="宋体" w:hint="eastAsia"/>
              </w:rPr>
              <w:t>畜牧产业新型经营主体</w:t>
            </w:r>
          </w:p>
        </w:tc>
        <w:tc>
          <w:tcPr>
            <w:tcW w:w="855" w:type="dxa"/>
            <w:vAlign w:val="center"/>
            <w:tcBorders>
              <w:top w:val="nil"/>
              <w:left w:val="nil"/>
              <w:bottom w:val="single" w:color="auto" w:sz="4" w:space="0"/>
              <w:right w:val="single" w:color="auto" w:sz="4" w:space="0"/>
            </w:tcBorders>
          </w:tcPr>
          <w:p>
            <w:pPr>
              <w:widowControl w:val="1"/>
              <w:keepNext w:val="0"/>
              <w:keepLines w:val="0"/>
              <w:jc w:val="center"/>
              <w:suppressLineNumbers w:val="0"/>
              <w:rPr>
                <w:color w:val="auto"/>
                <w:sz w:val="18"/>
                <w:kern w:val="0"/>
                <w:szCs w:val="18"/>
                <w:rFonts w:ascii="宋体" w:hAnsi="宋体" w:eastAsia="宋体" w:cs="宋体" w:hint="eastAsia"/>
              </w:rPr>
            </w:pPr>
            <w:r>
              <w:rPr>
                <w:i w:val="0"/>
                <w:u w:val="none"/>
                <w:color w:val="auto"/>
                <w:sz w:val="18"/>
                <w:lang w:val="en-US" w:eastAsia="zh-CN" w:bidi="ar"/>
                <w:iCs w:val="0"/>
                <w:kern w:val="0"/>
                <w:szCs w:val="18"/>
                <w:rFonts w:ascii="宋体" w:hAnsi="宋体" w:eastAsia="宋体" w:cs="宋体" w:hint="eastAsia"/>
              </w:rPr>
              <w:t>≤280</w:t>
            </w:r>
            <w:r>
              <w:rPr>
                <w:rStyle w:val="57"/>
                <w:color w:val="auto"/>
                <w:sz w:val="18"/>
                <w:lang w:val="en-US" w:eastAsia="zh-CN" w:bidi="ar"/>
                <w:szCs w:val="18"/>
                <w:rFonts w:ascii="宋体" w:hAnsi="宋体" w:eastAsia="宋体" w:cs="宋体" w:hint="eastAsia"/>
              </w:rPr>
              <w:t>万元</w:t>
            </w:r>
          </w:p>
        </w:tc>
        <w:tc>
          <w:tcPr>
            <w:tcW w:w="885" w:type="dxa"/>
            <w:vAlign w:val="center"/>
            <w:tcBorders>
              <w:top w:val="nil"/>
              <w:left w:val="nil"/>
              <w:bottom w:val="single" w:color="auto" w:sz="4" w:space="0"/>
              <w:right w:val="single" w:color="auto" w:sz="4" w:space="0"/>
            </w:tcBorders>
          </w:tcPr>
          <w:p>
            <w:pPr>
              <w:jc w:val="center"/>
              <w:rPr>
                <w:color w:val="auto"/>
                <w:sz w:val="18"/>
                <w:lang w:val="en-US" w:eastAsia="zh-CN" w:bidi="ar-SA"/>
                <w:kern w:val="2"/>
                <w:szCs w:val="18"/>
                <w:rFonts w:ascii="宋体" w:hAnsi="宋体" w:eastAsia="宋体" w:cs="宋体" w:hint="default"/>
              </w:rPr>
            </w:pPr>
            <w:r>
              <w:rPr>
                <w:color w:val="auto"/>
                <w:sz w:val="18"/>
                <w:lang w:val="en-US" w:eastAsia="zh-CN" w:bidi="ar-SA"/>
                <w:kern w:val="2"/>
                <w:szCs w:val="18"/>
                <w:rFonts w:ascii="宋体" w:hAnsi="宋体" w:eastAsia="宋体" w:cs="宋体" w:hint="eastAsia"/>
              </w:rPr>
              <w:t>280万元</w:t>
            </w:r>
          </w:p>
        </w:tc>
        <w:tc>
          <w:tcPr>
            <w:tcW w:w="555" w:type="dxa"/>
            <w:vAlign w:val="center"/>
            <w:tcBorders>
              <w:top w:val="nil"/>
              <w:left w:val="nil"/>
              <w:bottom w:val="single" w:color="auto" w:sz="4" w:space="0"/>
              <w:right w:val="single" w:color="auto" w:sz="4" w:space="0"/>
            </w:tcBorders>
          </w:tcPr>
          <w:p>
            <w:pPr>
              <w:jc w:val="center"/>
              <w:rPr>
                <w:color w:val="auto"/>
                <w:sz w:val="18"/>
                <w:lang w:val="en-US" w:eastAsia="zh-CN" w:bidi="ar-SA"/>
                <w:kern w:val="2"/>
                <w:szCs w:val="18"/>
                <w:rFonts w:ascii="宋体" w:hAnsi="宋体" w:eastAsia="宋体" w:cs="宋体" w:hint="default"/>
              </w:rPr>
            </w:pPr>
            <w:r>
              <w:rPr>
                <w:color w:val="auto"/>
                <w:sz w:val="18"/>
                <w:lang w:val="en-US" w:eastAsia="zh-CN" w:bidi="ar-SA"/>
                <w:kern w:val="2"/>
                <w:szCs w:val="18"/>
                <w:rFonts w:ascii="宋体" w:hAnsi="宋体" w:eastAsia="宋体" w:cs="宋体" w:hint="eastAsia"/>
              </w:rPr>
              <w:t>2.2</w:t>
            </w:r>
          </w:p>
        </w:tc>
        <w:tc>
          <w:tcPr>
            <w:tcW w:w="825" w:type="dxa"/>
            <w:vAlign w:val="center"/>
            <w:tcBorders>
              <w:top w:val="nil"/>
              <w:left w:val="nil"/>
              <w:bottom w:val="single" w:color="auto" w:sz="4" w:space="0"/>
              <w:right w:val="single" w:color="auto" w:sz="4" w:space="0"/>
            </w:tcBorders>
          </w:tcPr>
          <w:p>
            <w:pPr>
              <w:widowControl w:val="1"/>
              <w:jc w:val="center"/>
              <w:spacing w:line="240" w:lineRule="exact"/>
              <w:rPr>
                <w:color w:val="auto"/>
                <w:sz w:val="18"/>
                <w:lang w:val="en-US" w:eastAsia="zh-CN"/>
                <w:kern w:val="0"/>
                <w:szCs w:val="18"/>
                <w:rFonts w:ascii="宋体" w:hAnsi="宋体" w:eastAsia="宋体" w:cs="宋体" w:hint="default"/>
              </w:rPr>
            </w:pPr>
            <w:r>
              <w:rPr>
                <w:color w:val="auto"/>
                <w:sz w:val="18"/>
                <w:lang w:val="en-US" w:eastAsia="zh-CN"/>
                <w:kern w:val="0"/>
                <w:szCs w:val="18"/>
                <w:rFonts w:ascii="宋体" w:hAnsi="宋体" w:eastAsia="宋体" w:cs="宋体" w:hint="eastAsia"/>
              </w:rPr>
              <w:t>2.2</w:t>
            </w:r>
          </w:p>
        </w:tc>
        <w:tc>
          <w:tcPr>
            <w:tcW w:w="1943" w:type="dxa"/>
            <w:vAlign w:val="center"/>
            <w:tcBorders>
              <w:top w:val="single" w:color="auto" w:sz="4" w:space="0"/>
              <w:left w:val="nil"/>
              <w:bottom w:val="single" w:color="auto" w:sz="4" w:space="0"/>
              <w:right w:val="single" w:color="auto" w:sz="4" w:space="0"/>
            </w:tcBorders>
          </w:tcPr>
          <w:p>
            <w:pPr>
              <w:widowControl w:val="1"/>
              <w:jc w:val="center"/>
              <w:spacing w:line="240" w:lineRule="exact"/>
              <w:rPr>
                <w:color w:val="auto"/>
                <w:sz w:val="18"/>
                <w:kern w:val="0"/>
                <w:szCs w:val="18"/>
                <w:rFonts w:ascii="宋体" w:hAnsi="宋体" w:eastAsia="宋体" w:cs="宋体" w:hint="eastAsia"/>
              </w:rPr>
            </w:pPr>
          </w:p>
        </w:tc>
      </w:tr>
      <w:tr>
        <w:tblPrEx>
          <w:tblCellMar>
            <w:top w:type="dxa" w:w="0.000000"/>
            <w:bottom w:type="dxa" w:w="0.000000"/>
            <w:left w:type="dxa" w:w="108.000000"/>
            <w:right w:type="dxa" w:w="108.000000"/>
          </w:tblCellMar>
          <w:tblLayout w:type="fixed"/>
        </w:tblPrEx>
        <w:trPr>
          <w:trHeight w:val="585" w:hRule="exact"/>
          <w:jc w:val="center"/>
        </w:trPr>
        <w:tc>
          <w:tcPr>
            <w:tcW w:w="396" w:type="dxa"/>
            <w:vMerge w:val="continue"/>
            <w:vAlign w:val="center"/>
            <w:tcBorders>
              <w:left w:val="single" w:color="auto" w:sz="4" w:space="0"/>
              <w:right w:val="single" w:color="auto" w:sz="4" w:space="0"/>
            </w:tcBorders>
          </w:tcPr>
          <w:p>
            <w:pPr>
              <w:widowControl w:val="1"/>
              <w:jc w:val="center"/>
              <w:spacing w:line="240" w:lineRule="exact"/>
              <w:rPr>
                <w:color w:val="auto"/>
                <w:sz w:val="18"/>
                <w:kern w:val="0"/>
                <w:szCs w:val="18"/>
                <w:rFonts w:ascii="宋体" w:hAnsi="宋体" w:eastAsia="宋体" w:cs="宋体" w:hint="eastAsia"/>
              </w:rPr>
            </w:pPr>
          </w:p>
        </w:tc>
        <w:tc>
          <w:tcPr>
            <w:tcW w:w="458" w:type="dxa"/>
            <w:vMerge w:val="restart"/>
            <w:vAlign w:val="center"/>
            <w:tcBorders>
              <w:top w:val="nil"/>
              <w:left w:val="single" w:color="auto" w:sz="4" w:space="0"/>
              <w:bottom w:val="single" w:color="auto" w:sz="4" w:space="0"/>
              <w:right w:val="single" w:color="auto" w:sz="4" w:space="0"/>
            </w:tcBorders>
          </w:tcPr>
          <w:p>
            <w:pPr>
              <w:widowControl w:val="1"/>
              <w:jc w:val="center"/>
              <w:spacing w:line="240" w:lineRule="exact"/>
              <w:rPr>
                <w:color w:val="auto"/>
                <w:sz w:val="18"/>
                <w:kern w:val="0"/>
                <w:szCs w:val="18"/>
                <w:rFonts w:ascii="宋体" w:hAnsi="宋体" w:eastAsia="宋体" w:cs="宋体" w:hint="eastAsia"/>
              </w:rPr>
            </w:pPr>
            <w:r>
              <w:rPr>
                <w:color w:val="auto"/>
                <w:sz w:val="18"/>
                <w:kern w:val="0"/>
                <w:szCs w:val="18"/>
                <w:rFonts w:ascii="宋体" w:hAnsi="宋体" w:eastAsia="宋体" w:cs="宋体" w:hint="eastAsia"/>
              </w:rPr>
              <w:t>效益指标</w:t>
            </w:r>
          </w:p>
        </w:tc>
        <w:tc>
          <w:tcPr>
            <w:tcW w:w="883" w:type="dxa"/>
            <w:vMerge w:val="restart"/>
            <w:vAlign w:val="center"/>
            <w:tcBorders>
              <w:top w:val="nil"/>
              <w:left w:val="single" w:color="auto" w:sz="4" w:space="0"/>
              <w:bottom w:val="single" w:color="auto" w:sz="4" w:space="0"/>
              <w:right w:val="single" w:color="auto" w:sz="4" w:space="0"/>
            </w:tcBorders>
          </w:tcPr>
          <w:p>
            <w:pPr>
              <w:widowControl w:val="1"/>
              <w:jc w:val="center"/>
              <w:spacing w:line="240" w:lineRule="exact"/>
              <w:rPr>
                <w:color w:val="auto"/>
                <w:sz w:val="18"/>
                <w:kern w:val="0"/>
                <w:szCs w:val="18"/>
                <w:rFonts w:ascii="宋体" w:hAnsi="宋体" w:eastAsia="宋体" w:cs="宋体" w:hint="eastAsia"/>
              </w:rPr>
            </w:pPr>
            <w:r>
              <w:rPr>
                <w:color w:val="auto"/>
                <w:sz w:val="18"/>
                <w:kern w:val="0"/>
                <w:szCs w:val="18"/>
                <w:rFonts w:ascii="宋体" w:hAnsi="宋体" w:eastAsia="宋体" w:cs="宋体" w:hint="eastAsia"/>
              </w:rPr>
              <w:t>社会效益</w:t>
            </w:r>
          </w:p>
          <w:p>
            <w:pPr>
              <w:widowControl w:val="1"/>
              <w:jc w:val="center"/>
              <w:spacing w:line="240" w:lineRule="exact"/>
              <w:rPr>
                <w:color w:val="auto"/>
                <w:sz w:val="18"/>
                <w:kern w:val="0"/>
                <w:szCs w:val="18"/>
                <w:rFonts w:ascii="宋体" w:hAnsi="宋体" w:eastAsia="宋体" w:cs="宋体" w:hint="eastAsia"/>
              </w:rPr>
            </w:pPr>
            <w:r>
              <w:rPr>
                <w:color w:val="auto"/>
                <w:sz w:val="18"/>
                <w:kern w:val="0"/>
                <w:szCs w:val="18"/>
                <w:rFonts w:ascii="宋体" w:hAnsi="宋体" w:eastAsia="宋体" w:cs="宋体" w:hint="eastAsia"/>
              </w:rPr>
              <w:t>指标</w:t>
            </w:r>
          </w:p>
        </w:tc>
        <w:tc>
          <w:tcPr>
            <w:tcW w:w="1722" w:type="dxa"/>
            <w:vAlign w:val="center"/>
            <w:tcBorders>
              <w:top w:val="single" w:color="auto" w:sz="4" w:space="0"/>
              <w:left w:val="nil"/>
              <w:bottom w:val="single" w:color="auto" w:sz="4" w:space="0"/>
              <w:right w:val="single" w:color="auto" w:sz="4" w:space="0"/>
            </w:tcBorders>
          </w:tcPr>
          <w:p>
            <w:pPr>
              <w:widowControl w:val="1"/>
              <w:keepNext w:val="0"/>
              <w:keepLines w:val="0"/>
              <w:jc w:val="left"/>
              <w:suppressLineNumbers w:val="0"/>
              <w:rPr>
                <w:color w:val="auto"/>
                <w:sz w:val="18"/>
                <w:kern w:val="0"/>
                <w:szCs w:val="18"/>
                <w:rFonts w:ascii="宋体" w:hAnsi="宋体" w:eastAsia="宋体" w:cs="宋体" w:hint="eastAsia"/>
              </w:rPr>
            </w:pPr>
            <w:r>
              <w:rPr>
                <w:i w:val="0"/>
                <w:u w:val="none"/>
                <w:color w:val="auto"/>
                <w:sz w:val="18"/>
                <w:lang w:val="en-US" w:eastAsia="zh-CN" w:bidi="ar"/>
                <w:iCs w:val="0"/>
                <w:kern w:val="0"/>
                <w:szCs w:val="18"/>
                <w:rFonts w:ascii="宋体" w:hAnsi="宋体" w:eastAsia="宋体" w:cs="宋体" w:hint="eastAsia"/>
              </w:rPr>
              <w:t>提升畜牧业综合生产能力</w:t>
            </w:r>
          </w:p>
        </w:tc>
        <w:tc>
          <w:tcPr>
            <w:tcW w:w="855" w:type="dxa"/>
            <w:vAlign w:val="center"/>
            <w:tcBorders>
              <w:top w:val="nil"/>
              <w:left w:val="nil"/>
              <w:bottom w:val="single" w:color="auto" w:sz="4" w:space="0"/>
              <w:right w:val="single" w:color="auto" w:sz="4" w:space="0"/>
            </w:tcBorders>
          </w:tcPr>
          <w:p>
            <w:pPr>
              <w:widowControl w:val="1"/>
              <w:keepNext w:val="0"/>
              <w:keepLines w:val="0"/>
              <w:jc w:val="center"/>
              <w:suppressLineNumbers w:val="0"/>
              <w:rPr>
                <w:color w:val="auto"/>
                <w:sz w:val="18"/>
                <w:kern w:val="0"/>
                <w:szCs w:val="18"/>
                <w:rFonts w:ascii="宋体" w:hAnsi="宋体" w:eastAsia="宋体" w:cs="宋体" w:hint="eastAsia"/>
              </w:rPr>
            </w:pPr>
            <w:r>
              <w:rPr>
                <w:i w:val="0"/>
                <w:u w:val="none"/>
                <w:color w:val="auto"/>
                <w:sz w:val="18"/>
                <w:lang w:val="en-US" w:eastAsia="zh-CN" w:bidi="ar"/>
                <w:iCs w:val="0"/>
                <w:kern w:val="0"/>
                <w:szCs w:val="18"/>
                <w:rFonts w:ascii="宋体" w:hAnsi="宋体" w:eastAsia="宋体" w:cs="宋体" w:hint="eastAsia"/>
              </w:rPr>
              <w:t>有效提升</w:t>
            </w:r>
          </w:p>
        </w:tc>
        <w:tc>
          <w:tcPr>
            <w:tcW w:w="885" w:type="dxa"/>
            <w:vAlign w:val="center"/>
            <w:tcBorders>
              <w:top w:val="nil"/>
              <w:left w:val="nil"/>
              <w:bottom w:val="single" w:color="auto" w:sz="4" w:space="0"/>
              <w:right w:val="single" w:color="auto" w:sz="4" w:space="0"/>
            </w:tcBorders>
          </w:tcPr>
          <w:p>
            <w:pPr>
              <w:widowControl w:val="1"/>
              <w:jc w:val="center"/>
              <w:rPr>
                <w:color w:val="auto"/>
                <w:sz w:val="18"/>
                <w:lang w:val="en-US" w:eastAsia="zh-CN" w:bidi="ar-SA"/>
                <w:kern w:val="2"/>
                <w:szCs w:val="18"/>
                <w:rFonts w:ascii="宋体" w:hAnsi="宋体" w:eastAsia="宋体" w:cs="宋体" w:hint="eastAsia"/>
              </w:rPr>
            </w:pPr>
            <w:r>
              <w:rPr>
                <w:i w:val="0"/>
                <w:u w:val="none"/>
                <w:color w:val="auto"/>
                <w:sz w:val="18"/>
                <w:lang w:val="en-US" w:eastAsia="zh-CN" w:bidi="ar"/>
                <w:iCs w:val="0"/>
                <w:kern w:val="0"/>
                <w:szCs w:val="18"/>
                <w:rFonts w:ascii="宋体" w:hAnsi="宋体" w:eastAsia="宋体" w:cs="宋体" w:hint="eastAsia"/>
              </w:rPr>
              <w:t>有效提升</w:t>
            </w:r>
          </w:p>
        </w:tc>
        <w:tc>
          <w:tcPr>
            <w:tcW w:w="555" w:type="dxa"/>
            <w:vAlign w:val="center"/>
            <w:tcBorders>
              <w:top w:val="nil"/>
              <w:left w:val="nil"/>
              <w:bottom w:val="single" w:color="auto" w:sz="4" w:space="0"/>
              <w:right w:val="single" w:color="auto" w:sz="4" w:space="0"/>
            </w:tcBorders>
          </w:tcPr>
          <w:p>
            <w:pPr>
              <w:jc w:val="center"/>
              <w:rPr>
                <w:color w:val="auto"/>
                <w:sz w:val="18"/>
                <w:lang w:val="en-US" w:eastAsia="zh-CN" w:bidi="ar-SA"/>
                <w:kern w:val="2"/>
                <w:szCs w:val="18"/>
                <w:rFonts w:ascii="宋体" w:hAnsi="宋体" w:eastAsia="宋体" w:cs="宋体" w:hint="eastAsia"/>
              </w:rPr>
            </w:pPr>
            <w:r>
              <w:rPr>
                <w:color w:val="auto"/>
                <w:sz w:val="18"/>
                <w:lang w:val="en-US" w:eastAsia="zh-CN" w:bidi="ar-SA"/>
                <w:kern w:val="2"/>
                <w:szCs w:val="18"/>
                <w:rFonts w:ascii="宋体" w:hAnsi="宋体" w:eastAsia="宋体" w:cs="宋体" w:hint="eastAsia"/>
              </w:rPr>
              <w:t>10</w:t>
            </w:r>
          </w:p>
        </w:tc>
        <w:tc>
          <w:tcPr>
            <w:tcW w:w="825" w:type="dxa"/>
            <w:vAlign w:val="center"/>
            <w:tcBorders>
              <w:top w:val="nil"/>
              <w:left w:val="nil"/>
              <w:bottom w:val="single" w:color="auto" w:sz="4" w:space="0"/>
              <w:right w:val="single" w:color="auto" w:sz="4" w:space="0"/>
            </w:tcBorders>
          </w:tcPr>
          <w:p>
            <w:pPr>
              <w:jc w:val="center"/>
              <w:rPr>
                <w:color w:val="auto"/>
                <w:sz w:val="18"/>
                <w:kern w:val="0"/>
                <w:szCs w:val="18"/>
                <w:rFonts w:ascii="宋体" w:hAnsi="宋体" w:eastAsia="宋体" w:cs="宋体" w:hint="eastAsia"/>
              </w:rPr>
            </w:pPr>
            <w:r>
              <w:rPr>
                <w:color w:val="auto"/>
                <w:sz w:val="18"/>
                <w:lang w:val="en-US" w:eastAsia="zh-CN" w:bidi="ar-SA"/>
                <w:kern w:val="2"/>
                <w:szCs w:val="18"/>
                <w:rFonts w:ascii="宋体" w:hAnsi="宋体" w:eastAsia="宋体" w:cs="宋体" w:hint="eastAsia"/>
              </w:rPr>
              <w:t>10</w:t>
            </w:r>
          </w:p>
        </w:tc>
        <w:tc>
          <w:tcPr>
            <w:tcW w:w="1943" w:type="dxa"/>
            <w:vAlign w:val="center"/>
            <w:tcBorders>
              <w:top w:val="single" w:color="auto" w:sz="4" w:space="0"/>
              <w:left w:val="nil"/>
              <w:bottom w:val="single" w:color="auto" w:sz="4" w:space="0"/>
              <w:right w:val="single" w:color="auto" w:sz="4" w:space="0"/>
            </w:tcBorders>
          </w:tcPr>
          <w:p>
            <w:pPr>
              <w:widowControl w:val="1"/>
              <w:jc w:val="center"/>
              <w:spacing w:line="240" w:lineRule="exact"/>
              <w:rPr>
                <w:color w:val="auto"/>
                <w:sz w:val="18"/>
                <w:kern w:val="0"/>
                <w:szCs w:val="18"/>
                <w:rFonts w:ascii="宋体" w:hAnsi="宋体" w:eastAsia="宋体" w:cs="宋体" w:hint="eastAsia"/>
              </w:rPr>
            </w:pPr>
          </w:p>
        </w:tc>
      </w:tr>
      <w:tr>
        <w:tblPrEx>
          <w:tblCellMar>
            <w:top w:type="dxa" w:w="0.000000"/>
            <w:bottom w:type="dxa" w:w="0.000000"/>
            <w:left w:type="dxa" w:w="108.000000"/>
            <w:right w:type="dxa" w:w="108.000000"/>
          </w:tblCellMar>
          <w:tblLayout w:type="fixed"/>
        </w:tblPrEx>
        <w:trPr>
          <w:trHeight w:val="600" w:hRule="exact"/>
          <w:jc w:val="center"/>
        </w:trPr>
        <w:tc>
          <w:tcPr>
            <w:tcW w:w="396" w:type="dxa"/>
            <w:vMerge w:val="continue"/>
            <w:vAlign w:val="center"/>
            <w:tcBorders>
              <w:left w:val="single" w:color="auto" w:sz="4" w:space="0"/>
              <w:right w:val="single" w:color="auto" w:sz="4" w:space="0"/>
            </w:tcBorders>
          </w:tcPr>
          <w:p>
            <w:pPr>
              <w:widowControl w:val="1"/>
              <w:jc w:val="center"/>
              <w:spacing w:line="240" w:lineRule="exact"/>
              <w:rPr>
                <w:color w:val="auto"/>
                <w:sz w:val="18"/>
                <w:kern w:val="0"/>
                <w:szCs w:val="18"/>
                <w:rFonts w:ascii="宋体" w:hAnsi="宋体" w:eastAsia="宋体" w:cs="宋体" w:hint="eastAsia"/>
              </w:rPr>
            </w:pPr>
          </w:p>
        </w:tc>
        <w:tc>
          <w:tcPr>
            <w:tcW w:w="458" w:type="dxa"/>
            <w:vMerge w:val="continue"/>
            <w:vAlign w:val="center"/>
            <w:tcBorders>
              <w:top w:val="nil"/>
              <w:left w:val="single" w:color="auto" w:sz="4" w:space="0"/>
              <w:bottom w:val="single" w:color="auto" w:sz="4" w:space="0"/>
              <w:right w:val="single" w:color="auto" w:sz="4" w:space="0"/>
            </w:tcBorders>
          </w:tcPr>
          <w:p>
            <w:pPr>
              <w:widowControl w:val="1"/>
              <w:jc w:val="center"/>
              <w:spacing w:line="240" w:lineRule="exact"/>
              <w:rPr>
                <w:color w:val="auto"/>
                <w:sz w:val="18"/>
                <w:kern w:val="0"/>
                <w:szCs w:val="18"/>
                <w:rFonts w:ascii="宋体" w:hAnsi="宋体" w:eastAsia="宋体" w:cs="宋体" w:hint="eastAsia"/>
              </w:rPr>
            </w:pPr>
          </w:p>
        </w:tc>
        <w:tc>
          <w:tcPr>
            <w:tcW w:w="883" w:type="dxa"/>
            <w:vMerge w:val="continue"/>
            <w:vAlign w:val="center"/>
            <w:tcBorders>
              <w:top w:val="nil"/>
              <w:left w:val="single" w:color="auto" w:sz="4" w:space="0"/>
              <w:bottom w:val="single" w:color="auto" w:sz="4" w:space="0"/>
              <w:right w:val="single" w:color="auto" w:sz="4" w:space="0"/>
            </w:tcBorders>
          </w:tcPr>
          <w:p>
            <w:pPr>
              <w:widowControl w:val="1"/>
              <w:jc w:val="center"/>
              <w:spacing w:line="240" w:lineRule="exact"/>
              <w:rPr>
                <w:color w:val="auto"/>
                <w:sz w:val="18"/>
                <w:kern w:val="0"/>
                <w:szCs w:val="18"/>
                <w:rFonts w:ascii="宋体" w:hAnsi="宋体" w:eastAsia="宋体" w:cs="宋体" w:hint="eastAsia"/>
              </w:rPr>
            </w:pPr>
          </w:p>
        </w:tc>
        <w:tc>
          <w:tcPr>
            <w:tcW w:w="1722" w:type="dxa"/>
            <w:vAlign w:val="center"/>
            <w:tcBorders>
              <w:top w:val="single" w:color="auto" w:sz="4" w:space="0"/>
              <w:left w:val="nil"/>
              <w:bottom w:val="single" w:color="auto" w:sz="4" w:space="0"/>
              <w:right w:val="single" w:color="auto" w:sz="4" w:space="0"/>
            </w:tcBorders>
          </w:tcPr>
          <w:p>
            <w:pPr>
              <w:widowControl w:val="1"/>
              <w:keepNext w:val="0"/>
              <w:keepLines w:val="0"/>
              <w:jc w:val="left"/>
              <w:suppressLineNumbers w:val="0"/>
              <w:rPr>
                <w:color w:val="auto"/>
                <w:sz w:val="18"/>
                <w:kern w:val="0"/>
                <w:szCs w:val="18"/>
                <w:rFonts w:ascii="宋体" w:hAnsi="宋体" w:eastAsia="宋体" w:cs="宋体" w:hint="eastAsia"/>
              </w:rPr>
            </w:pPr>
            <w:r>
              <w:rPr>
                <w:i w:val="0"/>
                <w:u w:val="none"/>
                <w:color w:val="auto"/>
                <w:sz w:val="18"/>
                <w:lang w:val="en-US" w:eastAsia="zh-CN" w:bidi="ar"/>
                <w:iCs w:val="0"/>
                <w:kern w:val="0"/>
                <w:szCs w:val="18"/>
                <w:rFonts w:ascii="宋体" w:hAnsi="宋体" w:eastAsia="宋体" w:cs="宋体" w:hint="eastAsia"/>
              </w:rPr>
              <w:t>畜牧产业提升农牧民经济收入水平</w:t>
            </w:r>
          </w:p>
        </w:tc>
        <w:tc>
          <w:tcPr>
            <w:tcW w:w="855" w:type="dxa"/>
            <w:vAlign w:val="center"/>
            <w:tcBorders>
              <w:top w:val="nil"/>
              <w:left w:val="nil"/>
              <w:bottom w:val="single" w:color="auto" w:sz="4" w:space="0"/>
              <w:right w:val="single" w:color="auto" w:sz="4" w:space="0"/>
            </w:tcBorders>
          </w:tcPr>
          <w:p>
            <w:pPr>
              <w:widowControl w:val="1"/>
              <w:keepNext w:val="0"/>
              <w:keepLines w:val="0"/>
              <w:jc w:val="center"/>
              <w:suppressLineNumbers w:val="0"/>
              <w:rPr>
                <w:color w:val="auto"/>
                <w:sz w:val="18"/>
                <w:kern w:val="0"/>
                <w:szCs w:val="18"/>
                <w:rFonts w:ascii="宋体" w:hAnsi="宋体" w:eastAsia="宋体" w:cs="宋体" w:hint="eastAsia"/>
              </w:rPr>
            </w:pPr>
            <w:r>
              <w:rPr>
                <w:i w:val="0"/>
                <w:u w:val="none"/>
                <w:color w:val="auto"/>
                <w:sz w:val="18"/>
                <w:lang w:val="en-US" w:eastAsia="zh-CN" w:bidi="ar"/>
                <w:iCs w:val="0"/>
                <w:kern w:val="0"/>
                <w:szCs w:val="18"/>
                <w:rFonts w:ascii="宋体" w:hAnsi="宋体" w:eastAsia="宋体" w:cs="宋体" w:hint="eastAsia"/>
              </w:rPr>
              <w:t>有效提升</w:t>
            </w:r>
          </w:p>
        </w:tc>
        <w:tc>
          <w:tcPr>
            <w:tcW w:w="885" w:type="dxa"/>
            <w:vAlign w:val="center"/>
            <w:tcBorders>
              <w:top w:val="nil"/>
              <w:left w:val="nil"/>
              <w:bottom w:val="single" w:color="auto" w:sz="4" w:space="0"/>
              <w:right w:val="single" w:color="auto" w:sz="4" w:space="0"/>
            </w:tcBorders>
          </w:tcPr>
          <w:p>
            <w:pPr>
              <w:widowControl w:val="1"/>
              <w:jc w:val="center"/>
              <w:rPr>
                <w:color w:val="auto"/>
                <w:sz w:val="18"/>
                <w:lang w:val="en-US" w:eastAsia="zh-CN" w:bidi="ar-SA"/>
                <w:kern w:val="2"/>
                <w:szCs w:val="18"/>
                <w:rFonts w:ascii="宋体" w:hAnsi="宋体" w:eastAsia="宋体" w:cs="宋体" w:hint="eastAsia"/>
              </w:rPr>
            </w:pPr>
            <w:r>
              <w:rPr>
                <w:i w:val="0"/>
                <w:u w:val="none"/>
                <w:color w:val="auto"/>
                <w:sz w:val="18"/>
                <w:lang w:val="en-US" w:eastAsia="zh-CN" w:bidi="ar"/>
                <w:iCs w:val="0"/>
                <w:kern w:val="0"/>
                <w:szCs w:val="18"/>
                <w:rFonts w:ascii="宋体" w:hAnsi="宋体" w:eastAsia="宋体" w:cs="宋体" w:hint="eastAsia"/>
              </w:rPr>
              <w:t>有效提升</w:t>
            </w:r>
          </w:p>
        </w:tc>
        <w:tc>
          <w:tcPr>
            <w:tcW w:w="555" w:type="dxa"/>
            <w:vAlign w:val="center"/>
            <w:tcBorders>
              <w:top w:val="nil"/>
              <w:left w:val="nil"/>
              <w:bottom w:val="single" w:color="auto" w:sz="4" w:space="0"/>
              <w:right w:val="single" w:color="auto" w:sz="4" w:space="0"/>
            </w:tcBorders>
          </w:tcPr>
          <w:p>
            <w:pPr>
              <w:jc w:val="center"/>
              <w:rPr>
                <w:color w:val="auto"/>
                <w:sz w:val="18"/>
                <w:lang w:val="en-US" w:eastAsia="zh-CN" w:bidi="ar-SA"/>
                <w:kern w:val="2"/>
                <w:szCs w:val="18"/>
                <w:rFonts w:ascii="宋体" w:hAnsi="宋体" w:eastAsia="宋体" w:cs="宋体" w:hint="eastAsia"/>
              </w:rPr>
            </w:pPr>
            <w:r>
              <w:rPr>
                <w:color w:val="auto"/>
                <w:sz w:val="18"/>
                <w:lang w:val="en-US" w:eastAsia="zh-CN" w:bidi="ar-SA"/>
                <w:kern w:val="2"/>
                <w:szCs w:val="18"/>
                <w:rFonts w:ascii="宋体" w:hAnsi="宋体" w:eastAsia="宋体" w:cs="宋体" w:hint="eastAsia"/>
              </w:rPr>
              <w:t>10</w:t>
            </w:r>
          </w:p>
        </w:tc>
        <w:tc>
          <w:tcPr>
            <w:tcW w:w="825" w:type="dxa"/>
            <w:vAlign w:val="center"/>
            <w:tcBorders>
              <w:top w:val="nil"/>
              <w:left w:val="nil"/>
              <w:bottom w:val="single" w:color="auto" w:sz="4" w:space="0"/>
              <w:right w:val="single" w:color="auto" w:sz="4" w:space="0"/>
            </w:tcBorders>
          </w:tcPr>
          <w:p>
            <w:pPr>
              <w:jc w:val="center"/>
              <w:rPr>
                <w:color w:val="auto"/>
                <w:sz w:val="18"/>
                <w:kern w:val="0"/>
                <w:szCs w:val="18"/>
                <w:rFonts w:ascii="宋体" w:hAnsi="宋体" w:eastAsia="宋体" w:cs="宋体" w:hint="eastAsia"/>
              </w:rPr>
            </w:pPr>
            <w:r>
              <w:rPr>
                <w:color w:val="auto"/>
                <w:sz w:val="18"/>
                <w:lang w:val="en-US" w:eastAsia="zh-CN" w:bidi="ar-SA"/>
                <w:kern w:val="2"/>
                <w:szCs w:val="18"/>
                <w:rFonts w:ascii="宋体" w:hAnsi="宋体" w:eastAsia="宋体" w:cs="宋体" w:hint="eastAsia"/>
              </w:rPr>
              <w:t>10</w:t>
            </w:r>
          </w:p>
        </w:tc>
        <w:tc>
          <w:tcPr>
            <w:tcW w:w="1943" w:type="dxa"/>
            <w:vAlign w:val="center"/>
            <w:tcBorders>
              <w:top w:val="single" w:color="auto" w:sz="4" w:space="0"/>
              <w:left w:val="nil"/>
              <w:bottom w:val="single" w:color="auto" w:sz="4" w:space="0"/>
              <w:right w:val="single" w:color="auto" w:sz="4" w:space="0"/>
            </w:tcBorders>
          </w:tcPr>
          <w:p>
            <w:pPr>
              <w:widowControl w:val="1"/>
              <w:jc w:val="center"/>
              <w:spacing w:line="240" w:lineRule="exact"/>
              <w:rPr>
                <w:color w:val="auto"/>
                <w:sz w:val="18"/>
                <w:kern w:val="0"/>
                <w:szCs w:val="18"/>
                <w:rFonts w:ascii="宋体" w:hAnsi="宋体" w:eastAsia="宋体" w:cs="宋体" w:hint="eastAsia"/>
              </w:rPr>
            </w:pPr>
          </w:p>
        </w:tc>
      </w:tr>
      <w:tr>
        <w:tblPrEx>
          <w:tblCellMar>
            <w:top w:type="dxa" w:w="0.000000"/>
            <w:bottom w:type="dxa" w:w="0.000000"/>
            <w:left w:type="dxa" w:w="108.000000"/>
            <w:right w:type="dxa" w:w="108.000000"/>
          </w:tblCellMar>
          <w:tblLayout w:type="fixed"/>
        </w:tblPrEx>
        <w:trPr>
          <w:trHeight w:val="885" w:hRule="exact"/>
          <w:jc w:val="center"/>
        </w:trPr>
        <w:tc>
          <w:tcPr>
            <w:tcW w:w="396" w:type="dxa"/>
            <w:vMerge w:val="continue"/>
            <w:vAlign w:val="center"/>
            <w:tcBorders>
              <w:left w:val="single" w:color="auto" w:sz="4" w:space="0"/>
              <w:right w:val="single" w:color="auto" w:sz="4" w:space="0"/>
            </w:tcBorders>
          </w:tcPr>
          <w:p>
            <w:pPr>
              <w:widowControl w:val="1"/>
              <w:jc w:val="center"/>
              <w:spacing w:line="240" w:lineRule="exact"/>
              <w:rPr>
                <w:color w:val="auto"/>
                <w:sz w:val="18"/>
                <w:kern w:val="0"/>
                <w:szCs w:val="18"/>
                <w:rFonts w:ascii="宋体" w:hAnsi="宋体" w:eastAsia="宋体" w:cs="宋体" w:hint="eastAsia"/>
              </w:rPr>
            </w:pPr>
          </w:p>
        </w:tc>
        <w:tc>
          <w:tcPr>
            <w:tcW w:w="458" w:type="dxa"/>
            <w:vMerge w:val="continue"/>
            <w:vAlign w:val="center"/>
            <w:tcBorders>
              <w:top w:val="nil"/>
              <w:left w:val="single" w:color="auto" w:sz="4" w:space="0"/>
              <w:bottom w:val="single" w:color="auto" w:sz="4" w:space="0"/>
              <w:right w:val="single" w:color="auto" w:sz="4" w:space="0"/>
            </w:tcBorders>
          </w:tcPr>
          <w:p>
            <w:pPr>
              <w:widowControl w:val="1"/>
              <w:jc w:val="center"/>
              <w:spacing w:line="240" w:lineRule="exact"/>
              <w:rPr>
                <w:color w:val="auto"/>
                <w:sz w:val="18"/>
                <w:kern w:val="0"/>
                <w:szCs w:val="18"/>
                <w:rFonts w:ascii="宋体" w:hAnsi="宋体" w:eastAsia="宋体" w:cs="宋体" w:hint="eastAsia"/>
              </w:rPr>
            </w:pPr>
          </w:p>
        </w:tc>
        <w:tc>
          <w:tcPr>
            <w:tcW w:w="883" w:type="dxa"/>
            <w:vAlign w:val="center"/>
            <w:tcBorders>
              <w:top w:val="nil"/>
              <w:left w:val="single" w:color="auto" w:sz="4" w:space="0"/>
              <w:bottom w:val="single" w:color="auto" w:sz="4" w:space="0"/>
              <w:right w:val="single" w:color="auto" w:sz="4" w:space="0"/>
            </w:tcBorders>
          </w:tcPr>
          <w:p>
            <w:pPr>
              <w:widowControl w:val="1"/>
              <w:jc w:val="center"/>
              <w:spacing w:line="240" w:lineRule="exact"/>
              <w:rPr>
                <w:color w:val="auto"/>
                <w:sz w:val="18"/>
                <w:kern w:val="0"/>
                <w:szCs w:val="18"/>
                <w:rFonts w:ascii="宋体" w:hAnsi="宋体" w:eastAsia="宋体" w:cs="宋体" w:hint="eastAsia"/>
              </w:rPr>
            </w:pPr>
            <w:r>
              <w:rPr>
                <w:color w:val="auto"/>
                <w:sz w:val="18"/>
                <w:kern w:val="0"/>
                <w:szCs w:val="18"/>
                <w:rFonts w:ascii="宋体" w:hAnsi="宋体" w:eastAsia="宋体" w:cs="宋体" w:hint="eastAsia"/>
              </w:rPr>
              <w:t>生态效益</w:t>
            </w:r>
          </w:p>
          <w:p>
            <w:pPr>
              <w:widowControl w:val="1"/>
              <w:jc w:val="center"/>
              <w:spacing w:line="240" w:lineRule="exact"/>
              <w:rPr>
                <w:color w:val="auto"/>
                <w:sz w:val="18"/>
                <w:kern w:val="0"/>
                <w:szCs w:val="18"/>
                <w:rFonts w:ascii="宋体" w:hAnsi="宋体" w:eastAsia="宋体" w:cs="宋体" w:hint="eastAsia"/>
              </w:rPr>
            </w:pPr>
            <w:r>
              <w:rPr>
                <w:color w:val="auto"/>
                <w:sz w:val="18"/>
                <w:kern w:val="0"/>
                <w:szCs w:val="18"/>
                <w:rFonts w:ascii="宋体" w:hAnsi="宋体" w:eastAsia="宋体" w:cs="宋体" w:hint="eastAsia"/>
              </w:rPr>
              <w:t>指标</w:t>
            </w:r>
          </w:p>
        </w:tc>
        <w:tc>
          <w:tcPr>
            <w:tcW w:w="1722" w:type="dxa"/>
            <w:vAlign w:val="center"/>
            <w:tcBorders>
              <w:top w:val="single" w:color="auto" w:sz="4" w:space="0"/>
              <w:left w:val="nil"/>
              <w:bottom w:val="single" w:color="auto" w:sz="4" w:space="0"/>
              <w:right w:val="single" w:color="auto" w:sz="4" w:space="0"/>
            </w:tcBorders>
          </w:tcPr>
          <w:p>
            <w:pPr>
              <w:widowControl w:val="1"/>
              <w:keepNext w:val="0"/>
              <w:keepLines w:val="0"/>
              <w:jc w:val="left"/>
              <w:suppressLineNumbers w:val="0"/>
              <w:rPr>
                <w:color w:val="auto"/>
                <w:sz w:val="18"/>
                <w:kern w:val="0"/>
                <w:szCs w:val="18"/>
                <w:rFonts w:ascii="宋体" w:hAnsi="宋体" w:eastAsia="宋体" w:cs="宋体" w:hint="eastAsia"/>
              </w:rPr>
            </w:pPr>
            <w:r>
              <w:rPr>
                <w:i w:val="0"/>
                <w:u w:val="none"/>
                <w:color w:val="auto"/>
                <w:sz w:val="18"/>
                <w:lang w:val="en-US" w:eastAsia="zh-CN" w:bidi="ar"/>
                <w:iCs w:val="0"/>
                <w:kern w:val="0"/>
                <w:szCs w:val="18"/>
                <w:rFonts w:ascii="宋体" w:hAnsi="宋体" w:eastAsia="宋体" w:cs="宋体" w:hint="eastAsia"/>
              </w:rPr>
              <w:t>规模养殖场粪污处理对当地环境影响减少</w:t>
            </w:r>
          </w:p>
        </w:tc>
        <w:tc>
          <w:tcPr>
            <w:tcW w:w="855" w:type="dxa"/>
            <w:vAlign w:val="center"/>
            <w:tcBorders>
              <w:top w:val="nil"/>
              <w:left w:val="nil"/>
              <w:bottom w:val="single" w:color="auto" w:sz="4" w:space="0"/>
              <w:right w:val="single" w:color="auto" w:sz="4" w:space="0"/>
            </w:tcBorders>
          </w:tcPr>
          <w:p>
            <w:pPr>
              <w:widowControl w:val="1"/>
              <w:keepNext w:val="0"/>
              <w:keepLines w:val="0"/>
              <w:jc w:val="center"/>
              <w:suppressLineNumbers w:val="0"/>
              <w:rPr>
                <w:color w:val="auto"/>
                <w:sz w:val="18"/>
                <w:kern w:val="0"/>
                <w:szCs w:val="18"/>
                <w:rFonts w:ascii="宋体" w:hAnsi="宋体" w:eastAsia="宋体" w:cs="宋体" w:hint="eastAsia"/>
              </w:rPr>
            </w:pPr>
            <w:r>
              <w:rPr>
                <w:i w:val="0"/>
                <w:u w:val="none"/>
                <w:color w:val="auto"/>
                <w:sz w:val="18"/>
                <w:lang w:val="en-US" w:eastAsia="zh-CN" w:bidi="ar"/>
                <w:iCs w:val="0"/>
                <w:kern w:val="0"/>
                <w:szCs w:val="18"/>
                <w:rFonts w:ascii="宋体" w:hAnsi="宋体" w:eastAsia="宋体" w:cs="宋体" w:hint="eastAsia"/>
              </w:rPr>
              <w:t>有效减少</w:t>
            </w:r>
          </w:p>
        </w:tc>
        <w:tc>
          <w:tcPr>
            <w:tcW w:w="885" w:type="dxa"/>
            <w:vAlign w:val="center"/>
            <w:tcBorders>
              <w:top w:val="nil"/>
              <w:left w:val="nil"/>
              <w:bottom w:val="single" w:color="auto" w:sz="4" w:space="0"/>
              <w:right w:val="single" w:color="auto" w:sz="4" w:space="0"/>
            </w:tcBorders>
          </w:tcPr>
          <w:p>
            <w:pPr>
              <w:widowControl w:val="1"/>
              <w:jc w:val="center"/>
              <w:rPr>
                <w:color w:val="auto"/>
                <w:sz w:val="18"/>
                <w:lang w:val="en-US" w:eastAsia="zh-CN" w:bidi="ar-SA"/>
                <w:kern w:val="2"/>
                <w:szCs w:val="18"/>
                <w:rFonts w:ascii="宋体" w:hAnsi="宋体" w:eastAsia="宋体" w:cs="宋体" w:hint="eastAsia"/>
              </w:rPr>
            </w:pPr>
            <w:r>
              <w:rPr>
                <w:i w:val="0"/>
                <w:u w:val="none"/>
                <w:color w:val="auto"/>
                <w:sz w:val="18"/>
                <w:lang w:val="en-US" w:eastAsia="zh-CN" w:bidi="ar"/>
                <w:iCs w:val="0"/>
                <w:kern w:val="0"/>
                <w:szCs w:val="18"/>
                <w:rFonts w:ascii="宋体" w:hAnsi="宋体" w:eastAsia="宋体" w:cs="宋体" w:hint="eastAsia"/>
              </w:rPr>
              <w:t>有效减少</w:t>
            </w:r>
          </w:p>
        </w:tc>
        <w:tc>
          <w:tcPr>
            <w:tcW w:w="555" w:type="dxa"/>
            <w:vAlign w:val="center"/>
            <w:tcBorders>
              <w:top w:val="nil"/>
              <w:left w:val="nil"/>
              <w:bottom w:val="single" w:color="auto" w:sz="4" w:space="0"/>
              <w:right w:val="single" w:color="auto" w:sz="4" w:space="0"/>
            </w:tcBorders>
          </w:tcPr>
          <w:p>
            <w:pPr>
              <w:jc w:val="center"/>
              <w:rPr>
                <w:color w:val="auto"/>
                <w:sz w:val="18"/>
                <w:lang w:val="en-US" w:eastAsia="zh-CN" w:bidi="ar-SA"/>
                <w:kern w:val="2"/>
                <w:szCs w:val="18"/>
                <w:rFonts w:ascii="宋体" w:hAnsi="宋体" w:eastAsia="宋体" w:cs="宋体" w:hint="eastAsia"/>
              </w:rPr>
            </w:pPr>
            <w:r>
              <w:rPr>
                <w:color w:val="auto"/>
                <w:sz w:val="18"/>
                <w:lang w:val="en-US" w:eastAsia="zh-CN" w:bidi="ar-SA"/>
                <w:kern w:val="2"/>
                <w:szCs w:val="18"/>
                <w:rFonts w:ascii="宋体" w:hAnsi="宋体" w:eastAsia="宋体" w:cs="宋体" w:hint="eastAsia"/>
              </w:rPr>
              <w:t>10</w:t>
            </w:r>
          </w:p>
        </w:tc>
        <w:tc>
          <w:tcPr>
            <w:tcW w:w="825" w:type="dxa"/>
            <w:vAlign w:val="center"/>
            <w:tcBorders>
              <w:top w:val="nil"/>
              <w:left w:val="nil"/>
              <w:bottom w:val="single" w:color="auto" w:sz="4" w:space="0"/>
              <w:right w:val="single" w:color="auto" w:sz="4" w:space="0"/>
            </w:tcBorders>
          </w:tcPr>
          <w:p>
            <w:pPr>
              <w:jc w:val="center"/>
              <w:rPr>
                <w:color w:val="auto"/>
                <w:sz w:val="18"/>
                <w:kern w:val="0"/>
                <w:szCs w:val="18"/>
                <w:rFonts w:ascii="宋体" w:hAnsi="宋体" w:eastAsia="宋体" w:cs="宋体" w:hint="eastAsia"/>
              </w:rPr>
            </w:pPr>
            <w:r>
              <w:rPr>
                <w:color w:val="auto"/>
                <w:sz w:val="18"/>
                <w:lang w:val="en-US" w:eastAsia="zh-CN" w:bidi="ar-SA"/>
                <w:kern w:val="2"/>
                <w:szCs w:val="18"/>
                <w:rFonts w:ascii="宋体" w:hAnsi="宋体" w:eastAsia="宋体" w:cs="宋体" w:hint="eastAsia"/>
              </w:rPr>
              <w:t>10</w:t>
            </w:r>
          </w:p>
        </w:tc>
        <w:tc>
          <w:tcPr>
            <w:tcW w:w="1943" w:type="dxa"/>
            <w:vAlign w:val="center"/>
            <w:tcBorders>
              <w:top w:val="single" w:color="auto" w:sz="4" w:space="0"/>
              <w:left w:val="nil"/>
              <w:bottom w:val="single" w:color="auto" w:sz="4" w:space="0"/>
              <w:right w:val="single" w:color="auto" w:sz="4" w:space="0"/>
            </w:tcBorders>
          </w:tcPr>
          <w:p>
            <w:pPr>
              <w:widowControl w:val="1"/>
              <w:jc w:val="center"/>
              <w:spacing w:line="240" w:lineRule="exact"/>
              <w:rPr>
                <w:color w:val="auto"/>
                <w:sz w:val="18"/>
                <w:kern w:val="0"/>
                <w:szCs w:val="18"/>
                <w:rFonts w:ascii="宋体" w:hAnsi="宋体" w:eastAsia="宋体" w:cs="宋体" w:hint="eastAsia"/>
              </w:rPr>
            </w:pPr>
          </w:p>
        </w:tc>
      </w:tr>
      <w:tr>
        <w:tblPrEx>
          <w:tblCellMar>
            <w:top w:type="dxa" w:w="0.000000"/>
            <w:bottom w:type="dxa" w:w="0.000000"/>
            <w:left w:type="dxa" w:w="108.000000"/>
            <w:right w:type="dxa" w:w="108.000000"/>
          </w:tblCellMar>
          <w:tblLayout w:type="fixed"/>
        </w:tblPrEx>
        <w:trPr>
          <w:trHeight w:val="1275" w:hRule="exact"/>
          <w:jc w:val="center"/>
        </w:trPr>
        <w:tc>
          <w:tcPr>
            <w:tcW w:w="396" w:type="dxa"/>
            <w:vMerge w:val="continue"/>
            <w:vAlign w:val="center"/>
            <w:tcBorders>
              <w:left w:val="single" w:color="auto" w:sz="4" w:space="0"/>
              <w:right w:val="single" w:color="auto" w:sz="4" w:space="0"/>
            </w:tcBorders>
          </w:tcPr>
          <w:p>
            <w:pPr>
              <w:widowControl w:val="1"/>
              <w:jc w:val="center"/>
              <w:spacing w:line="240" w:lineRule="exact"/>
              <w:rPr>
                <w:color w:val="auto"/>
                <w:sz w:val="18"/>
                <w:kern w:val="0"/>
                <w:szCs w:val="18"/>
                <w:rFonts w:ascii="宋体" w:hAnsi="宋体" w:eastAsia="宋体" w:cs="宋体" w:hint="eastAsia"/>
              </w:rPr>
            </w:pPr>
          </w:p>
        </w:tc>
        <w:tc>
          <w:tcPr>
            <w:tcW w:w="458" w:type="dxa"/>
            <w:vAlign w:val="center"/>
            <w:tcBorders>
              <w:top w:val="nil"/>
              <w:left w:val="single" w:color="auto" w:sz="4" w:space="0"/>
              <w:right w:val="single" w:color="auto" w:sz="4" w:space="0"/>
            </w:tcBorders>
          </w:tcPr>
          <w:p>
            <w:pPr>
              <w:widowControl w:val="1"/>
              <w:jc w:val="center"/>
              <w:spacing w:line="240" w:lineRule="exact"/>
              <w:rPr>
                <w:color w:val="auto"/>
                <w:sz w:val="18"/>
                <w:kern w:val="0"/>
                <w:szCs w:val="18"/>
                <w:rFonts w:ascii="宋体" w:hAnsi="宋体" w:eastAsia="宋体" w:cs="宋体" w:hint="eastAsia"/>
              </w:rPr>
            </w:pPr>
            <w:r>
              <w:rPr>
                <w:color w:val="auto"/>
                <w:sz w:val="18"/>
                <w:kern w:val="0"/>
                <w:szCs w:val="18"/>
                <w:rFonts w:ascii="宋体" w:hAnsi="宋体" w:eastAsia="宋体" w:cs="宋体" w:hint="eastAsia"/>
              </w:rPr>
              <w:t>满意度</w:t>
            </w:r>
          </w:p>
          <w:p>
            <w:pPr>
              <w:widowControl w:val="1"/>
              <w:jc w:val="center"/>
              <w:spacing w:line="240" w:lineRule="exact"/>
              <w:rPr>
                <w:color w:val="auto"/>
                <w:sz w:val="18"/>
                <w:kern w:val="0"/>
                <w:szCs w:val="18"/>
                <w:rFonts w:ascii="宋体" w:hAnsi="宋体" w:eastAsia="宋体" w:cs="宋体" w:hint="eastAsia"/>
              </w:rPr>
            </w:pPr>
            <w:r>
              <w:rPr>
                <w:color w:val="auto"/>
                <w:sz w:val="18"/>
                <w:kern w:val="0"/>
                <w:szCs w:val="18"/>
                <w:rFonts w:ascii="宋体" w:hAnsi="宋体" w:eastAsia="宋体" w:cs="宋体" w:hint="eastAsia"/>
              </w:rPr>
              <w:t>指标</w:t>
            </w:r>
          </w:p>
        </w:tc>
        <w:tc>
          <w:tcPr>
            <w:tcW w:w="883" w:type="dxa"/>
            <w:vAlign w:val="center"/>
            <w:tcBorders>
              <w:top w:val="nil"/>
              <w:left w:val="single" w:color="auto" w:sz="4" w:space="0"/>
              <w:bottom w:val="single" w:color="auto" w:sz="4" w:space="0"/>
              <w:right w:val="single" w:color="auto" w:sz="4" w:space="0"/>
            </w:tcBorders>
          </w:tcPr>
          <w:p>
            <w:pPr>
              <w:widowControl w:val="1"/>
              <w:jc w:val="center"/>
              <w:spacing w:line="240" w:lineRule="exact"/>
              <w:rPr>
                <w:color w:val="auto"/>
                <w:sz w:val="18"/>
                <w:kern w:val="0"/>
                <w:szCs w:val="18"/>
                <w:rFonts w:ascii="宋体" w:hAnsi="宋体" w:eastAsia="宋体" w:cs="宋体" w:hint="eastAsia"/>
              </w:rPr>
            </w:pPr>
            <w:r>
              <w:rPr>
                <w:color w:val="auto"/>
                <w:sz w:val="18"/>
                <w:kern w:val="0"/>
                <w:szCs w:val="18"/>
                <w:rFonts w:ascii="宋体" w:hAnsi="宋体" w:eastAsia="宋体" w:cs="宋体" w:hint="eastAsia"/>
              </w:rPr>
              <w:t>服务对象满意度指标</w:t>
            </w:r>
          </w:p>
        </w:tc>
        <w:tc>
          <w:tcPr>
            <w:tcW w:w="1722" w:type="dxa"/>
            <w:vAlign w:val="center"/>
            <w:tcBorders>
              <w:top w:val="single" w:color="auto" w:sz="4" w:space="0"/>
              <w:left w:val="nil"/>
              <w:bottom w:val="single" w:color="auto" w:sz="4" w:space="0"/>
              <w:right w:val="single" w:color="auto" w:sz="4" w:space="0"/>
            </w:tcBorders>
          </w:tcPr>
          <w:p>
            <w:pPr>
              <w:widowControl w:val="1"/>
              <w:keepNext w:val="0"/>
              <w:keepLines w:val="0"/>
              <w:jc w:val="left"/>
              <w:suppressLineNumbers w:val="0"/>
              <w:rPr>
                <w:color w:val="auto"/>
                <w:sz w:val="18"/>
                <w:kern w:val="0"/>
                <w:szCs w:val="18"/>
                <w:rFonts w:ascii="宋体" w:hAnsi="宋体" w:eastAsia="宋体" w:cs="宋体" w:hint="eastAsia"/>
              </w:rPr>
            </w:pPr>
            <w:r>
              <w:rPr>
                <w:i w:val="0"/>
                <w:u w:val="none"/>
                <w:color w:val="auto"/>
                <w:sz w:val="18"/>
                <w:lang w:val="en-US" w:eastAsia="zh-CN" w:bidi="ar"/>
                <w:iCs w:val="0"/>
                <w:kern w:val="0"/>
                <w:szCs w:val="18"/>
                <w:rFonts w:ascii="宋体" w:hAnsi="宋体" w:eastAsia="宋体" w:cs="宋体" w:hint="eastAsia"/>
              </w:rPr>
              <w:t>农牧民满意度</w:t>
            </w:r>
          </w:p>
        </w:tc>
        <w:tc>
          <w:tcPr>
            <w:tcW w:w="855" w:type="dxa"/>
            <w:vAlign w:val="center"/>
            <w:tcBorders>
              <w:top w:val="nil"/>
              <w:left w:val="nil"/>
              <w:bottom w:val="single" w:color="auto" w:sz="4" w:space="0"/>
              <w:right w:val="single" w:color="auto" w:sz="4" w:space="0"/>
            </w:tcBorders>
          </w:tcPr>
          <w:p>
            <w:pPr>
              <w:widowControl w:val="1"/>
              <w:keepNext w:val="0"/>
              <w:keepLines w:val="0"/>
              <w:jc w:val="center"/>
              <w:suppressLineNumbers w:val="0"/>
              <w:rPr>
                <w:color w:val="auto"/>
                <w:sz w:val="18"/>
                <w:kern w:val="0"/>
                <w:szCs w:val="18"/>
                <w:rFonts w:ascii="宋体" w:hAnsi="宋体" w:eastAsia="宋体" w:cs="宋体" w:hint="eastAsia"/>
              </w:rPr>
            </w:pPr>
            <w:r>
              <w:rPr>
                <w:i w:val="0"/>
                <w:u w:val="none"/>
                <w:color w:val="auto"/>
                <w:sz w:val="18"/>
                <w:lang w:val="en-US" w:eastAsia="zh-CN" w:bidi="ar"/>
                <w:iCs w:val="0"/>
                <w:kern w:val="0"/>
                <w:szCs w:val="18"/>
                <w:rFonts w:ascii="宋体" w:hAnsi="宋体" w:eastAsia="宋体" w:cs="宋体" w:hint="eastAsia"/>
              </w:rPr>
              <w:t>≥85%</w:t>
            </w:r>
          </w:p>
        </w:tc>
        <w:tc>
          <w:tcPr>
            <w:tcW w:w="885" w:type="dxa"/>
            <w:vAlign w:val="center"/>
            <w:tcBorders>
              <w:top w:val="nil"/>
              <w:left w:val="nil"/>
              <w:bottom w:val="single" w:color="auto" w:sz="4" w:space="0"/>
              <w:right w:val="single" w:color="auto" w:sz="4" w:space="0"/>
            </w:tcBorders>
          </w:tcPr>
          <w:p>
            <w:pPr>
              <w:widowControl w:val="1"/>
              <w:jc w:val="center"/>
              <w:rPr>
                <w:color w:val="auto"/>
                <w:sz w:val="18"/>
                <w:lang w:val="en-US" w:eastAsia="zh-CN" w:bidi="ar-SA"/>
                <w:kern w:val="2"/>
                <w:szCs w:val="18"/>
                <w:rFonts w:ascii="宋体" w:hAnsi="宋体" w:eastAsia="宋体" w:cs="宋体" w:hint="eastAsia"/>
              </w:rPr>
            </w:pPr>
            <w:r>
              <w:rPr>
                <w:color w:val="auto"/>
                <w:sz w:val="18"/>
                <w:lang w:val="en-US" w:eastAsia="zh-CN"/>
                <w:szCs w:val="18"/>
                <w:rFonts w:ascii="宋体" w:hAnsi="宋体" w:eastAsia="宋体" w:cs="宋体" w:hint="eastAsia"/>
              </w:rPr>
              <w:t>85%</w:t>
            </w:r>
          </w:p>
        </w:tc>
        <w:tc>
          <w:tcPr>
            <w:tcW w:w="555" w:type="dxa"/>
            <w:vAlign w:val="center"/>
            <w:tcBorders>
              <w:top w:val="nil"/>
              <w:left w:val="nil"/>
              <w:bottom w:val="single" w:color="auto" w:sz="4" w:space="0"/>
              <w:right w:val="single" w:color="auto" w:sz="4" w:space="0"/>
            </w:tcBorders>
          </w:tcPr>
          <w:p>
            <w:pPr>
              <w:jc w:val="center"/>
              <w:rPr>
                <w:color w:val="auto"/>
                <w:sz w:val="18"/>
                <w:lang w:val="en-US" w:eastAsia="zh-CN" w:bidi="ar-SA"/>
                <w:kern w:val="2"/>
                <w:szCs w:val="18"/>
                <w:rFonts w:ascii="宋体" w:hAnsi="宋体" w:eastAsia="宋体" w:cs="宋体" w:hint="eastAsia"/>
              </w:rPr>
            </w:pPr>
            <w:r>
              <w:rPr>
                <w:color w:val="auto"/>
                <w:sz w:val="18"/>
                <w:lang w:val="en-US" w:eastAsia="zh-CN" w:bidi="ar-SA"/>
                <w:kern w:val="2"/>
                <w:szCs w:val="18"/>
                <w:rFonts w:ascii="宋体" w:hAnsi="宋体" w:eastAsia="宋体" w:cs="宋体" w:hint="eastAsia"/>
              </w:rPr>
              <w:t>10</w:t>
            </w:r>
          </w:p>
        </w:tc>
        <w:tc>
          <w:tcPr>
            <w:tcW w:w="825" w:type="dxa"/>
            <w:vAlign w:val="center"/>
            <w:tcBorders>
              <w:top w:val="nil"/>
              <w:left w:val="nil"/>
              <w:bottom w:val="single" w:color="auto" w:sz="4" w:space="0"/>
              <w:right w:val="single" w:color="auto" w:sz="4" w:space="0"/>
            </w:tcBorders>
          </w:tcPr>
          <w:p>
            <w:pPr>
              <w:jc w:val="center"/>
              <w:rPr>
                <w:color w:val="auto"/>
                <w:sz w:val="18"/>
                <w:kern w:val="0"/>
                <w:szCs w:val="18"/>
                <w:rFonts w:ascii="宋体" w:hAnsi="宋体" w:eastAsia="宋体" w:cs="宋体" w:hint="eastAsia"/>
              </w:rPr>
            </w:pPr>
            <w:r>
              <w:rPr>
                <w:color w:val="auto"/>
                <w:sz w:val="18"/>
                <w:lang w:val="en-US" w:eastAsia="zh-CN" w:bidi="ar-SA"/>
                <w:kern w:val="2"/>
                <w:szCs w:val="18"/>
                <w:rFonts w:ascii="宋体" w:hAnsi="宋体" w:eastAsia="宋体" w:cs="宋体" w:hint="eastAsia"/>
              </w:rPr>
              <w:t>10</w:t>
            </w:r>
          </w:p>
        </w:tc>
        <w:tc>
          <w:tcPr>
            <w:tcW w:w="1943" w:type="dxa"/>
            <w:vAlign w:val="center"/>
            <w:tcBorders>
              <w:top w:val="single" w:color="auto" w:sz="4" w:space="0"/>
              <w:left w:val="nil"/>
              <w:bottom w:val="single" w:color="auto" w:sz="4" w:space="0"/>
              <w:right w:val="single" w:color="auto" w:sz="4" w:space="0"/>
            </w:tcBorders>
          </w:tcPr>
          <w:p>
            <w:pPr>
              <w:widowControl w:val="1"/>
              <w:jc w:val="center"/>
              <w:spacing w:line="240" w:lineRule="exact"/>
              <w:rPr>
                <w:color w:val="auto"/>
                <w:sz w:val="18"/>
                <w:kern w:val="0"/>
                <w:szCs w:val="18"/>
                <w:rFonts w:ascii="宋体" w:hAnsi="宋体" w:eastAsia="宋体" w:cs="宋体" w:hint="eastAsia"/>
              </w:rPr>
            </w:pPr>
          </w:p>
        </w:tc>
      </w:tr>
      <w:tr>
        <w:tblPrEx>
          <w:tblCellMar>
            <w:top w:type="dxa" w:w="0.000000"/>
            <w:bottom w:type="dxa" w:w="0.000000"/>
            <w:left w:type="dxa" w:w="108.000000"/>
            <w:right w:type="dxa" w:w="108.000000"/>
          </w:tblCellMar>
          <w:tblLayout w:type="fixed"/>
        </w:tblPrEx>
        <w:trPr>
          <w:trHeight w:val="300" w:hRule="exact"/>
          <w:jc w:val="center"/>
        </w:trPr>
        <w:tc>
          <w:tcPr>
            <w:tcW w:w="5199" w:type="dxa"/>
            <w:gridSpan w:val="6"/>
            <w:vAlign w:val="center"/>
            <w:tcBorders>
              <w:top w:val="single" w:color="auto" w:sz="4" w:space="0"/>
              <w:left w:val="single" w:color="auto" w:sz="4" w:space="0"/>
              <w:bottom w:val="single" w:color="auto" w:sz="4" w:space="0"/>
              <w:right w:val="single" w:color="auto" w:sz="4" w:space="0"/>
            </w:tcBorders>
          </w:tcPr>
          <w:p>
            <w:pPr>
              <w:widowControl w:val="1"/>
              <w:jc w:val="center"/>
              <w:spacing w:line="240" w:lineRule="exact"/>
              <w:rPr>
                <w:color w:val="auto"/>
                <w:sz w:val="18"/>
                <w:kern w:val="0"/>
                <w:szCs w:val="18"/>
                <w:rFonts w:ascii="宋体" w:hAnsi="宋体" w:eastAsia="宋体" w:cs="宋体" w:hint="eastAsia"/>
              </w:rPr>
            </w:pPr>
            <w:r>
              <w:rPr>
                <w:color w:val="auto"/>
                <w:sz w:val="18"/>
                <w:kern w:val="0"/>
                <w:szCs w:val="18"/>
                <w:rFonts w:ascii="宋体" w:hAnsi="宋体" w:eastAsia="宋体" w:cs="宋体" w:hint="eastAsia"/>
              </w:rPr>
              <w:t>总分</w:t>
            </w:r>
          </w:p>
        </w:tc>
        <w:tc>
          <w:tcPr>
            <w:tcW w:w="555" w:type="dxa"/>
            <w:vAlign w:val="center"/>
            <w:tcBorders>
              <w:top w:val="nil"/>
              <w:left w:val="nil"/>
              <w:bottom w:val="single" w:color="auto" w:sz="4" w:space="0"/>
              <w:right w:val="single" w:color="auto" w:sz="4" w:space="0"/>
            </w:tcBorders>
          </w:tcPr>
          <w:p>
            <w:pPr>
              <w:widowControl w:val="1"/>
              <w:jc w:val="center"/>
              <w:spacing w:line="240" w:lineRule="exact"/>
              <w:rPr>
                <w:color w:val="auto"/>
                <w:sz w:val="18"/>
                <w:kern w:val="0"/>
                <w:szCs w:val="18"/>
                <w:rFonts w:ascii="宋体" w:hAnsi="宋体" w:eastAsia="宋体" w:cs="宋体" w:hint="eastAsia"/>
              </w:rPr>
            </w:pPr>
            <w:r>
              <w:rPr>
                <w:color w:val="auto"/>
                <w:sz w:val="18"/>
                <w:kern w:val="0"/>
                <w:szCs w:val="18"/>
                <w:rFonts w:ascii="宋体" w:hAnsi="宋体" w:eastAsia="宋体" w:cs="宋体" w:hint="eastAsia"/>
              </w:rPr>
              <w:t>100</w:t>
            </w:r>
          </w:p>
        </w:tc>
        <w:tc>
          <w:tcPr>
            <w:tcW w:w="825" w:type="dxa"/>
            <w:vAlign w:val="center"/>
            <w:tcBorders>
              <w:top w:val="nil"/>
              <w:left w:val="nil"/>
              <w:bottom w:val="single" w:color="auto" w:sz="4" w:space="0"/>
              <w:right w:val="single" w:color="auto" w:sz="4" w:space="0"/>
            </w:tcBorders>
          </w:tcPr>
          <w:p>
            <w:pPr>
              <w:widowControl w:val="1"/>
              <w:jc w:val="center"/>
              <w:spacing w:line="240" w:lineRule="exact"/>
              <w:rPr>
                <w:color w:val="auto"/>
                <w:sz w:val="18"/>
                <w:lang w:val="en-US" w:eastAsia="zh-CN"/>
                <w:kern w:val="0"/>
                <w:szCs w:val="18"/>
                <w:rFonts w:ascii="宋体" w:hAnsi="宋体" w:eastAsia="宋体" w:cs="宋体" w:hint="default"/>
              </w:rPr>
            </w:pPr>
            <w:r>
              <w:rPr>
                <w:color w:val="auto"/>
                <w:sz w:val="18"/>
                <w:lang w:val="en-US" w:eastAsia="zh-CN"/>
                <w:kern w:val="0"/>
                <w:szCs w:val="18"/>
                <w:rFonts w:ascii="宋体" w:hAnsi="宋体" w:eastAsia="宋体" w:cs="宋体" w:hint="eastAsia"/>
              </w:rPr>
              <w:t>98.96</w:t>
            </w:r>
          </w:p>
        </w:tc>
        <w:tc>
          <w:tcPr>
            <w:tcW w:w="1943" w:type="dxa"/>
            <w:vAlign w:val="center"/>
            <w:tcBorders>
              <w:top w:val="single" w:color="auto" w:sz="4" w:space="0"/>
              <w:left w:val="nil"/>
              <w:bottom w:val="single" w:color="auto" w:sz="4" w:space="0"/>
              <w:right w:val="single" w:color="auto" w:sz="4" w:space="0"/>
            </w:tcBorders>
          </w:tcPr>
          <w:p>
            <w:pPr>
              <w:widowControl w:val="1"/>
              <w:jc w:val="center"/>
              <w:spacing w:line="240" w:lineRule="exact"/>
              <w:rPr>
                <w:color w:val="auto"/>
                <w:sz w:val="18"/>
                <w:kern w:val="0"/>
                <w:szCs w:val="18"/>
                <w:rFonts w:ascii="宋体" w:hAnsi="宋体" w:eastAsia="宋体" w:cs="宋体" w:hint="eastAsia"/>
              </w:rPr>
            </w:pPr>
          </w:p>
        </w:tc>
      </w:tr>
    </w:tbl>
    <w:p>
      <w:pPr>
        <w:pStyle w:val="19"/>
        <w:jc w:val="both"/>
        <w:rPr>
          <w:b w:val="0"/>
          <w:color w:val="auto"/>
          <w:bCs w:val="0"/>
          <w:rFonts w:ascii="Times New Roman" w:hAnsi="Times New Roman" w:eastAsia="黑体"/>
        </w:rPr>
      </w:pPr>
    </w:p>
    <w:p>
      <w:pPr>
        <w:pStyle w:val="19"/>
        <w:jc w:val="both"/>
        <w:rPr>
          <w:color w:val="auto"/>
          <w:rFonts w:ascii="Times New Roman" w:hAnsi="Times New Roman"/>
        </w:rPr>
        <w:sectPr>
          <w:docGrid w:type="lines" w:linePitch="312" w:charSpace="0"/>
          <w:pgSz w:w="11906" w:h="16838"/>
          <w:pgMar w:top="1440" w:right="1558" w:bottom="1440" w:left="1800" w:header="851" w:footer="992" w:gutter="0"/>
          <w:cols w:space="425" w:num="1"/>
        </w:sectPr>
      </w:pPr>
    </w:p>
    <w:p>
      <w:pPr>
        <w:spacing w:line="600" w:lineRule="exact"/>
        <w:rPr>
          <w:color w:val="auto"/>
          <w:sz w:val="32"/>
          <w:bCs/>
          <w:szCs w:val="32"/>
        </w:rPr>
      </w:pPr>
      <w:r>
        <w:rPr>
          <w:color w:val="auto"/>
          <w:sz w:val="32"/>
          <w:bCs/>
          <w:szCs w:val="32"/>
        </w:rPr>
        <w:t>附件1</w:t>
      </w:r>
    </w:p>
    <w:tbl>
      <w:tblPr>
        <w:tblStyle w:val="22"/>
        <w:tblW w:w="12683" w:type="dxa"/>
        <w:jc w:val="center"/>
        <w:tblInd w:type="dxa" w:w="0.000000"/>
        <w:tblLayout w:type="fixed"/>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type="dxa" w:w="0.000000"/>
          <w:bottom w:type="dxa" w:w="0.000000"/>
          <w:left w:type="dxa" w:w="108.000000"/>
          <w:right w:type="dxa" w:w="108.000000"/>
        </w:tblCellMar>
      </w:tblPr>
      <w:tblGrid>
        <w:gridCol w:w="837.000000"/>
        <w:gridCol w:w="766.000000"/>
        <w:gridCol w:w="873.000000"/>
        <w:gridCol w:w="2353.000000"/>
        <w:gridCol w:w="5191.000000"/>
        <w:gridCol w:w="1300.000000"/>
        <w:gridCol w:w="1363.000000"/>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type="dxa" w:w="0.000000"/>
            <w:bottom w:type="dxa" w:w="0.000000"/>
            <w:left w:type="dxa" w:w="108.000000"/>
            <w:right w:type="dxa" w:w="108.000000"/>
          </w:tblCellMar>
          <w:tblLayout w:type="fixed"/>
        </w:tblPrEx>
        <w:trPr>
          <w:trHeight w:val="692" w:hRule="atLeast"/>
          <w:tblHeader/>
          <w:jc w:val="center"/>
        </w:trPr>
        <w:tc>
          <w:tcPr>
            <w:tcW w:w="837" w:type="dxa"/>
            <w:vAlign w:val="center"/>
            <w:shd w:val="clear" w:color="auto" w:fill="FFFFFF"/>
          </w:tcPr>
          <w:p>
            <w:pPr>
              <w:widowControl w:val="1"/>
              <w:jc w:val="center"/>
              <w:spacing w:line="0" w:lineRule="atLeast"/>
              <w:rPr>
                <w:b w:val="1"/>
                <w:color w:val="auto"/>
                <w:sz w:val="22"/>
                <w:bCs/>
                <w:kern w:val="0"/>
                <w:szCs w:val="22"/>
              </w:rPr>
            </w:pPr>
            <w:r>
              <w:rPr>
                <w:b w:val="1"/>
                <w:color w:val="auto"/>
                <w:sz w:val="22"/>
                <w:bCs/>
                <w:kern w:val="0"/>
                <w:szCs w:val="22"/>
              </w:rPr>
              <w:t>一级指标</w:t>
            </w:r>
          </w:p>
        </w:tc>
        <w:tc>
          <w:tcPr>
            <w:tcW w:w="766" w:type="dxa"/>
            <w:vAlign w:val="center"/>
            <w:shd w:val="clear" w:color="auto" w:fill="FFFFFF"/>
          </w:tcPr>
          <w:p>
            <w:pPr>
              <w:widowControl w:val="1"/>
              <w:jc w:val="center"/>
              <w:spacing w:line="0" w:lineRule="atLeast"/>
              <w:rPr>
                <w:b w:val="1"/>
                <w:color w:val="auto"/>
                <w:sz w:val="22"/>
                <w:bCs/>
                <w:kern w:val="0"/>
                <w:szCs w:val="22"/>
              </w:rPr>
            </w:pPr>
            <w:r>
              <w:rPr>
                <w:b w:val="1"/>
                <w:color w:val="auto"/>
                <w:sz w:val="22"/>
                <w:bCs/>
                <w:kern w:val="0"/>
                <w:szCs w:val="22"/>
              </w:rPr>
              <w:t>二级指标</w:t>
            </w:r>
          </w:p>
        </w:tc>
        <w:tc>
          <w:tcPr>
            <w:tcW w:w="873" w:type="dxa"/>
            <w:vAlign w:val="center"/>
            <w:shd w:val="clear" w:color="auto" w:fill="FFFFFF"/>
          </w:tcPr>
          <w:p>
            <w:pPr>
              <w:widowControl w:val="1"/>
              <w:jc w:val="center"/>
              <w:spacing w:line="0" w:lineRule="atLeast"/>
              <w:rPr>
                <w:b w:val="1"/>
                <w:color w:val="auto"/>
                <w:sz w:val="22"/>
                <w:bCs/>
                <w:kern w:val="0"/>
                <w:szCs w:val="22"/>
              </w:rPr>
            </w:pPr>
            <w:r>
              <w:rPr>
                <w:b w:val="1"/>
                <w:color w:val="auto"/>
                <w:sz w:val="22"/>
                <w:bCs/>
                <w:kern w:val="0"/>
                <w:szCs w:val="22"/>
              </w:rPr>
              <w:t>三级指标</w:t>
            </w:r>
          </w:p>
        </w:tc>
        <w:tc>
          <w:tcPr>
            <w:tcW w:w="2353" w:type="dxa"/>
            <w:vAlign w:val="center"/>
            <w:shd w:val="clear" w:color="auto" w:fill="FFFFFF"/>
          </w:tcPr>
          <w:p>
            <w:pPr>
              <w:widowControl w:val="1"/>
              <w:jc w:val="center"/>
              <w:spacing w:line="0" w:lineRule="atLeast"/>
              <w:rPr>
                <w:b w:val="1"/>
                <w:color w:val="auto"/>
                <w:sz w:val="22"/>
                <w:bCs/>
                <w:kern w:val="0"/>
                <w:szCs w:val="22"/>
              </w:rPr>
            </w:pPr>
            <w:r>
              <w:rPr>
                <w:b w:val="1"/>
                <w:color w:val="auto"/>
                <w:sz w:val="22"/>
                <w:bCs/>
                <w:kern w:val="0"/>
                <w:szCs w:val="22"/>
              </w:rPr>
              <w:t>指标解释</w:t>
            </w:r>
          </w:p>
        </w:tc>
        <w:tc>
          <w:tcPr>
            <w:tcW w:w="5191" w:type="dxa"/>
            <w:vAlign w:val="center"/>
            <w:shd w:val="clear" w:color="auto" w:fill="FFFFFF"/>
          </w:tcPr>
          <w:p>
            <w:pPr>
              <w:widowControl w:val="1"/>
              <w:jc w:val="center"/>
              <w:spacing w:line="0" w:lineRule="atLeast"/>
              <w:rPr>
                <w:b w:val="1"/>
                <w:color w:val="auto"/>
                <w:sz w:val="22"/>
                <w:bCs/>
                <w:kern w:val="0"/>
                <w:szCs w:val="22"/>
              </w:rPr>
            </w:pPr>
            <w:r>
              <w:rPr>
                <w:b w:val="1"/>
                <w:color w:val="auto"/>
                <w:sz w:val="22"/>
                <w:bCs/>
                <w:kern w:val="0"/>
                <w:szCs w:val="22"/>
              </w:rPr>
              <w:t>指标说明</w:t>
            </w:r>
          </w:p>
        </w:tc>
        <w:tc>
          <w:tcPr>
            <w:tcW w:w="1300" w:type="dxa"/>
            <w:vAlign w:val="center"/>
            <w:shd w:val="clear" w:color="auto" w:fill="FFFFFF"/>
          </w:tcPr>
          <w:p>
            <w:pPr>
              <w:widowControl w:val="1"/>
              <w:jc w:val="center"/>
              <w:spacing w:line="0" w:lineRule="atLeast"/>
              <w:rPr>
                <w:b w:val="1"/>
                <w:color w:val="auto"/>
                <w:sz w:val="22"/>
                <w:bCs/>
                <w:kern w:val="0"/>
                <w:szCs w:val="22"/>
              </w:rPr>
            </w:pPr>
            <w:r>
              <w:rPr>
                <w:b w:val="1"/>
                <w:color w:val="auto"/>
                <w:sz w:val="22"/>
                <w:bCs/>
                <w:kern w:val="0"/>
                <w:szCs w:val="22"/>
              </w:rPr>
              <w:t>权重</w:t>
            </w:r>
          </w:p>
        </w:tc>
        <w:tc>
          <w:tcPr>
            <w:tcW w:w="1363" w:type="dxa"/>
            <w:vAlign w:val="center"/>
            <w:shd w:val="clear" w:color="auto" w:fill="FFFFFF"/>
          </w:tcPr>
          <w:p>
            <w:pPr>
              <w:widowControl w:val="1"/>
              <w:jc w:val="center"/>
              <w:spacing w:line="0" w:lineRule="atLeast"/>
              <w:rPr>
                <w:b w:val="1"/>
                <w:color w:val="auto"/>
                <w:sz w:val="22"/>
                <w:bCs/>
                <w:kern w:val="0"/>
                <w:szCs w:val="22"/>
              </w:rPr>
            </w:pPr>
            <w:r>
              <w:rPr>
                <w:b w:val="1"/>
                <w:color w:val="auto"/>
                <w:sz w:val="22"/>
                <w:bCs/>
                <w:kern w:val="0"/>
                <w:szCs w:val="22"/>
              </w:rPr>
              <w:t>得分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type="dxa" w:w="0.000000"/>
            <w:bottom w:type="dxa" w:w="0.000000"/>
            <w:left w:type="dxa" w:w="108.000000"/>
            <w:right w:type="dxa" w:w="108.000000"/>
          </w:tblCellMar>
          <w:tblLayout w:type="fixed"/>
        </w:tblPrEx>
        <w:trPr>
          <w:trHeight w:val="2318" w:hRule="atLeast"/>
          <w:jc w:val="center"/>
        </w:trPr>
        <w:tc>
          <w:tcPr>
            <w:tcW w:w="837" w:type="dxa"/>
            <w:vMerge w:val="restart"/>
            <w:vAlign w:val="center"/>
            <w:shd w:val="clear" w:color="auto" w:fill="FFFFFF"/>
          </w:tcPr>
          <w:p>
            <w:pPr>
              <w:widowControl w:val="1"/>
              <w:jc w:val="center"/>
              <w:spacing w:line="0" w:lineRule="atLeast"/>
              <w:rPr>
                <w:color w:val="auto"/>
                <w:sz w:val="22"/>
                <w:kern w:val="0"/>
                <w:szCs w:val="22"/>
              </w:rPr>
            </w:pPr>
            <w:r>
              <w:rPr>
                <w:color w:val="auto"/>
                <w:sz w:val="22"/>
                <w:kern w:val="0"/>
                <w:szCs w:val="22"/>
              </w:rPr>
              <w:t>决策　</w:t>
            </w:r>
          </w:p>
          <w:p>
            <w:pPr>
              <w:widowControl w:val="1"/>
              <w:jc w:val="center"/>
              <w:spacing w:line="0" w:lineRule="atLeast"/>
              <w:rPr>
                <w:color w:val="auto"/>
                <w:sz w:val="22"/>
                <w:kern w:val="0"/>
                <w:szCs w:val="22"/>
              </w:rPr>
            </w:pPr>
            <w:r>
              <w:rPr>
                <w:color w:val="auto"/>
                <w:sz w:val="22"/>
                <w:kern w:val="0"/>
                <w:szCs w:val="22"/>
              </w:rPr>
              <w:t>　</w:t>
            </w:r>
          </w:p>
          <w:p>
            <w:pPr>
              <w:jc w:val="center"/>
              <w:spacing w:line="0" w:lineRule="atLeast"/>
              <w:rPr>
                <w:color w:val="auto"/>
                <w:sz w:val="22"/>
                <w:kern w:val="0"/>
                <w:szCs w:val="22"/>
              </w:rPr>
            </w:pPr>
            <w:r>
              <w:rPr>
                <w:color w:val="auto"/>
                <w:sz w:val="22"/>
                <w:kern w:val="0"/>
                <w:szCs w:val="22"/>
              </w:rPr>
              <w:t>　</w:t>
            </w:r>
          </w:p>
        </w:tc>
        <w:tc>
          <w:tcPr>
            <w:tcW w:w="766" w:type="dxa"/>
            <w:vMerge w:val="restart"/>
            <w:vAlign w:val="center"/>
            <w:shd w:val="clear" w:color="auto" w:fill="FFFFFF"/>
          </w:tcPr>
          <w:p>
            <w:pPr>
              <w:widowControl w:val="1"/>
              <w:jc w:val="center"/>
              <w:spacing w:line="0" w:lineRule="atLeast"/>
              <w:rPr>
                <w:color w:val="auto"/>
                <w:sz w:val="22"/>
                <w:kern w:val="0"/>
                <w:szCs w:val="22"/>
              </w:rPr>
            </w:pPr>
            <w:r>
              <w:rPr>
                <w:color w:val="auto"/>
                <w:sz w:val="22"/>
                <w:kern w:val="0"/>
                <w:szCs w:val="22"/>
              </w:rPr>
              <w:t>项目立项　</w:t>
            </w:r>
          </w:p>
        </w:tc>
        <w:tc>
          <w:tcPr>
            <w:tcW w:w="873" w:type="dxa"/>
            <w:vAlign w:val="center"/>
            <w:shd w:val="clear" w:color="auto" w:fill="FFFFFF"/>
          </w:tcPr>
          <w:p>
            <w:pPr>
              <w:widowControl w:val="1"/>
              <w:jc w:val="center"/>
              <w:spacing w:line="0" w:lineRule="atLeast"/>
              <w:rPr>
                <w:color w:val="auto"/>
                <w:sz w:val="22"/>
                <w:kern w:val="0"/>
                <w:szCs w:val="22"/>
              </w:rPr>
            </w:pPr>
            <w:r>
              <w:rPr>
                <w:color w:val="auto"/>
                <w:sz w:val="22"/>
                <w:kern w:val="0"/>
                <w:szCs w:val="22"/>
              </w:rPr>
              <w:t>立项依据</w:t>
            </w:r>
          </w:p>
          <w:p>
            <w:pPr>
              <w:widowControl w:val="1"/>
              <w:jc w:val="center"/>
              <w:spacing w:line="0" w:lineRule="atLeast"/>
              <w:rPr>
                <w:color w:val="auto"/>
                <w:sz w:val="22"/>
                <w:kern w:val="0"/>
                <w:szCs w:val="22"/>
              </w:rPr>
            </w:pPr>
            <w:r>
              <w:rPr>
                <w:color w:val="auto"/>
                <w:sz w:val="22"/>
                <w:kern w:val="0"/>
                <w:szCs w:val="22"/>
              </w:rPr>
              <w:t>充分性</w:t>
            </w:r>
          </w:p>
        </w:tc>
        <w:tc>
          <w:tcPr>
            <w:tcW w:w="2353" w:type="dxa"/>
            <w:vAlign w:val="center"/>
            <w:shd w:val="clear" w:color="auto" w:fill="FFFFFF"/>
          </w:tcPr>
          <w:p>
            <w:pPr>
              <w:widowControl w:val="1"/>
              <w:spacing w:line="0" w:lineRule="atLeast"/>
              <w:rPr>
                <w:color w:val="auto"/>
                <w:sz w:val="22"/>
                <w:kern w:val="0"/>
                <w:szCs w:val="22"/>
              </w:rPr>
            </w:pPr>
            <w:r>
              <w:rPr>
                <w:color w:val="auto"/>
                <w:sz w:val="22"/>
                <w:kern w:val="0"/>
                <w:szCs w:val="22"/>
              </w:rPr>
              <w:t>项目立项是否符合法律法规、相关政策、发展规划以及部门职责，用以反映和考核项目立项依据情况。</w:t>
            </w:r>
          </w:p>
        </w:tc>
        <w:tc>
          <w:tcPr>
            <w:tcW w:w="5191" w:type="dxa"/>
            <w:vAlign w:val="center"/>
            <w:shd w:val="clear" w:color="auto" w:fill="FFFFFF"/>
          </w:tcPr>
          <w:p>
            <w:pPr>
              <w:widowControl w:val="1"/>
              <w:jc w:val="left"/>
              <w:spacing w:line="0" w:lineRule="atLeast"/>
              <w:rPr>
                <w:color w:val="auto"/>
                <w:sz w:val="22"/>
                <w:kern w:val="0"/>
                <w:szCs w:val="22"/>
              </w:rPr>
            </w:pPr>
            <w:r>
              <w:rPr>
                <w:color w:val="auto"/>
                <w:sz w:val="22"/>
                <w:kern w:val="0"/>
                <w:szCs w:val="22"/>
              </w:rPr>
              <w:t>评价要点：</w:t>
            </w:r>
            <w:r>
              <w:br/>
              <w:rPr>
                <w:color w:val="auto"/>
                <w:sz w:val="22"/>
                <w:kern w:val="0"/>
                <w:szCs w:val="22"/>
              </w:rPr>
            </w:r>
            <w:r>
              <w:rPr>
                <w:color w:val="auto"/>
                <w:sz w:val="22"/>
                <w:kern w:val="0"/>
                <w:szCs w:val="22"/>
              </w:rPr>
              <w:t>①项目立项是否符合国家法律法规、国民经济发展规划和相关政策；</w:t>
            </w:r>
            <w:r>
              <w:br/>
              <w:rPr>
                <w:color w:val="auto"/>
                <w:sz w:val="22"/>
                <w:kern w:val="0"/>
                <w:szCs w:val="22"/>
              </w:rPr>
            </w:r>
            <w:r>
              <w:rPr>
                <w:color w:val="auto"/>
                <w:sz w:val="22"/>
                <w:kern w:val="0"/>
                <w:szCs w:val="22"/>
              </w:rPr>
              <w:t>②项目立项是否符合行业发展规划和政策要求；</w:t>
            </w:r>
            <w:r>
              <w:br/>
              <w:rPr>
                <w:color w:val="auto"/>
                <w:sz w:val="22"/>
                <w:kern w:val="0"/>
                <w:szCs w:val="22"/>
              </w:rPr>
            </w:r>
            <w:r>
              <w:rPr>
                <w:color w:val="auto"/>
                <w:sz w:val="22"/>
                <w:kern w:val="0"/>
                <w:szCs w:val="22"/>
              </w:rPr>
              <w:t>③项目立项是否与部门职责范围相符，属于部门履职所需；</w:t>
            </w:r>
            <w:r>
              <w:br/>
              <w:rPr>
                <w:color w:val="auto"/>
                <w:sz w:val="22"/>
                <w:kern w:val="0"/>
                <w:szCs w:val="22"/>
              </w:rPr>
            </w:r>
            <w:r>
              <w:rPr>
                <w:color w:val="auto"/>
                <w:sz w:val="22"/>
                <w:kern w:val="0"/>
                <w:szCs w:val="22"/>
              </w:rPr>
              <w:t>④项目是否属于公共财政支持范围，是否符合中央、地方事权支出责任划分原则；</w:t>
            </w:r>
            <w:r>
              <w:br/>
              <w:rPr>
                <w:color w:val="auto"/>
                <w:sz w:val="22"/>
                <w:kern w:val="0"/>
                <w:szCs w:val="22"/>
              </w:rPr>
            </w:r>
            <w:r>
              <w:rPr>
                <w:color w:val="auto"/>
                <w:sz w:val="22"/>
                <w:kern w:val="0"/>
                <w:szCs w:val="22"/>
              </w:rPr>
              <w:t>⑤项目是否与相关部门同类项目或部门内部相关项目重复。</w:t>
            </w:r>
          </w:p>
        </w:tc>
        <w:tc>
          <w:tcPr>
            <w:tcW w:w="1300" w:type="dxa"/>
            <w:vAlign w:val="center"/>
            <w:shd w:val="clear" w:color="auto" w:fill="FFFFFF"/>
          </w:tcPr>
          <w:p>
            <w:pPr>
              <w:widowControl w:val="1"/>
              <w:jc w:val="center"/>
              <w:spacing w:line="0" w:lineRule="atLeast"/>
              <w:rPr>
                <w:b w:val="1"/>
                <w:color w:val="auto"/>
                <w:sz w:val="22"/>
                <w:bCs/>
                <w:kern w:val="0"/>
                <w:szCs w:val="22"/>
              </w:rPr>
            </w:pPr>
            <w:r>
              <w:rPr>
                <w:b w:val="1"/>
                <w:color w:val="auto"/>
                <w:sz w:val="22"/>
                <w:bCs/>
                <w:kern w:val="0"/>
                <w:szCs w:val="22"/>
                <w:rFonts w:hint="eastAsia"/>
              </w:rPr>
              <w:t>3</w:t>
            </w:r>
          </w:p>
        </w:tc>
        <w:tc>
          <w:tcPr>
            <w:tcW w:w="1363" w:type="dxa"/>
            <w:vAlign w:val="center"/>
            <w:shd w:val="clear" w:color="auto" w:fill="FFFFFF"/>
          </w:tcPr>
          <w:p>
            <w:pPr>
              <w:widowControl w:val="1"/>
              <w:jc w:val="center"/>
              <w:spacing w:line="0" w:lineRule="atLeast"/>
              <w:rPr>
                <w:color w:val="auto"/>
                <w:sz w:val="22"/>
                <w:lang w:val="en-US" w:eastAsia="zh-CN" w:bidi="ar-SA"/>
                <w:kern w:val="0"/>
                <w:szCs w:val="22"/>
                <w:rFonts w:ascii="Times New Roman" w:hAnsi="Times New Roman" w:eastAsia="宋体" w:cs="Times New Roman"/>
              </w:rPr>
            </w:pPr>
            <w:r>
              <w:rPr>
                <w:color w:val="auto"/>
                <w:sz w:val="22"/>
                <w:kern w:val="0"/>
                <w:szCs w:val="22"/>
                <w:rFonts w:hint="eastAsia"/>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type="dxa" w:w="0.000000"/>
            <w:bottom w:type="dxa" w:w="0.000000"/>
            <w:left w:type="dxa" w:w="108.000000"/>
            <w:right w:type="dxa" w:w="108.000000"/>
          </w:tblCellMar>
          <w:tblLayout w:type="fixed"/>
        </w:tblPrEx>
        <w:trPr>
          <w:trHeight w:val="1640" w:hRule="atLeast"/>
          <w:jc w:val="center"/>
        </w:trPr>
        <w:tc>
          <w:tcPr>
            <w:tcW w:w="837" w:type="dxa"/>
            <w:vMerge w:val="continue"/>
            <w:vAlign w:val="center"/>
            <w:shd w:val="clear" w:color="auto" w:fill="FFFFFF"/>
          </w:tcPr>
          <w:p>
            <w:pPr>
              <w:jc w:val="center"/>
              <w:spacing w:line="0" w:lineRule="atLeast"/>
              <w:rPr>
                <w:color w:val="auto"/>
                <w:sz w:val="22"/>
                <w:kern w:val="0"/>
                <w:szCs w:val="22"/>
              </w:rPr>
            </w:pPr>
          </w:p>
        </w:tc>
        <w:tc>
          <w:tcPr>
            <w:tcW w:w="766" w:type="dxa"/>
            <w:vMerge w:val="continue"/>
            <w:vAlign w:val="center"/>
            <w:shd w:val="clear" w:color="auto" w:fill="FFFFFF"/>
          </w:tcPr>
          <w:p>
            <w:pPr>
              <w:widowControl w:val="1"/>
              <w:jc w:val="center"/>
              <w:spacing w:line="0" w:lineRule="atLeast"/>
              <w:rPr>
                <w:color w:val="auto"/>
                <w:sz w:val="22"/>
                <w:kern w:val="0"/>
                <w:szCs w:val="22"/>
              </w:rPr>
            </w:pPr>
          </w:p>
        </w:tc>
        <w:tc>
          <w:tcPr>
            <w:tcW w:w="873" w:type="dxa"/>
            <w:vAlign w:val="center"/>
            <w:shd w:val="clear" w:color="auto" w:fill="FFFFFF"/>
          </w:tcPr>
          <w:p>
            <w:pPr>
              <w:widowControl w:val="1"/>
              <w:jc w:val="center"/>
              <w:spacing w:line="0" w:lineRule="atLeast"/>
              <w:rPr>
                <w:color w:val="auto"/>
                <w:sz w:val="22"/>
                <w:kern w:val="0"/>
                <w:szCs w:val="22"/>
              </w:rPr>
            </w:pPr>
            <w:r>
              <w:rPr>
                <w:color w:val="auto"/>
                <w:sz w:val="22"/>
                <w:kern w:val="0"/>
                <w:szCs w:val="22"/>
              </w:rPr>
              <w:t>立项程序</w:t>
            </w:r>
          </w:p>
          <w:p>
            <w:pPr>
              <w:widowControl w:val="1"/>
              <w:jc w:val="center"/>
              <w:spacing w:line="0" w:lineRule="atLeast"/>
              <w:rPr>
                <w:color w:val="auto"/>
                <w:sz w:val="22"/>
                <w:kern w:val="0"/>
                <w:szCs w:val="22"/>
              </w:rPr>
            </w:pPr>
            <w:r>
              <w:rPr>
                <w:color w:val="auto"/>
                <w:sz w:val="22"/>
                <w:kern w:val="0"/>
                <w:szCs w:val="22"/>
              </w:rPr>
              <w:t>规范性</w:t>
            </w:r>
          </w:p>
        </w:tc>
        <w:tc>
          <w:tcPr>
            <w:tcW w:w="2353" w:type="dxa"/>
            <w:vAlign w:val="center"/>
            <w:shd w:val="clear" w:color="auto" w:fill="FFFFFF"/>
          </w:tcPr>
          <w:p>
            <w:pPr>
              <w:widowControl w:val="1"/>
              <w:spacing w:line="0" w:lineRule="atLeast"/>
              <w:rPr>
                <w:color w:val="auto"/>
                <w:sz w:val="22"/>
                <w:kern w:val="0"/>
                <w:szCs w:val="22"/>
              </w:rPr>
            </w:pPr>
            <w:r>
              <w:rPr>
                <w:color w:val="auto"/>
                <w:sz w:val="22"/>
                <w:kern w:val="0"/>
                <w:szCs w:val="22"/>
              </w:rPr>
              <w:t>项目申请、设立过程是否符合相关要求，用以反映和考核项目立项的规范情况。</w:t>
            </w:r>
          </w:p>
        </w:tc>
        <w:tc>
          <w:tcPr>
            <w:tcW w:w="5191" w:type="dxa"/>
            <w:vAlign w:val="center"/>
            <w:shd w:val="clear" w:color="auto" w:fill="FFFFFF"/>
          </w:tcPr>
          <w:p>
            <w:pPr>
              <w:widowControl w:val="1"/>
              <w:jc w:val="left"/>
              <w:spacing w:line="0" w:lineRule="atLeast"/>
              <w:rPr>
                <w:color w:val="auto"/>
                <w:sz w:val="22"/>
                <w:kern w:val="0"/>
                <w:szCs w:val="22"/>
              </w:rPr>
            </w:pPr>
            <w:r>
              <w:rPr>
                <w:color w:val="auto"/>
                <w:sz w:val="22"/>
                <w:kern w:val="0"/>
                <w:szCs w:val="22"/>
              </w:rPr>
              <w:t>评价要点：</w:t>
            </w:r>
            <w:r>
              <w:br/>
              <w:rPr>
                <w:color w:val="auto"/>
                <w:sz w:val="22"/>
                <w:kern w:val="0"/>
                <w:szCs w:val="22"/>
              </w:rPr>
            </w:r>
            <w:r>
              <w:rPr>
                <w:color w:val="auto"/>
                <w:sz w:val="22"/>
                <w:kern w:val="0"/>
                <w:szCs w:val="22"/>
              </w:rPr>
              <w:t>①项目是否按照规定的程序申请设立；</w:t>
            </w:r>
            <w:r>
              <w:br/>
              <w:rPr>
                <w:color w:val="auto"/>
                <w:sz w:val="22"/>
                <w:kern w:val="0"/>
                <w:szCs w:val="22"/>
              </w:rPr>
            </w:r>
            <w:r>
              <w:rPr>
                <w:color w:val="auto"/>
                <w:sz w:val="22"/>
                <w:kern w:val="0"/>
                <w:szCs w:val="22"/>
              </w:rPr>
              <w:t>②审批文件、材料是否符合相关要求；</w:t>
            </w:r>
            <w:r>
              <w:br/>
              <w:rPr>
                <w:color w:val="auto"/>
                <w:sz w:val="22"/>
                <w:kern w:val="0"/>
                <w:szCs w:val="22"/>
              </w:rPr>
            </w:r>
            <w:r>
              <w:rPr>
                <w:color w:val="auto"/>
                <w:sz w:val="22"/>
                <w:kern w:val="0"/>
                <w:szCs w:val="22"/>
              </w:rPr>
              <w:t>③事前是否已经过必要的可行性研究、专家论证、风险评估、绩效评估、集体决策。</w:t>
            </w:r>
          </w:p>
        </w:tc>
        <w:tc>
          <w:tcPr>
            <w:tcW w:w="1300" w:type="dxa"/>
            <w:vAlign w:val="center"/>
            <w:shd w:val="clear" w:color="auto" w:fill="FFFFFF"/>
          </w:tcPr>
          <w:p>
            <w:pPr>
              <w:widowControl w:val="1"/>
              <w:jc w:val="center"/>
              <w:spacing w:line="0" w:lineRule="atLeast"/>
              <w:rPr>
                <w:b w:val="1"/>
                <w:color w:val="auto"/>
                <w:sz w:val="22"/>
                <w:bCs/>
                <w:kern w:val="0"/>
                <w:szCs w:val="22"/>
              </w:rPr>
            </w:pPr>
            <w:r>
              <w:rPr>
                <w:b w:val="1"/>
                <w:color w:val="auto"/>
                <w:sz w:val="22"/>
                <w:bCs/>
                <w:kern w:val="0"/>
                <w:szCs w:val="22"/>
                <w:rFonts w:hint="eastAsia"/>
              </w:rPr>
              <w:t>3</w:t>
            </w:r>
          </w:p>
        </w:tc>
        <w:tc>
          <w:tcPr>
            <w:tcW w:w="1363" w:type="dxa"/>
            <w:vAlign w:val="center"/>
            <w:shd w:val="clear" w:color="auto" w:fill="FFFFFF"/>
          </w:tcPr>
          <w:p>
            <w:pPr>
              <w:widowControl w:val="1"/>
              <w:jc w:val="center"/>
              <w:spacing w:line="0" w:lineRule="atLeast"/>
              <w:rPr>
                <w:color w:val="auto"/>
                <w:sz w:val="22"/>
                <w:lang w:val="en-US" w:eastAsia="zh-CN" w:bidi="ar-SA"/>
                <w:kern w:val="0"/>
                <w:szCs w:val="22"/>
                <w:rFonts w:ascii="Times New Roman" w:hAnsi="Times New Roman" w:eastAsia="宋体" w:cs="Times New Roman"/>
              </w:rPr>
            </w:pPr>
            <w:r>
              <w:rPr>
                <w:color w:val="auto"/>
                <w:sz w:val="22"/>
                <w:kern w:val="0"/>
                <w:szCs w:val="22"/>
                <w:rFonts w:hint="eastAsia"/>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type="dxa" w:w="0.000000"/>
            <w:bottom w:type="dxa" w:w="0.000000"/>
            <w:left w:type="dxa" w:w="108.000000"/>
            <w:right w:type="dxa" w:w="108.000000"/>
          </w:tblCellMar>
          <w:tblLayout w:type="fixed"/>
        </w:tblPrEx>
        <w:trPr>
          <w:trHeight w:val="1919" w:hRule="atLeast"/>
          <w:jc w:val="center"/>
        </w:trPr>
        <w:tc>
          <w:tcPr>
            <w:tcW w:w="837" w:type="dxa"/>
            <w:vMerge w:val="continue"/>
            <w:vAlign w:val="center"/>
            <w:shd w:val="clear" w:color="auto" w:fill="FFFFFF"/>
          </w:tcPr>
          <w:p>
            <w:pPr>
              <w:jc w:val="center"/>
              <w:spacing w:line="0" w:lineRule="atLeast"/>
              <w:rPr>
                <w:color w:val="auto"/>
                <w:sz w:val="22"/>
                <w:kern w:val="0"/>
                <w:szCs w:val="22"/>
              </w:rPr>
            </w:pPr>
          </w:p>
        </w:tc>
        <w:tc>
          <w:tcPr>
            <w:tcW w:w="766" w:type="dxa"/>
            <w:vAlign w:val="center"/>
            <w:shd w:val="clear" w:color="auto" w:fill="FFFFFF"/>
          </w:tcPr>
          <w:p>
            <w:pPr>
              <w:widowControl w:val="1"/>
              <w:jc w:val="center"/>
              <w:spacing w:line="0" w:lineRule="atLeast"/>
              <w:rPr>
                <w:color w:val="auto"/>
                <w:sz w:val="22"/>
                <w:kern w:val="0"/>
                <w:szCs w:val="22"/>
              </w:rPr>
            </w:pPr>
            <w:r>
              <w:rPr>
                <w:color w:val="auto"/>
                <w:sz w:val="22"/>
                <w:kern w:val="0"/>
                <w:szCs w:val="22"/>
              </w:rPr>
              <w:t>绩效目标　</w:t>
            </w:r>
          </w:p>
        </w:tc>
        <w:tc>
          <w:tcPr>
            <w:tcW w:w="873" w:type="dxa"/>
            <w:vAlign w:val="center"/>
            <w:shd w:val="clear" w:color="auto" w:fill="FFFFFF"/>
          </w:tcPr>
          <w:p>
            <w:pPr>
              <w:widowControl w:val="1"/>
              <w:jc w:val="center"/>
              <w:spacing w:line="0" w:lineRule="atLeast"/>
              <w:rPr>
                <w:color w:val="auto"/>
                <w:sz w:val="22"/>
                <w:kern w:val="0"/>
                <w:szCs w:val="22"/>
              </w:rPr>
            </w:pPr>
            <w:r>
              <w:rPr>
                <w:color w:val="auto"/>
                <w:sz w:val="22"/>
                <w:kern w:val="0"/>
                <w:szCs w:val="22"/>
              </w:rPr>
              <w:t>绩效目标</w:t>
            </w:r>
          </w:p>
          <w:p>
            <w:pPr>
              <w:widowControl w:val="1"/>
              <w:jc w:val="center"/>
              <w:spacing w:line="0" w:lineRule="atLeast"/>
              <w:rPr>
                <w:color w:val="auto"/>
                <w:sz w:val="22"/>
                <w:kern w:val="0"/>
                <w:szCs w:val="22"/>
              </w:rPr>
            </w:pPr>
            <w:r>
              <w:rPr>
                <w:color w:val="auto"/>
                <w:sz w:val="22"/>
                <w:kern w:val="0"/>
                <w:szCs w:val="22"/>
              </w:rPr>
              <w:t>合理性</w:t>
            </w:r>
          </w:p>
        </w:tc>
        <w:tc>
          <w:tcPr>
            <w:tcW w:w="2353" w:type="dxa"/>
            <w:vAlign w:val="center"/>
            <w:shd w:val="clear" w:color="000000" w:fill="FFFFFF"/>
          </w:tcPr>
          <w:p>
            <w:pPr>
              <w:widowControl w:val="1"/>
              <w:spacing w:line="0" w:lineRule="atLeast"/>
              <w:rPr>
                <w:color w:val="auto"/>
                <w:sz w:val="22"/>
                <w:kern w:val="0"/>
                <w:szCs w:val="22"/>
              </w:rPr>
            </w:pPr>
            <w:r>
              <w:rPr>
                <w:color w:val="auto"/>
                <w:sz w:val="22"/>
                <w:kern w:val="0"/>
                <w:szCs w:val="22"/>
              </w:rPr>
              <w:t>项目所设定的绩效目标是否依据充分，是否符合客观实际，用以反映和考核项目绩效目标与项目实施的相符情况。</w:t>
            </w:r>
          </w:p>
        </w:tc>
        <w:tc>
          <w:tcPr>
            <w:tcW w:w="5191" w:type="dxa"/>
            <w:vAlign w:val="center"/>
            <w:shd w:val="clear" w:color="000000" w:fill="FFFFFF"/>
          </w:tcPr>
          <w:p>
            <w:pPr>
              <w:widowControl w:val="1"/>
              <w:jc w:val="left"/>
              <w:spacing w:line="0" w:lineRule="atLeast"/>
              <w:rPr>
                <w:color w:val="auto"/>
                <w:sz w:val="22"/>
                <w:kern w:val="0"/>
                <w:szCs w:val="22"/>
              </w:rPr>
            </w:pPr>
            <w:r>
              <w:rPr>
                <w:color w:val="auto"/>
                <w:sz w:val="22"/>
                <w:kern w:val="0"/>
                <w:szCs w:val="22"/>
              </w:rPr>
              <w:t>评价要点：</w:t>
            </w:r>
            <w:r>
              <w:br/>
              <w:rPr>
                <w:color w:val="auto"/>
                <w:sz w:val="22"/>
                <w:kern w:val="0"/>
                <w:szCs w:val="22"/>
              </w:rPr>
            </w:r>
            <w:r>
              <w:rPr>
                <w:color w:val="auto"/>
                <w:sz w:val="22"/>
                <w:kern w:val="0"/>
                <w:szCs w:val="22"/>
              </w:rPr>
              <w:t>（如未设定预算绩效目标，也可考核其他工作任务目标）</w:t>
            </w:r>
            <w:r>
              <w:br/>
              <w:rPr>
                <w:color w:val="auto"/>
                <w:sz w:val="22"/>
                <w:kern w:val="0"/>
                <w:szCs w:val="22"/>
              </w:rPr>
            </w:r>
            <w:r>
              <w:rPr>
                <w:color w:val="auto"/>
                <w:sz w:val="22"/>
                <w:kern w:val="0"/>
                <w:szCs w:val="22"/>
              </w:rPr>
              <w:t>①项目是否有绩效目标；</w:t>
            </w:r>
            <w:r>
              <w:br/>
              <w:rPr>
                <w:color w:val="auto"/>
                <w:sz w:val="22"/>
                <w:kern w:val="0"/>
                <w:szCs w:val="22"/>
              </w:rPr>
            </w:r>
            <w:r>
              <w:rPr>
                <w:color w:val="auto"/>
                <w:sz w:val="22"/>
                <w:kern w:val="0"/>
                <w:szCs w:val="22"/>
              </w:rPr>
              <w:t>②项目绩效目标与实际工作内容是否具有相关性；</w:t>
            </w:r>
            <w:r>
              <w:br/>
              <w:rPr>
                <w:color w:val="auto"/>
                <w:sz w:val="22"/>
                <w:kern w:val="0"/>
                <w:szCs w:val="22"/>
              </w:rPr>
            </w:r>
            <w:r>
              <w:rPr>
                <w:color w:val="auto"/>
                <w:sz w:val="22"/>
                <w:kern w:val="0"/>
                <w:szCs w:val="22"/>
              </w:rPr>
              <w:t>③项目预期产出效益和效果是否符合正常的业绩水平；</w:t>
            </w:r>
          </w:p>
          <w:p>
            <w:pPr>
              <w:widowControl w:val="1"/>
              <w:jc w:val="left"/>
              <w:spacing w:line="0" w:lineRule="atLeast"/>
              <w:rPr>
                <w:color w:val="auto"/>
                <w:sz w:val="22"/>
                <w:kern w:val="0"/>
                <w:szCs w:val="22"/>
              </w:rPr>
            </w:pPr>
            <w:r>
              <w:rPr>
                <w:color w:val="auto"/>
                <w:sz w:val="22"/>
                <w:kern w:val="0"/>
                <w:szCs w:val="22"/>
              </w:rPr>
              <w:t>④是否与预算确定的项目投资额或资金量相匹配。</w:t>
            </w:r>
          </w:p>
        </w:tc>
        <w:tc>
          <w:tcPr>
            <w:tcW w:w="1300" w:type="dxa"/>
            <w:vAlign w:val="center"/>
            <w:shd w:val="clear" w:color="000000" w:fill="FFFFFF"/>
          </w:tcPr>
          <w:p>
            <w:pPr>
              <w:widowControl w:val="1"/>
              <w:jc w:val="center"/>
              <w:spacing w:line="0" w:lineRule="atLeast"/>
              <w:rPr>
                <w:b w:val="1"/>
                <w:color w:val="auto"/>
                <w:sz w:val="22"/>
                <w:bCs/>
                <w:kern w:val="0"/>
                <w:szCs w:val="22"/>
              </w:rPr>
            </w:pPr>
            <w:r>
              <w:rPr>
                <w:b w:val="1"/>
                <w:color w:val="auto"/>
                <w:sz w:val="22"/>
                <w:bCs/>
                <w:kern w:val="0"/>
                <w:szCs w:val="22"/>
                <w:rFonts w:hint="eastAsia"/>
              </w:rPr>
              <w:t>4</w:t>
            </w:r>
          </w:p>
        </w:tc>
        <w:tc>
          <w:tcPr>
            <w:tcW w:w="1363" w:type="dxa"/>
            <w:vAlign w:val="center"/>
            <w:shd w:val="clear" w:color="000000" w:fill="FFFFFF"/>
          </w:tcPr>
          <w:p>
            <w:pPr>
              <w:widowControl w:val="1"/>
              <w:jc w:val="center"/>
              <w:spacing w:line="0" w:lineRule="atLeast"/>
              <w:rPr>
                <w:color w:val="auto"/>
                <w:sz w:val="22"/>
                <w:lang w:val="en-US" w:eastAsia="zh-CN" w:bidi="ar-SA"/>
                <w:kern w:val="0"/>
                <w:szCs w:val="22"/>
                <w:rFonts w:ascii="Times New Roman" w:hAnsi="Times New Roman" w:eastAsia="宋体" w:cs="Times New Roman"/>
              </w:rPr>
            </w:pPr>
            <w:r>
              <w:rPr>
                <w:color w:val="auto"/>
                <w:sz w:val="22"/>
                <w:kern w:val="0"/>
                <w:szCs w:val="22"/>
                <w:rFonts w:hint="eastAsia"/>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type="dxa" w:w="0.000000"/>
            <w:bottom w:type="dxa" w:w="0.000000"/>
            <w:left w:type="dxa" w:w="108.000000"/>
            <w:right w:type="dxa" w:w="108.000000"/>
          </w:tblCellMar>
          <w:tblLayout w:type="fixed"/>
        </w:tblPrEx>
        <w:trPr>
          <w:trHeight w:val="1464" w:hRule="atLeast"/>
          <w:jc w:val="center"/>
        </w:trPr>
        <w:tc>
          <w:tcPr>
            <w:tcW w:w="837" w:type="dxa"/>
            <w:vMerge w:val="restart"/>
            <w:vAlign w:val="center"/>
            <w:shd w:val="clear" w:color="auto" w:fill="FFFFFF"/>
          </w:tcPr>
          <w:p>
            <w:pPr>
              <w:widowControl w:val="1"/>
              <w:jc w:val="center"/>
              <w:spacing w:line="0" w:lineRule="atLeast"/>
              <w:rPr>
                <w:color w:val="auto"/>
                <w:sz w:val="22"/>
                <w:kern w:val="0"/>
                <w:szCs w:val="22"/>
              </w:rPr>
            </w:pPr>
            <w:r>
              <w:rPr>
                <w:color w:val="auto"/>
                <w:sz w:val="22"/>
                <w:kern w:val="0"/>
                <w:szCs w:val="22"/>
              </w:rPr>
              <w:t>决策　</w:t>
            </w:r>
          </w:p>
        </w:tc>
        <w:tc>
          <w:tcPr>
            <w:tcW w:w="766" w:type="dxa"/>
            <w:vAlign w:val="center"/>
            <w:shd w:val="clear" w:color="auto" w:fill="FFFFFF"/>
          </w:tcPr>
          <w:p>
            <w:pPr>
              <w:widowControl w:val="1"/>
              <w:jc w:val="center"/>
              <w:spacing w:line="0" w:lineRule="atLeast"/>
              <w:rPr>
                <w:color w:val="auto"/>
                <w:sz w:val="22"/>
                <w:kern w:val="0"/>
                <w:szCs w:val="22"/>
              </w:rPr>
            </w:pPr>
            <w:r>
              <w:rPr>
                <w:color w:val="auto"/>
                <w:sz w:val="22"/>
                <w:kern w:val="0"/>
                <w:szCs w:val="22"/>
              </w:rPr>
              <w:t>绩效目标</w:t>
            </w:r>
          </w:p>
        </w:tc>
        <w:tc>
          <w:tcPr>
            <w:tcW w:w="873" w:type="dxa"/>
            <w:vAlign w:val="center"/>
            <w:shd w:val="clear" w:color="auto" w:fill="FFFFFF"/>
          </w:tcPr>
          <w:p>
            <w:pPr>
              <w:widowControl w:val="1"/>
              <w:jc w:val="center"/>
              <w:spacing w:line="0" w:lineRule="atLeast"/>
              <w:rPr>
                <w:color w:val="auto"/>
                <w:sz w:val="22"/>
                <w:kern w:val="0"/>
                <w:szCs w:val="22"/>
              </w:rPr>
            </w:pPr>
            <w:r>
              <w:rPr>
                <w:color w:val="auto"/>
                <w:sz w:val="22"/>
                <w:kern w:val="0"/>
                <w:szCs w:val="22"/>
              </w:rPr>
              <w:t>绩效指标</w:t>
            </w:r>
          </w:p>
          <w:p>
            <w:pPr>
              <w:widowControl w:val="1"/>
              <w:jc w:val="center"/>
              <w:spacing w:line="0" w:lineRule="atLeast"/>
              <w:rPr>
                <w:color w:val="auto"/>
                <w:sz w:val="22"/>
                <w:kern w:val="0"/>
                <w:szCs w:val="22"/>
              </w:rPr>
            </w:pPr>
            <w:r>
              <w:rPr>
                <w:color w:val="auto"/>
                <w:sz w:val="22"/>
                <w:kern w:val="0"/>
                <w:szCs w:val="22"/>
              </w:rPr>
              <w:t>明确性</w:t>
            </w:r>
          </w:p>
        </w:tc>
        <w:tc>
          <w:tcPr>
            <w:tcW w:w="2353" w:type="dxa"/>
            <w:vAlign w:val="center"/>
            <w:shd w:val="clear" w:color="000000" w:fill="FFFFFF"/>
          </w:tcPr>
          <w:p>
            <w:pPr>
              <w:widowControl w:val="1"/>
              <w:spacing w:line="0" w:lineRule="atLeast"/>
              <w:rPr>
                <w:color w:val="auto"/>
                <w:sz w:val="22"/>
                <w:kern w:val="0"/>
                <w:szCs w:val="22"/>
              </w:rPr>
            </w:pPr>
            <w:r>
              <w:rPr>
                <w:color w:val="auto"/>
                <w:sz w:val="22"/>
                <w:kern w:val="0"/>
                <w:szCs w:val="22"/>
              </w:rPr>
              <w:t>依据绩效目标设定的绩效指标是否清晰、细化、可衡量等，用以反映和考核项目绩效目标的明细化情况。</w:t>
            </w:r>
          </w:p>
        </w:tc>
        <w:tc>
          <w:tcPr>
            <w:tcW w:w="5191" w:type="dxa"/>
            <w:vAlign w:val="center"/>
            <w:shd w:val="clear" w:color="000000" w:fill="FFFFFF"/>
          </w:tcPr>
          <w:p>
            <w:pPr>
              <w:widowControl w:val="1"/>
              <w:spacing w:line="0" w:lineRule="atLeast"/>
              <w:rPr>
                <w:color w:val="auto"/>
                <w:sz w:val="22"/>
                <w:kern w:val="0"/>
                <w:szCs w:val="22"/>
              </w:rPr>
            </w:pPr>
            <w:r>
              <w:rPr>
                <w:color w:val="auto"/>
                <w:sz w:val="22"/>
                <w:kern w:val="0"/>
                <w:szCs w:val="22"/>
              </w:rPr>
              <w:t>评价要点：</w:t>
            </w:r>
            <w:r>
              <w:br/>
              <w:rPr>
                <w:color w:val="auto"/>
                <w:sz w:val="22"/>
                <w:kern w:val="0"/>
                <w:szCs w:val="22"/>
              </w:rPr>
            </w:r>
            <w:r>
              <w:rPr>
                <w:color w:val="auto"/>
                <w:sz w:val="22"/>
                <w:kern w:val="0"/>
                <w:szCs w:val="22"/>
              </w:rPr>
              <w:t>①是否将项目绩效目标细化分解为具体的绩效指标；</w:t>
            </w:r>
            <w:r>
              <w:br/>
              <w:rPr>
                <w:color w:val="auto"/>
                <w:sz w:val="22"/>
                <w:kern w:val="0"/>
                <w:szCs w:val="22"/>
              </w:rPr>
            </w:r>
            <w:r>
              <w:rPr>
                <w:color w:val="auto"/>
                <w:sz w:val="22"/>
                <w:kern w:val="0"/>
                <w:szCs w:val="22"/>
              </w:rPr>
              <w:t>②是否通过清晰、可衡量的指标值予以体现；</w:t>
            </w:r>
            <w:r>
              <w:br/>
              <w:rPr>
                <w:color w:val="auto"/>
                <w:sz w:val="22"/>
                <w:kern w:val="0"/>
                <w:szCs w:val="22"/>
              </w:rPr>
            </w:r>
            <w:r>
              <w:rPr>
                <w:color w:val="auto"/>
                <w:sz w:val="22"/>
                <w:kern w:val="0"/>
                <w:szCs w:val="22"/>
              </w:rPr>
              <w:t>③是否与项目目标任务数或计划数相对应。</w:t>
            </w:r>
            <w:r>
              <w:br/>
              <w:rPr>
                <w:color w:val="auto"/>
                <w:sz w:val="22"/>
                <w:kern w:val="0"/>
                <w:szCs w:val="22"/>
              </w:rPr>
            </w:r>
          </w:p>
        </w:tc>
        <w:tc>
          <w:tcPr>
            <w:tcW w:w="1300" w:type="dxa"/>
            <w:vAlign w:val="center"/>
            <w:shd w:val="clear" w:color="000000" w:fill="FFFFFF"/>
          </w:tcPr>
          <w:p>
            <w:pPr>
              <w:widowControl w:val="1"/>
              <w:jc w:val="center"/>
              <w:spacing w:line="0" w:lineRule="atLeast"/>
              <w:rPr>
                <w:b w:val="1"/>
                <w:color w:val="auto"/>
                <w:sz w:val="22"/>
                <w:bCs/>
                <w:kern w:val="0"/>
                <w:szCs w:val="22"/>
              </w:rPr>
            </w:pPr>
            <w:r>
              <w:rPr>
                <w:b w:val="1"/>
                <w:color w:val="auto"/>
                <w:sz w:val="22"/>
                <w:bCs/>
                <w:kern w:val="0"/>
                <w:szCs w:val="22"/>
                <w:rFonts w:hint="eastAsia"/>
              </w:rPr>
              <w:t>3</w:t>
            </w:r>
          </w:p>
        </w:tc>
        <w:tc>
          <w:tcPr>
            <w:tcW w:w="1363" w:type="dxa"/>
            <w:vAlign w:val="center"/>
            <w:shd w:val="clear" w:color="000000" w:fill="FFFFFF"/>
          </w:tcPr>
          <w:p>
            <w:pPr>
              <w:widowControl w:val="1"/>
              <w:jc w:val="center"/>
              <w:spacing w:line="0" w:lineRule="atLeast"/>
              <w:rPr>
                <w:color w:val="auto"/>
                <w:sz w:val="22"/>
                <w:lang w:val="en-US" w:eastAsia="zh-CN" w:bidi="ar-SA"/>
                <w:kern w:val="0"/>
                <w:szCs w:val="22"/>
                <w:rFonts w:ascii="Times New Roman" w:hAnsi="Times New Roman" w:eastAsia="宋体" w:cs="Times New Roman"/>
              </w:rPr>
            </w:pPr>
            <w:r>
              <w:rPr>
                <w:color w:val="auto"/>
                <w:sz w:val="22"/>
                <w:kern w:val="0"/>
                <w:szCs w:val="22"/>
                <w:rFonts w:hint="eastAsia"/>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type="dxa" w:w="0.000000"/>
            <w:bottom w:type="dxa" w:w="0.000000"/>
            <w:left w:type="dxa" w:w="108.000000"/>
            <w:right w:type="dxa" w:w="108.000000"/>
          </w:tblCellMar>
          <w:tblLayout w:type="fixed"/>
        </w:tblPrEx>
        <w:trPr>
          <w:trHeight w:val="1942" w:hRule="atLeast"/>
          <w:jc w:val="center"/>
        </w:trPr>
        <w:tc>
          <w:tcPr>
            <w:tcW w:w="837" w:type="dxa"/>
            <w:vMerge w:val="continue"/>
            <w:vAlign w:val="center"/>
            <w:shd w:val="clear" w:color="auto" w:fill="FFFFFF"/>
          </w:tcPr>
          <w:p>
            <w:pPr>
              <w:jc w:val="center"/>
              <w:spacing w:line="0" w:lineRule="atLeast"/>
              <w:rPr>
                <w:color w:val="auto"/>
                <w:sz w:val="22"/>
                <w:kern w:val="0"/>
                <w:szCs w:val="22"/>
              </w:rPr>
            </w:pPr>
          </w:p>
        </w:tc>
        <w:tc>
          <w:tcPr>
            <w:tcW w:w="766" w:type="dxa"/>
            <w:vMerge w:val="restart"/>
            <w:vAlign w:val="center"/>
            <w:shd w:val="clear" w:color="auto" w:fill="FFFFFF"/>
          </w:tcPr>
          <w:p>
            <w:pPr>
              <w:widowControl w:val="1"/>
              <w:jc w:val="center"/>
              <w:spacing w:line="0" w:lineRule="atLeast"/>
              <w:rPr>
                <w:color w:val="auto"/>
                <w:sz w:val="22"/>
                <w:kern w:val="0"/>
                <w:szCs w:val="22"/>
              </w:rPr>
            </w:pPr>
            <w:r>
              <w:rPr>
                <w:color w:val="auto"/>
                <w:sz w:val="22"/>
                <w:kern w:val="0"/>
                <w:szCs w:val="22"/>
              </w:rPr>
              <w:t>资金投入</w:t>
            </w:r>
          </w:p>
          <w:p>
            <w:pPr>
              <w:jc w:val="center"/>
              <w:spacing w:line="0" w:lineRule="atLeast"/>
              <w:rPr>
                <w:color w:val="auto"/>
                <w:sz w:val="22"/>
                <w:kern w:val="0"/>
                <w:szCs w:val="22"/>
              </w:rPr>
            </w:pPr>
            <w:r>
              <w:rPr>
                <w:color w:val="auto"/>
                <w:sz w:val="22"/>
                <w:kern w:val="0"/>
                <w:szCs w:val="22"/>
              </w:rPr>
              <w:t>　</w:t>
            </w:r>
          </w:p>
        </w:tc>
        <w:tc>
          <w:tcPr>
            <w:tcW w:w="873" w:type="dxa"/>
            <w:vAlign w:val="center"/>
            <w:shd w:val="clear" w:color="auto" w:fill="FFFFFF"/>
          </w:tcPr>
          <w:p>
            <w:pPr>
              <w:widowControl w:val="1"/>
              <w:jc w:val="center"/>
              <w:spacing w:line="0" w:lineRule="atLeast"/>
              <w:rPr>
                <w:color w:val="auto"/>
                <w:sz w:val="22"/>
                <w:kern w:val="0"/>
                <w:szCs w:val="22"/>
              </w:rPr>
            </w:pPr>
            <w:r>
              <w:rPr>
                <w:color w:val="auto"/>
                <w:sz w:val="22"/>
                <w:kern w:val="0"/>
                <w:szCs w:val="22"/>
              </w:rPr>
              <w:t>预算编制</w:t>
            </w:r>
          </w:p>
          <w:p>
            <w:pPr>
              <w:widowControl w:val="1"/>
              <w:jc w:val="center"/>
              <w:spacing w:line="0" w:lineRule="atLeast"/>
              <w:rPr>
                <w:color w:val="auto"/>
                <w:sz w:val="22"/>
                <w:kern w:val="0"/>
                <w:szCs w:val="22"/>
              </w:rPr>
            </w:pPr>
            <w:r>
              <w:rPr>
                <w:color w:val="auto"/>
                <w:sz w:val="22"/>
                <w:kern w:val="0"/>
                <w:szCs w:val="22"/>
              </w:rPr>
              <w:t>科学性</w:t>
            </w:r>
          </w:p>
        </w:tc>
        <w:tc>
          <w:tcPr>
            <w:tcW w:w="2353" w:type="dxa"/>
            <w:vAlign w:val="center"/>
            <w:shd w:val="clear" w:color="auto" w:fill="FFFFFF"/>
          </w:tcPr>
          <w:p>
            <w:pPr>
              <w:widowControl w:val="1"/>
              <w:spacing w:line="0" w:lineRule="atLeast"/>
              <w:rPr>
                <w:color w:val="auto"/>
                <w:sz w:val="22"/>
                <w:kern w:val="0"/>
                <w:szCs w:val="22"/>
              </w:rPr>
            </w:pPr>
            <w:r>
              <w:rPr>
                <w:color w:val="auto"/>
                <w:sz w:val="22"/>
                <w:kern w:val="0"/>
                <w:szCs w:val="22"/>
              </w:rPr>
              <w:t>项目预算编制是否经过科学论证、有明确标准，资金额度与年度目标是否相适应，用以反映和考核项目预算编制的科学性、合理性情况。</w:t>
            </w:r>
          </w:p>
        </w:tc>
        <w:tc>
          <w:tcPr>
            <w:tcW w:w="5191" w:type="dxa"/>
            <w:vAlign w:val="center"/>
            <w:shd w:val="clear" w:color="auto" w:fill="FFFFFF"/>
          </w:tcPr>
          <w:p>
            <w:pPr>
              <w:widowControl w:val="1"/>
              <w:spacing w:line="0" w:lineRule="atLeast"/>
              <w:rPr>
                <w:color w:val="auto"/>
                <w:sz w:val="22"/>
                <w:kern w:val="0"/>
                <w:szCs w:val="22"/>
              </w:rPr>
            </w:pPr>
            <w:r>
              <w:rPr>
                <w:color w:val="auto"/>
                <w:sz w:val="22"/>
                <w:kern w:val="0"/>
                <w:szCs w:val="22"/>
              </w:rPr>
              <w:t>评价要点：</w:t>
            </w:r>
            <w:r>
              <w:br/>
              <w:rPr>
                <w:color w:val="auto"/>
                <w:sz w:val="22"/>
                <w:kern w:val="0"/>
                <w:szCs w:val="22"/>
              </w:rPr>
            </w:r>
            <w:r>
              <w:rPr>
                <w:color w:val="auto"/>
                <w:sz w:val="22"/>
                <w:kern w:val="0"/>
                <w:szCs w:val="22"/>
              </w:rPr>
              <w:t>①预算编制是否经过科学论证；</w:t>
            </w:r>
            <w:r>
              <w:br/>
              <w:rPr>
                <w:color w:val="auto"/>
                <w:sz w:val="22"/>
                <w:kern w:val="0"/>
                <w:szCs w:val="22"/>
              </w:rPr>
            </w:r>
            <w:r>
              <w:rPr>
                <w:color w:val="auto"/>
                <w:sz w:val="22"/>
                <w:kern w:val="0"/>
                <w:szCs w:val="22"/>
              </w:rPr>
              <w:t>②预算内容与项目内容是否匹配；</w:t>
            </w:r>
            <w:r>
              <w:br/>
              <w:rPr>
                <w:color w:val="auto"/>
                <w:sz w:val="22"/>
                <w:kern w:val="0"/>
                <w:szCs w:val="22"/>
              </w:rPr>
            </w:r>
            <w:r>
              <w:rPr>
                <w:color w:val="auto"/>
                <w:sz w:val="22"/>
                <w:kern w:val="0"/>
                <w:szCs w:val="22"/>
              </w:rPr>
              <w:t>③预算额度测算依据是否充分，是否按照标准编制；</w:t>
            </w:r>
            <w:r>
              <w:br/>
              <w:rPr>
                <w:color w:val="auto"/>
                <w:sz w:val="22"/>
                <w:kern w:val="0"/>
                <w:szCs w:val="22"/>
              </w:rPr>
            </w:r>
            <w:r>
              <w:rPr>
                <w:color w:val="auto"/>
                <w:sz w:val="22"/>
                <w:kern w:val="0"/>
                <w:szCs w:val="22"/>
              </w:rPr>
              <w:t>④预算确定的项目投资额或资金量是否与工作任务相匹配。</w:t>
            </w:r>
          </w:p>
        </w:tc>
        <w:tc>
          <w:tcPr>
            <w:tcW w:w="1300" w:type="dxa"/>
            <w:vAlign w:val="center"/>
            <w:shd w:val="clear" w:color="auto" w:fill="FFFFFF"/>
          </w:tcPr>
          <w:p>
            <w:pPr>
              <w:widowControl w:val="1"/>
              <w:jc w:val="center"/>
              <w:spacing w:line="0" w:lineRule="atLeast"/>
              <w:rPr>
                <w:b w:val="1"/>
                <w:color w:val="auto"/>
                <w:sz w:val="22"/>
                <w:bCs/>
                <w:kern w:val="0"/>
                <w:szCs w:val="22"/>
              </w:rPr>
            </w:pPr>
            <w:r>
              <w:rPr>
                <w:b w:val="1"/>
                <w:color w:val="auto"/>
                <w:sz w:val="22"/>
                <w:bCs/>
                <w:kern w:val="0"/>
                <w:szCs w:val="22"/>
                <w:rFonts w:hint="eastAsia"/>
              </w:rPr>
              <w:t>4</w:t>
            </w:r>
          </w:p>
        </w:tc>
        <w:tc>
          <w:tcPr>
            <w:tcW w:w="1363" w:type="dxa"/>
            <w:vAlign w:val="center"/>
            <w:shd w:val="clear" w:color="auto" w:fill="FFFFFF"/>
          </w:tcPr>
          <w:p>
            <w:pPr>
              <w:widowControl w:val="1"/>
              <w:jc w:val="center"/>
              <w:spacing w:line="0" w:lineRule="atLeast"/>
              <w:rPr>
                <w:color w:val="auto"/>
                <w:sz w:val="22"/>
                <w:lang w:val="en-US" w:eastAsia="zh-CN" w:bidi="ar-SA"/>
                <w:kern w:val="0"/>
                <w:szCs w:val="22"/>
                <w:rFonts w:ascii="Times New Roman" w:hAnsi="Times New Roman" w:eastAsia="宋体" w:cs="Times New Roman"/>
              </w:rPr>
            </w:pPr>
            <w:r>
              <w:rPr>
                <w:color w:val="auto"/>
                <w:sz w:val="22"/>
                <w:kern w:val="0"/>
                <w:szCs w:val="22"/>
                <w:rFonts w:hint="eastAsia"/>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type="dxa" w:w="0.000000"/>
            <w:bottom w:type="dxa" w:w="0.000000"/>
            <w:left w:type="dxa" w:w="108.000000"/>
            <w:right w:type="dxa" w:w="108.000000"/>
          </w:tblCellMar>
          <w:tblLayout w:type="fixed"/>
        </w:tblPrEx>
        <w:trPr>
          <w:trHeight w:val="1706" w:hRule="atLeast"/>
          <w:jc w:val="center"/>
        </w:trPr>
        <w:tc>
          <w:tcPr>
            <w:tcW w:w="837" w:type="dxa"/>
            <w:vMerge w:val="continue"/>
            <w:vAlign w:val="center"/>
            <w:shd w:val="clear" w:color="auto" w:fill="FFFFFF"/>
          </w:tcPr>
          <w:p>
            <w:pPr>
              <w:widowControl w:val="1"/>
              <w:jc w:val="center"/>
              <w:spacing w:line="0" w:lineRule="atLeast"/>
              <w:rPr>
                <w:color w:val="auto"/>
                <w:sz w:val="22"/>
                <w:kern w:val="0"/>
                <w:szCs w:val="22"/>
              </w:rPr>
            </w:pPr>
          </w:p>
        </w:tc>
        <w:tc>
          <w:tcPr>
            <w:tcW w:w="766" w:type="dxa"/>
            <w:vMerge w:val="continue"/>
            <w:vAlign w:val="center"/>
            <w:shd w:val="clear" w:color="auto" w:fill="FFFFFF"/>
          </w:tcPr>
          <w:p>
            <w:pPr>
              <w:widowControl w:val="1"/>
              <w:jc w:val="center"/>
              <w:spacing w:line="0" w:lineRule="atLeast"/>
              <w:rPr>
                <w:color w:val="auto"/>
                <w:sz w:val="22"/>
                <w:kern w:val="0"/>
                <w:szCs w:val="22"/>
              </w:rPr>
            </w:pPr>
          </w:p>
        </w:tc>
        <w:tc>
          <w:tcPr>
            <w:tcW w:w="873" w:type="dxa"/>
            <w:vAlign w:val="center"/>
            <w:shd w:val="clear" w:color="auto" w:fill="FFFFFF"/>
          </w:tcPr>
          <w:p>
            <w:pPr>
              <w:widowControl w:val="1"/>
              <w:jc w:val="center"/>
              <w:spacing w:line="0" w:lineRule="atLeast"/>
              <w:rPr>
                <w:color w:val="auto"/>
                <w:sz w:val="22"/>
                <w:kern w:val="0"/>
                <w:szCs w:val="22"/>
              </w:rPr>
            </w:pPr>
            <w:r>
              <w:rPr>
                <w:color w:val="auto"/>
                <w:sz w:val="22"/>
                <w:kern w:val="0"/>
                <w:szCs w:val="22"/>
              </w:rPr>
              <w:t>资金分配</w:t>
            </w:r>
          </w:p>
          <w:p>
            <w:pPr>
              <w:widowControl w:val="1"/>
              <w:jc w:val="center"/>
              <w:spacing w:line="0" w:lineRule="atLeast"/>
              <w:rPr>
                <w:color w:val="auto"/>
                <w:sz w:val="22"/>
                <w:kern w:val="0"/>
                <w:szCs w:val="22"/>
              </w:rPr>
            </w:pPr>
            <w:r>
              <w:rPr>
                <w:color w:val="auto"/>
                <w:sz w:val="22"/>
                <w:kern w:val="0"/>
                <w:szCs w:val="22"/>
              </w:rPr>
              <w:t>合理性</w:t>
            </w:r>
          </w:p>
        </w:tc>
        <w:tc>
          <w:tcPr>
            <w:tcW w:w="2353" w:type="dxa"/>
            <w:vAlign w:val="center"/>
            <w:shd w:val="clear" w:color="auto" w:fill="FFFFFF"/>
          </w:tcPr>
          <w:p>
            <w:pPr>
              <w:widowControl w:val="1"/>
              <w:spacing w:line="0" w:lineRule="atLeast"/>
              <w:rPr>
                <w:color w:val="auto"/>
                <w:sz w:val="22"/>
                <w:kern w:val="0"/>
                <w:szCs w:val="22"/>
              </w:rPr>
            </w:pPr>
            <w:r>
              <w:rPr>
                <w:color w:val="auto"/>
                <w:sz w:val="22"/>
                <w:kern w:val="0"/>
                <w:szCs w:val="22"/>
              </w:rPr>
              <w:t>项目预算资金分配是否有测算依据，与补助单位或地方实际是否相适应，用以反映和考核项目预算资金分配的科学性、合理性情况。</w:t>
            </w:r>
          </w:p>
        </w:tc>
        <w:tc>
          <w:tcPr>
            <w:tcW w:w="5191" w:type="dxa"/>
            <w:vAlign w:val="center"/>
            <w:shd w:val="clear" w:color="auto" w:fill="FFFFFF"/>
          </w:tcPr>
          <w:p>
            <w:pPr>
              <w:widowControl w:val="1"/>
              <w:spacing w:line="0" w:lineRule="atLeast"/>
              <w:rPr>
                <w:color w:val="auto"/>
                <w:sz w:val="22"/>
                <w:kern w:val="0"/>
                <w:szCs w:val="22"/>
              </w:rPr>
            </w:pPr>
            <w:r>
              <w:rPr>
                <w:color w:val="auto"/>
                <w:sz w:val="22"/>
                <w:kern w:val="0"/>
                <w:szCs w:val="22"/>
              </w:rPr>
              <w:t>评价要点：</w:t>
            </w:r>
            <w:r>
              <w:br/>
              <w:rPr>
                <w:color w:val="auto"/>
                <w:sz w:val="22"/>
                <w:kern w:val="0"/>
                <w:szCs w:val="22"/>
              </w:rPr>
            </w:r>
            <w:r>
              <w:rPr>
                <w:color w:val="auto"/>
                <w:sz w:val="22"/>
                <w:kern w:val="0"/>
                <w:szCs w:val="22"/>
              </w:rPr>
              <w:t>①预算资金分配依据是否充分；</w:t>
            </w:r>
            <w:r>
              <w:br/>
              <w:rPr>
                <w:color w:val="auto"/>
                <w:sz w:val="22"/>
                <w:kern w:val="0"/>
                <w:szCs w:val="22"/>
              </w:rPr>
            </w:r>
            <w:r>
              <w:rPr>
                <w:color w:val="auto"/>
                <w:sz w:val="22"/>
                <w:kern w:val="0"/>
                <w:szCs w:val="22"/>
              </w:rPr>
              <w:t>②资金分配额度是否合理，与项目单位或地方实际是否相适应。</w:t>
            </w:r>
          </w:p>
        </w:tc>
        <w:tc>
          <w:tcPr>
            <w:tcW w:w="1300" w:type="dxa"/>
            <w:vAlign w:val="center"/>
            <w:shd w:val="clear" w:color="auto" w:fill="FFFFFF"/>
          </w:tcPr>
          <w:p>
            <w:pPr>
              <w:widowControl w:val="1"/>
              <w:jc w:val="center"/>
              <w:spacing w:line="0" w:lineRule="atLeast"/>
              <w:rPr>
                <w:b w:val="1"/>
                <w:color w:val="auto"/>
                <w:sz w:val="22"/>
                <w:bCs/>
                <w:kern w:val="0"/>
                <w:szCs w:val="22"/>
              </w:rPr>
            </w:pPr>
            <w:r>
              <w:rPr>
                <w:b w:val="1"/>
                <w:color w:val="auto"/>
                <w:sz w:val="22"/>
                <w:bCs/>
                <w:kern w:val="0"/>
                <w:szCs w:val="22"/>
                <w:rFonts w:hint="eastAsia"/>
              </w:rPr>
              <w:t>3</w:t>
            </w:r>
          </w:p>
        </w:tc>
        <w:tc>
          <w:tcPr>
            <w:tcW w:w="1363" w:type="dxa"/>
            <w:vAlign w:val="center"/>
            <w:shd w:val="clear" w:color="auto" w:fill="FFFFFF"/>
          </w:tcPr>
          <w:p>
            <w:pPr>
              <w:widowControl w:val="1"/>
              <w:jc w:val="center"/>
              <w:spacing w:line="0" w:lineRule="atLeast"/>
              <w:rPr>
                <w:color w:val="auto"/>
                <w:sz w:val="22"/>
                <w:lang w:val="en-US" w:eastAsia="zh-CN" w:bidi="ar-SA"/>
                <w:kern w:val="0"/>
                <w:szCs w:val="22"/>
                <w:rFonts w:ascii="Times New Roman" w:hAnsi="Times New Roman" w:eastAsia="宋体" w:cs="Times New Roman"/>
              </w:rPr>
            </w:pPr>
            <w:r>
              <w:rPr>
                <w:color w:val="auto"/>
                <w:sz w:val="22"/>
                <w:kern w:val="0"/>
                <w:szCs w:val="22"/>
                <w:rFonts w:hint="eastAsia"/>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type="dxa" w:w="0.000000"/>
            <w:bottom w:type="dxa" w:w="0.000000"/>
            <w:left w:type="dxa" w:w="108.000000"/>
            <w:right w:type="dxa" w:w="108.000000"/>
          </w:tblCellMar>
          <w:tblLayout w:type="fixed"/>
        </w:tblPrEx>
        <w:trPr>
          <w:trHeight w:val="1415" w:hRule="atLeast"/>
          <w:jc w:val="center"/>
        </w:trPr>
        <w:tc>
          <w:tcPr>
            <w:tcW w:w="837" w:type="dxa"/>
            <w:vMerge w:val="restart"/>
            <w:vAlign w:val="center"/>
            <w:shd w:val="clear" w:color="auto" w:fill="FFFFFF"/>
          </w:tcPr>
          <w:p>
            <w:pPr>
              <w:jc w:val="center"/>
              <w:spacing w:line="0" w:lineRule="atLeast"/>
              <w:rPr>
                <w:color w:val="auto"/>
                <w:sz w:val="22"/>
                <w:kern w:val="0"/>
                <w:szCs w:val="22"/>
              </w:rPr>
            </w:pPr>
            <w:r>
              <w:rPr>
                <w:color w:val="auto"/>
                <w:sz w:val="22"/>
                <w:kern w:val="0"/>
                <w:szCs w:val="22"/>
              </w:rPr>
              <w:t>过程</w:t>
            </w:r>
          </w:p>
        </w:tc>
        <w:tc>
          <w:tcPr>
            <w:tcW w:w="766" w:type="dxa"/>
            <w:vMerge w:val="restart"/>
            <w:vAlign w:val="center"/>
            <w:shd w:val="clear" w:color="auto" w:fill="FFFFFF"/>
          </w:tcPr>
          <w:p>
            <w:pPr>
              <w:widowControl w:val="1"/>
              <w:jc w:val="center"/>
              <w:spacing w:line="0" w:lineRule="atLeast"/>
              <w:rPr>
                <w:color w:val="auto"/>
                <w:sz w:val="22"/>
                <w:kern w:val="0"/>
                <w:szCs w:val="22"/>
              </w:rPr>
            </w:pPr>
            <w:r>
              <w:rPr>
                <w:color w:val="auto"/>
                <w:sz w:val="22"/>
                <w:kern w:val="0"/>
                <w:szCs w:val="22"/>
              </w:rPr>
              <w:t>资金管理</w:t>
            </w:r>
          </w:p>
        </w:tc>
        <w:tc>
          <w:tcPr>
            <w:tcW w:w="873" w:type="dxa"/>
            <w:vAlign w:val="center"/>
            <w:shd w:val="clear" w:color="auto" w:fill="FFFFFF"/>
          </w:tcPr>
          <w:p>
            <w:pPr>
              <w:widowControl w:val="1"/>
              <w:jc w:val="center"/>
              <w:spacing w:line="0" w:lineRule="atLeast"/>
              <w:rPr>
                <w:color w:val="auto"/>
                <w:sz w:val="22"/>
                <w:kern w:val="0"/>
                <w:szCs w:val="22"/>
              </w:rPr>
            </w:pPr>
            <w:r>
              <w:rPr>
                <w:color w:val="auto"/>
                <w:sz w:val="22"/>
                <w:kern w:val="0"/>
                <w:szCs w:val="22"/>
              </w:rPr>
              <w:t>资金到位率</w:t>
            </w:r>
          </w:p>
        </w:tc>
        <w:tc>
          <w:tcPr>
            <w:tcW w:w="2353" w:type="dxa"/>
            <w:vAlign w:val="center"/>
            <w:shd w:val="clear" w:color="000000" w:fill="FFFFFF"/>
          </w:tcPr>
          <w:p>
            <w:pPr>
              <w:widowControl w:val="1"/>
              <w:spacing w:line="0" w:lineRule="atLeast"/>
              <w:rPr>
                <w:color w:val="auto"/>
                <w:sz w:val="22"/>
                <w:kern w:val="0"/>
                <w:szCs w:val="22"/>
              </w:rPr>
            </w:pPr>
            <w:r>
              <w:rPr>
                <w:color w:val="auto"/>
                <w:sz w:val="22"/>
                <w:kern w:val="0"/>
                <w:szCs w:val="22"/>
              </w:rPr>
              <w:t>实际到位资金与预算资金的比率，用以反映和考核资金落实情况对项目实施的总体保障程度。</w:t>
            </w:r>
          </w:p>
        </w:tc>
        <w:tc>
          <w:tcPr>
            <w:tcW w:w="5191" w:type="dxa"/>
            <w:vAlign w:val="center"/>
            <w:shd w:val="clear" w:color="000000" w:fill="FFFFFF"/>
          </w:tcPr>
          <w:p>
            <w:pPr>
              <w:widowControl w:val="1"/>
              <w:spacing w:line="0" w:lineRule="atLeast"/>
              <w:rPr>
                <w:color w:val="auto"/>
                <w:sz w:val="22"/>
                <w:kern w:val="0"/>
                <w:szCs w:val="22"/>
              </w:rPr>
            </w:pPr>
            <w:r>
              <w:rPr>
                <w:color w:val="auto"/>
                <w:sz w:val="22"/>
                <w:kern w:val="0"/>
                <w:szCs w:val="22"/>
              </w:rPr>
              <w:t>资金到位率=（实际到位资金/预算资金）×100%。</w:t>
            </w:r>
          </w:p>
          <w:p>
            <w:pPr>
              <w:widowControl w:val="1"/>
              <w:spacing w:line="0" w:lineRule="atLeast"/>
              <w:rPr>
                <w:color w:val="auto"/>
                <w:sz w:val="22"/>
                <w:kern w:val="0"/>
                <w:szCs w:val="22"/>
              </w:rPr>
            </w:pPr>
            <w:r>
              <w:rPr>
                <w:color w:val="auto"/>
                <w:sz w:val="22"/>
                <w:kern w:val="0"/>
                <w:szCs w:val="22"/>
              </w:rPr>
              <w:t>实际到位资金：一定时期（本年度或项目期）内落实到具体项目的资金。</w:t>
            </w:r>
          </w:p>
          <w:p>
            <w:pPr>
              <w:widowControl w:val="1"/>
              <w:spacing w:line="0" w:lineRule="atLeast"/>
              <w:rPr>
                <w:color w:val="auto"/>
                <w:sz w:val="22"/>
                <w:kern w:val="0"/>
                <w:szCs w:val="22"/>
              </w:rPr>
            </w:pPr>
            <w:r>
              <w:rPr>
                <w:color w:val="auto"/>
                <w:sz w:val="22"/>
                <w:kern w:val="0"/>
                <w:szCs w:val="22"/>
              </w:rPr>
              <w:t>预算资金：一定时期（本年度或项目期）内预算安排到具体项目的资金。</w:t>
            </w:r>
          </w:p>
        </w:tc>
        <w:tc>
          <w:tcPr>
            <w:tcW w:w="1300" w:type="dxa"/>
            <w:vAlign w:val="center"/>
            <w:shd w:val="clear" w:color="000000" w:fill="FFFFFF"/>
          </w:tcPr>
          <w:p>
            <w:pPr>
              <w:widowControl w:val="1"/>
              <w:jc w:val="center"/>
              <w:spacing w:line="0" w:lineRule="atLeast"/>
              <w:rPr>
                <w:b w:val="1"/>
                <w:color w:val="auto"/>
                <w:sz w:val="22"/>
                <w:bCs/>
                <w:kern w:val="0"/>
                <w:szCs w:val="22"/>
              </w:rPr>
            </w:pPr>
            <w:r>
              <w:rPr>
                <w:b w:val="1"/>
                <w:color w:val="auto"/>
                <w:sz w:val="22"/>
                <w:bCs/>
                <w:kern w:val="0"/>
                <w:szCs w:val="22"/>
                <w:rFonts w:hint="eastAsia"/>
              </w:rPr>
              <w:t>4</w:t>
            </w:r>
          </w:p>
        </w:tc>
        <w:tc>
          <w:tcPr>
            <w:tcW w:w="1363" w:type="dxa"/>
            <w:vAlign w:val="center"/>
            <w:shd w:val="clear" w:color="000000" w:fill="FFFFFF"/>
          </w:tcPr>
          <w:p>
            <w:pPr>
              <w:widowControl w:val="1"/>
              <w:jc w:val="center"/>
              <w:spacing w:line="0" w:lineRule="atLeast"/>
              <w:rPr>
                <w:color w:val="auto"/>
                <w:sz w:val="22"/>
                <w:lang w:val="en-US" w:eastAsia="zh-CN" w:bidi="ar-SA"/>
                <w:kern w:val="0"/>
                <w:szCs w:val="22"/>
                <w:rFonts w:ascii="Times New Roman" w:hAnsi="Times New Roman" w:eastAsia="宋体" w:cs="Times New Roman"/>
              </w:rPr>
            </w:pPr>
            <w:r>
              <w:rPr>
                <w:color w:val="auto"/>
                <w:sz w:val="22"/>
                <w:kern w:val="0"/>
                <w:szCs w:val="22"/>
                <w:rFonts w:hint="eastAsia"/>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type="dxa" w:w="0.000000"/>
            <w:bottom w:type="dxa" w:w="0.000000"/>
            <w:left w:type="dxa" w:w="108.000000"/>
            <w:right w:type="dxa" w:w="108.000000"/>
          </w:tblCellMar>
          <w:tblLayout w:type="fixed"/>
        </w:tblPrEx>
        <w:trPr>
          <w:trHeight w:val="1320" w:hRule="atLeast"/>
          <w:jc w:val="center"/>
        </w:trPr>
        <w:tc>
          <w:tcPr>
            <w:tcW w:w="837" w:type="dxa"/>
            <w:vMerge w:val="continue"/>
            <w:vAlign w:val="center"/>
            <w:shd w:val="clear" w:color="auto" w:fill="FFFFFF"/>
          </w:tcPr>
          <w:p>
            <w:pPr>
              <w:jc w:val="center"/>
              <w:spacing w:line="0" w:lineRule="atLeast"/>
              <w:rPr>
                <w:color w:val="auto"/>
                <w:sz w:val="22"/>
                <w:kern w:val="0"/>
                <w:szCs w:val="22"/>
              </w:rPr>
            </w:pPr>
          </w:p>
        </w:tc>
        <w:tc>
          <w:tcPr>
            <w:tcW w:w="766" w:type="dxa"/>
            <w:vMerge w:val="continue"/>
            <w:vAlign w:val="center"/>
            <w:shd w:val="clear" w:color="auto" w:fill="FFFFFF"/>
          </w:tcPr>
          <w:p>
            <w:pPr>
              <w:jc w:val="center"/>
              <w:spacing w:line="0" w:lineRule="atLeast"/>
              <w:rPr>
                <w:color w:val="auto"/>
                <w:sz w:val="22"/>
                <w:kern w:val="0"/>
                <w:szCs w:val="22"/>
              </w:rPr>
            </w:pPr>
          </w:p>
        </w:tc>
        <w:tc>
          <w:tcPr>
            <w:tcW w:w="873" w:type="dxa"/>
            <w:vAlign w:val="center"/>
            <w:shd w:val="clear" w:color="auto" w:fill="FFFFFF"/>
          </w:tcPr>
          <w:p>
            <w:pPr>
              <w:widowControl w:val="1"/>
              <w:jc w:val="center"/>
              <w:spacing w:line="0" w:lineRule="atLeast"/>
              <w:rPr>
                <w:color w:val="auto"/>
                <w:sz w:val="22"/>
                <w:kern w:val="0"/>
                <w:szCs w:val="22"/>
              </w:rPr>
            </w:pPr>
            <w:r>
              <w:rPr>
                <w:color w:val="auto"/>
                <w:sz w:val="22"/>
                <w:kern w:val="0"/>
                <w:szCs w:val="22"/>
              </w:rPr>
              <w:t>预算执行率</w:t>
            </w:r>
          </w:p>
        </w:tc>
        <w:tc>
          <w:tcPr>
            <w:tcW w:w="2353" w:type="dxa"/>
            <w:vAlign w:val="center"/>
            <w:shd w:val="clear" w:color="auto" w:fill="FFFFFF"/>
          </w:tcPr>
          <w:p>
            <w:pPr>
              <w:widowControl w:val="1"/>
              <w:spacing w:line="0" w:lineRule="atLeast"/>
              <w:rPr>
                <w:color w:val="auto"/>
                <w:sz w:val="22"/>
                <w:kern w:val="0"/>
                <w:szCs w:val="22"/>
              </w:rPr>
            </w:pPr>
            <w:r>
              <w:rPr>
                <w:color w:val="auto"/>
                <w:sz w:val="22"/>
                <w:kern w:val="0"/>
                <w:szCs w:val="22"/>
              </w:rPr>
              <w:t>项目预算资金是否按照计划执行，用以反映或考核项目预算执行情况。</w:t>
            </w:r>
          </w:p>
        </w:tc>
        <w:tc>
          <w:tcPr>
            <w:tcW w:w="5191" w:type="dxa"/>
            <w:vAlign w:val="center"/>
            <w:shd w:val="clear" w:color="auto" w:fill="FFFFFF"/>
          </w:tcPr>
          <w:p>
            <w:pPr>
              <w:widowControl w:val="1"/>
              <w:spacing w:line="0" w:lineRule="atLeast"/>
              <w:rPr>
                <w:color w:val="auto"/>
                <w:sz w:val="22"/>
                <w:kern w:val="0"/>
                <w:szCs w:val="22"/>
              </w:rPr>
            </w:pPr>
            <w:r>
              <w:rPr>
                <w:color w:val="auto"/>
                <w:sz w:val="22"/>
                <w:kern w:val="0"/>
                <w:szCs w:val="22"/>
              </w:rPr>
              <w:t>预算执行率=（实际支出资金/实际到位资金）×100%。</w:t>
            </w:r>
            <w:r>
              <w:br/>
              <w:rPr>
                <w:color w:val="auto"/>
                <w:sz w:val="22"/>
                <w:kern w:val="0"/>
                <w:szCs w:val="22"/>
              </w:rPr>
            </w:r>
            <w:r>
              <w:rPr>
                <w:color w:val="auto"/>
                <w:sz w:val="22"/>
                <w:kern w:val="0"/>
                <w:szCs w:val="22"/>
              </w:rPr>
              <w:t>实际支出资金：一定时期（本年度或项目期）内项目实际拨付的资金。</w:t>
            </w:r>
          </w:p>
        </w:tc>
        <w:tc>
          <w:tcPr>
            <w:tcW w:w="1300" w:type="dxa"/>
            <w:vAlign w:val="center"/>
            <w:shd w:val="clear" w:color="auto" w:fill="FFFFFF"/>
          </w:tcPr>
          <w:p>
            <w:pPr>
              <w:widowControl w:val="1"/>
              <w:jc w:val="center"/>
              <w:spacing w:line="0" w:lineRule="atLeast"/>
              <w:rPr>
                <w:b w:val="1"/>
                <w:color w:val="auto"/>
                <w:sz w:val="22"/>
                <w:bCs/>
                <w:kern w:val="0"/>
                <w:szCs w:val="22"/>
              </w:rPr>
            </w:pPr>
            <w:r>
              <w:rPr>
                <w:b w:val="1"/>
                <w:color w:val="auto"/>
                <w:sz w:val="22"/>
                <w:bCs/>
                <w:kern w:val="0"/>
                <w:szCs w:val="22"/>
                <w:rFonts w:hint="eastAsia"/>
              </w:rPr>
              <w:t>4</w:t>
            </w:r>
          </w:p>
        </w:tc>
        <w:tc>
          <w:tcPr>
            <w:tcW w:w="1363" w:type="dxa"/>
            <w:vAlign w:val="center"/>
            <w:shd w:val="clear" w:color="auto" w:fill="FFFFFF"/>
          </w:tcPr>
          <w:p>
            <w:pPr>
              <w:widowControl w:val="1"/>
              <w:jc w:val="center"/>
              <w:spacing w:line="0" w:lineRule="atLeast"/>
              <w:rPr>
                <w:color w:val="auto"/>
                <w:sz w:val="22"/>
                <w:lang w:val="en-US" w:eastAsia="zh-CN" w:bidi="ar-SA"/>
                <w:kern w:val="0"/>
                <w:szCs w:val="22"/>
                <w:rFonts w:ascii="Times New Roman" w:hAnsi="Times New Roman" w:eastAsia="宋体" w:cs="Times New Roman" w:hint="default"/>
              </w:rPr>
            </w:pPr>
            <w:r>
              <w:rPr>
                <w:color w:val="auto"/>
                <w:sz w:val="22"/>
                <w:lang w:val="en-US" w:eastAsia="zh-CN"/>
                <w:kern w:val="0"/>
                <w:szCs w:val="22"/>
                <w:rFonts w:hint="eastAsia"/>
              </w:rPr>
              <w:t>3.85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type="dxa" w:w="0.000000"/>
            <w:bottom w:type="dxa" w:w="0.000000"/>
            <w:left w:type="dxa" w:w="108.000000"/>
            <w:right w:type="dxa" w:w="108.000000"/>
          </w:tblCellMar>
          <w:tblLayout w:type="fixed"/>
        </w:tblPrEx>
        <w:trPr>
          <w:trHeight w:val="2076" w:hRule="atLeast"/>
          <w:jc w:val="center"/>
        </w:trPr>
        <w:tc>
          <w:tcPr>
            <w:tcW w:w="837" w:type="dxa"/>
            <w:vMerge w:val="restart"/>
            <w:vAlign w:val="center"/>
            <w:shd w:val="clear" w:color="auto" w:fill="FFFFFF"/>
          </w:tcPr>
          <w:p>
            <w:pPr>
              <w:widowControl w:val="1"/>
              <w:jc w:val="center"/>
              <w:spacing w:line="0" w:lineRule="atLeast"/>
              <w:rPr>
                <w:color w:val="auto"/>
                <w:sz w:val="22"/>
                <w:kern w:val="0"/>
                <w:szCs w:val="22"/>
              </w:rPr>
            </w:pPr>
            <w:r>
              <w:rPr>
                <w:color w:val="auto"/>
                <w:sz w:val="22"/>
                <w:kern w:val="0"/>
                <w:szCs w:val="22"/>
              </w:rPr>
              <w:t>　</w:t>
            </w:r>
          </w:p>
          <w:p>
            <w:pPr>
              <w:jc w:val="center"/>
              <w:spacing w:line="0" w:lineRule="atLeast"/>
              <w:rPr>
                <w:color w:val="auto"/>
                <w:sz w:val="22"/>
                <w:kern w:val="0"/>
                <w:szCs w:val="22"/>
              </w:rPr>
            </w:pPr>
            <w:r>
              <w:rPr>
                <w:color w:val="auto"/>
                <w:sz w:val="22"/>
                <w:kern w:val="0"/>
                <w:szCs w:val="22"/>
              </w:rPr>
              <w:t>过程　</w:t>
            </w:r>
          </w:p>
        </w:tc>
        <w:tc>
          <w:tcPr>
            <w:tcW w:w="766" w:type="dxa"/>
            <w:vAlign w:val="center"/>
            <w:shd w:val="clear" w:color="auto" w:fill="FFFFFF"/>
          </w:tcPr>
          <w:p>
            <w:pPr>
              <w:widowControl w:val="1"/>
              <w:jc w:val="center"/>
              <w:spacing w:line="0" w:lineRule="atLeast"/>
              <w:rPr>
                <w:color w:val="auto"/>
                <w:sz w:val="22"/>
                <w:kern w:val="0"/>
                <w:szCs w:val="22"/>
              </w:rPr>
            </w:pPr>
            <w:r>
              <w:rPr>
                <w:color w:val="auto"/>
                <w:sz w:val="22"/>
                <w:kern w:val="0"/>
                <w:szCs w:val="22"/>
              </w:rPr>
              <w:t>资金管理</w:t>
            </w:r>
          </w:p>
        </w:tc>
        <w:tc>
          <w:tcPr>
            <w:tcW w:w="873" w:type="dxa"/>
            <w:vAlign w:val="center"/>
            <w:shd w:val="clear" w:color="auto" w:fill="FFFFFF"/>
          </w:tcPr>
          <w:p>
            <w:pPr>
              <w:widowControl w:val="1"/>
              <w:jc w:val="center"/>
              <w:spacing w:line="0" w:lineRule="atLeast"/>
              <w:rPr>
                <w:color w:val="auto"/>
                <w:sz w:val="22"/>
                <w:kern w:val="0"/>
                <w:szCs w:val="22"/>
              </w:rPr>
            </w:pPr>
            <w:r>
              <w:rPr>
                <w:color w:val="auto"/>
                <w:sz w:val="22"/>
                <w:kern w:val="0"/>
                <w:szCs w:val="22"/>
              </w:rPr>
              <w:t>资金使用</w:t>
            </w:r>
          </w:p>
          <w:p>
            <w:pPr>
              <w:widowControl w:val="1"/>
              <w:jc w:val="center"/>
              <w:spacing w:line="0" w:lineRule="atLeast"/>
              <w:rPr>
                <w:color w:val="auto"/>
                <w:sz w:val="22"/>
                <w:kern w:val="0"/>
                <w:szCs w:val="22"/>
              </w:rPr>
            </w:pPr>
            <w:r>
              <w:rPr>
                <w:color w:val="auto"/>
                <w:sz w:val="22"/>
                <w:kern w:val="0"/>
                <w:szCs w:val="22"/>
              </w:rPr>
              <w:t>合规性</w:t>
            </w:r>
          </w:p>
        </w:tc>
        <w:tc>
          <w:tcPr>
            <w:tcW w:w="2353" w:type="dxa"/>
            <w:vAlign w:val="center"/>
            <w:shd w:val="clear" w:color="000000" w:fill="FFFFFF"/>
          </w:tcPr>
          <w:p>
            <w:pPr>
              <w:widowControl w:val="1"/>
              <w:spacing w:line="0" w:lineRule="atLeast"/>
              <w:rPr>
                <w:color w:val="auto"/>
                <w:sz w:val="22"/>
                <w:kern w:val="0"/>
                <w:szCs w:val="22"/>
              </w:rPr>
            </w:pPr>
            <w:r>
              <w:rPr>
                <w:color w:val="auto"/>
                <w:sz w:val="22"/>
                <w:kern w:val="0"/>
                <w:szCs w:val="22"/>
              </w:rPr>
              <w:t>项目资金使用是否符合相关的财务管理制度规定，用以反映和考核项目资金的规范运行情况。</w:t>
            </w:r>
          </w:p>
        </w:tc>
        <w:tc>
          <w:tcPr>
            <w:tcW w:w="5191" w:type="dxa"/>
            <w:vAlign w:val="center"/>
            <w:shd w:val="clear" w:color="000000" w:fill="FFFFFF"/>
          </w:tcPr>
          <w:p>
            <w:pPr>
              <w:widowControl w:val="1"/>
              <w:spacing w:line="0" w:lineRule="atLeast"/>
              <w:rPr>
                <w:color w:val="auto"/>
                <w:sz w:val="22"/>
                <w:kern w:val="0"/>
                <w:szCs w:val="22"/>
              </w:rPr>
            </w:pPr>
            <w:r>
              <w:rPr>
                <w:color w:val="auto"/>
                <w:sz w:val="22"/>
                <w:kern w:val="0"/>
                <w:szCs w:val="22"/>
              </w:rPr>
              <w:t>评价要点：</w:t>
            </w:r>
            <w:r>
              <w:br/>
              <w:rPr>
                <w:color w:val="auto"/>
                <w:sz w:val="22"/>
                <w:kern w:val="0"/>
                <w:szCs w:val="22"/>
              </w:rPr>
            </w:r>
            <w:r>
              <w:rPr>
                <w:color w:val="auto"/>
                <w:sz w:val="22"/>
                <w:kern w:val="0"/>
                <w:szCs w:val="22"/>
              </w:rPr>
              <w:t>①是否符合国家财经法规和财务管理制度以及有关专项资金管理办法的规定；</w:t>
            </w:r>
            <w:r>
              <w:br/>
              <w:rPr>
                <w:color w:val="auto"/>
                <w:sz w:val="22"/>
                <w:kern w:val="0"/>
                <w:szCs w:val="22"/>
              </w:rPr>
            </w:r>
            <w:r>
              <w:rPr>
                <w:color w:val="auto"/>
                <w:sz w:val="22"/>
                <w:kern w:val="0"/>
                <w:szCs w:val="22"/>
              </w:rPr>
              <w:t>②资金的拨付是否有完整的审批程序和手续；</w:t>
            </w:r>
            <w:r>
              <w:br/>
              <w:rPr>
                <w:color w:val="auto"/>
                <w:sz w:val="22"/>
                <w:kern w:val="0"/>
                <w:szCs w:val="22"/>
              </w:rPr>
            </w:r>
            <w:r>
              <w:rPr>
                <w:color w:val="auto"/>
                <w:sz w:val="22"/>
                <w:kern w:val="0"/>
                <w:szCs w:val="22"/>
              </w:rPr>
              <w:t>③是否符合项目预算批复或合同规定的用途；</w:t>
            </w:r>
            <w:r>
              <w:br/>
              <w:rPr>
                <w:color w:val="auto"/>
                <w:sz w:val="22"/>
                <w:kern w:val="0"/>
                <w:szCs w:val="22"/>
              </w:rPr>
            </w:r>
            <w:r>
              <w:rPr>
                <w:color w:val="auto"/>
                <w:sz w:val="22"/>
                <w:kern w:val="0"/>
                <w:szCs w:val="22"/>
              </w:rPr>
              <w:t>④是否存在截留、挤占、挪用、虚列支出等情况。</w:t>
            </w:r>
          </w:p>
        </w:tc>
        <w:tc>
          <w:tcPr>
            <w:tcW w:w="1300" w:type="dxa"/>
            <w:vAlign w:val="center"/>
            <w:shd w:val="clear" w:color="000000" w:fill="FFFFFF"/>
          </w:tcPr>
          <w:p>
            <w:pPr>
              <w:widowControl w:val="1"/>
              <w:jc w:val="center"/>
              <w:spacing w:line="0" w:lineRule="atLeast"/>
              <w:rPr>
                <w:b w:val="1"/>
                <w:color w:val="auto"/>
                <w:sz w:val="22"/>
                <w:bCs/>
                <w:kern w:val="0"/>
                <w:szCs w:val="22"/>
              </w:rPr>
            </w:pPr>
            <w:r>
              <w:rPr>
                <w:b w:val="1"/>
                <w:color w:val="auto"/>
                <w:sz w:val="22"/>
                <w:bCs/>
                <w:kern w:val="0"/>
                <w:szCs w:val="22"/>
                <w:rFonts w:hint="eastAsia"/>
              </w:rPr>
              <w:t>4</w:t>
            </w:r>
          </w:p>
        </w:tc>
        <w:tc>
          <w:tcPr>
            <w:tcW w:w="1363" w:type="dxa"/>
            <w:vAlign w:val="center"/>
            <w:shd w:val="clear" w:color="000000" w:fill="FFFFFF"/>
          </w:tcPr>
          <w:p>
            <w:pPr>
              <w:widowControl w:val="1"/>
              <w:jc w:val="center"/>
              <w:spacing w:line="0" w:lineRule="atLeast"/>
              <w:rPr>
                <w:color w:val="auto"/>
                <w:sz w:val="22"/>
                <w:lang w:val="en-US" w:eastAsia="zh-CN" w:bidi="ar-SA"/>
                <w:kern w:val="0"/>
                <w:szCs w:val="22"/>
                <w:rFonts w:ascii="Times New Roman" w:hAnsi="Times New Roman" w:eastAsia="宋体" w:cs="Times New Roman"/>
              </w:rPr>
            </w:pPr>
            <w:r>
              <w:rPr>
                <w:color w:val="auto"/>
                <w:sz w:val="22"/>
                <w:kern w:val="0"/>
                <w:szCs w:val="22"/>
                <w:rFonts w:hint="eastAsia"/>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type="dxa" w:w="0.000000"/>
            <w:bottom w:type="dxa" w:w="0.000000"/>
            <w:left w:type="dxa" w:w="108.000000"/>
            <w:right w:type="dxa" w:w="108.000000"/>
          </w:tblCellMar>
          <w:tblLayout w:type="fixed"/>
        </w:tblPrEx>
        <w:trPr>
          <w:trHeight w:val="1797" w:hRule="atLeast"/>
          <w:jc w:val="center"/>
        </w:trPr>
        <w:tc>
          <w:tcPr>
            <w:tcW w:w="837" w:type="dxa"/>
            <w:vMerge w:val="continue"/>
            <w:vAlign w:val="center"/>
            <w:shd w:val="clear" w:color="auto" w:fill="FFFFFF"/>
          </w:tcPr>
          <w:p>
            <w:pPr>
              <w:jc w:val="center"/>
              <w:spacing w:line="0" w:lineRule="atLeast"/>
              <w:rPr>
                <w:color w:val="auto"/>
                <w:sz w:val="22"/>
                <w:kern w:val="0"/>
                <w:szCs w:val="22"/>
              </w:rPr>
            </w:pPr>
          </w:p>
        </w:tc>
        <w:tc>
          <w:tcPr>
            <w:tcW w:w="766" w:type="dxa"/>
            <w:vMerge w:val="restart"/>
            <w:vAlign w:val="center"/>
            <w:shd w:val="clear" w:color="auto" w:fill="FFFFFF"/>
          </w:tcPr>
          <w:p>
            <w:pPr>
              <w:widowControl w:val="1"/>
              <w:jc w:val="center"/>
              <w:spacing w:line="0" w:lineRule="atLeast"/>
              <w:rPr>
                <w:color w:val="auto"/>
                <w:sz w:val="22"/>
                <w:kern w:val="0"/>
                <w:szCs w:val="22"/>
              </w:rPr>
            </w:pPr>
            <w:r>
              <w:rPr>
                <w:color w:val="auto"/>
                <w:sz w:val="22"/>
                <w:kern w:val="0"/>
                <w:szCs w:val="22"/>
              </w:rPr>
              <w:t>组织实施</w:t>
            </w:r>
          </w:p>
          <w:p>
            <w:pPr>
              <w:jc w:val="center"/>
              <w:spacing w:line="0" w:lineRule="atLeast"/>
              <w:rPr>
                <w:color w:val="auto"/>
                <w:sz w:val="22"/>
                <w:kern w:val="0"/>
                <w:szCs w:val="22"/>
              </w:rPr>
            </w:pPr>
            <w:r>
              <w:rPr>
                <w:color w:val="auto"/>
                <w:sz w:val="22"/>
                <w:kern w:val="0"/>
                <w:szCs w:val="22"/>
              </w:rPr>
              <w:t>　</w:t>
            </w:r>
          </w:p>
        </w:tc>
        <w:tc>
          <w:tcPr>
            <w:tcW w:w="873" w:type="dxa"/>
            <w:vAlign w:val="center"/>
            <w:shd w:val="clear" w:color="auto" w:fill="FFFFFF"/>
          </w:tcPr>
          <w:p>
            <w:pPr>
              <w:widowControl w:val="1"/>
              <w:jc w:val="center"/>
              <w:spacing w:line="0" w:lineRule="atLeast"/>
              <w:rPr>
                <w:color w:val="auto"/>
                <w:sz w:val="22"/>
                <w:kern w:val="0"/>
                <w:szCs w:val="22"/>
              </w:rPr>
            </w:pPr>
            <w:r>
              <w:rPr>
                <w:color w:val="auto"/>
                <w:sz w:val="22"/>
                <w:kern w:val="0"/>
                <w:szCs w:val="22"/>
              </w:rPr>
              <w:t>管理制度</w:t>
            </w:r>
          </w:p>
          <w:p>
            <w:pPr>
              <w:widowControl w:val="1"/>
              <w:jc w:val="center"/>
              <w:spacing w:line="0" w:lineRule="atLeast"/>
              <w:rPr>
                <w:color w:val="auto"/>
                <w:sz w:val="22"/>
                <w:kern w:val="0"/>
                <w:szCs w:val="22"/>
              </w:rPr>
            </w:pPr>
            <w:r>
              <w:rPr>
                <w:color w:val="auto"/>
                <w:sz w:val="22"/>
                <w:kern w:val="0"/>
                <w:szCs w:val="22"/>
              </w:rPr>
              <w:t>健全性</w:t>
            </w:r>
          </w:p>
        </w:tc>
        <w:tc>
          <w:tcPr>
            <w:tcW w:w="2353" w:type="dxa"/>
            <w:vAlign w:val="center"/>
            <w:shd w:val="clear" w:color="000000" w:fill="FFFFFF"/>
          </w:tcPr>
          <w:p>
            <w:pPr>
              <w:widowControl w:val="1"/>
              <w:spacing w:line="0" w:lineRule="atLeast"/>
              <w:rPr>
                <w:color w:val="auto"/>
                <w:sz w:val="22"/>
                <w:kern w:val="0"/>
                <w:szCs w:val="22"/>
              </w:rPr>
            </w:pPr>
            <w:r>
              <w:rPr>
                <w:color w:val="auto"/>
                <w:sz w:val="22"/>
                <w:kern w:val="0"/>
                <w:szCs w:val="22"/>
              </w:rPr>
              <w:t>项目实施单位的财务和业务管理制度是否健全，用以反映和考核财务和业务管理制度对项目顺利实施的保障情况。</w:t>
            </w:r>
          </w:p>
        </w:tc>
        <w:tc>
          <w:tcPr>
            <w:tcW w:w="5191" w:type="dxa"/>
            <w:vAlign w:val="center"/>
            <w:shd w:val="clear" w:color="000000" w:fill="FFFFFF"/>
          </w:tcPr>
          <w:p>
            <w:pPr>
              <w:widowControl w:val="1"/>
              <w:spacing w:line="0" w:lineRule="atLeast"/>
              <w:rPr>
                <w:color w:val="auto"/>
                <w:sz w:val="22"/>
                <w:kern w:val="0"/>
                <w:szCs w:val="22"/>
              </w:rPr>
            </w:pPr>
            <w:r>
              <w:rPr>
                <w:color w:val="auto"/>
                <w:sz w:val="22"/>
                <w:kern w:val="0"/>
                <w:szCs w:val="22"/>
              </w:rPr>
              <w:t>评价要点：</w:t>
            </w:r>
            <w:r>
              <w:br/>
              <w:rPr>
                <w:color w:val="auto"/>
                <w:sz w:val="22"/>
                <w:kern w:val="0"/>
                <w:szCs w:val="22"/>
              </w:rPr>
            </w:r>
            <w:r>
              <w:rPr>
                <w:color w:val="auto"/>
                <w:sz w:val="22"/>
                <w:kern w:val="0"/>
                <w:szCs w:val="22"/>
              </w:rPr>
              <w:t>①是否已制定或具有相应的财务和业务管理制度；</w:t>
            </w:r>
            <w:r>
              <w:br/>
              <w:rPr>
                <w:color w:val="auto"/>
                <w:sz w:val="22"/>
                <w:kern w:val="0"/>
                <w:szCs w:val="22"/>
              </w:rPr>
            </w:r>
            <w:r>
              <w:rPr>
                <w:color w:val="auto"/>
                <w:sz w:val="22"/>
                <w:kern w:val="0"/>
                <w:szCs w:val="22"/>
              </w:rPr>
              <w:t>②财务和业务管理制度是否合法、合规、完整。</w:t>
            </w:r>
          </w:p>
        </w:tc>
        <w:tc>
          <w:tcPr>
            <w:tcW w:w="1300" w:type="dxa"/>
            <w:vAlign w:val="center"/>
            <w:shd w:val="clear" w:color="000000" w:fill="FFFFFF"/>
          </w:tcPr>
          <w:p>
            <w:pPr>
              <w:widowControl w:val="1"/>
              <w:jc w:val="center"/>
              <w:spacing w:line="0" w:lineRule="atLeast"/>
              <w:rPr>
                <w:b w:val="1"/>
                <w:color w:val="auto"/>
                <w:sz w:val="22"/>
                <w:bCs/>
                <w:kern w:val="0"/>
                <w:szCs w:val="22"/>
              </w:rPr>
            </w:pPr>
            <w:r>
              <w:rPr>
                <w:b w:val="1"/>
                <w:color w:val="auto"/>
                <w:sz w:val="22"/>
                <w:bCs/>
                <w:kern w:val="0"/>
                <w:szCs w:val="22"/>
                <w:rFonts w:hint="eastAsia"/>
              </w:rPr>
              <w:t>4</w:t>
            </w:r>
          </w:p>
        </w:tc>
        <w:tc>
          <w:tcPr>
            <w:tcW w:w="1363" w:type="dxa"/>
            <w:vAlign w:val="center"/>
            <w:shd w:val="clear" w:color="000000" w:fill="FFFFFF"/>
          </w:tcPr>
          <w:p>
            <w:pPr>
              <w:widowControl w:val="1"/>
              <w:jc w:val="center"/>
              <w:spacing w:line="0" w:lineRule="atLeast"/>
              <w:rPr>
                <w:color w:val="auto"/>
                <w:sz w:val="22"/>
                <w:lang w:eastAsia="zh-CN" w:bidi="ar-SA"/>
                <w:kern w:val="0"/>
                <w:szCs w:val="22"/>
                <w:rFonts w:ascii="Times New Roman" w:hAnsi="Times New Roman" w:eastAsia="宋体" w:cs="Times New Roman" w:hint="default"/>
              </w:rPr>
            </w:pPr>
            <w:r>
              <w:rPr>
                <w:color w:val="auto"/>
                <w:sz w:val="22"/>
                <w:lang w:eastAsia="zh-CN"/>
                <w:kern w:val="0"/>
                <w:szCs w:val="22"/>
                <w:rFonts w:hint="default"/>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type="dxa" w:w="0.000000"/>
            <w:bottom w:type="dxa" w:w="0.000000"/>
            <w:left w:type="dxa" w:w="108.000000"/>
            <w:right w:type="dxa" w:w="108.000000"/>
          </w:tblCellMar>
          <w:tblLayout w:type="fixed"/>
        </w:tblPrEx>
        <w:trPr>
          <w:trHeight w:val="1769" w:hRule="atLeast"/>
          <w:jc w:val="center"/>
        </w:trPr>
        <w:tc>
          <w:tcPr>
            <w:tcW w:w="837" w:type="dxa"/>
            <w:vMerge w:val="continue"/>
            <w:vAlign w:val="center"/>
            <w:shd w:val="clear" w:color="auto" w:fill="FFFFFF"/>
          </w:tcPr>
          <w:p>
            <w:pPr>
              <w:widowControl w:val="1"/>
              <w:jc w:val="center"/>
              <w:spacing w:line="0" w:lineRule="atLeast"/>
              <w:rPr>
                <w:color w:val="auto"/>
                <w:sz w:val="22"/>
                <w:kern w:val="0"/>
                <w:szCs w:val="22"/>
              </w:rPr>
            </w:pPr>
          </w:p>
        </w:tc>
        <w:tc>
          <w:tcPr>
            <w:tcW w:w="766" w:type="dxa"/>
            <w:vMerge w:val="continue"/>
            <w:vAlign w:val="center"/>
            <w:shd w:val="clear" w:color="auto" w:fill="FFFFFF"/>
          </w:tcPr>
          <w:p>
            <w:pPr>
              <w:widowControl w:val="1"/>
              <w:jc w:val="center"/>
              <w:spacing w:line="0" w:lineRule="atLeast"/>
              <w:rPr>
                <w:color w:val="auto"/>
                <w:sz w:val="22"/>
                <w:kern w:val="0"/>
                <w:szCs w:val="22"/>
              </w:rPr>
            </w:pPr>
          </w:p>
        </w:tc>
        <w:tc>
          <w:tcPr>
            <w:tcW w:w="873" w:type="dxa"/>
            <w:vAlign w:val="center"/>
            <w:shd w:val="clear" w:color="auto" w:fill="FFFFFF"/>
          </w:tcPr>
          <w:p>
            <w:pPr>
              <w:widowControl w:val="1"/>
              <w:jc w:val="center"/>
              <w:spacing w:line="0" w:lineRule="atLeast"/>
              <w:rPr>
                <w:color w:val="auto"/>
                <w:sz w:val="22"/>
                <w:kern w:val="0"/>
                <w:szCs w:val="22"/>
              </w:rPr>
            </w:pPr>
            <w:r>
              <w:rPr>
                <w:color w:val="auto"/>
                <w:sz w:val="22"/>
                <w:kern w:val="0"/>
                <w:szCs w:val="22"/>
              </w:rPr>
              <w:t>制度执行</w:t>
            </w:r>
          </w:p>
          <w:p>
            <w:pPr>
              <w:widowControl w:val="1"/>
              <w:jc w:val="center"/>
              <w:spacing w:line="0" w:lineRule="atLeast"/>
              <w:rPr>
                <w:color w:val="auto"/>
                <w:sz w:val="22"/>
                <w:kern w:val="0"/>
                <w:szCs w:val="22"/>
              </w:rPr>
            </w:pPr>
            <w:r>
              <w:rPr>
                <w:color w:val="auto"/>
                <w:sz w:val="22"/>
                <w:kern w:val="0"/>
                <w:szCs w:val="22"/>
              </w:rPr>
              <w:t>有效性</w:t>
            </w:r>
          </w:p>
        </w:tc>
        <w:tc>
          <w:tcPr>
            <w:tcW w:w="2353" w:type="dxa"/>
            <w:vAlign w:val="center"/>
            <w:shd w:val="clear" w:color="000000" w:fill="FFFFFF"/>
          </w:tcPr>
          <w:p>
            <w:pPr>
              <w:widowControl w:val="1"/>
              <w:spacing w:line="0" w:lineRule="atLeast"/>
              <w:rPr>
                <w:color w:val="auto"/>
                <w:sz w:val="22"/>
                <w:kern w:val="0"/>
                <w:szCs w:val="22"/>
              </w:rPr>
            </w:pPr>
            <w:r>
              <w:rPr>
                <w:color w:val="auto"/>
                <w:sz w:val="22"/>
                <w:kern w:val="0"/>
                <w:szCs w:val="22"/>
              </w:rPr>
              <w:t>项目实施是否符合相关管理规定，用以反映和考核相关管理制度的有效执行情况。</w:t>
            </w:r>
          </w:p>
        </w:tc>
        <w:tc>
          <w:tcPr>
            <w:tcW w:w="5191" w:type="dxa"/>
            <w:vAlign w:val="center"/>
            <w:shd w:val="clear" w:color="000000" w:fill="FFFFFF"/>
          </w:tcPr>
          <w:p>
            <w:pPr>
              <w:widowControl w:val="1"/>
              <w:spacing w:line="0" w:lineRule="atLeast"/>
              <w:rPr>
                <w:color w:val="auto"/>
                <w:sz w:val="22"/>
                <w:kern w:val="0"/>
                <w:szCs w:val="22"/>
              </w:rPr>
            </w:pPr>
            <w:r>
              <w:rPr>
                <w:color w:val="auto"/>
                <w:sz w:val="22"/>
                <w:kern w:val="0"/>
                <w:szCs w:val="22"/>
              </w:rPr>
              <w:t>评价要点：</w:t>
            </w:r>
            <w:r>
              <w:br/>
              <w:rPr>
                <w:color w:val="auto"/>
                <w:sz w:val="22"/>
                <w:kern w:val="0"/>
                <w:szCs w:val="22"/>
              </w:rPr>
            </w:r>
            <w:r>
              <w:rPr>
                <w:color w:val="auto"/>
                <w:sz w:val="22"/>
                <w:kern w:val="0"/>
                <w:szCs w:val="22"/>
              </w:rPr>
              <w:t>①是否遵守相关法律法规和相关管理规定；</w:t>
            </w:r>
            <w:r>
              <w:br/>
              <w:rPr>
                <w:color w:val="auto"/>
                <w:sz w:val="22"/>
                <w:kern w:val="0"/>
                <w:szCs w:val="22"/>
              </w:rPr>
            </w:r>
            <w:r>
              <w:rPr>
                <w:color w:val="auto"/>
                <w:sz w:val="22"/>
                <w:kern w:val="0"/>
                <w:szCs w:val="22"/>
              </w:rPr>
              <w:t>②项目调整及支出调整手续是否完备；</w:t>
            </w:r>
            <w:r>
              <w:br/>
              <w:rPr>
                <w:color w:val="auto"/>
                <w:sz w:val="22"/>
                <w:kern w:val="0"/>
                <w:szCs w:val="22"/>
              </w:rPr>
            </w:r>
            <w:r>
              <w:rPr>
                <w:color w:val="auto"/>
                <w:sz w:val="22"/>
                <w:kern w:val="0"/>
                <w:szCs w:val="22"/>
              </w:rPr>
              <w:t>③项目合同书、验收报告、技术鉴定等资料是否齐全并及时归档；</w:t>
            </w:r>
            <w:r>
              <w:br/>
              <w:rPr>
                <w:color w:val="auto"/>
                <w:sz w:val="22"/>
                <w:kern w:val="0"/>
                <w:szCs w:val="22"/>
              </w:rPr>
            </w:r>
            <w:r>
              <w:rPr>
                <w:color w:val="auto"/>
                <w:sz w:val="22"/>
                <w:kern w:val="0"/>
                <w:szCs w:val="22"/>
              </w:rPr>
              <w:t>④项目实施的人员条件、场地设备、信息支撑等是否落实到位。</w:t>
            </w:r>
          </w:p>
        </w:tc>
        <w:tc>
          <w:tcPr>
            <w:tcW w:w="1300" w:type="dxa"/>
            <w:vAlign w:val="center"/>
            <w:shd w:val="clear" w:color="000000" w:fill="FFFFFF"/>
          </w:tcPr>
          <w:p>
            <w:pPr>
              <w:widowControl w:val="1"/>
              <w:jc w:val="center"/>
              <w:spacing w:line="0" w:lineRule="atLeast"/>
              <w:rPr>
                <w:b w:val="1"/>
                <w:color w:val="auto"/>
                <w:sz w:val="22"/>
                <w:bCs/>
                <w:kern w:val="0"/>
                <w:szCs w:val="22"/>
              </w:rPr>
            </w:pPr>
            <w:r>
              <w:rPr>
                <w:b w:val="1"/>
                <w:color w:val="auto"/>
                <w:sz w:val="22"/>
                <w:bCs/>
                <w:kern w:val="0"/>
                <w:szCs w:val="22"/>
                <w:rFonts w:hint="eastAsia"/>
              </w:rPr>
              <w:t>4</w:t>
            </w:r>
          </w:p>
        </w:tc>
        <w:tc>
          <w:tcPr>
            <w:tcW w:w="1363" w:type="dxa"/>
            <w:vAlign w:val="center"/>
            <w:shd w:val="clear" w:color="000000" w:fill="FFFFFF"/>
          </w:tcPr>
          <w:p>
            <w:pPr>
              <w:widowControl w:val="1"/>
              <w:jc w:val="center"/>
              <w:spacing w:line="0" w:lineRule="atLeast"/>
              <w:rPr>
                <w:color w:val="auto"/>
                <w:sz w:val="22"/>
                <w:lang w:eastAsia="zh-CN" w:bidi="ar-SA"/>
                <w:kern w:val="0"/>
                <w:szCs w:val="22"/>
                <w:rFonts w:ascii="Times New Roman" w:hAnsi="Times New Roman" w:eastAsia="宋体" w:cs="Times New Roman" w:hint="default"/>
              </w:rPr>
            </w:pPr>
            <w:r>
              <w:rPr>
                <w:color w:val="auto"/>
                <w:sz w:val="22"/>
                <w:lang w:eastAsia="zh-CN"/>
                <w:kern w:val="0"/>
                <w:szCs w:val="22"/>
                <w:rFonts w:hint="default"/>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type="dxa" w:w="0.000000"/>
            <w:bottom w:type="dxa" w:w="0.000000"/>
            <w:left w:type="dxa" w:w="108.000000"/>
            <w:right w:type="dxa" w:w="108.000000"/>
          </w:tblCellMar>
          <w:tblLayout w:type="fixed"/>
        </w:tblPrEx>
        <w:trPr>
          <w:trHeight w:val="1917" w:hRule="atLeast"/>
          <w:jc w:val="center"/>
        </w:trPr>
        <w:tc>
          <w:tcPr>
            <w:tcW w:w="837" w:type="dxa"/>
            <w:vAlign w:val="center"/>
            <w:shd w:val="clear" w:color="auto" w:fill="FFFFFF"/>
          </w:tcPr>
          <w:p>
            <w:pPr>
              <w:widowControl w:val="1"/>
              <w:jc w:val="center"/>
              <w:spacing w:line="0" w:lineRule="atLeast"/>
              <w:rPr>
                <w:color w:val="auto"/>
                <w:sz w:val="22"/>
                <w:kern w:val="0"/>
                <w:szCs w:val="22"/>
              </w:rPr>
            </w:pPr>
            <w:r>
              <w:rPr>
                <w:color w:val="auto"/>
                <w:sz w:val="22"/>
                <w:kern w:val="0"/>
                <w:szCs w:val="22"/>
              </w:rPr>
              <w:t>产出</w:t>
            </w:r>
          </w:p>
        </w:tc>
        <w:tc>
          <w:tcPr>
            <w:tcW w:w="766" w:type="dxa"/>
            <w:vAlign w:val="center"/>
            <w:shd w:val="clear" w:color="auto" w:fill="FFFFFF"/>
          </w:tcPr>
          <w:p>
            <w:pPr>
              <w:widowControl w:val="1"/>
              <w:jc w:val="center"/>
              <w:spacing w:line="0" w:lineRule="atLeast"/>
              <w:rPr>
                <w:color w:val="auto"/>
                <w:sz w:val="22"/>
                <w:kern w:val="0"/>
                <w:szCs w:val="22"/>
              </w:rPr>
            </w:pPr>
            <w:r>
              <w:rPr>
                <w:color w:val="auto"/>
                <w:sz w:val="22"/>
                <w:kern w:val="0"/>
                <w:szCs w:val="22"/>
              </w:rPr>
              <w:t>产出数量</w:t>
            </w:r>
          </w:p>
        </w:tc>
        <w:tc>
          <w:tcPr>
            <w:tcW w:w="873" w:type="dxa"/>
            <w:vAlign w:val="center"/>
            <w:shd w:val="clear" w:color="auto" w:fill="FFFFFF"/>
          </w:tcPr>
          <w:p>
            <w:pPr>
              <w:widowControl w:val="1"/>
              <w:jc w:val="center"/>
              <w:spacing w:line="0" w:lineRule="atLeast"/>
              <w:rPr>
                <w:color w:val="auto"/>
                <w:sz w:val="22"/>
                <w:kern w:val="0"/>
                <w:szCs w:val="22"/>
              </w:rPr>
            </w:pPr>
            <w:r>
              <w:rPr>
                <w:color w:val="auto"/>
                <w:sz w:val="22"/>
                <w:kern w:val="0"/>
                <w:szCs w:val="22"/>
              </w:rPr>
              <w:t>实际完成率</w:t>
            </w:r>
          </w:p>
        </w:tc>
        <w:tc>
          <w:tcPr>
            <w:tcW w:w="2353" w:type="dxa"/>
            <w:vAlign w:val="center"/>
            <w:shd w:val="clear" w:color="000000" w:fill="FFFFFF"/>
          </w:tcPr>
          <w:p>
            <w:pPr>
              <w:widowControl w:val="1"/>
              <w:spacing w:line="0" w:lineRule="atLeast"/>
              <w:rPr>
                <w:color w:val="auto"/>
                <w:sz w:val="22"/>
                <w:kern w:val="0"/>
                <w:szCs w:val="22"/>
              </w:rPr>
            </w:pPr>
            <w:r>
              <w:rPr>
                <w:color w:val="auto"/>
                <w:sz w:val="22"/>
                <w:kern w:val="0"/>
                <w:szCs w:val="22"/>
              </w:rPr>
              <w:t>项目实施的实际产出数与计划产出数的比率，用以反映和考核项目产出数量目标的实现程度。</w:t>
            </w:r>
          </w:p>
        </w:tc>
        <w:tc>
          <w:tcPr>
            <w:tcW w:w="5191" w:type="dxa"/>
            <w:vAlign w:val="center"/>
            <w:shd w:val="clear" w:color="000000" w:fill="FFFFFF"/>
          </w:tcPr>
          <w:p>
            <w:pPr>
              <w:widowControl w:val="1"/>
              <w:spacing w:line="0" w:lineRule="atLeast"/>
              <w:rPr>
                <w:color w:val="auto"/>
                <w:sz w:val="22"/>
                <w:kern w:val="0"/>
                <w:szCs w:val="22"/>
              </w:rPr>
            </w:pPr>
            <w:r>
              <w:rPr>
                <w:color w:val="auto"/>
                <w:sz w:val="22"/>
                <w:kern w:val="0"/>
                <w:szCs w:val="22"/>
              </w:rPr>
              <w:t>实际完成率=（实际产出数/计划产出数）×100%。</w:t>
            </w:r>
            <w:r>
              <w:br/>
              <w:rPr>
                <w:color w:val="auto"/>
                <w:sz w:val="22"/>
                <w:kern w:val="0"/>
                <w:szCs w:val="22"/>
              </w:rPr>
            </w:r>
            <w:r>
              <w:rPr>
                <w:color w:val="auto"/>
                <w:sz w:val="22"/>
                <w:kern w:val="0"/>
                <w:szCs w:val="22"/>
              </w:rPr>
              <w:t>实际产出数：一定时期（本年度或项目期）内项目实际产出的产品或提供的服务数量。</w:t>
            </w:r>
            <w:r>
              <w:br/>
              <w:rPr>
                <w:color w:val="auto"/>
                <w:sz w:val="22"/>
                <w:kern w:val="0"/>
                <w:szCs w:val="22"/>
              </w:rPr>
            </w:r>
            <w:r>
              <w:rPr>
                <w:color w:val="auto"/>
                <w:sz w:val="22"/>
                <w:kern w:val="0"/>
                <w:szCs w:val="22"/>
              </w:rPr>
              <w:t>计划产出数：项目绩效目标确定的在一定时期（本年度或项目期）内计划产出的产品或提供的服务数量。</w:t>
            </w:r>
          </w:p>
        </w:tc>
        <w:tc>
          <w:tcPr>
            <w:tcW w:w="1300" w:type="dxa"/>
            <w:vAlign w:val="center"/>
            <w:shd w:val="clear" w:color="000000" w:fill="FFFFFF"/>
          </w:tcPr>
          <w:p>
            <w:pPr>
              <w:widowControl w:val="1"/>
              <w:jc w:val="center"/>
              <w:spacing w:line="0" w:lineRule="atLeast"/>
              <w:rPr>
                <w:b w:val="1"/>
                <w:color w:val="auto"/>
                <w:sz w:val="22"/>
                <w:bCs/>
                <w:kern w:val="0"/>
                <w:szCs w:val="22"/>
              </w:rPr>
            </w:pPr>
            <w:r>
              <w:rPr>
                <w:b w:val="1"/>
                <w:color w:val="auto"/>
                <w:sz w:val="22"/>
                <w:bCs/>
                <w:kern w:val="0"/>
                <w:szCs w:val="22"/>
              </w:rPr>
              <w:t>1</w:t>
            </w:r>
            <w:r>
              <w:rPr>
                <w:b w:val="1"/>
                <w:color w:val="auto"/>
                <w:sz w:val="22"/>
                <w:bCs/>
                <w:kern w:val="0"/>
                <w:szCs w:val="22"/>
                <w:rFonts w:hint="eastAsia"/>
              </w:rPr>
              <w:t>0</w:t>
            </w:r>
          </w:p>
        </w:tc>
        <w:tc>
          <w:tcPr>
            <w:tcW w:w="1363" w:type="dxa"/>
            <w:vAlign w:val="center"/>
            <w:shd w:val="clear" w:color="000000" w:fill="FFFFFF"/>
          </w:tcPr>
          <w:p>
            <w:pPr>
              <w:widowControl w:val="1"/>
              <w:jc w:val="center"/>
              <w:spacing w:line="0" w:lineRule="atLeast"/>
              <w:rPr>
                <w:color w:val="auto"/>
                <w:sz w:val="22"/>
                <w:lang w:val="en-US" w:eastAsia="zh-CN" w:bidi="ar-SA"/>
                <w:kern w:val="0"/>
                <w:szCs w:val="22"/>
                <w:rFonts w:ascii="Times New Roman" w:hAnsi="Times New Roman" w:eastAsia="宋体" w:cs="Times New Roman" w:hint="default"/>
              </w:rPr>
            </w:pPr>
            <w:r>
              <w:rPr>
                <w:color w:val="auto"/>
                <w:sz w:val="22"/>
                <w:lang w:val="en-US" w:eastAsia="zh-CN"/>
                <w:kern w:val="0"/>
                <w:szCs w:val="22"/>
                <w:rFonts w:hint="eastAsia"/>
              </w:rPr>
              <w:t>9.</w:t>
            </w:r>
            <w:r>
              <w:rPr>
                <w:color w:val="auto"/>
                <w:sz w:val="22"/>
                <w:lang w:eastAsia="zh-CN"/>
                <w:kern w:val="0"/>
                <w:szCs w:val="22"/>
                <w:rFonts w:hint="default"/>
              </w:rPr>
              <w:t>97</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type="dxa" w:w="0.000000"/>
            <w:bottom w:type="dxa" w:w="0.000000"/>
            <w:left w:type="dxa" w:w="108.000000"/>
            <w:right w:type="dxa" w:w="108.000000"/>
          </w:tblCellMar>
          <w:tblLayout w:type="fixed"/>
        </w:tblPrEx>
        <w:trPr>
          <w:trHeight w:val="1718" w:hRule="atLeast"/>
          <w:jc w:val="center"/>
        </w:trPr>
        <w:tc>
          <w:tcPr>
            <w:tcW w:w="837" w:type="dxa"/>
            <w:vMerge w:val="restart"/>
            <w:vAlign w:val="center"/>
            <w:shd w:val="clear" w:color="auto" w:fill="FFFFFF"/>
          </w:tcPr>
          <w:p>
            <w:pPr>
              <w:widowControl w:val="1"/>
              <w:jc w:val="center"/>
              <w:spacing w:line="0" w:lineRule="atLeast"/>
              <w:rPr>
                <w:color w:val="auto"/>
                <w:sz w:val="22"/>
                <w:kern w:val="0"/>
                <w:szCs w:val="22"/>
              </w:rPr>
            </w:pPr>
            <w:r>
              <w:rPr>
                <w:color w:val="auto"/>
                <w:sz w:val="22"/>
                <w:kern w:val="0"/>
                <w:szCs w:val="22"/>
              </w:rPr>
              <w:t>产出</w:t>
            </w:r>
          </w:p>
        </w:tc>
        <w:tc>
          <w:tcPr>
            <w:tcW w:w="766" w:type="dxa"/>
            <w:vAlign w:val="center"/>
            <w:shd w:val="clear" w:color="auto" w:fill="FFFFFF"/>
          </w:tcPr>
          <w:p>
            <w:pPr>
              <w:widowControl w:val="1"/>
              <w:jc w:val="center"/>
              <w:spacing w:line="0" w:lineRule="atLeast"/>
              <w:rPr>
                <w:color w:val="auto"/>
                <w:sz w:val="22"/>
                <w:kern w:val="0"/>
                <w:szCs w:val="22"/>
              </w:rPr>
            </w:pPr>
            <w:r>
              <w:rPr>
                <w:color w:val="auto"/>
                <w:sz w:val="22"/>
                <w:kern w:val="0"/>
                <w:szCs w:val="22"/>
              </w:rPr>
              <w:t>产出质量</w:t>
            </w:r>
          </w:p>
        </w:tc>
        <w:tc>
          <w:tcPr>
            <w:tcW w:w="873" w:type="dxa"/>
            <w:vAlign w:val="center"/>
            <w:shd w:val="clear" w:color="auto" w:fill="FFFFFF"/>
          </w:tcPr>
          <w:p>
            <w:pPr>
              <w:widowControl w:val="1"/>
              <w:jc w:val="center"/>
              <w:spacing w:line="0" w:lineRule="atLeast"/>
              <w:rPr>
                <w:color w:val="auto"/>
                <w:sz w:val="22"/>
                <w:kern w:val="0"/>
                <w:szCs w:val="22"/>
              </w:rPr>
            </w:pPr>
            <w:r>
              <w:rPr>
                <w:color w:val="auto"/>
                <w:sz w:val="22"/>
                <w:kern w:val="0"/>
                <w:szCs w:val="22"/>
              </w:rPr>
              <w:t>质量达标率</w:t>
            </w:r>
          </w:p>
        </w:tc>
        <w:tc>
          <w:tcPr>
            <w:tcW w:w="2353" w:type="dxa"/>
            <w:vAlign w:val="center"/>
            <w:shd w:val="clear" w:color="000000" w:fill="FFFFFF"/>
          </w:tcPr>
          <w:p>
            <w:pPr>
              <w:widowControl w:val="1"/>
              <w:spacing w:line="0" w:lineRule="atLeast"/>
              <w:rPr>
                <w:color w:val="auto"/>
                <w:sz w:val="22"/>
                <w:kern w:val="0"/>
                <w:szCs w:val="22"/>
              </w:rPr>
            </w:pPr>
            <w:r>
              <w:rPr>
                <w:color w:val="auto"/>
                <w:sz w:val="22"/>
                <w:kern w:val="0"/>
                <w:szCs w:val="22"/>
              </w:rPr>
              <w:t>项目完成的质量达标产出数与实际产出数的比率，用以反映和考核项目产出质量目标的实现程度。</w:t>
            </w:r>
          </w:p>
        </w:tc>
        <w:tc>
          <w:tcPr>
            <w:tcW w:w="5191" w:type="dxa"/>
            <w:vAlign w:val="center"/>
            <w:shd w:val="clear" w:color="000000" w:fill="FFFFFF"/>
          </w:tcPr>
          <w:p>
            <w:pPr>
              <w:widowControl w:val="1"/>
              <w:spacing w:line="0" w:lineRule="atLeast"/>
              <w:rPr>
                <w:color w:val="auto"/>
                <w:sz w:val="22"/>
                <w:kern w:val="0"/>
                <w:szCs w:val="22"/>
              </w:rPr>
            </w:pPr>
            <w:r>
              <w:rPr>
                <w:color w:val="auto"/>
                <w:sz w:val="22"/>
                <w:kern w:val="0"/>
                <w:szCs w:val="22"/>
              </w:rPr>
              <w:t>质量达标率=（质量达标产出数/实际产出数）×100%。</w:t>
            </w:r>
          </w:p>
          <w:p>
            <w:pPr>
              <w:widowControl w:val="1"/>
              <w:spacing w:line="0" w:lineRule="atLeast"/>
              <w:rPr>
                <w:color w:val="auto"/>
                <w:sz w:val="22"/>
                <w:kern w:val="0"/>
                <w:szCs w:val="22"/>
              </w:rPr>
            </w:pPr>
            <w:r>
              <w:rPr>
                <w:color w:val="auto"/>
                <w:sz w:val="22"/>
                <w:kern w:val="0"/>
                <w:szCs w:val="22"/>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1300" w:type="dxa"/>
            <w:vAlign w:val="center"/>
            <w:shd w:val="clear" w:color="000000" w:fill="FFFFFF"/>
          </w:tcPr>
          <w:p>
            <w:pPr>
              <w:widowControl w:val="1"/>
              <w:jc w:val="center"/>
              <w:spacing w:line="0" w:lineRule="atLeast"/>
              <w:rPr>
                <w:b w:val="1"/>
                <w:color w:val="auto"/>
                <w:sz w:val="22"/>
                <w:bCs/>
                <w:kern w:val="0"/>
                <w:szCs w:val="22"/>
              </w:rPr>
            </w:pPr>
            <w:r>
              <w:rPr>
                <w:b w:val="1"/>
                <w:color w:val="auto"/>
                <w:sz w:val="22"/>
                <w:bCs/>
                <w:kern w:val="0"/>
                <w:szCs w:val="22"/>
              </w:rPr>
              <w:t>10</w:t>
            </w:r>
          </w:p>
        </w:tc>
        <w:tc>
          <w:tcPr>
            <w:tcW w:w="1363" w:type="dxa"/>
            <w:vAlign w:val="center"/>
            <w:shd w:val="clear" w:color="000000" w:fill="FFFFFF"/>
          </w:tcPr>
          <w:p>
            <w:pPr>
              <w:widowControl w:val="1"/>
              <w:jc w:val="center"/>
              <w:spacing w:line="0" w:lineRule="atLeast"/>
              <w:rPr>
                <w:color w:val="auto"/>
                <w:sz w:val="22"/>
                <w:lang w:val="en-US" w:eastAsia="zh-CN" w:bidi="ar-SA"/>
                <w:kern w:val="0"/>
                <w:szCs w:val="22"/>
                <w:rFonts w:ascii="Times New Roman" w:hAnsi="Times New Roman" w:eastAsia="宋体" w:cs="Times New Roman" w:hint="default"/>
              </w:rPr>
            </w:pPr>
            <w:r>
              <w:rPr>
                <w:color w:val="auto"/>
                <w:sz w:val="22"/>
                <w:lang w:val="en-US" w:eastAsia="zh-CN"/>
                <w:kern w:val="0"/>
                <w:szCs w:val="22"/>
                <w:rFonts w:hint="eastAsia"/>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type="dxa" w:w="0.000000"/>
            <w:bottom w:type="dxa" w:w="0.000000"/>
            <w:left w:type="dxa" w:w="108.000000"/>
            <w:right w:type="dxa" w:w="108.000000"/>
          </w:tblCellMar>
          <w:tblLayout w:type="fixed"/>
        </w:tblPrEx>
        <w:trPr>
          <w:trHeight w:val="1506" w:hRule="atLeast"/>
          <w:jc w:val="center"/>
        </w:trPr>
        <w:tc>
          <w:tcPr>
            <w:tcW w:w="837" w:type="dxa"/>
            <w:vMerge w:val="continue"/>
            <w:vAlign w:val="center"/>
            <w:shd w:val="clear" w:color="auto" w:fill="FFFFFF"/>
          </w:tcPr>
          <w:p>
            <w:pPr>
              <w:jc w:val="center"/>
              <w:spacing w:line="0" w:lineRule="atLeast"/>
              <w:rPr>
                <w:color w:val="auto"/>
                <w:sz w:val="22"/>
                <w:kern w:val="0"/>
                <w:szCs w:val="22"/>
              </w:rPr>
            </w:pPr>
          </w:p>
        </w:tc>
        <w:tc>
          <w:tcPr>
            <w:tcW w:w="766" w:type="dxa"/>
            <w:vAlign w:val="center"/>
            <w:shd w:val="clear" w:color="auto" w:fill="FFFFFF"/>
          </w:tcPr>
          <w:p>
            <w:pPr>
              <w:jc w:val="center"/>
              <w:spacing w:line="0" w:lineRule="atLeast"/>
              <w:rPr>
                <w:color w:val="auto"/>
                <w:sz w:val="22"/>
                <w:kern w:val="0"/>
                <w:szCs w:val="22"/>
              </w:rPr>
            </w:pPr>
            <w:r>
              <w:rPr>
                <w:color w:val="auto"/>
                <w:sz w:val="22"/>
                <w:kern w:val="0"/>
                <w:szCs w:val="22"/>
              </w:rPr>
              <w:t>产出时效</w:t>
            </w:r>
          </w:p>
        </w:tc>
        <w:tc>
          <w:tcPr>
            <w:tcW w:w="873" w:type="dxa"/>
            <w:vAlign w:val="center"/>
            <w:shd w:val="clear" w:color="auto" w:fill="FFFFFF"/>
          </w:tcPr>
          <w:p>
            <w:pPr>
              <w:widowControl w:val="1"/>
              <w:jc w:val="center"/>
              <w:spacing w:line="0" w:lineRule="atLeast"/>
              <w:rPr>
                <w:color w:val="auto"/>
                <w:sz w:val="22"/>
                <w:kern w:val="0"/>
                <w:szCs w:val="22"/>
              </w:rPr>
            </w:pPr>
            <w:r>
              <w:rPr>
                <w:color w:val="auto"/>
                <w:sz w:val="22"/>
                <w:kern w:val="0"/>
                <w:szCs w:val="22"/>
              </w:rPr>
              <w:t>完成及时性</w:t>
            </w:r>
          </w:p>
        </w:tc>
        <w:tc>
          <w:tcPr>
            <w:tcW w:w="2353" w:type="dxa"/>
            <w:vAlign w:val="center"/>
            <w:shd w:val="clear" w:color="000000" w:fill="FFFFFF"/>
          </w:tcPr>
          <w:p>
            <w:pPr>
              <w:widowControl w:val="1"/>
              <w:spacing w:line="0" w:lineRule="atLeast"/>
              <w:rPr>
                <w:color w:val="auto"/>
                <w:sz w:val="22"/>
                <w:kern w:val="0"/>
                <w:szCs w:val="22"/>
              </w:rPr>
            </w:pPr>
            <w:r>
              <w:rPr>
                <w:color w:val="auto"/>
                <w:sz w:val="22"/>
                <w:kern w:val="0"/>
                <w:szCs w:val="22"/>
              </w:rPr>
              <w:t>项目实际完成时间与计划完成时间的比较，用以反映和考核项目产出时效目标的实现程度。</w:t>
            </w:r>
          </w:p>
        </w:tc>
        <w:tc>
          <w:tcPr>
            <w:tcW w:w="5191" w:type="dxa"/>
            <w:vAlign w:val="center"/>
            <w:shd w:val="clear" w:color="000000" w:fill="FFFFFF"/>
          </w:tcPr>
          <w:p>
            <w:pPr>
              <w:widowControl w:val="1"/>
              <w:spacing w:line="0" w:lineRule="atLeast"/>
              <w:rPr>
                <w:color w:val="auto"/>
                <w:sz w:val="22"/>
                <w:kern w:val="0"/>
                <w:szCs w:val="22"/>
              </w:rPr>
            </w:pPr>
            <w:r>
              <w:rPr>
                <w:color w:val="auto"/>
                <w:sz w:val="22"/>
                <w:kern w:val="0"/>
                <w:szCs w:val="22"/>
              </w:rPr>
              <w:t>实际完成时间：项目实施单位完成该项目实际所耗用的时间。</w:t>
            </w:r>
            <w:r>
              <w:br/>
              <w:rPr>
                <w:color w:val="auto"/>
                <w:sz w:val="22"/>
                <w:kern w:val="0"/>
                <w:szCs w:val="22"/>
              </w:rPr>
            </w:r>
            <w:r>
              <w:rPr>
                <w:color w:val="auto"/>
                <w:sz w:val="22"/>
                <w:kern w:val="0"/>
                <w:szCs w:val="22"/>
              </w:rPr>
              <w:t>计划完成时间：按照项目实施计划或相关规定完成该项目所需的时间。</w:t>
            </w:r>
          </w:p>
        </w:tc>
        <w:tc>
          <w:tcPr>
            <w:tcW w:w="1300" w:type="dxa"/>
            <w:vAlign w:val="center"/>
            <w:shd w:val="clear" w:color="000000" w:fill="FFFFFF"/>
          </w:tcPr>
          <w:p>
            <w:pPr>
              <w:widowControl w:val="1"/>
              <w:jc w:val="center"/>
              <w:spacing w:line="0" w:lineRule="atLeast"/>
              <w:rPr>
                <w:b w:val="1"/>
                <w:color w:val="auto"/>
                <w:sz w:val="22"/>
                <w:bCs/>
                <w:kern w:val="0"/>
                <w:szCs w:val="22"/>
              </w:rPr>
            </w:pPr>
            <w:r>
              <w:rPr>
                <w:b w:val="1"/>
                <w:color w:val="auto"/>
                <w:sz w:val="22"/>
                <w:bCs/>
                <w:kern w:val="0"/>
                <w:szCs w:val="22"/>
              </w:rPr>
              <w:t>1</w:t>
            </w:r>
            <w:r>
              <w:rPr>
                <w:b w:val="1"/>
                <w:color w:val="auto"/>
                <w:sz w:val="22"/>
                <w:bCs/>
                <w:kern w:val="0"/>
                <w:szCs w:val="22"/>
                <w:rFonts w:hint="eastAsia"/>
              </w:rPr>
              <w:t>0</w:t>
            </w:r>
          </w:p>
        </w:tc>
        <w:tc>
          <w:tcPr>
            <w:tcW w:w="1363" w:type="dxa"/>
            <w:vAlign w:val="center"/>
            <w:shd w:val="clear" w:color="000000" w:fill="FFFFFF"/>
          </w:tcPr>
          <w:p>
            <w:pPr>
              <w:widowControl w:val="1"/>
              <w:jc w:val="center"/>
              <w:spacing w:line="0" w:lineRule="atLeast"/>
              <w:rPr>
                <w:color w:val="auto"/>
                <w:sz w:val="22"/>
                <w:lang w:val="en-US" w:eastAsia="zh-CN" w:bidi="ar-SA"/>
                <w:kern w:val="0"/>
                <w:szCs w:val="22"/>
                <w:rFonts w:ascii="Times New Roman" w:hAnsi="Times New Roman" w:eastAsia="宋体" w:cs="Times New Roman" w:hint="default"/>
              </w:rPr>
            </w:pPr>
            <w:r>
              <w:rPr>
                <w:color w:val="auto"/>
                <w:sz w:val="22"/>
                <w:lang w:val="en-US" w:eastAsia="zh-CN"/>
                <w:kern w:val="0"/>
                <w:szCs w:val="22"/>
                <w:rFonts w:hint="eastAsia"/>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type="dxa" w:w="0.000000"/>
            <w:bottom w:type="dxa" w:w="0.000000"/>
            <w:left w:type="dxa" w:w="108.000000"/>
            <w:right w:type="dxa" w:w="108.000000"/>
          </w:tblCellMar>
          <w:tblLayout w:type="fixed"/>
        </w:tblPrEx>
        <w:trPr>
          <w:trHeight w:val="2076" w:hRule="atLeast"/>
          <w:jc w:val="center"/>
        </w:trPr>
        <w:tc>
          <w:tcPr>
            <w:tcW w:w="837" w:type="dxa"/>
            <w:vMerge w:val="continue"/>
            <w:vAlign w:val="center"/>
            <w:shd w:val="clear" w:color="auto" w:fill="FFFFFF"/>
          </w:tcPr>
          <w:p>
            <w:pPr>
              <w:widowControl w:val="1"/>
              <w:jc w:val="center"/>
              <w:spacing w:line="0" w:lineRule="atLeast"/>
              <w:rPr>
                <w:color w:val="auto"/>
                <w:sz w:val="22"/>
                <w:kern w:val="0"/>
                <w:szCs w:val="22"/>
              </w:rPr>
            </w:pPr>
          </w:p>
        </w:tc>
        <w:tc>
          <w:tcPr>
            <w:tcW w:w="766" w:type="dxa"/>
            <w:vAlign w:val="center"/>
            <w:shd w:val="clear" w:color="auto" w:fill="FFFFFF"/>
          </w:tcPr>
          <w:p>
            <w:pPr>
              <w:widowControl w:val="1"/>
              <w:jc w:val="center"/>
              <w:spacing w:line="0" w:lineRule="atLeast"/>
              <w:rPr>
                <w:color w:val="auto"/>
                <w:sz w:val="22"/>
                <w:kern w:val="0"/>
                <w:szCs w:val="22"/>
              </w:rPr>
            </w:pPr>
            <w:r>
              <w:rPr>
                <w:color w:val="auto"/>
                <w:sz w:val="22"/>
                <w:kern w:val="0"/>
                <w:szCs w:val="22"/>
              </w:rPr>
              <w:t>产出成本</w:t>
            </w:r>
          </w:p>
        </w:tc>
        <w:tc>
          <w:tcPr>
            <w:tcW w:w="873" w:type="dxa"/>
            <w:vAlign w:val="center"/>
            <w:shd w:val="clear" w:color="auto" w:fill="FFFFFF"/>
          </w:tcPr>
          <w:p>
            <w:pPr>
              <w:widowControl w:val="1"/>
              <w:jc w:val="center"/>
              <w:spacing w:line="0" w:lineRule="atLeast"/>
              <w:rPr>
                <w:color w:val="auto"/>
                <w:sz w:val="22"/>
                <w:kern w:val="0"/>
                <w:szCs w:val="22"/>
              </w:rPr>
            </w:pPr>
            <w:r>
              <w:rPr>
                <w:color w:val="auto"/>
                <w:sz w:val="22"/>
                <w:kern w:val="0"/>
                <w:szCs w:val="22"/>
              </w:rPr>
              <w:t>成本节约率</w:t>
            </w:r>
          </w:p>
        </w:tc>
        <w:tc>
          <w:tcPr>
            <w:tcW w:w="2353" w:type="dxa"/>
            <w:vAlign w:val="center"/>
            <w:shd w:val="clear" w:color="000000" w:fill="FFFFFF"/>
          </w:tcPr>
          <w:p>
            <w:pPr>
              <w:widowControl w:val="1"/>
              <w:spacing w:line="0" w:lineRule="atLeast"/>
              <w:rPr>
                <w:color w:val="auto"/>
                <w:sz w:val="22"/>
                <w:kern w:val="0"/>
                <w:szCs w:val="22"/>
              </w:rPr>
            </w:pPr>
            <w:r>
              <w:rPr>
                <w:color w:val="auto"/>
                <w:sz w:val="22"/>
                <w:kern w:val="0"/>
                <w:szCs w:val="22"/>
              </w:rPr>
              <w:t>完成项目计划工作目标的实际节约成本与计划成本的比率，用以反映和考核项目的成本节约程度。</w:t>
            </w:r>
          </w:p>
        </w:tc>
        <w:tc>
          <w:tcPr>
            <w:tcW w:w="5191" w:type="dxa"/>
            <w:vAlign w:val="center"/>
            <w:shd w:val="clear" w:color="000000" w:fill="FFFFFF"/>
          </w:tcPr>
          <w:p>
            <w:pPr>
              <w:widowControl w:val="1"/>
              <w:spacing w:line="0" w:lineRule="atLeast"/>
              <w:rPr>
                <w:color w:val="auto"/>
                <w:sz w:val="22"/>
                <w:kern w:val="0"/>
                <w:szCs w:val="22"/>
              </w:rPr>
            </w:pPr>
            <w:r>
              <w:br/>
              <w:rPr>
                <w:color w:val="auto"/>
                <w:sz w:val="22"/>
                <w:kern w:val="0"/>
                <w:szCs w:val="22"/>
              </w:rPr>
            </w:r>
            <w:r>
              <w:rPr>
                <w:color w:val="auto"/>
                <w:sz w:val="22"/>
                <w:kern w:val="0"/>
                <w:szCs w:val="22"/>
              </w:rPr>
              <w:t>成本节约率=[（计划成本-实际成本）/计划成本]×100%。</w:t>
            </w:r>
            <w:r>
              <w:br/>
              <w:rPr>
                <w:color w:val="auto"/>
                <w:sz w:val="22"/>
                <w:kern w:val="0"/>
                <w:szCs w:val="22"/>
              </w:rPr>
            </w:r>
            <w:r>
              <w:rPr>
                <w:color w:val="auto"/>
                <w:sz w:val="22"/>
                <w:kern w:val="0"/>
                <w:szCs w:val="22"/>
              </w:rPr>
              <w:t>实际成本：项目实施单位如期、保质、保量完成既定工作目标实际所耗费的支出。</w:t>
            </w:r>
            <w:r>
              <w:br/>
              <w:rPr>
                <w:color w:val="auto"/>
                <w:sz w:val="22"/>
                <w:kern w:val="0"/>
                <w:szCs w:val="22"/>
              </w:rPr>
            </w:r>
            <w:r>
              <w:rPr>
                <w:color w:val="auto"/>
                <w:sz w:val="22"/>
                <w:kern w:val="0"/>
                <w:szCs w:val="22"/>
              </w:rPr>
              <w:t>计划成本：项目实施单位为完成工作目标计划安排的支出，一般以项目预算为参考。</w:t>
            </w:r>
          </w:p>
        </w:tc>
        <w:tc>
          <w:tcPr>
            <w:tcW w:w="1300" w:type="dxa"/>
            <w:vAlign w:val="center"/>
            <w:shd w:val="clear" w:color="000000" w:fill="FFFFFF"/>
          </w:tcPr>
          <w:p>
            <w:pPr>
              <w:widowControl w:val="1"/>
              <w:jc w:val="center"/>
              <w:spacing w:line="0" w:lineRule="atLeast"/>
              <w:rPr>
                <w:b w:val="1"/>
                <w:color w:val="auto"/>
                <w:sz w:val="22"/>
                <w:bCs/>
                <w:kern w:val="0"/>
                <w:szCs w:val="22"/>
              </w:rPr>
            </w:pPr>
            <w:r>
              <w:rPr>
                <w:b w:val="1"/>
                <w:color w:val="auto"/>
                <w:sz w:val="22"/>
                <w:bCs/>
                <w:kern w:val="0"/>
                <w:szCs w:val="22"/>
              </w:rPr>
              <w:t>10</w:t>
            </w:r>
          </w:p>
        </w:tc>
        <w:tc>
          <w:tcPr>
            <w:tcW w:w="1363" w:type="dxa"/>
            <w:vAlign w:val="center"/>
            <w:shd w:val="clear" w:color="000000" w:fill="FFFFFF"/>
          </w:tcPr>
          <w:p>
            <w:pPr>
              <w:widowControl w:val="1"/>
              <w:jc w:val="center"/>
              <w:spacing w:line="0" w:lineRule="atLeast"/>
              <w:rPr>
                <w:color w:val="auto"/>
                <w:sz w:val="22"/>
                <w:lang w:val="en-US" w:eastAsia="zh-CN" w:bidi="ar-SA"/>
                <w:kern w:val="0"/>
                <w:szCs w:val="22"/>
                <w:rFonts w:ascii="Times New Roman" w:hAnsi="Times New Roman" w:eastAsia="宋体" w:cs="Times New Roman" w:hint="default"/>
              </w:rPr>
            </w:pPr>
            <w:r>
              <w:rPr>
                <w:color w:val="auto"/>
                <w:sz w:val="22"/>
                <w:lang w:val="en-US" w:eastAsia="zh-CN"/>
                <w:kern w:val="0"/>
                <w:szCs w:val="22"/>
                <w:rFonts w:hint="eastAsia"/>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type="dxa" w:w="0.000000"/>
            <w:bottom w:type="dxa" w:w="0.000000"/>
            <w:left w:type="dxa" w:w="108.000000"/>
            <w:right w:type="dxa" w:w="108.000000"/>
          </w:tblCellMar>
          <w:tblLayout w:type="fixed"/>
        </w:tblPrEx>
        <w:trPr>
          <w:trHeight w:val="889" w:hRule="atLeast"/>
          <w:jc w:val="center"/>
        </w:trPr>
        <w:tc>
          <w:tcPr>
            <w:tcW w:w="837" w:type="dxa"/>
            <w:vMerge w:val="restart"/>
            <w:vAlign w:val="center"/>
            <w:shd w:val="clear" w:color="auto" w:fill="FFFFFF"/>
          </w:tcPr>
          <w:p>
            <w:pPr>
              <w:widowControl w:val="1"/>
              <w:jc w:val="center"/>
              <w:spacing w:line="0" w:lineRule="atLeast"/>
              <w:rPr>
                <w:color w:val="auto"/>
                <w:sz w:val="22"/>
                <w:kern w:val="0"/>
                <w:szCs w:val="22"/>
              </w:rPr>
            </w:pPr>
            <w:r>
              <w:rPr>
                <w:color w:val="auto"/>
                <w:sz w:val="22"/>
                <w:kern w:val="0"/>
                <w:szCs w:val="22"/>
              </w:rPr>
              <w:t>效益　</w:t>
            </w:r>
          </w:p>
        </w:tc>
        <w:tc>
          <w:tcPr>
            <w:tcW w:w="766" w:type="dxa"/>
            <w:vMerge w:val="restart"/>
            <w:vAlign w:val="center"/>
            <w:shd w:val="clear" w:color="auto" w:fill="FFFFFF"/>
          </w:tcPr>
          <w:p>
            <w:pPr>
              <w:widowControl w:val="1"/>
              <w:jc w:val="center"/>
              <w:spacing w:line="0" w:lineRule="atLeast"/>
              <w:rPr>
                <w:color w:val="auto"/>
                <w:sz w:val="22"/>
                <w:kern w:val="0"/>
                <w:szCs w:val="22"/>
              </w:rPr>
            </w:pPr>
            <w:r>
              <w:rPr>
                <w:color w:val="auto"/>
                <w:sz w:val="22"/>
                <w:kern w:val="0"/>
                <w:szCs w:val="22"/>
              </w:rPr>
              <w:t>项目效益　</w:t>
            </w:r>
          </w:p>
        </w:tc>
        <w:tc>
          <w:tcPr>
            <w:tcW w:w="873" w:type="dxa"/>
            <w:vAlign w:val="center"/>
            <w:shd w:val="clear" w:color="auto" w:fill="FFFFFF"/>
          </w:tcPr>
          <w:p>
            <w:pPr>
              <w:widowControl w:val="1"/>
              <w:jc w:val="center"/>
              <w:spacing w:line="0" w:lineRule="atLeast"/>
              <w:rPr>
                <w:color w:val="auto"/>
                <w:sz w:val="22"/>
                <w:kern w:val="0"/>
                <w:szCs w:val="22"/>
              </w:rPr>
            </w:pPr>
            <w:r>
              <w:rPr>
                <w:color w:val="auto"/>
                <w:sz w:val="22"/>
                <w:kern w:val="0"/>
                <w:szCs w:val="22"/>
              </w:rPr>
              <w:t>实施效益</w:t>
            </w:r>
          </w:p>
        </w:tc>
        <w:tc>
          <w:tcPr>
            <w:tcW w:w="2353" w:type="dxa"/>
            <w:vAlign w:val="center"/>
            <w:shd w:val="clear" w:color="auto" w:fill="FFFFFF"/>
          </w:tcPr>
          <w:p>
            <w:pPr>
              <w:widowControl w:val="1"/>
              <w:jc w:val="left"/>
              <w:spacing w:line="0" w:lineRule="atLeast"/>
              <w:rPr>
                <w:color w:val="auto"/>
                <w:sz w:val="22"/>
                <w:kern w:val="0"/>
                <w:szCs w:val="22"/>
              </w:rPr>
            </w:pPr>
            <w:r>
              <w:rPr>
                <w:color w:val="auto"/>
                <w:sz w:val="22"/>
                <w:kern w:val="0"/>
                <w:szCs w:val="22"/>
              </w:rPr>
              <w:t>项目实施所产生的效益。</w:t>
            </w:r>
          </w:p>
        </w:tc>
        <w:tc>
          <w:tcPr>
            <w:tcW w:w="5191" w:type="dxa"/>
            <w:vAlign w:val="center"/>
            <w:shd w:val="clear" w:color="auto" w:fill="FFFFFF"/>
          </w:tcPr>
          <w:p>
            <w:pPr>
              <w:widowControl w:val="1"/>
              <w:spacing w:line="0" w:lineRule="atLeast"/>
              <w:rPr>
                <w:color w:val="auto"/>
                <w:sz w:val="22"/>
                <w:kern w:val="0"/>
                <w:szCs w:val="22"/>
              </w:rPr>
            </w:pPr>
            <w:r>
              <w:rPr>
                <w:color w:val="auto"/>
                <w:sz w:val="22"/>
                <w:kern w:val="0"/>
                <w:szCs w:val="22"/>
              </w:rPr>
              <w:t>项目实施所产生的社会效益、经济效益、生态效益、可持续影响等。可根据项目实际情况有选择地设置和细化。</w:t>
            </w:r>
          </w:p>
        </w:tc>
        <w:tc>
          <w:tcPr>
            <w:tcW w:w="1300" w:type="dxa"/>
            <w:vAlign w:val="center"/>
            <w:shd w:val="clear" w:color="auto" w:fill="FFFFFF"/>
          </w:tcPr>
          <w:p>
            <w:pPr>
              <w:widowControl w:val="1"/>
              <w:jc w:val="center"/>
              <w:spacing w:line="0" w:lineRule="atLeast"/>
              <w:rPr>
                <w:b w:val="1"/>
                <w:color w:val="auto"/>
                <w:sz w:val="22"/>
                <w:bCs/>
                <w:kern w:val="0"/>
                <w:szCs w:val="22"/>
              </w:rPr>
            </w:pPr>
            <w:r>
              <w:rPr>
                <w:b w:val="1"/>
                <w:color w:val="auto"/>
                <w:sz w:val="22"/>
                <w:bCs/>
                <w:kern w:val="0"/>
                <w:szCs w:val="22"/>
                <w:rFonts w:hint="eastAsia"/>
              </w:rPr>
              <w:t>15</w:t>
            </w:r>
          </w:p>
        </w:tc>
        <w:tc>
          <w:tcPr>
            <w:tcW w:w="1363" w:type="dxa"/>
            <w:vAlign w:val="center"/>
            <w:shd w:val="clear" w:color="auto" w:fill="FFFFFF"/>
          </w:tcPr>
          <w:p>
            <w:pPr>
              <w:widowControl w:val="1"/>
              <w:jc w:val="center"/>
              <w:spacing w:line="0" w:lineRule="atLeast"/>
              <w:rPr>
                <w:color w:val="auto"/>
                <w:sz w:val="22"/>
                <w:lang w:val="en-US" w:eastAsia="zh-CN" w:bidi="ar-SA"/>
                <w:kern w:val="0"/>
                <w:szCs w:val="22"/>
                <w:rFonts w:ascii="Times New Roman" w:hAnsi="Times New Roman" w:eastAsia="宋体" w:cs="Times New Roman"/>
              </w:rPr>
            </w:pPr>
            <w:r>
              <w:rPr>
                <w:color w:val="auto"/>
                <w:sz w:val="22"/>
                <w:lang w:val="en-US" w:eastAsia="zh-CN"/>
                <w:kern w:val="0"/>
                <w:szCs w:val="22"/>
                <w:rFonts w:hint="eastAsia"/>
              </w:rPr>
              <w:t>15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type="dxa" w:w="0.000000"/>
            <w:bottom w:type="dxa" w:w="0.000000"/>
            <w:left w:type="dxa" w:w="108.000000"/>
            <w:right w:type="dxa" w:w="108.000000"/>
          </w:tblCellMar>
          <w:tblLayout w:type="fixed"/>
        </w:tblPrEx>
        <w:trPr>
          <w:trHeight w:val="1137" w:hRule="atLeast"/>
          <w:jc w:val="center"/>
        </w:trPr>
        <w:tc>
          <w:tcPr>
            <w:tcW w:w="837" w:type="dxa"/>
            <w:vMerge w:val="continue"/>
            <w:vAlign w:val="center"/>
            <w:shd w:val="clear" w:color="auto" w:fill="FFFFFF"/>
          </w:tcPr>
          <w:p>
            <w:pPr>
              <w:widowControl w:val="1"/>
              <w:jc w:val="center"/>
              <w:spacing w:line="0" w:lineRule="atLeast"/>
              <w:rPr>
                <w:color w:val="auto"/>
                <w:sz w:val="22"/>
                <w:kern w:val="0"/>
                <w:szCs w:val="22"/>
              </w:rPr>
            </w:pPr>
          </w:p>
        </w:tc>
        <w:tc>
          <w:tcPr>
            <w:tcW w:w="766" w:type="dxa"/>
            <w:vMerge w:val="continue"/>
            <w:vAlign w:val="center"/>
            <w:shd w:val="clear" w:color="auto" w:fill="FFFFFF"/>
          </w:tcPr>
          <w:p>
            <w:pPr>
              <w:widowControl w:val="1"/>
              <w:jc w:val="center"/>
              <w:spacing w:line="0" w:lineRule="atLeast"/>
              <w:rPr>
                <w:color w:val="auto"/>
                <w:sz w:val="22"/>
                <w:kern w:val="0"/>
                <w:szCs w:val="22"/>
              </w:rPr>
            </w:pPr>
          </w:p>
        </w:tc>
        <w:tc>
          <w:tcPr>
            <w:tcW w:w="873" w:type="dxa"/>
            <w:vAlign w:val="center"/>
            <w:shd w:val="clear" w:color="auto" w:fill="FFFFFF"/>
          </w:tcPr>
          <w:p>
            <w:pPr>
              <w:widowControl w:val="1"/>
              <w:jc w:val="center"/>
              <w:spacing w:line="0" w:lineRule="atLeast"/>
              <w:rPr>
                <w:color w:val="auto"/>
                <w:sz w:val="22"/>
                <w:kern w:val="0"/>
                <w:szCs w:val="22"/>
              </w:rPr>
            </w:pPr>
            <w:r>
              <w:rPr>
                <w:color w:val="auto"/>
                <w:sz w:val="22"/>
                <w:kern w:val="0"/>
                <w:szCs w:val="22"/>
              </w:rPr>
              <w:t>满意度</w:t>
            </w:r>
          </w:p>
        </w:tc>
        <w:tc>
          <w:tcPr>
            <w:tcW w:w="2353" w:type="dxa"/>
            <w:vAlign w:val="center"/>
            <w:shd w:val="clear" w:color="000000" w:fill="FFFFFF"/>
          </w:tcPr>
          <w:p>
            <w:pPr>
              <w:widowControl w:val="1"/>
              <w:spacing w:line="0" w:lineRule="atLeast"/>
              <w:rPr>
                <w:color w:val="auto"/>
                <w:sz w:val="22"/>
                <w:kern w:val="0"/>
                <w:szCs w:val="22"/>
              </w:rPr>
            </w:pPr>
            <w:r>
              <w:rPr>
                <w:color w:val="auto"/>
                <w:sz w:val="22"/>
                <w:kern w:val="0"/>
                <w:szCs w:val="22"/>
              </w:rPr>
              <w:t>社会公众或服务对象对项目实施效果的满意程度。</w:t>
            </w:r>
          </w:p>
        </w:tc>
        <w:tc>
          <w:tcPr>
            <w:tcW w:w="5191" w:type="dxa"/>
            <w:vAlign w:val="center"/>
            <w:shd w:val="clear" w:color="000000" w:fill="FFFFFF"/>
          </w:tcPr>
          <w:p>
            <w:pPr>
              <w:widowControl w:val="1"/>
              <w:spacing w:line="0" w:lineRule="atLeast"/>
              <w:rPr>
                <w:color w:val="auto"/>
                <w:sz w:val="22"/>
                <w:kern w:val="0"/>
                <w:szCs w:val="22"/>
              </w:rPr>
            </w:pPr>
            <w:r>
              <w:rPr>
                <w:color w:val="auto"/>
                <w:sz w:val="22"/>
                <w:kern w:val="0"/>
                <w:szCs w:val="22"/>
              </w:rPr>
              <w:t>社会公众或服务对象是指因该项目实施而受到影响的部门（单位）、群体或个人。一般采取社会调查的方式。</w:t>
            </w:r>
          </w:p>
        </w:tc>
        <w:tc>
          <w:tcPr>
            <w:tcW w:w="1300" w:type="dxa"/>
            <w:vAlign w:val="center"/>
            <w:shd w:val="clear" w:color="000000" w:fill="FFFFFF"/>
          </w:tcPr>
          <w:p>
            <w:pPr>
              <w:widowControl w:val="1"/>
              <w:jc w:val="center"/>
              <w:spacing w:line="0" w:lineRule="atLeast"/>
              <w:rPr>
                <w:b w:val="1"/>
                <w:color w:val="auto"/>
                <w:sz w:val="22"/>
                <w:bCs/>
                <w:kern w:val="0"/>
                <w:szCs w:val="22"/>
              </w:rPr>
            </w:pPr>
            <w:r>
              <w:rPr>
                <w:b w:val="1"/>
                <w:color w:val="auto"/>
                <w:sz w:val="22"/>
                <w:bCs/>
                <w:kern w:val="0"/>
                <w:szCs w:val="22"/>
                <w:rFonts w:hint="eastAsia"/>
              </w:rPr>
              <w:t>5</w:t>
            </w:r>
          </w:p>
        </w:tc>
        <w:tc>
          <w:tcPr>
            <w:tcW w:w="1363" w:type="dxa"/>
            <w:vAlign w:val="center"/>
            <w:shd w:val="clear" w:color="000000" w:fill="FFFFFF"/>
          </w:tcPr>
          <w:p>
            <w:pPr>
              <w:widowControl w:val="1"/>
              <w:jc w:val="center"/>
              <w:spacing w:line="0" w:lineRule="atLeast"/>
              <w:rPr>
                <w:color w:val="auto"/>
                <w:sz w:val="22"/>
                <w:lang w:val="en-US" w:eastAsia="zh-CN" w:bidi="ar-SA"/>
                <w:kern w:val="0"/>
                <w:szCs w:val="22"/>
                <w:rFonts w:ascii="Times New Roman" w:hAnsi="Times New Roman" w:eastAsia="宋体" w:cs="Times New Roman" w:hint="eastAsia"/>
              </w:rPr>
            </w:pPr>
            <w:r>
              <w:rPr>
                <w:color w:val="auto"/>
                <w:sz w:val="22"/>
                <w:lang w:val="en-US" w:eastAsia="zh-CN"/>
                <w:kern w:val="0"/>
                <w:szCs w:val="22"/>
                <w:rFonts w:hint="eastAsia"/>
              </w:rPr>
              <w:t>5</w:t>
            </w:r>
          </w:p>
        </w:tc>
      </w:tr>
    </w:tbl>
    <w:p>
      <w:pPr>
        <w:pStyle w:val="19"/>
        <w:rPr>
          <w:color w:val="auto"/>
          <w:rFonts w:ascii="Times New Roman" w:hAnsi="Times New Roman"/>
        </w:rPr>
      </w:pPr>
    </w:p>
    <w:p>
      <w:pPr>
        <w:rPr>
          <w:color w:val="auto"/>
        </w:rPr>
      </w:pPr>
    </w:p>
    <w:p>
      <w:pPr>
        <w:spacing w:line="540" w:lineRule="exact"/>
        <w:ind w:firstLine="640"/>
        <w:rPr>
          <w:rStyle w:val="24"/>
          <w:color w:val="auto"/>
          <w:spacing w:val="-4"/>
          <w:sz w:val="32"/>
          <w:bCs w:val="0"/>
          <w:szCs w:val="32"/>
          <w:rFonts w:eastAsia="黑体"/>
        </w:rPr>
      </w:pPr>
    </w:p>
    <w:p>
      <w:pPr>
        <w:spacing w:line="540" w:lineRule="exact"/>
        <w:ind w:firstLine="640"/>
        <w:rPr>
          <w:rStyle w:val="24"/>
          <w:color w:val="auto"/>
          <w:spacing w:val="-4"/>
          <w:sz w:val="32"/>
          <w:bCs w:val="0"/>
          <w:szCs w:val="32"/>
          <w:rFonts w:eastAsia="黑体"/>
        </w:rPr>
      </w:pPr>
    </w:p>
    <w:p>
      <w:pPr>
        <w:spacing w:line="540" w:lineRule="exact"/>
        <w:ind w:firstLine="640"/>
        <w:rPr>
          <w:rStyle w:val="24"/>
          <w:color w:val="auto"/>
          <w:spacing w:val="-4"/>
          <w:sz w:val="32"/>
          <w:bCs w:val="0"/>
          <w:szCs w:val="32"/>
          <w:rFonts w:eastAsia="黑体"/>
        </w:rPr>
      </w:pPr>
    </w:p>
    <w:p>
      <w:pPr>
        <w:spacing w:line="540" w:lineRule="exact"/>
        <w:ind w:firstLine="640"/>
        <w:rPr>
          <w:rStyle w:val="24"/>
          <w:color w:val="auto"/>
          <w:spacing w:val="-4"/>
          <w:sz w:val="32"/>
          <w:bCs w:val="0"/>
          <w:szCs w:val="32"/>
          <w:rFonts w:eastAsia="黑体"/>
        </w:rPr>
      </w:pPr>
    </w:p>
    <w:p>
      <w:pPr>
        <w:spacing w:line="540" w:lineRule="exact"/>
        <w:ind w:firstLine="640"/>
        <w:rPr>
          <w:rStyle w:val="24"/>
          <w:color w:val="auto"/>
          <w:spacing w:val="-4"/>
          <w:sz w:val="32"/>
          <w:bCs w:val="0"/>
          <w:szCs w:val="32"/>
          <w:rFonts w:eastAsia="黑体"/>
        </w:rPr>
      </w:pPr>
    </w:p>
    <w:p>
      <w:pPr>
        <w:spacing w:line="540" w:lineRule="exact"/>
        <w:ind w:firstLine="640"/>
        <w:rPr>
          <w:rStyle w:val="24"/>
          <w:color w:val="auto"/>
          <w:spacing w:val="-4"/>
          <w:sz w:val="32"/>
          <w:bCs w:val="0"/>
          <w:szCs w:val="32"/>
          <w:rFonts w:eastAsia="黑体"/>
        </w:rPr>
      </w:pPr>
    </w:p>
    <w:p>
      <w:pPr>
        <w:spacing w:line="540" w:lineRule="exact"/>
        <w:rPr>
          <w:rStyle w:val="24"/>
          <w:b w:val="0"/>
          <w:color w:val="auto"/>
          <w:spacing w:val="-4"/>
          <w:sz w:val="32"/>
          <w:szCs w:val="32"/>
          <w:rFonts w:eastAsia="仿宋"/>
        </w:rPr>
      </w:pPr>
    </w:p>
    <w:sectPr>
      <w:docGrid w:type="lines" w:linePitch="312" w:charSpace="0"/>
      <w:pgSz w:w="16838" w:h="11906" w:orient="landscape"/>
      <w:pgMar w:top="1800" w:right="1440" w:bottom="1558" w:left="1440" w:header="851" w:footer="992" w:gutter="0"/>
      <w:cols w:space="425" w:num="1"/>
    </w:sectPr>
  </w:body>
</w:document>
</file>

<file path=word/fontTable.xml><?xml version="1.0" encoding="utf-8"?>
<w:fonts xmlns:w="http://schemas.openxmlformats.org/wordprocessingml/2006/main" xmlns:w14="http://schemas.microsoft.com/office/word/2010/wordml" xmlns:r="http://schemas.openxmlformats.org/officeDocument/2006/relationships" xmlns:mc="http://schemas.openxmlformats.org/markup-compatibility/2006"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_GB2312">
    <w:panose1 w:val="02010609030101010101"/>
    <w:charset w:val="86"/>
    <w:family w:val="modern"/>
    <w:pitch w:val="default"/>
    <w:sig w:usb0="00000001" w:usb1="080E0000" w:usb2="00000000" w:usb3="00000000" w:csb0="00040000" w:csb1="00000000"/>
  </w:font>
  <w:font w:name="隶书">
    <w:altName w:val="微软雅黑"/>
    <w:panose1 w:val="02010509060101010101"/>
    <w:charset w:val="86"/>
    <w:family w:val="modern"/>
    <w:pitch w:val="default"/>
    <w:sig w:usb0="00000000" w:usb1="00000000" w:usb2="00000000" w:usb3="00000000" w:csb0="00040000" w:csb1="00000000"/>
  </w:font>
  <w:font w:name="华文中宋">
    <w:panose1 w:val="02010600040101010101"/>
    <w:charset w:val="86"/>
    <w:family w:val="auto"/>
    <w:pitch w:val="default"/>
    <w:sig w:usb0="00000000" w:usb1="00000000" w:usb2="00000000" w:usb3="00000000" w:csb0="00000000" w:csb1="00000000"/>
  </w:font>
  <w:font w:name="方正小标宋_GBK">
    <w:panose1 w:val="03000509000000000000"/>
    <w:charset w:val="86"/>
    <w:family w:val="script"/>
    <w:pitch w:val="default"/>
    <w:sig w:usb0="00000000" w:usb1="00000000" w:usb2="00000000" w:usb3="00000000" w:csb0="00000000" w:csb1="00000000"/>
  </w:font>
  <w:font w:name="楷体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仿宋_GBK">
    <w:panose1 w:val="02000000000000000000"/>
    <w:charset w:val="86"/>
    <w:family w:val="auto"/>
    <w:pitch w:val="default"/>
    <w:sig w:usb0="00000000" w:usb1="00000000" w:usb2="00000000" w:usb3="00000000" w:csb0="00000000" w:csb1="00000000"/>
  </w:font>
  <w:font w:name="楷体">
    <w:panose1 w:val="02010609060101010101"/>
    <w:charset w:val="86"/>
    <w:family w:val="modern"/>
    <w:pitch w:val="default"/>
    <w:sig w:usb0="800002BF" w:usb1="38CF7CFA" w:usb2="00000016" w:usb3="00000000" w:csb0="00040001" w:csb1="00000000"/>
  </w:font>
  <w:font w:name="方正小标宋简体">
    <w:panose1 w:val="02010601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s="http://schemas.microsoft.com/office/word/2010/wordprocessingShape" xmlns:wne="http://schemas.microsoft.com/office/word/2006/wordml" xmlns:wpg="http://schemas.microsoft.com/office/word/2010/wordprocessingGroup" xmlns:w15="http://schemas.microsoft.com/office/word/2012/wordml" xmlns:w14="http://schemas.microsoft.com/office/word/2010/wordml" xmlns:wpi="http://schemas.microsoft.com/office/word/2010/wordprocessingInk" xmlns:w10="urn:schemas-microsoft-com:office:word" xmlns:wp="http://schemas.openxmlformats.org/drawingml/2006/wordprocessingDrawing" xmlns:wp14="http://schemas.microsoft.com/office/word/2010/wordprocessingDrawing" xmlns:v="urn:schemas-microsoft-com:vml" xmlns:r="http://schemas.openxmlformats.org/officeDocument/2006/relationships" xmlns:m="http://schemas.openxmlformats.org/officeDocument/2006/math" xmlns:wpsCustomData="http://www.wps.cn/officeDocument/2013/wpsCustomData" xmlns:w="http://schemas.openxmlformats.org/wordprocessingml/2006/main" xmlns:o="urn:schemas-microsoft-com:office:office" xmlns:mc="http://schemas.openxmlformats.org/markup-compatibility/2006" xmlns:wpc="http://schemas.microsoft.com/office/word/2010/wordprocessingCanvas" mc:Ignorable="w14 w15 wp14">
  <w:sdt>
    <w:sdtPr>
      <w:id w:val="422003363"/>
    </w:sdtPr>
    <w:sdtContent>
      <w:p>
        <w:pPr>
          <w:pStyle w:val="16"/>
          <w:jc w:val="center"/>
        </w:pPr>
        <w:r>
          <w:fldChar w:fldCharType="begin"/>
        </w:r>
        <w:r>
          <w:instrText xml:space="preserve">PAGE   \* MERGEFORMAT</w:instrText>
        </w:r>
        <w:r>
          <w:fldChar w:fldCharType="separate"/>
        </w:r>
        <w:r>
          <w:rPr>
            <w:lang w:val="zh-CN"/>
          </w:rPr>
          <w:t>17</w:t>
        </w:r>
        <w:r>
          <w:fldChar w:fldCharType="end"/>
        </w:r>
      </w:p>
    </w:sdtContent>
  </w:sdt>
  <w:p>
    <w:pPr>
      <w:pStyle w:val="16"/>
    </w:pPr>
  </w:p>
</w:ftr>
</file>

<file path=word/numbering.xml><?xml version="1.0" encoding="utf-8"?>
<w:numbering xmlns:wps="http://schemas.microsoft.com/office/word/2010/wordprocessingShape" xmlns:wne="http://schemas.microsoft.com/office/word/2006/wordml" xmlns:wpg="http://schemas.microsoft.com/office/word/2010/wordprocessingGroup" xmlns:w14="http://schemas.microsoft.com/office/word/2010/wordml" xmlns:wpi="http://schemas.microsoft.com/office/word/2010/wordprocessingInk" xmlns:w10="urn:schemas-microsoft-com:office:word" xmlns:wp="http://schemas.openxmlformats.org/drawingml/2006/wordprocessingDrawing" xmlns:wp14="http://schemas.microsoft.com/office/word/2010/wordprocessingDrawing" xmlns:v="urn:schemas-microsoft-com:vml" xmlns:r="http://schemas.openxmlformats.org/officeDocument/2006/relationships" xmlns:m="http://schemas.openxmlformats.org/officeDocument/2006/math" xmlns:w="http://schemas.openxmlformats.org/wordprocessingml/2006/main" xmlns:o="urn:schemas-microsoft-com:office:office" xmlns:mc="http://schemas.openxmlformats.org/markup-compatibility/2006" xmlns:wpc="http://schemas.microsoft.com/office/word/2010/wordprocessingCanvas" mc:Ignorable="w14 wp14">
  <w:abstractNum w:abstractNumId="0">
    <w:nsid w:val="9D3D2FA9"/>
    <w:multiLevelType w:val="singleLevel"/>
    <w:tmpl w:val="9D3D2FA9"/>
    <w:lvl w:ilvl="0" w:tentative="0">
      <w:start w:val="6"/>
      <w:numFmt w:val="chineseCounting"/>
      <w:suff w:val="nothing"/>
      <w:lvlText w:val="%1、"/>
      <w:lvlJc w:val="left"/>
      <w:rPr>
        <w:rFonts w:hint="eastAsia"/>
      </w:rPr>
    </w:lvl>
  </w:abstractNum>
  <w:abstractNum w:abstractNumId="1">
    <w:nsid w:val="C22A9D45"/>
    <w:multiLevelType w:val="singleLevel"/>
    <w:tmpl w:val="C22A9D45"/>
    <w:lvl w:ilvl="0" w:tentative="0">
      <w:start w:val="1"/>
      <w:numFmt w:val="decimal"/>
      <w:suff w:val="nothing"/>
      <w:lvlText w:val="（%1）"/>
      <w:lvlJc w:val="left"/>
    </w:lvl>
  </w:abstractNum>
  <w:abstractNum w:abstractNumId="2">
    <w:nsid w:val="DEF60FE1"/>
    <w:multiLevelType w:val="singleLevel"/>
    <w:tmpl w:val="DEF60FE1"/>
    <w:lvl w:ilvl="0" w:tentative="0">
      <w:start w:val="1"/>
      <w:numFmt w:val="decimal"/>
      <w:suff w:val="nothing"/>
      <w:lvlText w:val="（%1）"/>
      <w:lvlJc w:val="left"/>
    </w:lvl>
  </w:abstractNum>
  <w:abstractNum w:abstractNumId="3">
    <w:nsid w:val="E83853AE"/>
    <w:multiLevelType w:val="singleLevel"/>
    <w:tmpl w:val="E83853AE"/>
    <w:lvl w:ilvl="0" w:tentative="0">
      <w:start w:val="2"/>
      <w:numFmt w:val="decimal"/>
      <w:suff w:val="nothing"/>
      <w:lvlText w:val="%1、"/>
      <w:lvlJc w:val="left"/>
    </w:lvl>
  </w:abstractNum>
  <w:abstractNum w:abstractNumId="4">
    <w:nsid w:val="FF9379A8"/>
    <w:multiLevelType w:val="singleLevel"/>
    <w:tmpl w:val="FF9379A8"/>
    <w:lvl w:ilvl="0" w:tentative="0">
      <w:start w:val="2"/>
      <w:numFmt w:val="chineseCounting"/>
      <w:suff w:val="nothing"/>
      <w:lvlText w:val="（%1）"/>
      <w:lvlJc w:val="left"/>
      <w:rPr>
        <w:rFonts w:hint="eastAsia"/>
      </w:rPr>
    </w:lvl>
  </w:abstractNum>
  <w:abstractNum w:abstractNumId="5">
    <w:nsid w:val="116B29BF"/>
    <w:multiLevelType w:val="singleLevel"/>
    <w:tmpl w:val="116B29BF"/>
    <w:lvl w:ilvl="0" w:tentative="0">
      <w:start w:val="3"/>
      <w:numFmt w:val="chineseCounting"/>
      <w:suff w:val="nothing"/>
      <w:lvlText w:val="%1、"/>
      <w:lvlJc w:val="left"/>
      <w:rPr>
        <w:rFonts w:hint="eastAsia"/>
      </w:rPr>
    </w:lvl>
  </w:abstractNum>
  <w:abstractNum w:abstractNumId="6">
    <w:nsid w:val="27813159"/>
    <w:multiLevelType w:val="singleLevel"/>
    <w:tmpl w:val="27813159"/>
    <w:lvl w:ilvl="0" w:tentative="0">
      <w:start w:val="3"/>
      <w:numFmt w:val="chineseCounting"/>
      <w:suff w:val="nothing"/>
      <w:lvlText w:val="（%1）"/>
      <w:lvlJc w:val="left"/>
      <w:rPr>
        <w:rFonts w:hint="eastAsia"/>
      </w:rPr>
    </w:lvl>
  </w:abstractNum>
  <w:abstractNum w:abstractNumId="7">
    <w:nsid w:val="38F0C646"/>
    <w:multiLevelType w:val="singleLevel"/>
    <w:tmpl w:val="38F0C646"/>
    <w:lvl w:ilvl="0" w:tentative="0">
      <w:start w:val="1"/>
      <w:numFmt w:val="decimal"/>
      <w:suff w:val="nothing"/>
      <w:lvlText w:val="%1、"/>
      <w:lvlJc w:val="left"/>
    </w:lvl>
  </w:abstractNum>
  <w:num w:numId="1">
    <w:abstractNumId w:val="3"/>
  </w:num>
  <w:num w:numId="2">
    <w:abstractNumId w:val="1"/>
  </w:num>
  <w:num w:numId="3">
    <w:abstractNumId w:val="2"/>
  </w:num>
  <w:num w:numId="4">
    <w:abstractNumId w:val="6"/>
  </w:num>
  <w:num w:numId="5">
    <w:abstractNumId w:val="7"/>
  </w:num>
  <w:num w:numId="6">
    <w:abstractNumId w:val="5"/>
  </w:num>
  <w:num w:numId="7">
    <w:abstractNumId w:val="4"/>
  </w:num>
  <w:num w:numId="8">
    <w:abstractNumId w:val="0"/>
  </w:num>
</w:numbering>
</file>

<file path=word/settings.xml><?xml version="1.0" encoding="utf-8"?>
<w:settings xmlns:w14="http://schemas.microsoft.com/office/word/2010/wordml" xmlns:w10="urn:schemas-microsoft-com:office:word" xmlns:r="http://schemas.openxmlformats.org/officeDocument/2006/relationships" xmlns:sl="http://schemas.openxmlformats.org/schemaLibrary/2006/main" xmlns:v="urn:schemas-microsoft-com:vml" xmlns:m="http://schemas.openxmlformats.org/officeDocument/2006/math" xmlns:w="http://schemas.openxmlformats.org/wordprocessingml/2006/main" xmlns:o="urn:schemas-microsoft-com:office:office" xmlns:mc="http://schemas.openxmlformats.org/markup-compatibility/2006" mc:Ignorable="w14">
  <w:bordersDoNotSurroundHeader/>
  <w:bordersDoNotSurroundFooter/>
  <w:defaultTabStop w:val="420"/>
  <w:drawingGridVerticalSpacing w:val="156"/>
  <w:characterSpacingControl w:val="compressPunctuation"/>
  <w:zoom w:percent="120"/>
  <w:compat>
    <w:spaceForUL/>
    <w:balanceSingleByteDoubleByteWidth/>
    <w:doNotLeaveBackslashAlone/>
    <w:ulTrailSpace/>
    <w:doNotExpandShiftReturn/>
    <w:adjustLineHeightInTable/>
    <w:useFELayout/>
    <w:compatSetting w:val="15"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Setting w:val="1" w:uri="http://schemas.microsoft.com/office/word" w:name="differentiateMultirowTableHeaders"/>
  </w:compat>
  <w:rsids>
    <w:rsidRoot w:val="00CA6457"/>
    <w:rsid w:val="00056465"/>
    <w:rsid w:val="000E50F0"/>
    <w:rsid w:val="000E586C"/>
    <w:rsid w:val="00121AE4"/>
    <w:rsid w:val="00146AAD"/>
    <w:rsid w:val="001B3A40"/>
    <w:rsid w:val="00200850"/>
    <w:rsid w:val="003748BB"/>
    <w:rsid w:val="003C18BC"/>
    <w:rsid w:val="00430B95"/>
    <w:rsid w:val="004366A8"/>
    <w:rsid w:val="00464900"/>
    <w:rsid w:val="0050203C"/>
    <w:rsid w:val="00502BA7"/>
    <w:rsid w:val="005162F1"/>
    <w:rsid w:val="00535153"/>
    <w:rsid w:val="00554F82"/>
    <w:rsid w:val="0056390D"/>
    <w:rsid w:val="005667D5"/>
    <w:rsid w:val="005719B0"/>
    <w:rsid w:val="005D10D6"/>
    <w:rsid w:val="007806A5"/>
    <w:rsid w:val="00855E3A"/>
    <w:rsid w:val="00922CB9"/>
    <w:rsid w:val="009E5CD9"/>
    <w:rsid w:val="00A26421"/>
    <w:rsid w:val="00A4293B"/>
    <w:rsid w:val="00A67D50"/>
    <w:rsid w:val="00A8691A"/>
    <w:rsid w:val="00AC1946"/>
    <w:rsid w:val="00B40063"/>
    <w:rsid w:val="00B41F61"/>
    <w:rsid w:val="00BA46E6"/>
    <w:rsid w:val="00C20F12"/>
    <w:rsid w:val="00C56C72"/>
    <w:rsid w:val="00CA6457"/>
    <w:rsid w:val="00D17F2E"/>
    <w:rsid w:val="00D30354"/>
    <w:rsid w:val="00DF42A0"/>
    <w:rsid w:val="00DF7C45"/>
    <w:rsid w:val="00E31565"/>
    <w:rsid w:val="00E46C51"/>
    <w:rsid w:val="00E659F7"/>
    <w:rsid w:val="00E769FE"/>
    <w:rsid w:val="00EA2CBE"/>
    <w:rsid w:val="00F20494"/>
    <w:rsid w:val="00F32FEE"/>
    <w:rsid w:val="00F71278"/>
    <w:rsid w:val="00FA15E9"/>
    <w:rsid w:val="00FB10BB"/>
    <w:rsid w:val="034F0063"/>
    <w:rsid w:val="03674259"/>
    <w:rsid w:val="03FC3EB2"/>
    <w:rsid w:val="04CC2884"/>
    <w:rsid w:val="051A56F5"/>
    <w:rsid w:val="066D6EAA"/>
    <w:rsid w:val="06DC1681"/>
    <w:rsid w:val="08C662D4"/>
    <w:rsid w:val="09BD4D95"/>
    <w:rsid w:val="0A8A4DC1"/>
    <w:rsid w:val="0B0F58D6"/>
    <w:rsid w:val="0F8D41CB"/>
    <w:rsid w:val="0FEE2F21"/>
    <w:rsid w:val="11C75270"/>
    <w:rsid w:val="12637CC3"/>
    <w:rsid w:val="12E657C5"/>
    <w:rsid w:val="133C6E2A"/>
    <w:rsid w:val="14A16D5C"/>
    <w:rsid w:val="167C7687"/>
    <w:rsid w:val="168B3546"/>
    <w:rsid w:val="1A2374E0"/>
    <w:rsid w:val="1C165181"/>
    <w:rsid w:val="1C317CE2"/>
    <w:rsid w:val="1DD45808"/>
    <w:rsid w:val="1DED42AC"/>
    <w:rsid w:val="20005763"/>
    <w:rsid w:val="20E46995"/>
    <w:rsid w:val="20FB313D"/>
    <w:rsid w:val="220B4804"/>
    <w:rsid w:val="25B03BAC"/>
    <w:rsid w:val="278B653F"/>
    <w:rsid w:val="282475E3"/>
    <w:rsid w:val="29997D4B"/>
    <w:rsid w:val="29E421D9"/>
    <w:rsid w:val="2C6100C1"/>
    <w:rsid w:val="3235157C"/>
    <w:rsid w:val="3264220D"/>
    <w:rsid w:val="32A83563"/>
    <w:rsid w:val="3674EC46"/>
    <w:rsid w:val="38872456"/>
    <w:rsid w:val="3963178C"/>
    <w:rsid w:val="3BA5236D"/>
    <w:rsid w:val="3CED0699"/>
    <w:rsid w:val="3EB02FD6"/>
    <w:rsid w:val="41CC2676"/>
    <w:rsid w:val="46297449"/>
    <w:rsid w:val="46B21672"/>
    <w:rsid w:val="47C42548"/>
    <w:rsid w:val="4BB66B4E"/>
    <w:rsid w:val="4DC37B53"/>
    <w:rsid w:val="4E537E39"/>
    <w:rsid w:val="4F552460"/>
    <w:rsid w:val="4FCC6863"/>
    <w:rsid w:val="500A214A"/>
    <w:rsid w:val="522D604D"/>
    <w:rsid w:val="5297585E"/>
    <w:rsid w:val="52AD7D6F"/>
    <w:rsid w:val="5549519D"/>
    <w:rsid w:val="5557596B"/>
    <w:rsid w:val="56F40A6F"/>
    <w:rsid w:val="5B596DFC"/>
    <w:rsid w:val="5B8408E1"/>
    <w:rsid w:val="5DAE6D00"/>
    <w:rsid w:val="5DF03945"/>
    <w:rsid w:val="5F03526B"/>
    <w:rsid w:val="62830E29"/>
    <w:rsid w:val="62E515AF"/>
    <w:rsid w:val="6313559B"/>
    <w:rsid w:val="637C2815"/>
    <w:rsid w:val="6547148C"/>
    <w:rsid w:val="666B4FDC"/>
    <w:rsid w:val="67FF13C8"/>
    <w:rsid w:val="682144B7"/>
    <w:rsid w:val="6B503F77"/>
    <w:rsid w:val="6B880719"/>
    <w:rsid w:val="6E031785"/>
    <w:rsid w:val="6E311968"/>
    <w:rsid w:val="70801D29"/>
    <w:rsid w:val="7A353D0B"/>
    <w:rsid w:val="7BDF62E8"/>
    <w:rsid w:val="7CB927D8"/>
    <w:rsid w:val="7D3A5E2F"/>
  </w:rsids>
  <m:mathPr>
    <m:mathFont val="Cambria Math"/>
    <m:brkBin val="before"/>
    <m:brkBinSub val="--"/>
    <m:smallFrac val="0"/>
    <m:dispDef/>
    <m:lMargin val="0"/>
    <m:rMargin val="0"/>
    <m:defJc val="centerGroup"/>
    <m:wrapIndent val="1440"/>
    <m:intLim val="subSup"/>
    <m:naryLim val="undOvr"/>
  </m:mathPr>
  <w:themeFontLang w:eastAsia="zh-CN" w:val="en-US"/>
  <w:clrSchemeMapping w:bg1="lt1" w:t1="dark1" w:bg2="lt2" w:t2="dark2" w:accent1="accent1" w:accent2="accent2" w:accent3="accent3" w:accent4="accent4" w:accent5="accent5" w:accent6="accent6" w:hyperlink="hyperlink" w:followedHyperlink="followedHyperlink" tx1="dk1" tx2="dk2"/>
  <w:decimalSymbol/>
  <w:listSeparator/>
</w:settings>
</file>

<file path=word/styles.xml><?xml version="1.0" encoding="utf-8"?>
<w:styles xmlns:w10="urn:schemas-microsoft-com:office:word" xmlns:w14="http://schemas.microsoft.com/office/word/2010/wordml" xmlns:r="http://schemas.openxmlformats.org/officeDocument/2006/relationships" xmlns:sl="http://schemas.openxmlformats.org/schemaLibrary/2006/main" xmlns:v="urn:schemas-microsoft-com:vml" xmlns:m="http://schemas.openxmlformats.org/officeDocument/2006/math" xmlns:w="http://schemas.openxmlformats.org/wordprocessingml/2006/main" xmlns:o="urn:schemas-microsoft-com:office:office" xmlns:mc="http://schemas.openxmlformats.org/markup-compatibility/2006" mc:Ignorable="w14">
  <w:docDefaults>
    <w:rPrDefault>
      <w:rPr>
        <w:rFonts w:ascii="Times New Roman" w:hAnsi="Times New Roman" w:eastAsia="宋体" w:cs="Times New Roman"/>
      </w:rPr>
    </w:rPrDefault>
  </w:docDefaults>
  <w:latentStyles w:defLockedState="0" w:defSemiHidden="1" w:defUnhideWhenUsed="1" w:defQFormat="0" w:defUIPriority="99" w:count="260">
    <w:lsdException w:name="Balloon Text"/>
    <w:lsdException w:name="Block Text"/>
    <w:lsdException w:name="Body Text" w:semiHidden="0" w:unhideWhenUsed="0"/>
    <w:lsdException w:name="Body Text 2"/>
    <w:lsdException w:name="Body Text 3"/>
    <w:lsdException w:name="Body Text First Indent" w:semiHidden="0" w:unhideWhenUsed="0"/>
    <w:lsdException w:name="Body Text First Indent 2" w:semiHidden="0" w:unhideWhenUsed="0"/>
    <w:lsdException w:name="Body Text Indent" w:semiHidden="0" w:unhideWhenUsed="0"/>
    <w:lsdException w:name="Body Text Indent 2"/>
    <w:lsdException w:name="Body Text Indent 3"/>
    <w:lsdException w:name="Closing"/>
    <w:lsdException w:name="Colorful Grid" w:semiHidden="0" w:unhideWhenUsed="0"/>
    <w:lsdException w:name="Colorful Grid Accent 1" w:semiHidden="0" w:unhideWhenUsed="0"/>
    <w:lsdException w:name="Colorful Grid Accent 2" w:semiHidden="0" w:unhideWhenUsed="0"/>
    <w:lsdException w:name="Colorful Grid Accent 3" w:semiHidden="0" w:unhideWhenUsed="0"/>
    <w:lsdException w:name="Colorful Grid Accent 4" w:semiHidden="0" w:unhideWhenUsed="0"/>
    <w:lsdException w:name="Colorful Grid Accent 5" w:semiHidden="0" w:unhideWhenUsed="0"/>
    <w:lsdException w:name="Colorful Grid Accent 6" w:semiHidden="0" w:unhideWhenUsed="0"/>
    <w:lsdException w:name="Colorful List" w:semiHidden="0" w:unhideWhenUsed="0"/>
    <w:lsdException w:name="Colorful List Accent 1" w:semiHidden="0" w:unhideWhenUsed="0"/>
    <w:lsdException w:name="Colorful List Accent 2" w:semiHidden="0" w:unhideWhenUsed="0"/>
    <w:lsdException w:name="Colorful List Accent 3" w:semiHidden="0" w:unhideWhenUsed="0"/>
    <w:lsdException w:name="Colorful List Accent 4" w:semiHidden="0" w:unhideWhenUsed="0"/>
    <w:lsdException w:name="Colorful List Accent 5" w:semiHidden="0" w:unhideWhenUsed="0"/>
    <w:lsdException w:name="Colorful List Accent 6" w:semiHidden="0" w:unhideWhenUsed="0"/>
    <w:lsdException w:name="Colorful Shading" w:semiHidden="0" w:unhideWhenUsed="0"/>
    <w:lsdException w:name="Colorful Shading Accent 1" w:semiHidden="0" w:unhideWhenUsed="0"/>
    <w:lsdException w:name="Colorful Shading Accent 2" w:semiHidden="0" w:unhideWhenUsed="0"/>
    <w:lsdException w:name="Colorful Shading Accent 3" w:semiHidden="0" w:unhideWhenUsed="0"/>
    <w:lsdException w:name="Colorful Shading Accent 4" w:semiHidden="0" w:unhideWhenUsed="0"/>
    <w:lsdException w:name="Colorful Shading Accent 5" w:semiHidden="0" w:unhideWhenUsed="0"/>
    <w:lsdException w:name="Colorful Shading Accent 6" w:semiHidden="0" w:unhideWhenUsed="0"/>
    <w:lsdException w:name="Dark List" w:semiHidden="0" w:unhideWhenUsed="0"/>
    <w:lsdException w:name="Dark List Accent 1" w:semiHidden="0" w:unhideWhenUsed="0"/>
    <w:lsdException w:name="Dark List Accent 2" w:semiHidden="0" w:unhideWhenUsed="0"/>
    <w:lsdException w:name="Dark List Accent 3" w:semiHidden="0" w:unhideWhenUsed="0"/>
    <w:lsdException w:name="Dark List Accent 4" w:semiHidden="0" w:unhideWhenUsed="0"/>
    <w:lsdException w:name="Dark List Accent 5" w:semiHidden="0" w:unhideWhenUsed="0"/>
    <w:lsdException w:name="Dark List Accent 6" w:semiHidden="0" w:unhideWhenUsed="0"/>
    <w:lsdException w:name="Date"/>
    <w:lsdException w:name="Default Paragraph Font"/>
    <w:lsdException w:name="Document Map"/>
    <w:lsdException w:name="E-mail Signature"/>
    <w:lsdException w:name="Emphasis" w:semiHidden="0" w:unhideWhenUsed="0"/>
    <w:lsdException w:name="FollowedHyperlink"/>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Typewriter"/>
    <w:lsdException w:name="HTML Variable"/>
    <w:lsdException w:name="Hyperlink"/>
    <w:lsdException w:name="Intense Quote" w:semiHidden="0" w:unhideWhenUsed="0"/>
    <w:lsdException w:name="Light Grid" w:semiHidden="0" w:unhideWhenUsed="0"/>
    <w:lsdException w:name="Light Grid Accent 1" w:semiHidden="0" w:unhideWhenUsed="0"/>
    <w:lsdException w:name="Light Grid Accent 2" w:semiHidden="0" w:unhideWhenUsed="0"/>
    <w:lsdException w:name="Light Grid Accent 3" w:semiHidden="0" w:unhideWhenUsed="0"/>
    <w:lsdException w:name="Light Grid Accent 4" w:semiHidden="0" w:unhideWhenUsed="0"/>
    <w:lsdException w:name="Light Grid Accent 5" w:semiHidden="0" w:unhideWhenUsed="0"/>
    <w:lsdException w:name="Light Grid Accent 6" w:semiHidden="0" w:unhideWhenUsed="0"/>
    <w:lsdException w:name="Light List" w:semiHidden="0" w:unhideWhenUsed="0"/>
    <w:lsdException w:name="Light List Accent 1" w:semiHidden="0" w:unhideWhenUsed="0"/>
    <w:lsdException w:name="Light List Accent 2" w:semiHidden="0" w:unhideWhenUsed="0"/>
    <w:lsdException w:name="Light List Accent 3" w:semiHidden="0" w:unhideWhenUsed="0"/>
    <w:lsdException w:name="Light List Accent 4" w:semiHidden="0" w:unhideWhenUsed="0"/>
    <w:lsdException w:name="Light List Accent 5" w:semiHidden="0" w:unhideWhenUsed="0"/>
    <w:lsdException w:name="Light List Accent 6" w:semiHidden="0" w:unhideWhenUsed="0"/>
    <w:lsdException w:name="Light Shading" w:semiHidden="0" w:unhideWhenUsed="0"/>
    <w:lsdException w:name="Light Shading Accent 1" w:semiHidden="0" w:unhideWhenUsed="0"/>
    <w:lsdException w:name="Light Shading Accent 2" w:semiHidden="0" w:unhideWhenUsed="0"/>
    <w:lsdException w:name="Light Shading Accent 3" w:semiHidden="0" w:unhideWhenUsed="0"/>
    <w:lsdException w:name="Light Shading Accent 4" w:semiHidden="0" w:unhideWhenUsed="0"/>
    <w:lsdException w:name="Light Shading Accent 5" w:semiHidden="0" w:unhideWhenUsed="0"/>
    <w:lsdException w:name="Light Shading Accent 6" w:semiHidden="0" w:unhideWhenUsed="0"/>
    <w:lsdException w:name="List"/>
    <w:lsdException w:name="List 2"/>
    <w:lsdException w:name="List 3"/>
    <w:lsdException w:name="List 4"/>
    <w:lsdException w:name="List 5"/>
    <w:lsdException w:name="List Bullet"/>
    <w:lsdException w:name="List Bullet 2"/>
    <w:lsdException w:name="List Bullet 3"/>
    <w:lsdException w:name="List Bullet 4"/>
    <w:lsdException w:name="List Bullet 5"/>
    <w:lsdException w:name="List Continue"/>
    <w:lsdException w:name="List Continue 2"/>
    <w:lsdException w:name="List Continue 3"/>
    <w:lsdException w:name="List Continue 4"/>
    <w:lsdException w:name="List Continue 5"/>
    <w:lsdException w:name="List Number"/>
    <w:lsdException w:name="List Number 2"/>
    <w:lsdException w:name="List Number 3"/>
    <w:lsdException w:name="List Number 4"/>
    <w:lsdException w:name="List Number 5"/>
    <w:lsdException w:name="List Paragraph" w:semiHidden="0" w:unhideWhenUsed="0"/>
    <w:lsdException w:name="Medium Grid 1" w:semiHidden="0" w:unhideWhenUsed="0"/>
    <w:lsdException w:name="Medium Grid 1 Accent 1" w:semiHidden="0" w:unhideWhenUsed="0"/>
    <w:lsdException w:name="Medium Grid 1 Accent 2" w:semiHidden="0" w:unhideWhenUsed="0"/>
    <w:lsdException w:name="Medium Grid 1 Accent 3" w:semiHidden="0" w:unhideWhenUsed="0"/>
    <w:lsdException w:name="Medium Grid 1 Accent 4" w:semiHidden="0" w:unhideWhenUsed="0"/>
    <w:lsdException w:name="Medium Grid 1 Accent 5" w:semiHidden="0" w:unhideWhenUsed="0"/>
    <w:lsdException w:name="Medium Grid 1 Accent 6" w:semiHidden="0" w:unhideWhenUsed="0"/>
    <w:lsdException w:name="Medium Grid 2" w:semiHidden="0" w:unhideWhenUsed="0"/>
    <w:lsdException w:name="Medium Grid 2 Accent 1" w:semiHidden="0" w:unhideWhenUsed="0"/>
    <w:lsdException w:name="Medium Grid 2 Accent 2" w:semiHidden="0" w:unhideWhenUsed="0"/>
    <w:lsdException w:name="Medium Grid 2 Accent 3" w:semiHidden="0" w:unhideWhenUsed="0"/>
    <w:lsdException w:name="Medium Grid 2 Accent 4" w:semiHidden="0" w:unhideWhenUsed="0"/>
    <w:lsdException w:name="Medium Grid 2 Accent 5" w:semiHidden="0" w:unhideWhenUsed="0"/>
    <w:lsdException w:name="Medium Grid 2 Accent 6" w:semiHidden="0" w:unhideWhenUsed="0"/>
    <w:lsdException w:name="Medium Grid 3" w:semiHidden="0" w:unhideWhenUsed="0"/>
    <w:lsdException w:name="Medium Grid 3 Accent 1" w:semiHidden="0" w:unhideWhenUsed="0"/>
    <w:lsdException w:name="Medium Grid 3 Accent 2" w:semiHidden="0" w:unhideWhenUsed="0"/>
    <w:lsdException w:name="Medium Grid 3 Accent 3" w:semiHidden="0" w:unhideWhenUsed="0"/>
    <w:lsdException w:name="Medium Grid 3 Accent 4" w:semiHidden="0" w:unhideWhenUsed="0"/>
    <w:lsdException w:name="Medium Grid 3 Accent 5" w:semiHidden="0" w:unhideWhenUsed="0"/>
    <w:lsdException w:name="Medium Grid 3 Accent 6" w:semiHidden="0" w:unhideWhenUsed="0"/>
    <w:lsdException w:name="Medium List 1" w:semiHidden="0" w:unhideWhenUsed="0"/>
    <w:lsdException w:name="Medium List 1 Accent 1" w:semiHidden="0" w:unhideWhenUsed="0"/>
    <w:lsdException w:name="Medium List 1 Accent 2" w:semiHidden="0" w:unhideWhenUsed="0"/>
    <w:lsdException w:name="Medium List 1 Accent 3" w:semiHidden="0" w:unhideWhenUsed="0"/>
    <w:lsdException w:name="Medium List 1 Accent 4" w:semiHidden="0" w:unhideWhenUsed="0"/>
    <w:lsdException w:name="Medium List 1 Accent 5" w:semiHidden="0" w:unhideWhenUsed="0"/>
    <w:lsdException w:name="Medium List 1 Accent 6" w:semiHidden="0" w:unhideWhenUsed="0"/>
    <w:lsdException w:name="Medium List 2" w:semiHidden="0" w:unhideWhenUsed="0"/>
    <w:lsdException w:name="Medium List 2 Accent 1" w:semiHidden="0" w:unhideWhenUsed="0"/>
    <w:lsdException w:name="Medium List 2 Accent 2" w:semiHidden="0" w:unhideWhenUsed="0"/>
    <w:lsdException w:name="Medium List 2 Accent 3" w:semiHidden="0" w:unhideWhenUsed="0"/>
    <w:lsdException w:name="Medium List 2 Accent 4" w:semiHidden="0" w:unhideWhenUsed="0"/>
    <w:lsdException w:name="Medium List 2 Accent 5" w:semiHidden="0" w:unhideWhenUsed="0"/>
    <w:lsdException w:name="Medium List 2 Accent 6" w:semiHidden="0" w:unhideWhenUsed="0"/>
    <w:lsdException w:name="Medium Shading 1" w:semiHidden="0" w:unhideWhenUsed="0"/>
    <w:lsdException w:name="Medium Shading 1 Accent 1" w:semiHidden="0" w:unhideWhenUsed="0"/>
    <w:lsdException w:name="Medium Shading 1 Accent 2" w:semiHidden="0" w:unhideWhenUsed="0"/>
    <w:lsdException w:name="Medium Shading 1 Accent 3" w:semiHidden="0" w:unhideWhenUsed="0"/>
    <w:lsdException w:name="Medium Shading 1 Accent 4" w:semiHidden="0" w:unhideWhenUsed="0"/>
    <w:lsdException w:name="Medium Shading 1 Accent 5" w:semiHidden="0" w:unhideWhenUsed="0"/>
    <w:lsdException w:name="Medium Shading 1 Accent 6" w:semiHidden="0" w:unhideWhenUsed="0"/>
    <w:lsdException w:name="Medium Shading 2" w:semiHidden="0" w:unhideWhenUsed="0"/>
    <w:lsdException w:name="Medium Shading 2 Accent 1" w:semiHidden="0" w:unhideWhenUsed="0"/>
    <w:lsdException w:name="Medium Shading 2 Accent 2" w:semiHidden="0" w:unhideWhenUsed="0"/>
    <w:lsdException w:name="Medium Shading 2 Accent 3" w:semiHidden="0" w:unhideWhenUsed="0"/>
    <w:lsdException w:name="Medium Shading 2 Accent 4" w:semiHidden="0" w:unhideWhenUsed="0"/>
    <w:lsdException w:name="Medium Shading 2 Accent 5" w:semiHidden="0" w:unhideWhenUsed="0"/>
    <w:lsdException w:name="Medium Shading 2 Accent 6" w:semiHidden="0" w:unhideWhenUsed="0"/>
    <w:lsdException w:name="Message Header"/>
    <w:lsdException w:name="No Spacing" w:semiHidden="0" w:unhideWhenUsed="0"/>
    <w:lsdException w:name="Normal" w:semiHidden="0" w:unhideWhenUsed="0"/>
    <w:lsdException w:name="Normal (Web)"/>
    <w:lsdException w:name="Normal Indent"/>
    <w:lsdException w:name="Normal Table"/>
    <w:lsdException w:name="Note Heading"/>
    <w:lsdException w:name="Plain Text"/>
    <w:lsdException w:name="Quote" w:semiHidden="0" w:unhideWhenUsed="0"/>
    <w:lsdException w:name="Salutation"/>
    <w:lsdException w:name="Signature"/>
    <w:lsdException w:name="Strong" w:semiHidden="0" w:unhideWhenUsed="0"/>
    <w:lsdException w:name="Subtitle" w:semiHidden="0" w:unhideWhenUsed="0"/>
    <w:lsdException w:name="Table 3D effects 1"/>
    <w:lsdException w:name="Table 3D effects 2"/>
    <w:lsdException w:name="Table 3D effects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Contemporary"/>
    <w:lsdException w:name="Table Elegant"/>
    <w:lsdException w:name="Table Grid" w:semiHidden="0" w:unhideWhenUsed="0"/>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Professional"/>
    <w:lsdException w:name="Table Simple 1"/>
    <w:lsdException w:name="Table Simple 2"/>
    <w:lsdException w:name="Table Simple 3"/>
    <w:lsdException w:name="Table Subtle 1"/>
    <w:lsdException w:name="Table Subtle 2"/>
    <w:lsdException w:name="Table Theme"/>
    <w:lsdException w:name="Table Web 1"/>
    <w:lsdException w:name="Table Web 2"/>
    <w:lsdException w:name="Table Web 3"/>
    <w:lsdException w:name="Title" w:semiHidden="0" w:unhideWhenUsed="0"/>
    <w:lsdException w:name="annotation reference"/>
    <w:lsdException w:name="annotation subject"/>
    <w:lsdException w:name="annotation text" w:semiHidden="0" w:unhideWhenUsed="0"/>
    <w:lsdException w:name="caption"/>
    <w:lsdException w:name="endnote reference"/>
    <w:lsdException w:name="endnote text"/>
    <w:lsdException w:name="envelope address"/>
    <w:lsdException w:name="envelope return"/>
    <w:lsdException w:name="footer" w:semiHidden="0"/>
    <w:lsdException w:name="footnote reference"/>
    <w:lsdException w:name="footnote text"/>
    <w:lsdException w:name="header" w:semiHidden="0"/>
    <w:lsdException w:name="heading 1" w:semiHidden="0" w:unhideWhenUsed="0"/>
    <w:lsdException w:name="heading 2"/>
    <w:lsdException w:name="heading 3"/>
    <w:lsdException w:name="heading 4"/>
    <w:lsdException w:name="heading 5"/>
    <w:lsdException w:name="heading 6"/>
    <w:lsdException w:name="heading 7"/>
    <w:lsdException w:name="heading 8"/>
    <w:lsdException w:name="heading 9"/>
    <w:lsdException w:name="index 1"/>
    <w:lsdException w:name="index 2"/>
    <w:lsdException w:name="index 3"/>
    <w:lsdException w:name="index 4"/>
    <w:lsdException w:name="index 5"/>
    <w:lsdException w:name="index 6"/>
    <w:lsdException w:name="index 7"/>
    <w:lsdException w:name="index 8"/>
    <w:lsdException w:name="index 9"/>
    <w:lsdException w:name="index heading"/>
    <w:lsdException w:name="line number"/>
    <w:lsdException w:name="macro"/>
    <w:lsdException w:name="page number"/>
    <w:lsdException w:name="table of authorities"/>
    <w:lsdException w:name="table of figures"/>
    <w:lsdException w:name="toa heading"/>
    <w:lsdException w:name="toc 1"/>
    <w:lsdException w:name="toc 2"/>
    <w:lsdException w:name="toc 3"/>
    <w:lsdException w:name="toc 4"/>
    <w:lsdException w:name="toc 5"/>
    <w:lsdException w:name="toc 6"/>
    <w:lsdException w:name="toc 7"/>
    <w:lsdException w:name="toc 8"/>
    <w:lsdException w:name="toc 9"/>
  </w:latentStyles>
  <w:style w:type="paragraph" w:styleId="1" w:default="1">
    <w:name w:val="Normal"/>
    <w:uiPriority w:val="0"/>
    <w:qFormat/>
    <w:pPr>
      <w:widowControl w:val="0"/>
      <w:jc w:val="both"/>
    </w:pPr>
    <w:rPr>
      <w:sz w:val="21"/>
      <w:lang w:val="en-US" w:eastAsia="zh-CN" w:bidi="ar-SA"/>
      <w:kern w:val="2"/>
      <w:szCs w:val="24"/>
      <w:rFonts w:ascii="Times New Roman" w:hAnsi="Times New Roman" w:eastAsia="宋体" w:cs="Times New Roman"/>
    </w:rPr>
  </w:style>
  <w:style w:type="paragraph" w:styleId="3">
    <w:name w:val="heading 1"/>
    <w:basedOn w:val="1"/>
    <w:link w:val="26"/>
    <w:uiPriority w:val="9"/>
    <w:qFormat/>
    <w:pPr>
      <w:widowControl w:val="1"/>
      <w:keepNext w:val="1"/>
      <w:jc w:val="left"/>
      <w:outlineLvl w:val="0"/>
      <w:spacing w:after="60" w:before="240"/>
    </w:pPr>
    <w:rPr>
      <w:b w:val="1"/>
      <w:sz w:val="32"/>
      <w:bCs/>
      <w:kern w:val="32"/>
      <w:szCs w:val="32"/>
      <w:rFonts w:asciiTheme="majorHAnsi" w:hAnsiTheme="majorHAnsi" w:eastAsiaTheme="majorEastAsia"/>
    </w:rPr>
  </w:style>
  <w:style w:type="paragraph" w:styleId="4">
    <w:name w:val="heading 2"/>
    <w:basedOn w:val="1"/>
    <w:link w:val="27"/>
    <w:uiPriority w:val="9"/>
    <w:semiHidden/>
    <w:unhideWhenUsed/>
    <w:qFormat/>
    <w:pPr>
      <w:widowControl w:val="1"/>
      <w:keepNext w:val="1"/>
      <w:jc w:val="left"/>
      <w:outlineLvl w:val="1"/>
      <w:spacing w:after="60" w:before="240"/>
    </w:pPr>
    <w:rPr>
      <w:b w:val="1"/>
      <w:i w:val="1"/>
      <w:sz w:val="28"/>
      <w:bCs/>
      <w:iCs/>
      <w:kern w:val="0"/>
      <w:szCs w:val="28"/>
      <w:rFonts w:asciiTheme="majorHAnsi" w:hAnsiTheme="majorHAnsi" w:eastAsiaTheme="majorEastAsia"/>
    </w:rPr>
  </w:style>
  <w:style w:type="paragraph" w:styleId="5">
    <w:name w:val="heading 3"/>
    <w:basedOn w:val="1"/>
    <w:link w:val="28"/>
    <w:uiPriority w:val="9"/>
    <w:semiHidden/>
    <w:unhideWhenUsed/>
    <w:qFormat/>
    <w:pPr>
      <w:widowControl w:val="1"/>
      <w:keepNext w:val="1"/>
      <w:jc w:val="left"/>
      <w:outlineLvl w:val="2"/>
      <w:spacing w:after="60" w:before="240"/>
    </w:pPr>
    <w:rPr>
      <w:b w:val="1"/>
      <w:sz w:val="26"/>
      <w:bCs/>
      <w:kern w:val="0"/>
      <w:szCs w:val="26"/>
      <w:rFonts w:asciiTheme="majorHAnsi" w:hAnsiTheme="majorHAnsi" w:eastAsiaTheme="majorEastAsia"/>
    </w:rPr>
  </w:style>
  <w:style w:type="paragraph" w:styleId="6">
    <w:name w:val="heading 4"/>
    <w:basedOn w:val="1"/>
    <w:link w:val="29"/>
    <w:uiPriority w:val="9"/>
    <w:semiHidden/>
    <w:unhideWhenUsed/>
    <w:qFormat/>
    <w:pPr>
      <w:widowControl w:val="1"/>
      <w:keepNext w:val="1"/>
      <w:jc w:val="left"/>
      <w:outlineLvl w:val="3"/>
      <w:spacing w:after="60" w:before="240"/>
    </w:pPr>
    <w:rPr>
      <w:b w:val="1"/>
      <w:sz w:val="28"/>
      <w:bCs/>
      <w:kern w:val="0"/>
      <w:szCs w:val="28"/>
      <w:rFonts w:asciiTheme="minorHAnsi" w:hAnsiTheme="minorHAnsi" w:eastAsiaTheme="minorEastAsia"/>
    </w:rPr>
  </w:style>
  <w:style w:type="paragraph" w:styleId="7">
    <w:name w:val="heading 5"/>
    <w:basedOn w:val="1"/>
    <w:link w:val="30"/>
    <w:uiPriority w:val="9"/>
    <w:semiHidden/>
    <w:unhideWhenUsed/>
    <w:qFormat/>
    <w:pPr>
      <w:widowControl w:val="1"/>
      <w:jc w:val="left"/>
      <w:outlineLvl w:val="4"/>
      <w:spacing w:after="60" w:before="240"/>
    </w:pPr>
    <w:rPr>
      <w:b w:val="1"/>
      <w:i w:val="1"/>
      <w:sz w:val="26"/>
      <w:bCs/>
      <w:iCs/>
      <w:kern w:val="0"/>
      <w:szCs w:val="26"/>
      <w:rFonts w:asciiTheme="minorHAnsi" w:hAnsiTheme="minorHAnsi" w:eastAsiaTheme="minorEastAsia"/>
    </w:rPr>
  </w:style>
  <w:style w:type="paragraph" w:styleId="8">
    <w:name w:val="heading 6"/>
    <w:basedOn w:val="1"/>
    <w:link w:val="31"/>
    <w:uiPriority w:val="9"/>
    <w:semiHidden/>
    <w:unhideWhenUsed/>
    <w:qFormat/>
    <w:pPr>
      <w:widowControl w:val="1"/>
      <w:jc w:val="left"/>
      <w:outlineLvl w:val="5"/>
      <w:spacing w:after="60" w:before="240"/>
    </w:pPr>
    <w:rPr>
      <w:b w:val="1"/>
      <w:sz w:val="22"/>
      <w:bCs/>
      <w:kern w:val="0"/>
      <w:szCs w:val="22"/>
      <w:rFonts w:asciiTheme="minorHAnsi" w:hAnsiTheme="minorHAnsi" w:eastAsiaTheme="minorEastAsia"/>
    </w:rPr>
  </w:style>
  <w:style w:type="paragraph" w:styleId="9">
    <w:name w:val="heading 7"/>
    <w:basedOn w:val="1"/>
    <w:link w:val="32"/>
    <w:uiPriority w:val="9"/>
    <w:semiHidden/>
    <w:unhideWhenUsed/>
    <w:qFormat/>
    <w:pPr>
      <w:widowControl w:val="1"/>
      <w:jc w:val="left"/>
      <w:outlineLvl w:val="6"/>
      <w:spacing w:after="60" w:before="240"/>
    </w:pPr>
    <w:rPr>
      <w:sz w:val="24"/>
      <w:kern w:val="0"/>
      <w:rFonts w:asciiTheme="minorHAnsi" w:hAnsiTheme="minorHAnsi" w:eastAsiaTheme="minorEastAsia"/>
    </w:rPr>
  </w:style>
  <w:style w:type="paragraph" w:styleId="10">
    <w:name w:val="heading 8"/>
    <w:basedOn w:val="1"/>
    <w:link w:val="33"/>
    <w:uiPriority w:val="9"/>
    <w:semiHidden/>
    <w:unhideWhenUsed/>
    <w:qFormat/>
    <w:pPr>
      <w:widowControl w:val="1"/>
      <w:jc w:val="left"/>
      <w:outlineLvl w:val="7"/>
      <w:spacing w:after="60" w:before="240"/>
    </w:pPr>
    <w:rPr>
      <w:i w:val="1"/>
      <w:sz w:val="24"/>
      <w:iCs/>
      <w:kern w:val="0"/>
      <w:rFonts w:asciiTheme="minorHAnsi" w:hAnsiTheme="minorHAnsi" w:eastAsiaTheme="minorEastAsia"/>
    </w:rPr>
  </w:style>
  <w:style w:type="paragraph" w:styleId="11">
    <w:name w:val="heading 9"/>
    <w:basedOn w:val="1"/>
    <w:link w:val="34"/>
    <w:uiPriority w:val="9"/>
    <w:semiHidden/>
    <w:unhideWhenUsed/>
    <w:qFormat/>
    <w:pPr>
      <w:widowControl w:val="1"/>
      <w:jc w:val="left"/>
      <w:outlineLvl w:val="8"/>
      <w:spacing w:after="60" w:before="240"/>
    </w:pPr>
    <w:rPr>
      <w:sz w:val="22"/>
      <w:kern w:val="0"/>
      <w:szCs w:val="22"/>
      <w:rFonts w:asciiTheme="majorHAnsi" w:hAnsiTheme="majorHAnsi" w:eastAsiaTheme="majorEastAsia"/>
    </w:rPr>
  </w:style>
  <w:style w:type="character" w:styleId="23" w:default="1">
    <w:name w:val="Default Paragraph Font"/>
    <w:uiPriority w:val="1"/>
    <w:semiHidden/>
    <w:unhideWhenUsed/>
    <w:qFormat/>
  </w:style>
  <w:style w:type="table" w:styleId="22" w:default="1">
    <w:name w:val="Normal Table"/>
    <w:uiPriority w:val="99"/>
    <w:semiHidden/>
    <w:unhideWhenUsed/>
    <w:qFormat/>
    <w:tblPr>
      <w:tblLayout w:type="fixed"/>
      <w:tblCellMar>
        <w:top w:type="dxa" w:w="0.000000"/>
        <w:bottom w:type="dxa" w:w="0.000000"/>
        <w:left w:type="dxa" w:w="108.000000"/>
        <w:right w:type="dxa" w:w="108.000000"/>
      </w:tblCellMar>
    </w:tblPr>
  </w:style>
  <w:style w:type="paragraph" w:styleId="2" w:customStyle="1">
    <w:name w:val="BodyText"/>
    <w:basedOn w:val="1"/>
    <w:uiPriority w:val="0"/>
    <w:qFormat/>
    <w:pPr>
      <w:jc w:val="both"/>
      <w:spacing w:after="120"/>
    </w:pPr>
  </w:style>
  <w:style w:type="paragraph" w:styleId="12">
    <w:name w:val="annotation text"/>
    <w:basedOn w:val="1"/>
    <w:uiPriority w:val="0"/>
    <w:qFormat/>
    <w:pPr>
      <w:jc w:val="left"/>
    </w:pPr>
  </w:style>
  <w:style w:type="paragraph" w:styleId="13">
    <w:name w:val="Body Text"/>
    <w:basedOn w:val="1"/>
    <w:uiPriority w:val="0"/>
    <w:qFormat/>
    <w:pPr>
      <w:spacing w:after="120"/>
    </w:pPr>
  </w:style>
  <w:style w:type="paragraph" w:styleId="14">
    <w:name w:val="Body Text Indent"/>
    <w:basedOn w:val="1"/>
    <w:uiPriority w:val="0"/>
    <w:qFormat/>
    <w:pPr>
      <w:spacing w:after="120"/>
      <w:ind w:left="420" w:leftChars="200"/>
    </w:pPr>
    <w:rPr>
      <w:rFonts w:ascii="Calibri" w:hAnsi="Calibri"/>
    </w:rPr>
  </w:style>
  <w:style w:type="paragraph" w:styleId="15">
    <w:name w:val="Balloon Text"/>
    <w:basedOn w:val="1"/>
    <w:link w:val="51"/>
    <w:uiPriority w:val="99"/>
    <w:semiHidden/>
    <w:unhideWhenUsed/>
    <w:qFormat/>
    <w:rPr>
      <w:sz w:val="18"/>
      <w:szCs w:val="18"/>
    </w:rPr>
  </w:style>
  <w:style w:type="paragraph" w:styleId="16">
    <w:name w:val="footer"/>
    <w:basedOn w:val="1"/>
    <w:link w:val="50"/>
    <w:uiPriority w:val="99"/>
    <w:unhideWhenUsed/>
    <w:qFormat/>
    <w:pPr>
      <w:snapToGrid w:val="0"/>
      <w:jc w:val="left"/>
      <w:tabs>
        <w:tab w:val="center" w:pos="4153"/>
        <w:tab w:val="right" w:pos="8306"/>
      </w:tabs>
    </w:pPr>
    <w:rPr>
      <w:sz w:val="18"/>
      <w:szCs w:val="18"/>
      <w:rFonts w:ascii="Calibri" w:hAnsi="Calibri"/>
    </w:rPr>
  </w:style>
  <w:style w:type="paragraph" w:styleId="17">
    <w:name w:val="header"/>
    <w:basedOn w:val="1"/>
    <w:link w:val="49"/>
    <w:uiPriority w:val="99"/>
    <w:unhideWhenUsed/>
    <w:qFormat/>
    <w:pPr>
      <w:snapToGrid w:val="0"/>
      <w:jc w:val="center"/>
      <w:pBdr>
        <w:bottom w:val="single" w:color="auto" w:sz="6" w:space="1"/>
      </w:pBdr>
      <w:tabs>
        <w:tab w:val="center" w:pos="4153"/>
        <w:tab w:val="right" w:pos="8306"/>
      </w:tabs>
    </w:pPr>
    <w:rPr>
      <w:sz w:val="18"/>
      <w:szCs w:val="18"/>
      <w:rFonts w:ascii="Calibri" w:hAnsi="Calibri"/>
    </w:rPr>
  </w:style>
  <w:style w:type="paragraph" w:styleId="18">
    <w:name w:val="Subtitle"/>
    <w:basedOn w:val="1"/>
    <w:link w:val="36"/>
    <w:uiPriority w:val="11"/>
    <w:qFormat/>
    <w:pPr>
      <w:widowControl w:val="1"/>
      <w:jc w:val="center"/>
      <w:outlineLvl w:val="1"/>
      <w:spacing w:after="60"/>
    </w:pPr>
    <w:rPr>
      <w:sz w:val="24"/>
      <w:kern w:val="0"/>
      <w:rFonts w:asciiTheme="majorHAnsi" w:hAnsiTheme="majorHAnsi" w:eastAsiaTheme="majorEastAsia"/>
    </w:rPr>
  </w:style>
  <w:style w:type="paragraph" w:styleId="19">
    <w:name w:val="Title"/>
    <w:basedOn w:val="1"/>
    <w:link w:val="35"/>
    <w:uiPriority w:val="10"/>
    <w:qFormat/>
    <w:pPr>
      <w:widowControl w:val="1"/>
      <w:jc w:val="center"/>
      <w:outlineLvl w:val="0"/>
      <w:spacing w:after="60" w:before="240"/>
    </w:pPr>
    <w:rPr>
      <w:b w:val="1"/>
      <w:sz w:val="32"/>
      <w:bCs/>
      <w:kern w:val="28"/>
      <w:szCs w:val="32"/>
      <w:rFonts w:asciiTheme="majorHAnsi" w:hAnsiTheme="majorHAnsi" w:eastAsiaTheme="majorEastAsia"/>
    </w:rPr>
  </w:style>
  <w:style w:type="paragraph" w:styleId="20">
    <w:name w:val="Body Text First Indent"/>
    <w:basedOn w:val="13"/>
    <w:uiPriority w:val="0"/>
    <w:qFormat/>
    <w:pPr>
      <w:spacing w:after="0"/>
      <w:ind w:firstLine="200" w:firstLineChars="200"/>
    </w:pPr>
  </w:style>
  <w:style w:type="paragraph" w:styleId="21">
    <w:name w:val="Body Text First Indent 2"/>
    <w:basedOn w:val="14"/>
    <w:uiPriority w:val="0"/>
    <w:qFormat/>
    <w:pPr>
      <w:ind w:firstLine="420" w:firstLineChars="200"/>
    </w:pPr>
  </w:style>
  <w:style w:type="character" w:styleId="24">
    <w:name w:val="Strong"/>
    <w:basedOn w:val="23"/>
    <w:uiPriority w:val="0"/>
    <w:qFormat/>
    <w:rPr>
      <w:b w:val="1"/>
      <w:bCs/>
    </w:rPr>
  </w:style>
  <w:style w:type="character" w:styleId="25">
    <w:name w:val="Emphasis"/>
    <w:basedOn w:val="23"/>
    <w:uiPriority w:val="20"/>
    <w:qFormat/>
    <w:rPr>
      <w:b w:val="1"/>
      <w:i w:val="1"/>
      <w:iCs/>
      <w:rFonts w:asciiTheme="minorHAnsi" w:hAnsiTheme="minorHAnsi"/>
    </w:rPr>
  </w:style>
  <w:style w:type="character" w:styleId="26" w:customStyle="1">
    <w:name w:val="标题 1 字符"/>
    <w:basedOn w:val="23"/>
    <w:link w:val="3"/>
    <w:uiPriority w:val="9"/>
    <w:qFormat/>
    <w:rPr>
      <w:b w:val="1"/>
      <w:sz w:val="32"/>
      <w:bCs/>
      <w:kern w:val="32"/>
      <w:szCs w:val="32"/>
      <w:rFonts w:asciiTheme="majorHAnsi" w:hAnsiTheme="majorHAnsi" w:eastAsiaTheme="majorEastAsia"/>
    </w:rPr>
  </w:style>
  <w:style w:type="character" w:styleId="27" w:customStyle="1">
    <w:name w:val="标题 2 字符"/>
    <w:basedOn w:val="23"/>
    <w:link w:val="4"/>
    <w:uiPriority w:val="9"/>
    <w:semiHidden/>
    <w:qFormat/>
    <w:rPr>
      <w:b w:val="1"/>
      <w:i w:val="1"/>
      <w:sz w:val="28"/>
      <w:bCs/>
      <w:iCs/>
      <w:szCs w:val="28"/>
      <w:rFonts w:asciiTheme="majorHAnsi" w:hAnsiTheme="majorHAnsi" w:eastAsiaTheme="majorEastAsia"/>
    </w:rPr>
  </w:style>
  <w:style w:type="character" w:styleId="28" w:customStyle="1">
    <w:name w:val="标题 3 字符"/>
    <w:basedOn w:val="23"/>
    <w:link w:val="5"/>
    <w:uiPriority w:val="9"/>
    <w:semiHidden/>
    <w:qFormat/>
    <w:rPr>
      <w:b w:val="1"/>
      <w:sz w:val="26"/>
      <w:bCs/>
      <w:szCs w:val="26"/>
      <w:rFonts w:asciiTheme="majorHAnsi" w:hAnsiTheme="majorHAnsi" w:eastAsiaTheme="majorEastAsia"/>
    </w:rPr>
  </w:style>
  <w:style w:type="character" w:styleId="29" w:customStyle="1">
    <w:name w:val="标题 4 字符"/>
    <w:basedOn w:val="23"/>
    <w:link w:val="6"/>
    <w:uiPriority w:val="9"/>
    <w:semiHidden/>
    <w:qFormat/>
    <w:rPr>
      <w:b w:val="1"/>
      <w:sz w:val="28"/>
      <w:bCs/>
      <w:szCs w:val="28"/>
    </w:rPr>
  </w:style>
  <w:style w:type="character" w:styleId="30" w:customStyle="1">
    <w:name w:val="标题 5 字符"/>
    <w:basedOn w:val="23"/>
    <w:link w:val="7"/>
    <w:uiPriority w:val="9"/>
    <w:semiHidden/>
    <w:qFormat/>
    <w:rPr>
      <w:b w:val="1"/>
      <w:i w:val="1"/>
      <w:sz w:val="26"/>
      <w:bCs/>
      <w:iCs/>
      <w:szCs w:val="26"/>
    </w:rPr>
  </w:style>
  <w:style w:type="character" w:styleId="31" w:customStyle="1">
    <w:name w:val="标题 6 字符"/>
    <w:basedOn w:val="23"/>
    <w:link w:val="8"/>
    <w:uiPriority w:val="9"/>
    <w:semiHidden/>
    <w:qFormat/>
    <w:rPr>
      <w:b w:val="1"/>
      <w:bCs/>
    </w:rPr>
  </w:style>
  <w:style w:type="character" w:styleId="32" w:customStyle="1">
    <w:name w:val="标题 7 字符"/>
    <w:basedOn w:val="23"/>
    <w:link w:val="9"/>
    <w:uiPriority w:val="9"/>
    <w:semiHidden/>
    <w:qFormat/>
    <w:rPr>
      <w:sz w:val="24"/>
      <w:szCs w:val="24"/>
    </w:rPr>
  </w:style>
  <w:style w:type="character" w:styleId="33" w:customStyle="1">
    <w:name w:val="标题 8 字符"/>
    <w:basedOn w:val="23"/>
    <w:link w:val="10"/>
    <w:uiPriority w:val="9"/>
    <w:semiHidden/>
    <w:qFormat/>
    <w:rPr>
      <w:i w:val="1"/>
      <w:sz w:val="24"/>
      <w:iCs/>
      <w:szCs w:val="24"/>
    </w:rPr>
  </w:style>
  <w:style w:type="character" w:styleId="34" w:customStyle="1">
    <w:name w:val="标题 9 字符"/>
    <w:basedOn w:val="23"/>
    <w:link w:val="11"/>
    <w:uiPriority w:val="9"/>
    <w:semiHidden/>
    <w:qFormat/>
    <w:rPr>
      <w:rFonts w:asciiTheme="majorHAnsi" w:hAnsiTheme="majorHAnsi" w:eastAsiaTheme="majorEastAsia"/>
    </w:rPr>
  </w:style>
  <w:style w:type="character" w:styleId="35" w:customStyle="1">
    <w:name w:val="标题 字符"/>
    <w:basedOn w:val="23"/>
    <w:link w:val="19"/>
    <w:uiPriority w:val="10"/>
    <w:qFormat/>
    <w:rPr>
      <w:b w:val="1"/>
      <w:sz w:val="32"/>
      <w:bCs/>
      <w:kern w:val="28"/>
      <w:szCs w:val="32"/>
      <w:rFonts w:asciiTheme="majorHAnsi" w:hAnsiTheme="majorHAnsi" w:eastAsiaTheme="majorEastAsia"/>
    </w:rPr>
  </w:style>
  <w:style w:type="character" w:styleId="36" w:customStyle="1">
    <w:name w:val="副标题 字符"/>
    <w:basedOn w:val="23"/>
    <w:link w:val="18"/>
    <w:uiPriority w:val="11"/>
    <w:qFormat/>
    <w:rPr>
      <w:sz w:val="24"/>
      <w:szCs w:val="24"/>
      <w:rFonts w:asciiTheme="majorHAnsi" w:hAnsiTheme="majorHAnsi" w:eastAsiaTheme="majorEastAsia"/>
    </w:rPr>
  </w:style>
  <w:style w:type="paragraph" w:styleId="37">
    <w:name w:val="No Spacing"/>
    <w:basedOn w:val="1"/>
    <w:uiPriority w:val="1"/>
    <w:qFormat/>
    <w:pPr>
      <w:widowControl w:val="1"/>
      <w:jc w:val="left"/>
    </w:pPr>
    <w:rPr>
      <w:sz w:val="24"/>
      <w:lang w:eastAsia="en-US" w:bidi="en-US"/>
      <w:kern w:val="0"/>
      <w:szCs w:val="32"/>
      <w:rFonts w:asciiTheme="minorHAnsi" w:hAnsiTheme="minorHAnsi" w:eastAsiaTheme="minorEastAsia"/>
    </w:rPr>
  </w:style>
  <w:style w:type="paragraph" w:styleId="38">
    <w:name w:val="List Paragraph"/>
    <w:basedOn w:val="1"/>
    <w:uiPriority w:val="34"/>
    <w:qFormat/>
    <w:pPr>
      <w:widowControl w:val="1"/>
      <w:jc w:val="left"/>
      <w:contextualSpacing/>
      <w:ind w:left="720"/>
    </w:pPr>
    <w:rPr>
      <w:sz w:val="24"/>
      <w:lang w:eastAsia="en-US" w:bidi="en-US"/>
      <w:kern w:val="0"/>
      <w:rFonts w:asciiTheme="minorHAnsi" w:hAnsiTheme="minorHAnsi" w:eastAsiaTheme="minorEastAsia"/>
    </w:rPr>
  </w:style>
  <w:style w:type="paragraph" w:styleId="39">
    <w:name w:val="Quote"/>
    <w:basedOn w:val="1"/>
    <w:link w:val="40"/>
    <w:uiPriority w:val="29"/>
    <w:qFormat/>
    <w:pPr>
      <w:widowControl w:val="1"/>
      <w:jc w:val="left"/>
    </w:pPr>
    <w:rPr>
      <w:i w:val="1"/>
      <w:sz w:val="24"/>
      <w:kern w:val="0"/>
      <w:rFonts w:asciiTheme="minorHAnsi" w:hAnsiTheme="minorHAnsi" w:eastAsiaTheme="minorEastAsia"/>
    </w:rPr>
  </w:style>
  <w:style w:type="character" w:styleId="40" w:customStyle="1">
    <w:name w:val="引用 字符"/>
    <w:basedOn w:val="23"/>
    <w:link w:val="39"/>
    <w:uiPriority w:val="29"/>
    <w:qFormat/>
    <w:rPr>
      <w:i w:val="1"/>
      <w:sz w:val="24"/>
      <w:szCs w:val="24"/>
    </w:rPr>
  </w:style>
  <w:style w:type="paragraph" w:styleId="41">
    <w:name w:val="Intense Quote"/>
    <w:basedOn w:val="1"/>
    <w:link w:val="42"/>
    <w:uiPriority w:val="30"/>
    <w:qFormat/>
    <w:pPr>
      <w:widowControl w:val="1"/>
      <w:jc w:val="left"/>
      <w:ind w:left="720" w:right="720"/>
    </w:pPr>
    <w:rPr>
      <w:b w:val="1"/>
      <w:i w:val="1"/>
      <w:sz w:val="24"/>
      <w:kern w:val="0"/>
      <w:szCs w:val="22"/>
      <w:rFonts w:asciiTheme="minorHAnsi" w:hAnsiTheme="minorHAnsi" w:eastAsiaTheme="minorEastAsia"/>
    </w:rPr>
  </w:style>
  <w:style w:type="character" w:styleId="42" w:customStyle="1">
    <w:name w:val="明显引用 字符"/>
    <w:basedOn w:val="23"/>
    <w:link w:val="41"/>
    <w:uiPriority w:val="30"/>
    <w:qFormat/>
    <w:rPr>
      <w:b w:val="1"/>
      <w:i w:val="1"/>
      <w:sz w:val="24"/>
    </w:rPr>
  </w:style>
  <w:style w:type="character" w:styleId="43" w:customStyle="1">
    <w:name w:val="不明显强调1"/>
    <w:uiPriority w:val="19"/>
    <w:qFormat/>
    <w:rPr>
      <w:i w:val="1"/>
      <w:color w:val="595959" w:themeColor="text1" w:themeTint="A6"/>
      <w14:textFill>
        <w14:solidFill>
          <w14:schemeClr w14:val="tx1">
            <w14:lumMod w14:val="65000"/>
            <w14:lumOff w14:val="35000"/>
          </w14:schemeClr>
        </w14:solidFill>
      </w14:textFill>
    </w:rPr>
  </w:style>
  <w:style w:type="character" w:styleId="44" w:customStyle="1">
    <w:name w:val="明显强调1"/>
    <w:basedOn w:val="23"/>
    <w:uiPriority w:val="21"/>
    <w:qFormat/>
    <w:rPr>
      <w:b w:val="1"/>
      <w:i w:val="1"/>
      <w:u w:val="single"/>
      <w:sz w:val="24"/>
      <w:szCs w:val="24"/>
    </w:rPr>
  </w:style>
  <w:style w:type="character" w:styleId="45" w:customStyle="1">
    <w:name w:val="不明显参考1"/>
    <w:basedOn w:val="23"/>
    <w:uiPriority w:val="31"/>
    <w:qFormat/>
    <w:rPr>
      <w:u w:val="single"/>
      <w:sz w:val="24"/>
      <w:szCs w:val="24"/>
    </w:rPr>
  </w:style>
  <w:style w:type="character" w:styleId="46" w:customStyle="1">
    <w:name w:val="明显参考1"/>
    <w:basedOn w:val="23"/>
    <w:uiPriority w:val="32"/>
    <w:qFormat/>
    <w:rPr>
      <w:b w:val="1"/>
      <w:u w:val="single"/>
      <w:sz w:val="24"/>
    </w:rPr>
  </w:style>
  <w:style w:type="character" w:styleId="47" w:customStyle="1">
    <w:name w:val="书籍标题1"/>
    <w:basedOn w:val="23"/>
    <w:uiPriority w:val="33"/>
    <w:qFormat/>
    <w:rPr>
      <w:b w:val="1"/>
      <w:i w:val="1"/>
      <w:sz w:val="24"/>
      <w:szCs w:val="24"/>
      <w:rFonts w:asciiTheme="majorHAnsi" w:hAnsiTheme="majorHAnsi" w:eastAsiaTheme="majorEastAsia"/>
    </w:rPr>
  </w:style>
  <w:style w:type="paragraph" w:styleId="48" w:customStyle="1">
    <w:name w:val="TOC 标题1"/>
    <w:basedOn w:val="3"/>
    <w:uiPriority w:val="39"/>
    <w:semiHidden/>
    <w:unhideWhenUsed/>
    <w:qFormat/>
    <w:pPr>
      <w:outlineLvl w:val="9"/>
    </w:pPr>
    <w:rPr>
      <w:lang w:eastAsia="en-US" w:bidi="en-US"/>
    </w:rPr>
  </w:style>
  <w:style w:type="character" w:styleId="49" w:customStyle="1">
    <w:name w:val="页眉 字符"/>
    <w:basedOn w:val="23"/>
    <w:link w:val="17"/>
    <w:uiPriority w:val="99"/>
    <w:qFormat/>
    <w:rPr>
      <w:sz w:val="18"/>
      <w:kern w:val="2"/>
      <w:szCs w:val="18"/>
      <w:rFonts w:ascii="Calibri" w:hAnsi="Calibri" w:eastAsia="宋体"/>
    </w:rPr>
  </w:style>
  <w:style w:type="character" w:styleId="50" w:customStyle="1">
    <w:name w:val="页脚 字符"/>
    <w:basedOn w:val="23"/>
    <w:link w:val="16"/>
    <w:uiPriority w:val="99"/>
    <w:qFormat/>
    <w:rPr>
      <w:sz w:val="18"/>
      <w:kern w:val="2"/>
      <w:szCs w:val="18"/>
      <w:rFonts w:ascii="Calibri" w:hAnsi="Calibri" w:eastAsia="宋体"/>
    </w:rPr>
  </w:style>
  <w:style w:type="character" w:styleId="51" w:customStyle="1">
    <w:name w:val="批注框文本 字符"/>
    <w:basedOn w:val="23"/>
    <w:link w:val="15"/>
    <w:uiPriority w:val="99"/>
    <w:semiHidden/>
    <w:qFormat/>
    <w:rPr>
      <w:sz w:val="18"/>
      <w:kern w:val="2"/>
      <w:szCs w:val="18"/>
      <w:rFonts w:ascii="Times New Roman" w:hAnsi="Times New Roman" w:eastAsia="宋体"/>
    </w:rPr>
  </w:style>
  <w:style w:type="paragraph" w:styleId="52" w:customStyle="1">
    <w:name w:val="Heading2"/>
    <w:uiPriority w:val="0"/>
    <w:qFormat/>
    <w:pPr>
      <w:widowControl w:val="0"/>
      <w:keepNext w:val="1"/>
      <w:keepLines w:val="1"/>
      <w:jc w:val="both"/>
      <w:spacing w:after="260" w:before="260" w:line="413" w:lineRule="auto"/>
    </w:pPr>
    <w:rPr>
      <w:b w:val="1"/>
      <w:sz w:val="32"/>
      <w:lang w:val="en-US" w:eastAsia="zh-CN" w:bidi="ar-SA"/>
      <w:kern w:val="2"/>
      <w:szCs w:val="22"/>
      <w:rFonts w:ascii="Arial" w:hAnsi="Arial" w:eastAsia="黑体" w:cs="Times New Roman"/>
    </w:rPr>
  </w:style>
  <w:style w:type="character" w:styleId="53" w:customStyle="1">
    <w:name w:val="fontstyle01"/>
    <w:uiPriority w:val="0"/>
    <w:qFormat/>
    <w:rPr>
      <w:color w:val="000000"/>
      <w:sz w:val="32"/>
      <w:szCs w:val="32"/>
      <w:rFonts w:ascii="仿宋_GB2312" w:hAnsi="仿宋_GB2312" w:eastAsia="仿宋_GB2312" w:cs="仿宋_GB2312"/>
    </w:rPr>
  </w:style>
  <w:style w:type="character" w:styleId="54" w:customStyle="1">
    <w:name w:val="font01"/>
    <w:basedOn w:val="23"/>
    <w:uiPriority w:val="0"/>
    <w:qFormat/>
    <w:rPr>
      <w:u w:val="none"/>
      <w:color w:val="000000"/>
      <w:sz w:val="16"/>
      <w:szCs w:val="16"/>
      <w:rFonts w:ascii="Arial" w:hAnsi="Arial" w:cs="Arial" w:hint="default"/>
    </w:rPr>
  </w:style>
  <w:style w:type="character" w:styleId="55" w:customStyle="1">
    <w:name w:val="font21"/>
    <w:basedOn w:val="23"/>
    <w:uiPriority w:val="0"/>
    <w:qFormat/>
    <w:rPr>
      <w:u w:val="none"/>
      <w:color w:val="000000"/>
      <w:sz w:val="16"/>
      <w:szCs w:val="16"/>
      <w:rFonts w:ascii="宋体" w:hAnsi="宋体" w:eastAsia="宋体" w:cs="宋体" w:hint="eastAsia"/>
    </w:rPr>
  </w:style>
  <w:style w:type="character" w:styleId="56" w:customStyle="1">
    <w:name w:val="font31"/>
    <w:basedOn w:val="23"/>
    <w:uiPriority w:val="0"/>
    <w:qFormat/>
    <w:rPr>
      <w:u w:val="none"/>
      <w:color w:val="000000"/>
      <w:sz w:val="21"/>
      <w:szCs w:val="21"/>
      <w:rFonts w:ascii="Calibri" w:hAnsi="Calibri" w:cs="Calibri"/>
    </w:rPr>
  </w:style>
  <w:style w:type="character" w:styleId="57" w:customStyle="1">
    <w:name w:val="font41"/>
    <w:basedOn w:val="23"/>
    <w:uiPriority w:val="0"/>
    <w:qFormat/>
    <w:rPr>
      <w:u w:val="none"/>
      <w:color w:val="000000"/>
      <w:sz w:val="21"/>
      <w:szCs w:val="21"/>
      <w:rFonts w:ascii="宋体" w:hAnsi="宋体" w:eastAsia="宋体" w:cs="宋体" w:hint="eastAsia"/>
    </w:rPr>
  </w:style>
  <w:style w:type="paragraph" w:styleId="58" w:customStyle="1">
    <w:name w:val="Default"/>
    <w:uiPriority w:val="0"/>
    <w:qFormat/>
    <w:pPr>
      <w:widowControl w:val="0"/>
      <w:autoSpaceDE w:val="0"/>
      <w:autoSpaceDN w:val="0"/>
      <w:adjustRightInd w:val="0"/>
    </w:pPr>
    <w:rPr>
      <w:color w:val="000000"/>
      <w:sz w:val="24"/>
      <w:lang w:val="en-US" w:eastAsia="zh-CN" w:bidi="ar-SA"/>
      <w:szCs w:val="24"/>
      <w:rFonts w:ascii="隶书" w:hAnsi="Times New Roman" w:eastAsia="隶书" w:cs="隶书"/>
    </w:rPr>
  </w:style>
  <w:style w:type="paragraph" w:styleId="59" w:customStyle="1">
    <w:name w:val="闻政-正文段落文字"/>
    <w:basedOn w:val="1"/>
    <w:uiPriority w:val="3"/>
    <w:qFormat/>
    <w:pPr>
      <w:spacing w:line="500" w:lineRule="exact"/>
      <w:ind w:firstLine="200"/>
    </w:pPr>
    <w:rPr>
      <w:kern w:val="0"/>
      <w:szCs w:val="28"/>
    </w:rPr>
  </w:style>
</w:styles>
</file>

<file path=word/_rels/document.xml.rels><?xml version="1.0" encoding="UTF-8" standalone="yes"?><Relationships xmlns="http://schemas.openxmlformats.org/package/2006/relationships"><Relationship Id="rId4" Type="http://schemas.openxmlformats.org/officeDocument/2006/relationships/numbering" Target="numbering.xml" /><Relationship Id="rId2" Type="http://schemas.openxmlformats.org/officeDocument/2006/relationships/fontTable" Target="fontTable.xml" /><Relationship Id="rId3" Type="http://schemas.openxmlformats.org/officeDocument/2006/relationships/theme" Target="theme/theme1.xml" /><Relationship Id="rId5" Type="http://schemas.openxmlformats.org/officeDocument/2006/relationships/footer" Target="footer1.xml" /><Relationship Id="rId1" Type="http://schemas.openxmlformats.org/officeDocument/2006/relationships/settings" Target="settings.xml" /><Relationship Id="rId0" Type="http://schemas.openxmlformats.org/officeDocument/2006/relationships/styles" Target="styles.xml"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panose=""/>
        <a:ea typeface=""/>
        <a:cs typeface=""/>
        <a:font script="Viet" typeface="Times New Roman"/>
        <a:font script="Sinh" typeface="Iskoola Pota"/>
        <a:font script="Laoo" typeface="DokChampa"/>
        <a:font script="Orya" typeface="Kalinga"/>
        <a:font script="Mong" typeface="Mongolian Baiti"/>
        <a:font script="Mlym" typeface="Kartika"/>
        <a:font script="Hang" typeface="맑은 고딕"/>
        <a:font script="Telu" typeface="Gautami"/>
        <a:font script="Deva" typeface="Mangal"/>
        <a:font script="Tibt" typeface="Microsoft Himalaya"/>
        <a:font script="Cans" typeface="Euphemia"/>
        <a:font script="Khmr" typeface="MoolBoran"/>
        <a:font script="Syrc" typeface="Estrangelo Edessa"/>
        <a:font script="Thai" typeface="Angsana New"/>
        <a:font script="Gujr" typeface="Shruti"/>
        <a:font script="Uigh" typeface="Microsoft Uighur"/>
        <a:font script="Beng" typeface="Vrinda"/>
        <a:font script="Jpan" typeface="ＭＳ ゴシック"/>
        <a:font script="Thaa" typeface="MV Boli"/>
        <a:font script="Cher" typeface="Plantagenet Cherokee"/>
        <a:font script="Hebr" typeface="Times New Roman"/>
        <a:font script="Yiii" typeface="Microsoft Yi Baiti"/>
        <a:font script="Guru" typeface="Raavi"/>
        <a:font script="Hans" typeface="宋体"/>
        <a:font script="Ethi" typeface="Nyala"/>
        <a:font script="Taml" typeface="Latha"/>
        <a:font script="Knda" typeface="Tunga"/>
        <a:font script="Arab" typeface="Times New Roman"/>
        <a:font script="Hant" typeface="新細明體"/>
      </a:majorFont>
      <a:minorFont>
        <a:latin typeface="Calibri" panose=""/>
        <a:ea typeface=""/>
        <a:cs typeface=""/>
        <a:font script="Viet" typeface="Arial"/>
        <a:font script="Sinh" typeface="Iskoola Pota"/>
        <a:font script="Laoo" typeface="DokChampa"/>
        <a:font script="Orya" typeface="Kalinga"/>
        <a:font script="Mong" typeface="Mongolian Baiti"/>
        <a:font script="Mlym" typeface="Kartika"/>
        <a:font script="Hang" typeface="맑은 고딕"/>
        <a:font script="Telu" typeface="Gautami"/>
        <a:font script="Deva" typeface="Mangal"/>
        <a:font script="Tibt" typeface="Microsoft Himalaya"/>
        <a:font script="Cans" typeface="Euphemia"/>
        <a:font script="Khmr" typeface="DaunPenh"/>
        <a:font script="Syrc" typeface="Estrangelo Edessa"/>
        <a:font script="Thai" typeface="Cordia New"/>
        <a:font script="Gujr" typeface="Shruti"/>
        <a:font script="Uigh" typeface="Microsoft Uighur"/>
        <a:font script="Beng" typeface="Vrinda"/>
        <a:font script="Jpan" typeface="ＭＳ 明朝"/>
        <a:font script="Thaa" typeface="MV Boli"/>
        <a:font script="Cher" typeface="Plantagenet Cherokee"/>
        <a:font script="Hebr" typeface="Arial"/>
        <a:font script="Yiii" typeface="Microsoft Yi Baiti"/>
        <a:font script="Guru" typeface="Raavi"/>
        <a:font script="Hans" typeface="宋体"/>
        <a:font script="Ethi" typeface="Nyala"/>
        <a:font script="Taml" typeface="Latha"/>
        <a:font script="Knda" typeface="Tunga"/>
        <a:font script="Arab" typeface="Arial"/>
        <a:font script="Hant" typeface="新細明體"/>
      </a:minorFont>
    </a:fontScheme>
    <a:fmtScheme name="Office">
      <a:fillStyleLst>
        <a:solidFill>
          <a:schemeClr val="phClr"/>
        </a:solidFill>
        <a:gradFill rotWithShape="1">
          <a:gsLst>
            <a:gs pos="0">
              <a:schemeClr val="phClr">
                <a:satMod val="300000"/>
                <a:tint val="50000"/>
              </a:schemeClr>
            </a:gs>
            <a:gs pos="35000">
              <a:schemeClr val="phClr">
                <a:satMod val="300000"/>
                <a:tint val="37000"/>
              </a:schemeClr>
            </a:gs>
            <a:gs pos="100000">
              <a:schemeClr val="phClr">
                <a:satMod val="350000"/>
                <a:tint val="15000"/>
              </a:schemeClr>
            </a:gs>
          </a:gsLst>
          <a:lin ang="16200000" scaled="1"/>
        </a:gradFill>
        <a:gradFill rotWithShape="1">
          <a:gsLst>
            <a:gs pos="0">
              <a:schemeClr val="phClr">
                <a:satMod val="130000"/>
                <a:shade val="51000"/>
              </a:schemeClr>
            </a:gs>
            <a:gs pos="80000">
              <a:schemeClr val="phClr">
                <a:satMod val="130000"/>
                <a:shade val="93000"/>
              </a:schemeClr>
            </a:gs>
            <a:gs pos="100000">
              <a:schemeClr val="phClr">
                <a:satMod val="135000"/>
                <a:shade val="94000"/>
              </a:schemeClr>
            </a:gs>
          </a:gsLst>
          <a:lin ang="16200000" scaled="0"/>
        </a:gradFill>
      </a:fillStyleLst>
      <a:lnStyleLst>
        <a:ln w="9525" cap="flat" cmpd="sng" algn="ctr">
          <a:solidFill>
            <a:schemeClr val="phClr">
              <a:satMod val="105000"/>
              <a:shade val="9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satMod val="350000"/>
                <a:tint val="40000"/>
              </a:schemeClr>
            </a:gs>
            <a:gs pos="40000">
              <a:schemeClr val="phClr">
                <a:satMod val="350000"/>
                <a:shade val="99000"/>
                <a:tint val="45000"/>
              </a:schemeClr>
            </a:gs>
            <a:gs pos="100000">
              <a:schemeClr val="phClr">
                <a:satMod val="255000"/>
                <a:shade val="20000"/>
              </a:schemeClr>
            </a:gs>
          </a:gsLst>
          <a:path path="circle">
            <a:fillToRect l="50000" t="-80000" r="50000" b="180000"/>
          </a:path>
        </a:gradFill>
        <a:gradFill rotWithShape="1">
          <a:gsLst>
            <a:gs pos="0">
              <a:schemeClr val="phClr">
                <a:satMod val="300000"/>
                <a:tint val="80000"/>
              </a:schemeClr>
            </a:gs>
            <a:gs pos="100000">
              <a:schemeClr val="phClr">
                <a:satMod val="200000"/>
                <a:shade val="30000"/>
              </a:schemeClr>
            </a:gs>
          </a:gsLst>
          <a:path path="circle">
            <a:fillToRect l="50000" t="50000" r="50000" b="50000"/>
          </a:path>
        </a:gradFill>
      </a:bgFillStyleLst>
    </a:fmtScheme>
  </a:themeElements>
  <a:objectDefaults/>
</a:theme>
</file>

<file path=docProps/app.xml><?xml version="1.0" encoding="utf-8"?>
<Properties xmlns:vt="http://schemas.openxmlformats.org/officeDocument/2006/docPropsVTypes" xmlns="http://schemas.openxmlformats.org/officeDocument/2006/extended-properties">
  <Template>Normal</Template>
  <TotalTime>2</TotalTime>
  <Pages>28</Pages>
  <Words>12832</Words>
  <Characters>13813</Characters>
  <Application>WPS Office_11.8.2.8411_F1E327BC-269C-435d-A152-05C5408002CA</Application>
  <DocSecurity>0</DocSecurity>
  <Lines>50</Lines>
  <Paragraphs>14</Paragraphs>
  <ScaleCrop>false</ScaleCrop>
  <Company/>
  <LinksUpToDate>false</LinksUpToDate>
  <CharactersWithSpaces>13837</CharactersWithSpaces>
  <SharedDoc>false</SharedDoc>
  <HyperlinksChanged>false</HyperlinksChanged>
</Properties>
</file>

<file path=docProps/core.xml><?xml version="1.0" encoding="utf-8"?>
<cp:coreProperties xmlns:xsi="http://www.w3.org/2001/XMLSchema-instance" xmlns:dcmitype="http://purl.org/dc/dcmitype/" xmlns:dc="http://purl.org/dc/elements/1.1/" xmlns:dcterms="http://purl.org/dc/terms/" xmlns:cp="http://schemas.openxmlformats.org/package/2006/metadata/core-properties">
  <dc:title/>
  <dc:subject/>
  <dc:creator>赵 恺（预算处）</dc:creator>
  <cp:keywords/>
  <dc:description/>
  <cp:lastModifiedBy>Administrator</cp:lastModifiedBy>
  <cp:revision>5</cp:revision>
  <dcterms:created xsi:type="dcterms:W3CDTF">2020-07-04T16:35:00Z</dcterms:created>
  <dcterms:modified xsi:type="dcterms:W3CDTF">2024-01-08T09:58:49Z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2052-11.8.2.8411</vt:lpwstr>
  </property>
  <property fmtid="{D5CDD505-2E9C-101B-9397-08002B2CF9AE}" pid="3" name="ICV">
    <vt:lpwstr>90B658E4C101CF4B84E21264A7508565_43</vt:lpwstr>
  </property>
  <property fmtid="{D5CDD505-2E9C-101B-9397-08002B2CF9AE}" pid="4" name="KSOSaveFontToCloudKey">
    <vt:lpwstr>0_btnclosed</vt:lpwstr>
  </property>
</Properties>
</file>

<file path=tbak/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ageBreakBefore w:val="0"/>
        <w:kinsoku/>
        <w:wordWrap/>
        <w:overflowPunct/>
        <w:topLinePunct w:val="0"/>
        <w:bidi w:val="0"/>
        <w:snapToGrid/>
        <w:spacing w:line="560" w:lineRule="exact"/>
        <w:jc w:val="left"/>
        <w:textAlignment w:val="auto"/>
        <w:rPr>
          <w:rFonts w:hint="eastAsia" w:ascii="黑体" w:hAnsi="黑体" w:eastAsia="黑体" w:cs="黑体"/>
          <w:b w:val="0"/>
          <w:bCs/>
          <w:color w:val="auto"/>
          <w:kern w:val="0"/>
          <w:sz w:val="32"/>
          <w:szCs w:val="32"/>
          <w:highlight w:val="none"/>
          <w:lang w:val="en-US" w:eastAsia="zh-CN"/>
        </w:rPr>
      </w:pPr>
      <w:bookmarkStart w:id="6" w:name="_GoBack"/>
      <w:bookmarkEnd w:id="6"/>
      <w:r>
        <w:rPr>
          <w:rFonts w:hint="eastAsia" w:ascii="黑体" w:hAnsi="黑体" w:eastAsia="黑体" w:cs="黑体"/>
          <w:b w:val="0"/>
          <w:bCs/>
          <w:color w:val="auto"/>
          <w:kern w:val="0"/>
          <w:sz w:val="32"/>
          <w:szCs w:val="32"/>
          <w:highlight w:val="none"/>
          <w:lang w:eastAsia="zh-CN"/>
        </w:rPr>
        <w:t>附件</w:t>
      </w:r>
      <w:r>
        <w:rPr>
          <w:rFonts w:hint="eastAsia" w:ascii="黑体" w:hAnsi="黑体" w:eastAsia="黑体" w:cs="黑体"/>
          <w:b w:val="0"/>
          <w:bCs/>
          <w:color w:val="auto"/>
          <w:kern w:val="0"/>
          <w:sz w:val="32"/>
          <w:szCs w:val="32"/>
          <w:highlight w:val="none"/>
          <w:lang w:val="en-US" w:eastAsia="zh-CN"/>
        </w:rPr>
        <w:t>4：</w:t>
      </w:r>
    </w:p>
    <w:p>
      <w:pPr>
        <w:pageBreakBefore w:val="0"/>
        <w:kinsoku/>
        <w:wordWrap/>
        <w:overflowPunct/>
        <w:topLinePunct w:val="0"/>
        <w:bidi w:val="0"/>
        <w:snapToGrid/>
        <w:spacing w:line="560" w:lineRule="exact"/>
        <w:textAlignment w:val="auto"/>
        <w:rPr>
          <w:rFonts w:eastAsia="华文中宋"/>
          <w:b/>
          <w:color w:val="auto"/>
          <w:kern w:val="0"/>
          <w:sz w:val="72"/>
          <w:szCs w:val="72"/>
          <w:highlight w:val="none"/>
        </w:rPr>
      </w:pPr>
    </w:p>
    <w:p>
      <w:pPr>
        <w:pageBreakBefore w:val="0"/>
        <w:kinsoku/>
        <w:wordWrap/>
        <w:overflowPunct/>
        <w:topLinePunct w:val="0"/>
        <w:bidi w:val="0"/>
        <w:snapToGrid/>
        <w:spacing w:line="560" w:lineRule="exact"/>
        <w:jc w:val="center"/>
        <w:textAlignment w:val="auto"/>
        <w:rPr>
          <w:rFonts w:eastAsia="华文中宋"/>
          <w:b/>
          <w:color w:val="auto"/>
          <w:kern w:val="0"/>
          <w:sz w:val="52"/>
          <w:szCs w:val="52"/>
          <w:highlight w:val="none"/>
        </w:rPr>
      </w:pPr>
    </w:p>
    <w:p>
      <w:pPr>
        <w:pageBreakBefore w:val="0"/>
        <w:kinsoku/>
        <w:wordWrap/>
        <w:overflowPunct/>
        <w:topLinePunct w:val="0"/>
        <w:bidi w:val="0"/>
        <w:snapToGrid/>
        <w:spacing w:line="560" w:lineRule="exact"/>
        <w:jc w:val="center"/>
        <w:textAlignment w:val="auto"/>
        <w:rPr>
          <w:rFonts w:eastAsia="华文中宋"/>
          <w:b/>
          <w:color w:val="auto"/>
          <w:kern w:val="0"/>
          <w:sz w:val="52"/>
          <w:szCs w:val="52"/>
          <w:highlight w:val="none"/>
        </w:rPr>
      </w:pPr>
    </w:p>
    <w:p>
      <w:pPr>
        <w:pageBreakBefore w:val="0"/>
        <w:kinsoku/>
        <w:wordWrap/>
        <w:overflowPunct/>
        <w:topLinePunct w:val="0"/>
        <w:bidi w:val="0"/>
        <w:snapToGrid/>
        <w:spacing w:line="560" w:lineRule="exact"/>
        <w:jc w:val="center"/>
        <w:textAlignment w:val="auto"/>
        <w:rPr>
          <w:rFonts w:eastAsia="方正小标宋_GBK"/>
          <w:color w:val="auto"/>
          <w:kern w:val="0"/>
          <w:sz w:val="48"/>
          <w:szCs w:val="48"/>
          <w:highlight w:val="none"/>
        </w:rPr>
      </w:pPr>
      <w:r>
        <w:rPr>
          <w:rFonts w:hint="eastAsia" w:eastAsia="方正小标宋_GBK"/>
          <w:color w:val="auto"/>
          <w:kern w:val="0"/>
          <w:sz w:val="48"/>
          <w:szCs w:val="48"/>
          <w:highlight w:val="none"/>
        </w:rPr>
        <w:t>自治区畜牧业生产发展</w:t>
      </w:r>
      <w:r>
        <w:rPr>
          <w:rFonts w:eastAsia="方正小标宋_GBK"/>
          <w:color w:val="auto"/>
          <w:kern w:val="0"/>
          <w:sz w:val="48"/>
          <w:szCs w:val="48"/>
          <w:highlight w:val="none"/>
        </w:rPr>
        <w:t>资金</w:t>
      </w:r>
    </w:p>
    <w:p>
      <w:pPr>
        <w:pageBreakBefore w:val="0"/>
        <w:kinsoku/>
        <w:wordWrap/>
        <w:overflowPunct/>
        <w:topLinePunct w:val="0"/>
        <w:bidi w:val="0"/>
        <w:snapToGrid/>
        <w:spacing w:line="560" w:lineRule="exact"/>
        <w:jc w:val="center"/>
        <w:textAlignment w:val="auto"/>
        <w:rPr>
          <w:rFonts w:eastAsia="方正小标宋_GBK"/>
          <w:color w:val="auto"/>
          <w:kern w:val="0"/>
          <w:sz w:val="48"/>
          <w:szCs w:val="48"/>
          <w:highlight w:val="none"/>
        </w:rPr>
      </w:pPr>
      <w:r>
        <w:rPr>
          <w:rFonts w:eastAsia="方正小标宋_GBK"/>
          <w:color w:val="auto"/>
          <w:kern w:val="0"/>
          <w:sz w:val="48"/>
          <w:szCs w:val="48"/>
          <w:highlight w:val="none"/>
        </w:rPr>
        <w:t>项目支出绩效评价报告</w:t>
      </w:r>
    </w:p>
    <w:p>
      <w:pPr>
        <w:pageBreakBefore w:val="0"/>
        <w:kinsoku/>
        <w:wordWrap/>
        <w:overflowPunct/>
        <w:topLinePunct w:val="0"/>
        <w:bidi w:val="0"/>
        <w:snapToGrid/>
        <w:spacing w:line="560" w:lineRule="exact"/>
        <w:jc w:val="center"/>
        <w:textAlignment w:val="auto"/>
        <w:rPr>
          <w:rFonts w:eastAsia="华文中宋"/>
          <w:b/>
          <w:color w:val="auto"/>
          <w:kern w:val="0"/>
          <w:sz w:val="52"/>
          <w:szCs w:val="52"/>
          <w:highlight w:val="none"/>
        </w:rPr>
      </w:pPr>
    </w:p>
    <w:p>
      <w:pPr>
        <w:pageBreakBefore w:val="0"/>
        <w:kinsoku/>
        <w:wordWrap/>
        <w:overflowPunct/>
        <w:topLinePunct w:val="0"/>
        <w:bidi w:val="0"/>
        <w:snapToGrid/>
        <w:spacing w:line="560" w:lineRule="exact"/>
        <w:jc w:val="center"/>
        <w:textAlignment w:val="auto"/>
        <w:rPr>
          <w:rFonts w:eastAsia="仿宋_GB2312"/>
          <w:color w:val="auto"/>
          <w:kern w:val="0"/>
          <w:sz w:val="36"/>
          <w:szCs w:val="36"/>
          <w:highlight w:val="none"/>
        </w:rPr>
      </w:pPr>
      <w:r>
        <w:rPr>
          <w:rFonts w:eastAsia="仿宋_GB2312"/>
          <w:color w:val="auto"/>
          <w:kern w:val="0"/>
          <w:sz w:val="36"/>
          <w:szCs w:val="36"/>
          <w:highlight w:val="none"/>
        </w:rPr>
        <w:t>（ 202</w:t>
      </w:r>
      <w:r>
        <w:rPr>
          <w:rFonts w:hint="eastAsia" w:eastAsia="仿宋_GB2312"/>
          <w:color w:val="auto"/>
          <w:kern w:val="0"/>
          <w:sz w:val="36"/>
          <w:szCs w:val="36"/>
          <w:highlight w:val="none"/>
          <w:lang w:val="en-US" w:eastAsia="zh-CN"/>
        </w:rPr>
        <w:t>2</w:t>
      </w:r>
      <w:r>
        <w:rPr>
          <w:rFonts w:eastAsia="仿宋_GB2312"/>
          <w:color w:val="auto"/>
          <w:kern w:val="0"/>
          <w:sz w:val="36"/>
          <w:szCs w:val="36"/>
          <w:highlight w:val="none"/>
        </w:rPr>
        <w:t>年度）</w:t>
      </w:r>
    </w:p>
    <w:p>
      <w:pPr>
        <w:pageBreakBefore w:val="0"/>
        <w:kinsoku/>
        <w:wordWrap/>
        <w:overflowPunct/>
        <w:topLinePunct w:val="0"/>
        <w:bidi w:val="0"/>
        <w:snapToGrid/>
        <w:spacing w:line="560" w:lineRule="exact"/>
        <w:jc w:val="center"/>
        <w:textAlignment w:val="auto"/>
        <w:rPr>
          <w:rFonts w:eastAsia="仿宋_GB2312"/>
          <w:color w:val="auto"/>
          <w:kern w:val="0"/>
          <w:sz w:val="30"/>
          <w:szCs w:val="30"/>
          <w:highlight w:val="none"/>
        </w:rPr>
      </w:pPr>
    </w:p>
    <w:p>
      <w:pPr>
        <w:pageBreakBefore w:val="0"/>
        <w:kinsoku/>
        <w:wordWrap/>
        <w:overflowPunct/>
        <w:topLinePunct w:val="0"/>
        <w:bidi w:val="0"/>
        <w:snapToGrid/>
        <w:spacing w:line="560" w:lineRule="exact"/>
        <w:jc w:val="center"/>
        <w:textAlignment w:val="auto"/>
        <w:rPr>
          <w:rFonts w:eastAsia="仿宋_GB2312"/>
          <w:color w:val="auto"/>
          <w:kern w:val="0"/>
          <w:sz w:val="30"/>
          <w:szCs w:val="30"/>
          <w:highlight w:val="none"/>
        </w:rPr>
      </w:pPr>
    </w:p>
    <w:p>
      <w:pPr>
        <w:pageBreakBefore w:val="0"/>
        <w:kinsoku/>
        <w:wordWrap/>
        <w:overflowPunct/>
        <w:topLinePunct w:val="0"/>
        <w:bidi w:val="0"/>
        <w:snapToGrid/>
        <w:spacing w:line="560" w:lineRule="exact"/>
        <w:jc w:val="center"/>
        <w:textAlignment w:val="auto"/>
        <w:rPr>
          <w:rFonts w:eastAsia="仿宋_GB2312"/>
          <w:color w:val="auto"/>
          <w:kern w:val="0"/>
          <w:sz w:val="30"/>
          <w:szCs w:val="30"/>
          <w:highlight w:val="none"/>
        </w:rPr>
      </w:pPr>
    </w:p>
    <w:p>
      <w:pPr>
        <w:pageBreakBefore w:val="0"/>
        <w:kinsoku/>
        <w:wordWrap/>
        <w:overflowPunct/>
        <w:topLinePunct w:val="0"/>
        <w:bidi w:val="0"/>
        <w:snapToGrid/>
        <w:spacing w:line="560" w:lineRule="exact"/>
        <w:jc w:val="center"/>
        <w:textAlignment w:val="auto"/>
        <w:rPr>
          <w:rFonts w:eastAsia="仿宋_GB2312"/>
          <w:color w:val="auto"/>
          <w:kern w:val="0"/>
          <w:sz w:val="30"/>
          <w:szCs w:val="30"/>
          <w:highlight w:val="none"/>
        </w:rPr>
      </w:pPr>
    </w:p>
    <w:p>
      <w:pPr>
        <w:pageBreakBefore w:val="0"/>
        <w:kinsoku/>
        <w:wordWrap/>
        <w:overflowPunct/>
        <w:topLinePunct w:val="0"/>
        <w:bidi w:val="0"/>
        <w:snapToGrid/>
        <w:spacing w:line="560" w:lineRule="exact"/>
        <w:textAlignment w:val="auto"/>
        <w:rPr>
          <w:rFonts w:eastAsia="仿宋_GB2312"/>
          <w:color w:val="auto"/>
          <w:kern w:val="0"/>
          <w:sz w:val="30"/>
          <w:szCs w:val="30"/>
          <w:highlight w:val="none"/>
        </w:rPr>
      </w:pPr>
    </w:p>
    <w:p>
      <w:pPr>
        <w:pageBreakBefore w:val="0"/>
        <w:kinsoku/>
        <w:wordWrap/>
        <w:overflowPunct/>
        <w:topLinePunct w:val="0"/>
        <w:bidi w:val="0"/>
        <w:snapToGrid/>
        <w:spacing w:line="560" w:lineRule="exact"/>
        <w:ind w:firstLine="1440" w:firstLineChars="400"/>
        <w:jc w:val="left"/>
        <w:textAlignment w:val="auto"/>
        <w:rPr>
          <w:rFonts w:hint="eastAsia" w:eastAsia="仿宋_GB2312"/>
          <w:color w:val="auto"/>
          <w:kern w:val="0"/>
          <w:sz w:val="36"/>
          <w:szCs w:val="36"/>
          <w:highlight w:val="none"/>
          <w:lang w:eastAsia="zh-CN"/>
        </w:rPr>
      </w:pPr>
      <w:r>
        <w:rPr>
          <w:rFonts w:eastAsia="仿宋_GB2312"/>
          <w:color w:val="auto"/>
          <w:kern w:val="0"/>
          <w:sz w:val="36"/>
          <w:szCs w:val="36"/>
          <w:highlight w:val="none"/>
        </w:rPr>
        <w:t>项目名称：</w:t>
      </w:r>
      <w:r>
        <w:rPr>
          <w:rFonts w:hint="eastAsia" w:eastAsia="仿宋_GB2312"/>
          <w:color w:val="auto"/>
          <w:kern w:val="0"/>
          <w:sz w:val="36"/>
          <w:szCs w:val="36"/>
          <w:highlight w:val="none"/>
          <w:lang w:eastAsia="zh-CN"/>
        </w:rPr>
        <w:t>自治区畜牧业生产发展资金</w:t>
      </w:r>
    </w:p>
    <w:p>
      <w:pPr>
        <w:pageBreakBefore w:val="0"/>
        <w:kinsoku/>
        <w:wordWrap/>
        <w:overflowPunct/>
        <w:topLinePunct w:val="0"/>
        <w:bidi w:val="0"/>
        <w:snapToGrid/>
        <w:spacing w:line="560" w:lineRule="exact"/>
        <w:ind w:firstLine="1440" w:firstLineChars="400"/>
        <w:jc w:val="left"/>
        <w:textAlignment w:val="auto"/>
        <w:rPr>
          <w:rFonts w:hint="eastAsia" w:eastAsia="仿宋_GB2312"/>
          <w:color w:val="auto"/>
          <w:kern w:val="0"/>
          <w:sz w:val="36"/>
          <w:szCs w:val="36"/>
          <w:highlight w:val="none"/>
          <w:lang w:eastAsia="zh-CN"/>
        </w:rPr>
      </w:pPr>
      <w:r>
        <w:rPr>
          <w:rFonts w:eastAsia="仿宋_GB2312"/>
          <w:color w:val="auto"/>
          <w:kern w:val="0"/>
          <w:sz w:val="36"/>
          <w:szCs w:val="36"/>
          <w:highlight w:val="none"/>
        </w:rPr>
        <w:t>实施单位（公章）：</w:t>
      </w:r>
      <w:r>
        <w:rPr>
          <w:rFonts w:hint="eastAsia" w:eastAsia="仿宋_GB2312"/>
          <w:color w:val="auto"/>
          <w:kern w:val="0"/>
          <w:sz w:val="36"/>
          <w:szCs w:val="36"/>
          <w:highlight w:val="none"/>
          <w:lang w:eastAsia="zh-CN"/>
        </w:rPr>
        <w:t>自治区畜牧兽医局</w:t>
      </w:r>
    </w:p>
    <w:p>
      <w:pPr>
        <w:pageBreakBefore w:val="0"/>
        <w:kinsoku/>
        <w:wordWrap/>
        <w:overflowPunct/>
        <w:topLinePunct w:val="0"/>
        <w:bidi w:val="0"/>
        <w:snapToGrid/>
        <w:spacing w:line="560" w:lineRule="exact"/>
        <w:ind w:firstLine="1440" w:firstLineChars="400"/>
        <w:jc w:val="left"/>
        <w:textAlignment w:val="auto"/>
        <w:rPr>
          <w:rFonts w:hint="eastAsia" w:eastAsia="仿宋_GB2312"/>
          <w:color w:val="auto"/>
          <w:kern w:val="0"/>
          <w:sz w:val="36"/>
          <w:szCs w:val="36"/>
          <w:highlight w:val="none"/>
          <w:lang w:eastAsia="zh-CN"/>
        </w:rPr>
      </w:pPr>
      <w:r>
        <w:rPr>
          <w:rFonts w:eastAsia="仿宋_GB2312"/>
          <w:color w:val="auto"/>
          <w:kern w:val="0"/>
          <w:sz w:val="36"/>
          <w:szCs w:val="36"/>
          <w:highlight w:val="none"/>
        </w:rPr>
        <w:t>主管部门（公章）：</w:t>
      </w:r>
      <w:r>
        <w:rPr>
          <w:rFonts w:hint="eastAsia" w:eastAsia="仿宋_GB2312"/>
          <w:color w:val="auto"/>
          <w:kern w:val="0"/>
          <w:sz w:val="36"/>
          <w:szCs w:val="36"/>
          <w:highlight w:val="none"/>
          <w:lang w:eastAsia="zh-CN"/>
        </w:rPr>
        <w:t>自治区农业农村厅</w:t>
      </w:r>
    </w:p>
    <w:p>
      <w:pPr>
        <w:pageBreakBefore w:val="0"/>
        <w:kinsoku/>
        <w:wordWrap/>
        <w:overflowPunct/>
        <w:topLinePunct w:val="0"/>
        <w:bidi w:val="0"/>
        <w:snapToGrid/>
        <w:spacing w:line="560" w:lineRule="exact"/>
        <w:ind w:firstLine="1440" w:firstLineChars="400"/>
        <w:jc w:val="left"/>
        <w:textAlignment w:val="auto"/>
        <w:rPr>
          <w:rFonts w:hint="default" w:eastAsia="仿宋_GB2312"/>
          <w:color w:val="auto"/>
          <w:kern w:val="0"/>
          <w:sz w:val="36"/>
          <w:szCs w:val="36"/>
          <w:highlight w:val="none"/>
          <w:lang w:val="en-US" w:eastAsia="zh-CN"/>
        </w:rPr>
      </w:pPr>
      <w:r>
        <w:rPr>
          <w:rFonts w:eastAsia="仿宋_GB2312"/>
          <w:color w:val="auto"/>
          <w:kern w:val="0"/>
          <w:sz w:val="36"/>
          <w:szCs w:val="36"/>
          <w:highlight w:val="none"/>
        </w:rPr>
        <w:t>项目负责人（签章）：</w:t>
      </w:r>
    </w:p>
    <w:p>
      <w:pPr>
        <w:pageBreakBefore w:val="0"/>
        <w:kinsoku/>
        <w:wordWrap/>
        <w:overflowPunct/>
        <w:topLinePunct w:val="0"/>
        <w:bidi w:val="0"/>
        <w:snapToGrid/>
        <w:spacing w:line="560" w:lineRule="exact"/>
        <w:ind w:firstLine="1440" w:firstLineChars="400"/>
        <w:jc w:val="left"/>
        <w:textAlignment w:val="auto"/>
        <w:rPr>
          <w:rFonts w:eastAsia="仿宋_GB2312"/>
          <w:color w:val="auto"/>
          <w:kern w:val="0"/>
          <w:sz w:val="36"/>
          <w:szCs w:val="36"/>
          <w:highlight w:val="none"/>
        </w:rPr>
      </w:pPr>
      <w:r>
        <w:rPr>
          <w:rFonts w:eastAsia="仿宋_GB2312"/>
          <w:color w:val="auto"/>
          <w:kern w:val="0"/>
          <w:sz w:val="36"/>
          <w:szCs w:val="36"/>
          <w:highlight w:val="none"/>
        </w:rPr>
        <w:t>填报时间：</w:t>
      </w:r>
      <w:r>
        <w:rPr>
          <w:rFonts w:hint="eastAsia" w:eastAsia="仿宋_GB2312"/>
          <w:color w:val="auto"/>
          <w:kern w:val="0"/>
          <w:sz w:val="36"/>
          <w:szCs w:val="36"/>
          <w:highlight w:val="none"/>
          <w:lang w:val="en-US" w:eastAsia="zh-CN"/>
        </w:rPr>
        <w:t>2023</w:t>
      </w:r>
      <w:r>
        <w:rPr>
          <w:rFonts w:eastAsia="仿宋_GB2312"/>
          <w:color w:val="auto"/>
          <w:kern w:val="0"/>
          <w:sz w:val="36"/>
          <w:szCs w:val="36"/>
          <w:highlight w:val="none"/>
        </w:rPr>
        <w:t>年</w:t>
      </w:r>
      <w:r>
        <w:rPr>
          <w:rFonts w:hint="eastAsia" w:eastAsia="仿宋_GB2312"/>
          <w:color w:val="auto"/>
          <w:kern w:val="0"/>
          <w:sz w:val="36"/>
          <w:szCs w:val="36"/>
          <w:highlight w:val="none"/>
          <w:lang w:val="en-US" w:eastAsia="zh-CN"/>
        </w:rPr>
        <w:t>3</w:t>
      </w:r>
      <w:r>
        <w:rPr>
          <w:rFonts w:eastAsia="仿宋_GB2312"/>
          <w:color w:val="auto"/>
          <w:kern w:val="0"/>
          <w:sz w:val="36"/>
          <w:szCs w:val="36"/>
          <w:highlight w:val="none"/>
        </w:rPr>
        <w:t>月</w:t>
      </w:r>
      <w:r>
        <w:rPr>
          <w:rFonts w:hint="eastAsia" w:eastAsia="仿宋_GB2312"/>
          <w:color w:val="auto"/>
          <w:kern w:val="0"/>
          <w:sz w:val="36"/>
          <w:szCs w:val="36"/>
          <w:highlight w:val="none"/>
          <w:lang w:val="en-US" w:eastAsia="zh-CN"/>
        </w:rPr>
        <w:t>15</w:t>
      </w:r>
      <w:r>
        <w:rPr>
          <w:rFonts w:eastAsia="仿宋_GB2312"/>
          <w:color w:val="auto"/>
          <w:kern w:val="0"/>
          <w:sz w:val="36"/>
          <w:szCs w:val="36"/>
          <w:highlight w:val="none"/>
        </w:rPr>
        <w:t>日</w:t>
      </w:r>
    </w:p>
    <w:p>
      <w:pPr>
        <w:pageBreakBefore w:val="0"/>
        <w:kinsoku/>
        <w:wordWrap/>
        <w:overflowPunct/>
        <w:topLinePunct w:val="0"/>
        <w:bidi w:val="0"/>
        <w:snapToGrid/>
        <w:spacing w:line="560" w:lineRule="exact"/>
        <w:jc w:val="center"/>
        <w:textAlignment w:val="auto"/>
        <w:rPr>
          <w:rFonts w:eastAsia="仿宋_GB2312"/>
          <w:color w:val="auto"/>
          <w:kern w:val="0"/>
          <w:sz w:val="30"/>
          <w:szCs w:val="30"/>
          <w:highlight w:val="none"/>
        </w:rPr>
      </w:pPr>
    </w:p>
    <w:p>
      <w:pPr>
        <w:pageBreakBefore w:val="0"/>
        <w:kinsoku/>
        <w:wordWrap/>
        <w:overflowPunct/>
        <w:topLinePunct w:val="0"/>
        <w:bidi w:val="0"/>
        <w:snapToGrid/>
        <w:spacing w:line="560" w:lineRule="exact"/>
        <w:textAlignment w:val="auto"/>
        <w:rPr>
          <w:rStyle w:val="24"/>
          <w:rFonts w:eastAsia="黑体"/>
          <w:b w:val="0"/>
          <w:color w:val="auto"/>
          <w:spacing w:val="-4"/>
          <w:sz w:val="32"/>
          <w:szCs w:val="32"/>
          <w:highlight w:val="none"/>
        </w:rPr>
      </w:pPr>
    </w:p>
    <w:p>
      <w:pPr>
        <w:pageBreakBefore w:val="0"/>
        <w:kinsoku/>
        <w:wordWrap/>
        <w:overflowPunct/>
        <w:topLinePunct w:val="0"/>
        <w:bidi w:val="0"/>
        <w:snapToGrid/>
        <w:spacing w:line="560" w:lineRule="exact"/>
        <w:ind w:firstLine="640"/>
        <w:textAlignment w:val="auto"/>
        <w:rPr>
          <w:rStyle w:val="24"/>
          <w:rFonts w:eastAsia="黑体"/>
          <w:b w:val="0"/>
          <w:color w:val="auto"/>
          <w:spacing w:val="-4"/>
          <w:sz w:val="32"/>
          <w:szCs w:val="32"/>
          <w:highlight w:val="none"/>
        </w:rPr>
      </w:pPr>
    </w:p>
    <w:p>
      <w:pPr>
        <w:pageBreakBefore w:val="0"/>
        <w:kinsoku/>
        <w:wordWrap/>
        <w:overflowPunct/>
        <w:topLinePunct w:val="0"/>
        <w:bidi w:val="0"/>
        <w:snapToGrid/>
        <w:spacing w:line="560" w:lineRule="exact"/>
        <w:textAlignment w:val="auto"/>
        <w:rPr>
          <w:rStyle w:val="24"/>
          <w:rFonts w:eastAsia="黑体"/>
          <w:b w:val="0"/>
          <w:color w:val="auto"/>
          <w:spacing w:val="-4"/>
          <w:sz w:val="32"/>
          <w:szCs w:val="32"/>
          <w:highlight w:val="none"/>
        </w:rPr>
      </w:pPr>
    </w:p>
    <w:p>
      <w:pPr>
        <w:pageBreakBefore w:val="0"/>
        <w:kinsoku/>
        <w:wordWrap/>
        <w:overflowPunct/>
        <w:topLinePunct w:val="0"/>
        <w:bidi w:val="0"/>
        <w:snapToGrid/>
        <w:spacing w:line="560" w:lineRule="exact"/>
        <w:jc w:val="center"/>
        <w:textAlignment w:val="auto"/>
        <w:rPr>
          <w:rFonts w:eastAsia="黑体"/>
          <w:bCs/>
          <w:color w:val="auto"/>
          <w:sz w:val="32"/>
          <w:szCs w:val="32"/>
          <w:highlight w:val="none"/>
        </w:rPr>
      </w:pPr>
    </w:p>
    <w:p>
      <w:pPr>
        <w:pageBreakBefore w:val="0"/>
        <w:kinsoku/>
        <w:wordWrap/>
        <w:overflowPunct/>
        <w:topLinePunct w:val="0"/>
        <w:bidi w:val="0"/>
        <w:snapToGrid/>
        <w:spacing w:line="560" w:lineRule="exact"/>
        <w:textAlignment w:val="auto"/>
        <w:rPr>
          <w:rFonts w:eastAsia="黑体"/>
          <w:bCs/>
          <w:color w:val="auto"/>
          <w:sz w:val="32"/>
          <w:szCs w:val="32"/>
          <w:highlight w:val="none"/>
        </w:rPr>
      </w:pPr>
    </w:p>
    <w:p>
      <w:pPr>
        <w:pageBreakBefore w:val="0"/>
        <w:kinsoku/>
        <w:wordWrap/>
        <w:overflowPunct/>
        <w:topLinePunct w:val="0"/>
        <w:bidi w:val="0"/>
        <w:snapToGrid/>
        <w:spacing w:line="560" w:lineRule="exact"/>
        <w:textAlignment w:val="auto"/>
        <w:rPr>
          <w:rFonts w:eastAsia="黑体"/>
          <w:bCs/>
          <w:color w:val="auto"/>
          <w:sz w:val="32"/>
          <w:szCs w:val="32"/>
          <w:highlight w:val="none"/>
        </w:rPr>
      </w:pPr>
      <w:r>
        <w:rPr>
          <w:rFonts w:eastAsia="黑体"/>
          <w:bCs/>
          <w:color w:val="auto"/>
          <w:sz w:val="32"/>
          <w:szCs w:val="32"/>
          <w:highlight w:val="none"/>
        </w:rPr>
        <w:t>一、基本情况</w:t>
      </w:r>
    </w:p>
    <w:p>
      <w:pPr>
        <w:pageBreakBefore w:val="0"/>
        <w:kinsoku/>
        <w:wordWrap/>
        <w:overflowPunct/>
        <w:topLinePunct w:val="0"/>
        <w:bidi w:val="0"/>
        <w:snapToGrid/>
        <w:spacing w:line="560" w:lineRule="exact"/>
        <w:ind w:firstLine="641"/>
        <w:textAlignment w:val="auto"/>
        <w:rPr>
          <w:rFonts w:eastAsia="楷体_GB2312"/>
          <w:b/>
          <w:bCs/>
          <w:color w:val="auto"/>
          <w:sz w:val="32"/>
          <w:szCs w:val="32"/>
          <w:highlight w:val="none"/>
        </w:rPr>
      </w:pPr>
      <w:r>
        <w:rPr>
          <w:rFonts w:eastAsia="楷体_GB2312"/>
          <w:b/>
          <w:bCs/>
          <w:color w:val="auto"/>
          <w:sz w:val="32"/>
          <w:szCs w:val="32"/>
          <w:highlight w:val="none"/>
        </w:rPr>
        <w:t>（一）项目概况</w:t>
      </w:r>
    </w:p>
    <w:p>
      <w:pPr>
        <w:pageBreakBefore w:val="0"/>
        <w:kinsoku/>
        <w:wordWrap/>
        <w:overflowPunct/>
        <w:topLinePunct w:val="0"/>
        <w:bidi w:val="0"/>
        <w:snapToGrid/>
        <w:spacing w:line="560" w:lineRule="exact"/>
        <w:ind w:firstLine="641"/>
        <w:textAlignment w:val="auto"/>
        <w:rPr>
          <w:rFonts w:eastAsia="仿宋_GB2312"/>
          <w:b/>
          <w:bCs/>
          <w:color w:val="auto"/>
          <w:sz w:val="32"/>
          <w:szCs w:val="32"/>
          <w:highlight w:val="none"/>
        </w:rPr>
      </w:pPr>
      <w:r>
        <w:rPr>
          <w:rFonts w:eastAsia="仿宋_GB2312"/>
          <w:b/>
          <w:bCs/>
          <w:color w:val="auto"/>
          <w:sz w:val="32"/>
          <w:szCs w:val="32"/>
          <w:highlight w:val="none"/>
        </w:rPr>
        <w:t>1、项目背景</w:t>
      </w:r>
    </w:p>
    <w:p>
      <w:pPr>
        <w:pageBreakBefore w:val="0"/>
        <w:kinsoku/>
        <w:wordWrap/>
        <w:overflowPunct/>
        <w:topLinePunct w:val="0"/>
        <w:bidi w:val="0"/>
        <w:snapToGrid/>
        <w:spacing w:line="560" w:lineRule="exact"/>
        <w:ind w:firstLine="640" w:firstLineChars="200"/>
        <w:textAlignment w:val="auto"/>
        <w:rPr>
          <w:rFonts w:hint="eastAsia" w:ascii="Times New Roman" w:hAnsi="Times New Roman" w:eastAsia="仿宋_GB2312" w:cs="Times New Roman"/>
          <w:color w:val="auto"/>
          <w:sz w:val="32"/>
          <w:szCs w:val="32"/>
          <w:highlight w:val="none"/>
        </w:rPr>
      </w:pPr>
      <w:r>
        <w:rPr>
          <w:rFonts w:eastAsia="仿宋_GB2312"/>
          <w:color w:val="auto"/>
          <w:sz w:val="32"/>
          <w:szCs w:val="32"/>
          <w:highlight w:val="none"/>
        </w:rPr>
        <w:t>畜牧业是新疆</w:t>
      </w:r>
      <w:r>
        <w:rPr>
          <w:rFonts w:hint="eastAsia" w:eastAsia="仿宋_GB2312"/>
          <w:color w:val="auto"/>
          <w:sz w:val="32"/>
          <w:szCs w:val="32"/>
          <w:highlight w:val="none"/>
        </w:rPr>
        <w:t>的</w:t>
      </w:r>
      <w:r>
        <w:rPr>
          <w:rFonts w:eastAsia="仿宋_GB2312"/>
          <w:color w:val="auto"/>
          <w:sz w:val="32"/>
          <w:szCs w:val="32"/>
          <w:highlight w:val="none"/>
        </w:rPr>
        <w:t>传统基础产业和特色优势产业，是</w:t>
      </w:r>
      <w:r>
        <w:rPr>
          <w:rFonts w:hint="eastAsia" w:eastAsia="仿宋_GB2312"/>
          <w:color w:val="auto"/>
          <w:sz w:val="32"/>
          <w:szCs w:val="32"/>
          <w:highlight w:val="none"/>
        </w:rPr>
        <w:t>新疆农</w:t>
      </w:r>
      <w:r>
        <w:rPr>
          <w:rFonts w:eastAsia="仿宋_GB2312"/>
          <w:color w:val="auto"/>
          <w:sz w:val="32"/>
          <w:szCs w:val="32"/>
          <w:highlight w:val="none"/>
        </w:rPr>
        <w:t>业农村经济的重要支柱，是</w:t>
      </w:r>
      <w:r>
        <w:rPr>
          <w:rFonts w:hint="eastAsia" w:eastAsia="仿宋_GB2312"/>
          <w:color w:val="auto"/>
          <w:sz w:val="32"/>
          <w:szCs w:val="32"/>
          <w:highlight w:val="none"/>
        </w:rPr>
        <w:t>新疆全面推进乡村振兴、加快农业农村现代化</w:t>
      </w:r>
      <w:r>
        <w:rPr>
          <w:rFonts w:eastAsia="仿宋_GB2312"/>
          <w:color w:val="auto"/>
          <w:sz w:val="32"/>
          <w:szCs w:val="32"/>
          <w:highlight w:val="none"/>
        </w:rPr>
        <w:t>的</w:t>
      </w:r>
      <w:r>
        <w:rPr>
          <w:rFonts w:hint="eastAsia" w:eastAsia="仿宋_GB2312"/>
          <w:color w:val="auto"/>
          <w:sz w:val="32"/>
          <w:szCs w:val="32"/>
          <w:highlight w:val="none"/>
        </w:rPr>
        <w:t>核心</w:t>
      </w:r>
      <w:r>
        <w:rPr>
          <w:rFonts w:eastAsia="仿宋_GB2312"/>
          <w:color w:val="auto"/>
          <w:sz w:val="32"/>
          <w:szCs w:val="32"/>
          <w:highlight w:val="none"/>
        </w:rPr>
        <w:t>产业</w:t>
      </w:r>
      <w:r>
        <w:rPr>
          <w:rFonts w:hint="eastAsia" w:eastAsia="仿宋_GB2312"/>
          <w:color w:val="auto"/>
          <w:sz w:val="32"/>
          <w:szCs w:val="32"/>
          <w:highlight w:val="none"/>
        </w:rPr>
        <w:t>，也是服务和融入新发展格局的战略支撑。为此自治区提出以提高畜产品供给保障能力为目标，着力夯基础、补短板、强弱项、优结构、促融合、壮主体、增动能，着力做大肉牛肉羊产业、加快推进奶业振兴、因地制宜发展特色产业，积极推进适度规模经营，构建科学合理、安全高效的畜产品供给保障体系，提升主要畜产品综合生产能力，推进我区畜牧业实现发展，为此自治区财政给予安排了自治区畜牧业</w:t>
      </w:r>
      <w:r>
        <w:rPr>
          <w:rFonts w:hint="eastAsia" w:ascii="Times New Roman" w:hAnsi="Times New Roman" w:eastAsia="仿宋_GB2312" w:cs="Times New Roman"/>
          <w:color w:val="auto"/>
          <w:sz w:val="32"/>
          <w:szCs w:val="32"/>
          <w:highlight w:val="none"/>
        </w:rPr>
        <w:t>发展专项资金。</w:t>
      </w:r>
    </w:p>
    <w:p>
      <w:pPr>
        <w:pStyle w:val="19"/>
        <w:pageBreakBefore w:val="0"/>
        <w:numPr>
          <w:ilvl w:val="0"/>
          <w:numId w:val="1"/>
        </w:numPr>
        <w:kinsoku/>
        <w:wordWrap/>
        <w:overflowPunct/>
        <w:topLinePunct w:val="0"/>
        <w:bidi w:val="0"/>
        <w:snapToGrid/>
        <w:spacing w:before="0" w:after="0" w:line="560" w:lineRule="exact"/>
        <w:ind w:firstLine="643" w:firstLineChars="200"/>
        <w:jc w:val="both"/>
        <w:textAlignment w:val="auto"/>
        <w:rPr>
          <w:rFonts w:ascii="Times New Roman" w:hAnsi="Times New Roman" w:eastAsia="仿宋_GB2312"/>
          <w:color w:val="auto"/>
          <w:kern w:val="2"/>
          <w:highlight w:val="none"/>
        </w:rPr>
      </w:pPr>
      <w:r>
        <w:rPr>
          <w:rFonts w:ascii="Times New Roman" w:hAnsi="Times New Roman" w:eastAsia="仿宋_GB2312"/>
          <w:color w:val="auto"/>
          <w:kern w:val="2"/>
          <w:highlight w:val="none"/>
        </w:rPr>
        <w:t>项目主要内容：</w:t>
      </w:r>
    </w:p>
    <w:p>
      <w:pPr>
        <w:pageBreakBefore w:val="0"/>
        <w:numPr>
          <w:ilvl w:val="0"/>
          <w:numId w:val="2"/>
        </w:numPr>
        <w:kinsoku/>
        <w:wordWrap/>
        <w:overflowPunct/>
        <w:topLinePunct w:val="0"/>
        <w:bidi w:val="0"/>
        <w:snapToGrid/>
        <w:spacing w:line="560" w:lineRule="exact"/>
        <w:ind w:firstLine="640" w:firstLineChars="200"/>
        <w:textAlignment w:val="auto"/>
        <w:rPr>
          <w:rFonts w:hint="eastAsia" w:eastAsia="仿宋_GB2312"/>
          <w:color w:val="auto"/>
          <w:sz w:val="32"/>
          <w:szCs w:val="32"/>
          <w:highlight w:val="none"/>
        </w:rPr>
      </w:pPr>
      <w:r>
        <w:rPr>
          <w:rFonts w:hint="eastAsia" w:eastAsia="仿宋_GB2312"/>
          <w:color w:val="auto"/>
          <w:sz w:val="32"/>
          <w:szCs w:val="32"/>
          <w:highlight w:val="none"/>
        </w:rPr>
        <w:t>统筹整合预计3</w:t>
      </w:r>
      <w:r>
        <w:rPr>
          <w:rFonts w:hint="eastAsia" w:eastAsia="仿宋_GB2312"/>
          <w:color w:val="auto"/>
          <w:sz w:val="32"/>
          <w:szCs w:val="32"/>
          <w:highlight w:val="none"/>
          <w:lang w:val="en-US" w:eastAsia="zh-CN"/>
        </w:rPr>
        <w:t>3</w:t>
      </w:r>
      <w:r>
        <w:rPr>
          <w:rFonts w:hint="eastAsia" w:eastAsia="仿宋_GB2312"/>
          <w:color w:val="auto"/>
          <w:sz w:val="32"/>
          <w:szCs w:val="32"/>
          <w:highlight w:val="none"/>
        </w:rPr>
        <w:t>38万元。</w:t>
      </w:r>
    </w:p>
    <w:p>
      <w:pPr>
        <w:keepNext w:val="0"/>
        <w:keepLines w:val="0"/>
        <w:pageBreakBefore w:val="0"/>
        <w:widowControl w:val="0"/>
        <w:shd w:val="clear"/>
        <w:kinsoku/>
        <w:wordWrap/>
        <w:overflowPunct/>
        <w:topLinePunct w:val="0"/>
        <w:autoSpaceDE/>
        <w:autoSpaceDN/>
        <w:bidi w:val="0"/>
        <w:adjustRightInd/>
        <w:snapToGrid/>
        <w:spacing w:line="560" w:lineRule="exact"/>
        <w:ind w:right="0" w:rightChars="0" w:firstLine="640" w:firstLineChars="200"/>
        <w:jc w:val="both"/>
        <w:textAlignment w:val="auto"/>
        <w:outlineLvl w:val="9"/>
        <w:rPr>
          <w:rFonts w:hint="eastAsia" w:eastAsia="仿宋_GB2312"/>
          <w:color w:val="auto"/>
          <w:highlight w:val="none"/>
          <w:lang w:eastAsia="zh-CN"/>
        </w:rPr>
      </w:pPr>
      <w:r>
        <w:rPr>
          <w:rFonts w:hint="eastAsia" w:eastAsia="仿宋_GB2312"/>
          <w:color w:val="auto"/>
          <w:sz w:val="32"/>
          <w:szCs w:val="32"/>
          <w:highlight w:val="none"/>
          <w:lang w:eastAsia="zh-CN"/>
        </w:rPr>
        <w:t>（</w:t>
      </w:r>
      <w:r>
        <w:rPr>
          <w:rFonts w:hint="eastAsia" w:eastAsia="仿宋_GB2312"/>
          <w:color w:val="auto"/>
          <w:sz w:val="32"/>
          <w:szCs w:val="32"/>
          <w:highlight w:val="none"/>
          <w:lang w:val="en-US" w:eastAsia="zh-CN"/>
        </w:rPr>
        <w:t>2</w:t>
      </w:r>
      <w:r>
        <w:rPr>
          <w:rFonts w:hint="eastAsia" w:eastAsia="仿宋_GB2312"/>
          <w:color w:val="auto"/>
          <w:sz w:val="32"/>
          <w:szCs w:val="32"/>
          <w:highlight w:val="none"/>
          <w:lang w:eastAsia="zh-CN"/>
        </w:rPr>
        <w:t>）</w:t>
      </w:r>
      <w:r>
        <w:rPr>
          <w:rFonts w:hint="eastAsia" w:eastAsia="仿宋_GB2312"/>
          <w:color w:val="auto"/>
          <w:sz w:val="32"/>
          <w:szCs w:val="32"/>
          <w:highlight w:val="none"/>
        </w:rPr>
        <w:t>奶业生产发展项目1000万。</w:t>
      </w:r>
      <w:r>
        <w:rPr>
          <w:rFonts w:hint="eastAsia" w:ascii="仿宋_GB2312" w:hAnsi="仿宋_GB2312" w:eastAsia="仿宋_GB2312" w:cs="仿宋_GB2312"/>
          <w:b/>
          <w:bCs w:val="0"/>
          <w:color w:val="auto"/>
          <w:kern w:val="0"/>
          <w:sz w:val="32"/>
          <w:szCs w:val="32"/>
          <w:highlight w:val="none"/>
          <w:lang w:eastAsia="zh-CN"/>
        </w:rPr>
        <w:t>一是</w:t>
      </w:r>
      <w:r>
        <w:rPr>
          <w:rFonts w:hint="eastAsia" w:ascii="仿宋_GB2312" w:hAnsi="仿宋_GB2312" w:eastAsia="仿宋_GB2312" w:cs="仿宋_GB2312"/>
          <w:bCs/>
          <w:color w:val="auto"/>
          <w:kern w:val="0"/>
          <w:sz w:val="32"/>
          <w:szCs w:val="32"/>
          <w:highlight w:val="none"/>
        </w:rPr>
        <w:t>通过</w:t>
      </w:r>
      <w:r>
        <w:rPr>
          <w:rFonts w:hint="eastAsia" w:ascii="仿宋_GB2312" w:hAnsi="仿宋_GB2312" w:eastAsia="仿宋_GB2312" w:cs="仿宋_GB2312"/>
          <w:bCs/>
          <w:color w:val="auto"/>
          <w:kern w:val="0"/>
          <w:sz w:val="32"/>
          <w:szCs w:val="32"/>
          <w:highlight w:val="none"/>
          <w:lang w:eastAsia="zh-CN"/>
        </w:rPr>
        <w:t>推进</w:t>
      </w:r>
      <w:r>
        <w:rPr>
          <w:rFonts w:hint="eastAsia" w:ascii="仿宋_GB2312" w:hAnsi="仿宋_GB2312" w:eastAsia="仿宋_GB2312" w:cs="仿宋_GB2312"/>
          <w:bCs/>
          <w:color w:val="auto"/>
          <w:kern w:val="0"/>
          <w:sz w:val="32"/>
          <w:szCs w:val="32"/>
          <w:highlight w:val="none"/>
        </w:rPr>
        <w:t>奶牛</w:t>
      </w:r>
      <w:r>
        <w:rPr>
          <w:rFonts w:hint="eastAsia" w:ascii="仿宋_GB2312" w:hAnsi="仿宋_GB2312" w:eastAsia="仿宋_GB2312" w:cs="仿宋_GB2312"/>
          <w:bCs/>
          <w:color w:val="auto"/>
          <w:kern w:val="0"/>
          <w:sz w:val="32"/>
          <w:szCs w:val="32"/>
          <w:highlight w:val="none"/>
          <w:lang w:eastAsia="zh-CN"/>
        </w:rPr>
        <w:t>规模化、标准化养殖，提高养殖企业生产管理水平，提升繁殖成活率，降低死亡率，增加奶牛存栏；通过</w:t>
      </w:r>
      <w:r>
        <w:rPr>
          <w:rFonts w:hint="eastAsia" w:ascii="仿宋_GB2312" w:hAnsi="仿宋_GB2312" w:eastAsia="仿宋_GB2312" w:cs="仿宋_GB2312"/>
          <w:bCs/>
          <w:color w:val="auto"/>
          <w:kern w:val="0"/>
          <w:sz w:val="32"/>
          <w:szCs w:val="32"/>
          <w:highlight w:val="none"/>
        </w:rPr>
        <w:t>优质性控冻精改良、胚胎移植</w:t>
      </w:r>
      <w:r>
        <w:rPr>
          <w:rFonts w:hint="eastAsia" w:ascii="仿宋_GB2312" w:hAnsi="仿宋_GB2312" w:eastAsia="仿宋_GB2312" w:cs="仿宋_GB2312"/>
          <w:bCs/>
          <w:color w:val="auto"/>
          <w:kern w:val="0"/>
          <w:sz w:val="32"/>
          <w:szCs w:val="32"/>
          <w:highlight w:val="none"/>
          <w:lang w:eastAsia="zh-CN"/>
        </w:rPr>
        <w:t>扩繁扩群；通过</w:t>
      </w:r>
      <w:r>
        <w:rPr>
          <w:rFonts w:hint="eastAsia" w:ascii="仿宋_GB2312" w:hAnsi="仿宋_GB2312" w:eastAsia="仿宋_GB2312" w:cs="仿宋_GB2312"/>
          <w:bCs/>
          <w:color w:val="auto"/>
          <w:kern w:val="0"/>
          <w:sz w:val="32"/>
          <w:szCs w:val="32"/>
          <w:highlight w:val="none"/>
        </w:rPr>
        <w:t>良种引进</w:t>
      </w:r>
      <w:r>
        <w:rPr>
          <w:rFonts w:hint="eastAsia" w:ascii="仿宋_GB2312" w:hAnsi="仿宋_GB2312" w:eastAsia="仿宋_GB2312" w:cs="仿宋_GB2312"/>
          <w:bCs/>
          <w:color w:val="auto"/>
          <w:kern w:val="0"/>
          <w:sz w:val="32"/>
          <w:szCs w:val="32"/>
          <w:highlight w:val="none"/>
          <w:lang w:eastAsia="zh-CN"/>
        </w:rPr>
        <w:t>，</w:t>
      </w:r>
      <w:r>
        <w:rPr>
          <w:rFonts w:hint="eastAsia" w:ascii="仿宋_GB2312" w:hAnsi="仿宋_GB2312" w:eastAsia="仿宋_GB2312" w:cs="仿宋_GB2312"/>
          <w:bCs/>
          <w:color w:val="auto"/>
          <w:kern w:val="0"/>
          <w:sz w:val="32"/>
          <w:szCs w:val="32"/>
          <w:highlight w:val="none"/>
        </w:rPr>
        <w:t>扩大高产荷斯坦奶牛群体</w:t>
      </w:r>
      <w:r>
        <w:rPr>
          <w:rFonts w:hint="eastAsia" w:ascii="仿宋_GB2312" w:hAnsi="仿宋_GB2312" w:eastAsia="仿宋_GB2312" w:cs="仿宋_GB2312"/>
          <w:bCs/>
          <w:color w:val="auto"/>
          <w:kern w:val="0"/>
          <w:sz w:val="32"/>
          <w:szCs w:val="32"/>
          <w:highlight w:val="none"/>
          <w:lang w:eastAsia="zh-CN"/>
        </w:rPr>
        <w:t>等</w:t>
      </w:r>
      <w:r>
        <w:rPr>
          <w:rFonts w:hint="eastAsia" w:ascii="仿宋_GB2312" w:hAnsi="仿宋_GB2312" w:eastAsia="仿宋_GB2312" w:cs="仿宋_GB2312"/>
          <w:bCs/>
          <w:color w:val="auto"/>
          <w:kern w:val="0"/>
          <w:sz w:val="32"/>
          <w:szCs w:val="32"/>
          <w:highlight w:val="none"/>
        </w:rPr>
        <w:t>，实现奶牛存栏总量和奶产量双增长。</w:t>
      </w:r>
      <w:r>
        <w:rPr>
          <w:rFonts w:hint="eastAsia" w:ascii="仿宋_GB2312" w:hAnsi="仿宋_GB2312" w:eastAsia="仿宋_GB2312" w:cs="仿宋_GB2312"/>
          <w:b/>
          <w:bCs/>
          <w:color w:val="auto"/>
          <w:sz w:val="32"/>
          <w:szCs w:val="32"/>
          <w:highlight w:val="none"/>
          <w:lang w:val="en-US" w:eastAsia="zh-CN"/>
        </w:rPr>
        <w:t>二是</w:t>
      </w:r>
      <w:r>
        <w:rPr>
          <w:rFonts w:hint="eastAsia" w:ascii="仿宋_GB2312" w:hAnsi="仿宋_GB2312" w:eastAsia="仿宋_GB2312" w:cs="仿宋_GB2312"/>
          <w:bCs/>
          <w:color w:val="auto"/>
          <w:kern w:val="0"/>
          <w:sz w:val="32"/>
          <w:szCs w:val="32"/>
          <w:highlight w:val="none"/>
          <w:lang w:eastAsia="zh-CN"/>
        </w:rPr>
        <w:t>自治区</w:t>
      </w:r>
      <w:r>
        <w:rPr>
          <w:rFonts w:hint="eastAsia" w:ascii="仿宋_GB2312" w:hAnsi="仿宋_GB2312" w:eastAsia="仿宋_GB2312" w:cs="仿宋_GB2312"/>
          <w:bCs/>
          <w:color w:val="auto"/>
          <w:kern w:val="0"/>
          <w:sz w:val="32"/>
          <w:szCs w:val="32"/>
          <w:highlight w:val="none"/>
        </w:rPr>
        <w:t>奶</w:t>
      </w:r>
      <w:r>
        <w:rPr>
          <w:rFonts w:hint="eastAsia" w:ascii="仿宋_GB2312" w:hAnsi="仿宋_GB2312" w:eastAsia="仿宋_GB2312" w:cs="仿宋_GB2312"/>
          <w:bCs/>
          <w:color w:val="auto"/>
          <w:kern w:val="0"/>
          <w:sz w:val="32"/>
          <w:szCs w:val="32"/>
          <w:highlight w:val="none"/>
          <w:lang w:eastAsia="zh-CN"/>
        </w:rPr>
        <w:t>产</w:t>
      </w:r>
      <w:r>
        <w:rPr>
          <w:rFonts w:hint="eastAsia" w:ascii="仿宋_GB2312" w:hAnsi="仿宋_GB2312" w:eastAsia="仿宋_GB2312" w:cs="仿宋_GB2312"/>
          <w:bCs/>
          <w:color w:val="auto"/>
          <w:kern w:val="0"/>
          <w:sz w:val="32"/>
          <w:szCs w:val="32"/>
          <w:highlight w:val="none"/>
        </w:rPr>
        <w:t>业技术体系</w:t>
      </w:r>
      <w:r>
        <w:rPr>
          <w:rFonts w:hint="eastAsia" w:ascii="仿宋_GB2312" w:hAnsi="仿宋_GB2312" w:eastAsia="仿宋_GB2312" w:cs="仿宋_GB2312"/>
          <w:bCs/>
          <w:color w:val="auto"/>
          <w:kern w:val="0"/>
          <w:sz w:val="32"/>
          <w:szCs w:val="32"/>
          <w:highlight w:val="none"/>
          <w:lang w:eastAsia="zh-CN"/>
        </w:rPr>
        <w:t>与项目执行单位签订技术服务协议，开展奶牛生产、高效饲养、繁殖育种、疫病防控等技术</w:t>
      </w:r>
      <w:r>
        <w:rPr>
          <w:rFonts w:hint="eastAsia" w:ascii="仿宋_GB2312" w:hAnsi="仿宋_GB2312" w:eastAsia="仿宋_GB2312" w:cs="仿宋_GB2312"/>
          <w:bCs/>
          <w:color w:val="auto"/>
          <w:kern w:val="0"/>
          <w:sz w:val="32"/>
          <w:szCs w:val="32"/>
          <w:highlight w:val="none"/>
        </w:rPr>
        <w:t>服务、指导和培训。</w:t>
      </w:r>
    </w:p>
    <w:p>
      <w:pPr>
        <w:keepNext w:val="0"/>
        <w:keepLines w:val="0"/>
        <w:pageBreakBefore w:val="0"/>
        <w:kinsoku/>
        <w:wordWrap/>
        <w:overflowPunct/>
        <w:topLinePunct w:val="0"/>
        <w:autoSpaceDE w:val="0"/>
        <w:autoSpaceDN w:val="0"/>
        <w:bidi w:val="0"/>
        <w:adjustRightInd w:val="0"/>
        <w:snapToGrid/>
        <w:spacing w:line="560" w:lineRule="exact"/>
        <w:ind w:firstLine="640" w:firstLineChars="200"/>
        <w:textAlignment w:val="auto"/>
        <w:rPr>
          <w:rFonts w:hint="eastAsia" w:eastAsia="仿宋_GB2312"/>
          <w:color w:val="auto"/>
          <w:sz w:val="32"/>
          <w:szCs w:val="32"/>
          <w:highlight w:val="none"/>
        </w:rPr>
      </w:pPr>
      <w:r>
        <w:rPr>
          <w:rFonts w:hint="eastAsia" w:eastAsia="仿宋_GB2312"/>
          <w:color w:val="auto"/>
          <w:sz w:val="32"/>
          <w:szCs w:val="32"/>
          <w:highlight w:val="none"/>
          <w:lang w:eastAsia="zh-CN"/>
        </w:rPr>
        <w:t>（</w:t>
      </w:r>
      <w:r>
        <w:rPr>
          <w:rFonts w:hint="eastAsia" w:eastAsia="仿宋_GB2312"/>
          <w:color w:val="auto"/>
          <w:sz w:val="32"/>
          <w:szCs w:val="32"/>
          <w:highlight w:val="none"/>
          <w:lang w:val="en-US" w:eastAsia="zh-CN"/>
        </w:rPr>
        <w:t>3</w:t>
      </w:r>
      <w:r>
        <w:rPr>
          <w:rFonts w:hint="eastAsia" w:eastAsia="仿宋_GB2312"/>
          <w:color w:val="auto"/>
          <w:sz w:val="32"/>
          <w:szCs w:val="32"/>
          <w:highlight w:val="none"/>
          <w:lang w:eastAsia="zh-CN"/>
        </w:rPr>
        <w:t>）</w:t>
      </w:r>
      <w:r>
        <w:rPr>
          <w:rFonts w:hint="eastAsia" w:eastAsia="仿宋_GB2312"/>
          <w:color w:val="auto"/>
          <w:sz w:val="32"/>
          <w:szCs w:val="32"/>
          <w:highlight w:val="none"/>
        </w:rPr>
        <w:t>优质饲草产业发展项目1000万。</w:t>
      </w:r>
      <w:r>
        <w:rPr>
          <w:rFonts w:hint="default" w:ascii="Times New Roman" w:hAnsi="Times New Roman" w:eastAsia="仿宋_GB2312" w:cs="Times New Roman"/>
          <w:bCs/>
          <w:color w:val="auto"/>
          <w:sz w:val="32"/>
          <w:szCs w:val="32"/>
          <w:highlight w:val="none"/>
        </w:rPr>
        <w:t>围绕苜蓿、青贮玉米、饲用高粱等优质饲草品种生产评比、高产栽培技术推广、营养成分快速测定3个关键环节，示范带动全区饲草产业发展。委托科研院校、自治区技术推广单位开展新成果跟踪、新技术指导。2022年</w:t>
      </w:r>
      <w:r>
        <w:rPr>
          <w:rFonts w:hint="eastAsia" w:ascii="Times New Roman" w:hAnsi="Times New Roman" w:eastAsia="仿宋_GB2312" w:cs="Times New Roman"/>
          <w:bCs/>
          <w:color w:val="auto"/>
          <w:sz w:val="32"/>
          <w:szCs w:val="32"/>
          <w:highlight w:val="none"/>
          <w:lang w:eastAsia="zh-CN"/>
        </w:rPr>
        <w:t>计划建设</w:t>
      </w:r>
      <w:r>
        <w:rPr>
          <w:rFonts w:hint="default" w:ascii="Times New Roman" w:hAnsi="Times New Roman" w:eastAsia="仿宋_GB2312" w:cs="Times New Roman"/>
          <w:bCs/>
          <w:color w:val="auto"/>
          <w:sz w:val="32"/>
          <w:szCs w:val="32"/>
          <w:highlight w:val="none"/>
        </w:rPr>
        <w:t>不同优质饲草品种生产评比田</w:t>
      </w:r>
      <w:r>
        <w:rPr>
          <w:rFonts w:hint="eastAsia" w:ascii="Times New Roman" w:hAnsi="Times New Roman" w:eastAsia="仿宋_GB2312" w:cs="Times New Roman"/>
          <w:bCs/>
          <w:color w:val="auto"/>
          <w:sz w:val="32"/>
          <w:szCs w:val="32"/>
          <w:highlight w:val="none"/>
          <w:lang w:val="en-US" w:eastAsia="zh-CN"/>
        </w:rPr>
        <w:t>4</w:t>
      </w:r>
      <w:r>
        <w:rPr>
          <w:rFonts w:hint="default" w:ascii="Times New Roman" w:hAnsi="Times New Roman" w:eastAsia="仿宋_GB2312" w:cs="Times New Roman"/>
          <w:bCs/>
          <w:color w:val="auto"/>
          <w:sz w:val="32"/>
          <w:szCs w:val="32"/>
          <w:highlight w:val="none"/>
        </w:rPr>
        <w:t>000亩，</w:t>
      </w:r>
      <w:r>
        <w:rPr>
          <w:rFonts w:hint="eastAsia" w:ascii="Times New Roman" w:hAnsi="Times New Roman" w:eastAsia="仿宋_GB2312" w:cs="Times New Roman"/>
          <w:bCs/>
          <w:color w:val="auto"/>
          <w:sz w:val="32"/>
          <w:szCs w:val="32"/>
          <w:highlight w:val="none"/>
          <w:lang w:eastAsia="zh-CN"/>
        </w:rPr>
        <w:t>选择</w:t>
      </w:r>
      <w:r>
        <w:rPr>
          <w:rFonts w:hint="default" w:ascii="Times New Roman" w:hAnsi="Times New Roman" w:eastAsia="仿宋_GB2312" w:cs="Times New Roman"/>
          <w:bCs/>
          <w:color w:val="auto"/>
          <w:sz w:val="32"/>
          <w:szCs w:val="32"/>
          <w:highlight w:val="none"/>
        </w:rPr>
        <w:t>饲草品种10种以上；建设优质饲草高产栽培示范田</w:t>
      </w:r>
      <w:r>
        <w:rPr>
          <w:rFonts w:hint="eastAsia" w:ascii="Times New Roman" w:hAnsi="Times New Roman" w:eastAsia="仿宋_GB2312" w:cs="Times New Roman"/>
          <w:bCs/>
          <w:color w:val="auto"/>
          <w:sz w:val="32"/>
          <w:szCs w:val="32"/>
          <w:highlight w:val="none"/>
          <w:lang w:val="en-US" w:eastAsia="zh-CN"/>
        </w:rPr>
        <w:t>10</w:t>
      </w:r>
      <w:r>
        <w:rPr>
          <w:rFonts w:hint="default" w:ascii="Times New Roman" w:hAnsi="Times New Roman" w:eastAsia="仿宋_GB2312" w:cs="Times New Roman"/>
          <w:bCs/>
          <w:color w:val="auto"/>
          <w:sz w:val="32"/>
          <w:szCs w:val="32"/>
          <w:highlight w:val="none"/>
        </w:rPr>
        <w:t>000亩，亩均单产提高5%以上。</w:t>
      </w:r>
      <w:r>
        <w:rPr>
          <w:rFonts w:hint="eastAsia" w:ascii="Times New Roman" w:hAnsi="Times New Roman" w:eastAsia="仿宋_GB2312" w:cs="Times New Roman"/>
          <w:bCs/>
          <w:color w:val="auto"/>
          <w:sz w:val="32"/>
          <w:szCs w:val="32"/>
          <w:highlight w:val="none"/>
          <w:lang w:eastAsia="zh-CN"/>
        </w:rPr>
        <w:t>其中伊犁州直以苜蓿为主、阿勒泰地区以苜蓿和燕麦为主、乌鲁木齐市以青贮玉米和苜蓿为主、阿克苏地区以饲用高粱为主、和田地区和喀什地区以复播青贮玉米为主，克州以饲用高粱和绿洲</w:t>
      </w:r>
      <w:r>
        <w:rPr>
          <w:rFonts w:hint="eastAsia" w:ascii="Times New Roman" w:hAnsi="Times New Roman" w:eastAsia="仿宋_GB2312" w:cs="Times New Roman"/>
          <w:bCs/>
          <w:color w:val="auto"/>
          <w:sz w:val="32"/>
          <w:szCs w:val="32"/>
          <w:highlight w:val="none"/>
          <w:lang w:val="en-US" w:eastAsia="zh-CN"/>
        </w:rPr>
        <w:t>1号等新饲草品种为主，巴州以苜蓿和青贮玉米为主，通过生产评比和高产栽培，筛选出</w:t>
      </w:r>
      <w:r>
        <w:rPr>
          <w:rFonts w:hint="eastAsia" w:ascii="Times New Roman" w:hAnsi="Times New Roman" w:eastAsia="仿宋_GB2312" w:cs="Times New Roman"/>
          <w:bCs/>
          <w:color w:val="auto"/>
          <w:sz w:val="32"/>
          <w:szCs w:val="32"/>
          <w:highlight w:val="none"/>
          <w:lang w:eastAsia="zh-CN"/>
        </w:rPr>
        <w:t>适合各区域种植的最优饲草品种。</w:t>
      </w:r>
    </w:p>
    <w:p>
      <w:pPr>
        <w:pageBreakBefore w:val="0"/>
        <w:kinsoku/>
        <w:wordWrap/>
        <w:overflowPunct/>
        <w:topLinePunct w:val="0"/>
        <w:bidi w:val="0"/>
        <w:snapToGrid/>
        <w:spacing w:line="560" w:lineRule="exact"/>
        <w:ind w:firstLine="640" w:firstLineChars="200"/>
        <w:textAlignment w:val="auto"/>
        <w:rPr>
          <w:rFonts w:hint="eastAsia" w:eastAsia="仿宋_GB2312"/>
          <w:color w:val="auto"/>
          <w:sz w:val="32"/>
          <w:szCs w:val="32"/>
          <w:highlight w:val="none"/>
        </w:rPr>
      </w:pPr>
      <w:r>
        <w:rPr>
          <w:rFonts w:hint="eastAsia" w:eastAsia="仿宋_GB2312"/>
          <w:color w:val="auto"/>
          <w:sz w:val="32"/>
          <w:szCs w:val="32"/>
          <w:highlight w:val="none"/>
          <w:lang w:eastAsia="zh-CN"/>
        </w:rPr>
        <w:t>（</w:t>
      </w:r>
      <w:r>
        <w:rPr>
          <w:rFonts w:hint="eastAsia" w:eastAsia="仿宋_GB2312"/>
          <w:color w:val="auto"/>
          <w:sz w:val="32"/>
          <w:szCs w:val="32"/>
          <w:highlight w:val="none"/>
          <w:lang w:val="en-US" w:eastAsia="zh-CN"/>
        </w:rPr>
        <w:t>4</w:t>
      </w:r>
      <w:r>
        <w:rPr>
          <w:rFonts w:hint="eastAsia" w:eastAsia="仿宋_GB2312"/>
          <w:color w:val="auto"/>
          <w:sz w:val="32"/>
          <w:szCs w:val="32"/>
          <w:highlight w:val="none"/>
          <w:lang w:eastAsia="zh-CN"/>
        </w:rPr>
        <w:t>）</w:t>
      </w:r>
      <w:r>
        <w:rPr>
          <w:rFonts w:hint="eastAsia" w:eastAsia="仿宋_GB2312"/>
          <w:color w:val="auto"/>
          <w:sz w:val="32"/>
          <w:szCs w:val="32"/>
          <w:highlight w:val="none"/>
        </w:rPr>
        <w:t>现代畜禽种业提升项目3</w:t>
      </w:r>
      <w:r>
        <w:rPr>
          <w:rFonts w:hint="eastAsia" w:eastAsia="仿宋_GB2312"/>
          <w:color w:val="auto"/>
          <w:sz w:val="32"/>
          <w:szCs w:val="32"/>
          <w:highlight w:val="none"/>
          <w:lang w:val="en-US" w:eastAsia="zh-CN"/>
        </w:rPr>
        <w:t>496</w:t>
      </w:r>
      <w:r>
        <w:rPr>
          <w:rFonts w:hint="eastAsia" w:eastAsia="仿宋_GB2312"/>
          <w:color w:val="auto"/>
          <w:sz w:val="32"/>
          <w:szCs w:val="32"/>
          <w:highlight w:val="none"/>
        </w:rPr>
        <w:t>万元。</w:t>
      </w:r>
      <w:r>
        <w:rPr>
          <w:rFonts w:hint="default" w:ascii="Times New Roman" w:hAnsi="Times New Roman" w:eastAsia="仿宋_GB2312" w:cs="Times New Roman"/>
          <w:color w:val="auto"/>
          <w:w w:val="100"/>
          <w:sz w:val="32"/>
          <w:szCs w:val="32"/>
          <w:highlight w:val="none"/>
          <w:lang w:val="en-US" w:eastAsia="zh-CN"/>
        </w:rPr>
        <w:t>项目依托农区高效肉羊品种选育推广、牧区地方肉羊品种选育推广、多浪羊品种选育推广、新疆褐牛联合育种、西门塔尔（安格斯）牛群体改良等7个产业技术体系开展工作，涉及科研院校、13个地（州、市）畜牧兽医技术推广单位、涉牧企业等共100余家，项目资金主要用于核心种畜场和重点养殖场种畜的育种、表型测定、品种鉴定、种畜购置等育种与生产环节补助；自治区畜牧总站、核心种畜场所在地（州、市）、县（市）畜牧工作站，组织开展种畜鉴定、技术服务、资源统计等技术推广费用；以及自治区畜牧科学院等科研院所组织专家开展育种规划、新品种培育、种群鉴定等设施设备购置、技术服务、示范推广、集成示范等费用。通过项目实施各核心种畜场和重点养殖场规范开展了品种选育、畜牧兽医实用技术推广应用工作，畜禽品种选育与技术推广体系发挥了积极作用，品种改良工作初见成效，供种能力显著提升。</w:t>
      </w:r>
    </w:p>
    <w:p>
      <w:pPr>
        <w:pageBreakBefore w:val="0"/>
        <w:kinsoku/>
        <w:wordWrap/>
        <w:overflowPunct/>
        <w:topLinePunct w:val="0"/>
        <w:bidi w:val="0"/>
        <w:snapToGrid/>
        <w:spacing w:line="560" w:lineRule="exact"/>
        <w:ind w:firstLine="640" w:firstLineChars="200"/>
        <w:textAlignment w:val="auto"/>
        <w:rPr>
          <w:rFonts w:hint="eastAsia" w:eastAsia="仿宋_GB2312"/>
          <w:color w:val="auto"/>
          <w:sz w:val="32"/>
          <w:szCs w:val="32"/>
          <w:highlight w:val="none"/>
        </w:rPr>
      </w:pPr>
      <w:r>
        <w:rPr>
          <w:rFonts w:hint="eastAsia" w:eastAsia="仿宋_GB2312"/>
          <w:color w:val="auto"/>
          <w:sz w:val="32"/>
          <w:szCs w:val="32"/>
          <w:highlight w:val="none"/>
          <w:lang w:eastAsia="zh-CN"/>
        </w:rPr>
        <w:t>（</w:t>
      </w:r>
      <w:r>
        <w:rPr>
          <w:rFonts w:hint="eastAsia" w:eastAsia="仿宋_GB2312"/>
          <w:color w:val="auto"/>
          <w:sz w:val="32"/>
          <w:szCs w:val="32"/>
          <w:highlight w:val="none"/>
          <w:lang w:val="en-US" w:eastAsia="zh-CN"/>
        </w:rPr>
        <w:t>5</w:t>
      </w:r>
      <w:r>
        <w:rPr>
          <w:rFonts w:hint="eastAsia" w:eastAsia="仿宋_GB2312"/>
          <w:color w:val="auto"/>
          <w:sz w:val="32"/>
          <w:szCs w:val="32"/>
          <w:highlight w:val="none"/>
          <w:lang w:eastAsia="zh-CN"/>
        </w:rPr>
        <w:t>）</w:t>
      </w:r>
      <w:r>
        <w:rPr>
          <w:rFonts w:hint="eastAsia" w:eastAsia="仿宋_GB2312"/>
          <w:color w:val="auto"/>
          <w:sz w:val="32"/>
          <w:szCs w:val="32"/>
          <w:highlight w:val="none"/>
        </w:rPr>
        <w:t>畜禽遗传资源保护项目</w:t>
      </w:r>
      <w:r>
        <w:rPr>
          <w:rFonts w:hint="eastAsia" w:eastAsia="仿宋_GB2312"/>
          <w:color w:val="auto"/>
          <w:sz w:val="32"/>
          <w:szCs w:val="32"/>
          <w:highlight w:val="none"/>
          <w:lang w:val="en-US" w:eastAsia="zh-CN"/>
        </w:rPr>
        <w:t>300</w:t>
      </w:r>
      <w:r>
        <w:rPr>
          <w:rFonts w:hint="eastAsia" w:eastAsia="仿宋_GB2312"/>
          <w:color w:val="auto"/>
          <w:sz w:val="32"/>
          <w:szCs w:val="32"/>
          <w:highlight w:val="none"/>
        </w:rPr>
        <w:t>万。</w:t>
      </w:r>
      <w:r>
        <w:rPr>
          <w:rFonts w:hint="default" w:ascii="Times New Roman" w:hAnsi="Times New Roman" w:eastAsia="仿宋_GB2312" w:cs="Times New Roman"/>
          <w:color w:val="auto"/>
          <w:sz w:val="32"/>
          <w:szCs w:val="32"/>
          <w:highlight w:val="none"/>
        </w:rPr>
        <w:t>对</w:t>
      </w:r>
      <w:r>
        <w:rPr>
          <w:rFonts w:hint="default" w:ascii="Times New Roman" w:hAnsi="Times New Roman" w:eastAsia="仿宋_GB2312" w:cs="Times New Roman"/>
          <w:color w:val="auto"/>
          <w:sz w:val="32"/>
          <w:szCs w:val="32"/>
          <w:highlight w:val="none"/>
          <w:lang w:val="en-US" w:eastAsia="zh-CN"/>
        </w:rPr>
        <w:t>14个</w:t>
      </w:r>
      <w:r>
        <w:rPr>
          <w:rFonts w:hint="default" w:ascii="Times New Roman" w:hAnsi="Times New Roman" w:eastAsia="仿宋_GB2312" w:cs="Times New Roman"/>
          <w:color w:val="auto"/>
          <w:sz w:val="32"/>
          <w:szCs w:val="32"/>
          <w:highlight w:val="none"/>
        </w:rPr>
        <w:t>自治区</w:t>
      </w:r>
      <w:r>
        <w:rPr>
          <w:rFonts w:hint="default" w:ascii="Times New Roman" w:hAnsi="Times New Roman" w:eastAsia="仿宋_GB2312" w:cs="Times New Roman"/>
          <w:color w:val="auto"/>
          <w:sz w:val="32"/>
          <w:szCs w:val="32"/>
          <w:highlight w:val="none"/>
          <w:lang w:val="en-US" w:eastAsia="zh-CN"/>
        </w:rPr>
        <w:t>级</w:t>
      </w:r>
      <w:r>
        <w:rPr>
          <w:rFonts w:hint="default" w:ascii="Times New Roman" w:hAnsi="Times New Roman" w:eastAsia="仿宋_GB2312" w:cs="Times New Roman"/>
          <w:color w:val="auto"/>
          <w:sz w:val="32"/>
          <w:szCs w:val="32"/>
          <w:highlight w:val="none"/>
        </w:rPr>
        <w:t>畜禽遗传资源保种场（保护区）开展保种设施建设、品种数据监测、遗传物质采集、配套生产性能测定、购置育种材料、完善育种生产设施设备等</w:t>
      </w:r>
      <w:r>
        <w:rPr>
          <w:rFonts w:hint="default" w:ascii="Times New Roman" w:hAnsi="Times New Roman" w:eastAsia="仿宋_GB2312" w:cs="Times New Roman"/>
          <w:color w:val="auto"/>
          <w:sz w:val="32"/>
          <w:szCs w:val="32"/>
          <w:highlight w:val="none"/>
          <w:lang w:val="en-US" w:eastAsia="zh-CN"/>
        </w:rPr>
        <w:t>给与补贴支持</w:t>
      </w:r>
      <w:r>
        <w:rPr>
          <w:rFonts w:hint="default" w:ascii="Times New Roman" w:hAnsi="Times New Roman" w:eastAsia="仿宋_GB2312" w:cs="Times New Roman"/>
          <w:color w:val="auto"/>
          <w:sz w:val="32"/>
          <w:szCs w:val="32"/>
          <w:highlight w:val="none"/>
        </w:rPr>
        <w:t>。</w:t>
      </w:r>
    </w:p>
    <w:p>
      <w:pPr>
        <w:pageBreakBefore w:val="0"/>
        <w:kinsoku/>
        <w:wordWrap/>
        <w:overflowPunct/>
        <w:topLinePunct w:val="0"/>
        <w:bidi w:val="0"/>
        <w:snapToGrid/>
        <w:spacing w:line="560" w:lineRule="exact"/>
        <w:ind w:firstLine="640" w:firstLineChars="200"/>
        <w:textAlignment w:val="auto"/>
        <w:rPr>
          <w:rFonts w:hint="eastAsia" w:eastAsia="仿宋_GB2312"/>
          <w:color w:val="auto"/>
          <w:sz w:val="32"/>
          <w:szCs w:val="32"/>
          <w:highlight w:val="none"/>
        </w:rPr>
      </w:pPr>
      <w:r>
        <w:rPr>
          <w:rFonts w:hint="eastAsia" w:eastAsia="仿宋_GB2312"/>
          <w:color w:val="auto"/>
          <w:sz w:val="32"/>
          <w:szCs w:val="32"/>
          <w:highlight w:val="none"/>
          <w:lang w:eastAsia="zh-CN"/>
        </w:rPr>
        <w:t>（</w:t>
      </w:r>
      <w:r>
        <w:rPr>
          <w:rFonts w:hint="eastAsia" w:eastAsia="仿宋_GB2312"/>
          <w:color w:val="auto"/>
          <w:sz w:val="32"/>
          <w:szCs w:val="32"/>
          <w:highlight w:val="none"/>
          <w:lang w:val="en-US" w:eastAsia="zh-CN"/>
        </w:rPr>
        <w:t>6</w:t>
      </w:r>
      <w:r>
        <w:rPr>
          <w:rFonts w:hint="eastAsia" w:eastAsia="仿宋_GB2312"/>
          <w:color w:val="auto"/>
          <w:sz w:val="32"/>
          <w:szCs w:val="32"/>
          <w:highlight w:val="none"/>
          <w:lang w:eastAsia="zh-CN"/>
        </w:rPr>
        <w:t>）</w:t>
      </w:r>
      <w:r>
        <w:rPr>
          <w:rFonts w:hint="eastAsia" w:eastAsia="仿宋_GB2312"/>
          <w:color w:val="auto"/>
          <w:sz w:val="32"/>
          <w:szCs w:val="32"/>
          <w:highlight w:val="none"/>
        </w:rPr>
        <w:t>新型经营主体培育项目2</w:t>
      </w:r>
      <w:r>
        <w:rPr>
          <w:rFonts w:hint="eastAsia" w:eastAsia="仿宋_GB2312"/>
          <w:color w:val="auto"/>
          <w:sz w:val="32"/>
          <w:szCs w:val="32"/>
          <w:highlight w:val="none"/>
          <w:lang w:val="en-US" w:eastAsia="zh-CN"/>
        </w:rPr>
        <w:t>80</w:t>
      </w:r>
      <w:r>
        <w:rPr>
          <w:rFonts w:hint="eastAsia" w:eastAsia="仿宋_GB2312"/>
          <w:color w:val="auto"/>
          <w:sz w:val="32"/>
          <w:szCs w:val="32"/>
          <w:highlight w:val="none"/>
        </w:rPr>
        <w:t>万。</w:t>
      </w:r>
      <w:r>
        <w:rPr>
          <w:rFonts w:hint="default" w:eastAsia="仿宋_GB2312"/>
          <w:color w:val="auto"/>
          <w:sz w:val="32"/>
          <w:szCs w:val="32"/>
          <w:highlight w:val="none"/>
          <w:lang w:val="en-US" w:eastAsia="zh-CN"/>
        </w:rPr>
        <w:t>依托现有遗传资源和工作基础，以培育肉用</w:t>
      </w:r>
      <w:r>
        <w:rPr>
          <w:rFonts w:hint="eastAsia" w:eastAsia="仿宋_GB2312"/>
          <w:color w:val="auto"/>
          <w:sz w:val="32"/>
          <w:szCs w:val="32"/>
          <w:highlight w:val="none"/>
          <w:lang w:val="en-US" w:eastAsia="zh-CN"/>
        </w:rPr>
        <w:t>细毛</w:t>
      </w:r>
      <w:r>
        <w:rPr>
          <w:rFonts w:hint="default" w:eastAsia="仿宋_GB2312"/>
          <w:color w:val="auto"/>
          <w:sz w:val="32"/>
          <w:szCs w:val="32"/>
          <w:highlight w:val="none"/>
          <w:lang w:val="en-US" w:eastAsia="zh-CN"/>
        </w:rPr>
        <w:t>羊新品种、绒山羊</w:t>
      </w:r>
      <w:r>
        <w:rPr>
          <w:rFonts w:hint="default" w:ascii="Times New Roman" w:hAnsi="Times New Roman" w:eastAsia="仿宋_GB2312" w:cs="Times New Roman"/>
          <w:color w:val="auto"/>
          <w:sz w:val="32"/>
          <w:szCs w:val="32"/>
          <w:highlight w:val="none"/>
          <w:shd w:val="clear" w:color="auto" w:fill="FFFFFF"/>
          <w:lang w:val="en-US" w:eastAsia="zh-CN"/>
        </w:rPr>
        <w:t>新品种和多胎细毛羊新品系</w:t>
      </w:r>
      <w:r>
        <w:rPr>
          <w:rFonts w:hint="eastAsia" w:ascii="Times New Roman" w:hAnsi="Times New Roman" w:eastAsia="仿宋_GB2312" w:cs="Times New Roman"/>
          <w:color w:val="auto"/>
          <w:sz w:val="32"/>
          <w:szCs w:val="32"/>
          <w:highlight w:val="none"/>
          <w:shd w:val="clear" w:color="auto" w:fill="FFFFFF"/>
          <w:lang w:val="en-US" w:eastAsia="zh-CN"/>
        </w:rPr>
        <w:t>，产学研用结合、打造科技型企业</w:t>
      </w:r>
      <w:r>
        <w:rPr>
          <w:rFonts w:hint="default" w:ascii="Times New Roman" w:hAnsi="Times New Roman" w:eastAsia="仿宋_GB2312" w:cs="Times New Roman"/>
          <w:color w:val="auto"/>
          <w:sz w:val="32"/>
          <w:szCs w:val="32"/>
          <w:highlight w:val="none"/>
          <w:shd w:val="clear" w:color="auto" w:fill="FFFFFF"/>
          <w:lang w:val="en-US" w:eastAsia="zh-CN"/>
        </w:rPr>
        <w:t>为目标，</w:t>
      </w:r>
      <w:r>
        <w:rPr>
          <w:rFonts w:hint="default" w:ascii="Times New Roman" w:hAnsi="Times New Roman" w:eastAsia="仿宋_GB2312" w:cs="Times New Roman"/>
          <w:color w:val="auto"/>
          <w:sz w:val="32"/>
          <w:szCs w:val="32"/>
          <w:highlight w:val="none"/>
          <w:shd w:val="clear" w:color="auto" w:fill="FFFFFF"/>
        </w:rPr>
        <w:t>引进</w:t>
      </w:r>
      <w:r>
        <w:rPr>
          <w:rFonts w:hint="default" w:ascii="Times New Roman" w:hAnsi="Times New Roman" w:eastAsia="仿宋_GB2312" w:cs="Times New Roman"/>
          <w:color w:val="auto"/>
          <w:sz w:val="32"/>
          <w:szCs w:val="32"/>
          <w:highlight w:val="none"/>
          <w:shd w:val="clear" w:color="auto" w:fill="FFFFFF"/>
          <w:lang w:val="en-US" w:eastAsia="zh-CN"/>
        </w:rPr>
        <w:t>南非肉用美利奴羊</w:t>
      </w:r>
      <w:r>
        <w:rPr>
          <w:rFonts w:hint="default" w:ascii="Times New Roman" w:hAnsi="Times New Roman" w:eastAsia="仿宋_GB2312" w:cs="Times New Roman"/>
          <w:color w:val="auto"/>
          <w:sz w:val="32"/>
          <w:szCs w:val="32"/>
          <w:highlight w:val="none"/>
          <w:shd w:val="clear" w:color="auto" w:fill="FFFFFF"/>
        </w:rPr>
        <w:t>品种</w:t>
      </w:r>
      <w:r>
        <w:rPr>
          <w:rFonts w:hint="default" w:ascii="Times New Roman" w:hAnsi="Times New Roman" w:eastAsia="仿宋_GB2312" w:cs="Times New Roman"/>
          <w:color w:val="auto"/>
          <w:sz w:val="32"/>
          <w:szCs w:val="32"/>
          <w:highlight w:val="none"/>
          <w:shd w:val="clear" w:color="auto" w:fill="FFFFFF"/>
          <w:lang w:eastAsia="zh-CN"/>
        </w:rPr>
        <w:t>，</w:t>
      </w:r>
      <w:r>
        <w:rPr>
          <w:rFonts w:hint="default" w:ascii="Times New Roman" w:hAnsi="Times New Roman" w:eastAsia="仿宋_GB2312" w:cs="Times New Roman"/>
          <w:color w:val="auto"/>
          <w:sz w:val="32"/>
          <w:szCs w:val="32"/>
          <w:highlight w:val="none"/>
          <w:shd w:val="clear" w:color="auto" w:fill="FFFFFF"/>
          <w:lang w:val="en-US" w:eastAsia="zh-CN"/>
        </w:rPr>
        <w:t>加快肉毛兼用羊产业发展，</w:t>
      </w:r>
      <w:r>
        <w:rPr>
          <w:rFonts w:hint="default" w:ascii="Times New Roman" w:hAnsi="Times New Roman" w:eastAsia="仿宋_GB2312" w:cs="Times New Roman"/>
          <w:color w:val="auto"/>
          <w:sz w:val="32"/>
          <w:szCs w:val="32"/>
          <w:highlight w:val="none"/>
          <w:shd w:val="clear" w:color="auto" w:fill="FFFFFF"/>
        </w:rPr>
        <w:t>紧紧围绕种业振兴重点任务，聚焦育种条件平台建设、育种创新技术研发</w:t>
      </w:r>
      <w:r>
        <w:rPr>
          <w:rFonts w:hint="default" w:ascii="Times New Roman" w:hAnsi="Times New Roman" w:eastAsia="仿宋_GB2312" w:cs="Times New Roman"/>
          <w:color w:val="auto"/>
          <w:sz w:val="32"/>
          <w:szCs w:val="32"/>
          <w:highlight w:val="none"/>
          <w:shd w:val="clear" w:color="auto" w:fill="FFFFFF"/>
          <w:lang w:eastAsia="zh-CN"/>
        </w:rPr>
        <w:t>。</w:t>
      </w:r>
      <w:r>
        <w:rPr>
          <w:rFonts w:hint="default" w:ascii="Times New Roman" w:hAnsi="Times New Roman" w:eastAsia="仿宋_GB2312" w:cs="Times New Roman"/>
          <w:color w:val="auto"/>
          <w:sz w:val="32"/>
          <w:szCs w:val="32"/>
          <w:highlight w:val="none"/>
          <w:shd w:val="clear" w:color="auto" w:fill="FFFFFF"/>
        </w:rPr>
        <w:t>完善以国家核心育种场和自治区核心育种场为主体的良种繁育体系，</w:t>
      </w:r>
      <w:r>
        <w:rPr>
          <w:rFonts w:hint="default" w:ascii="Times New Roman" w:hAnsi="Times New Roman" w:eastAsia="仿宋_GB2312" w:cs="Times New Roman"/>
          <w:color w:val="auto"/>
          <w:sz w:val="32"/>
          <w:szCs w:val="32"/>
          <w:highlight w:val="none"/>
        </w:rPr>
        <w:t>建立</w:t>
      </w:r>
      <w:r>
        <w:rPr>
          <w:rFonts w:hint="default" w:ascii="Times New Roman" w:hAnsi="Times New Roman" w:eastAsia="仿宋_GB2312" w:cs="Times New Roman"/>
          <w:color w:val="auto"/>
          <w:sz w:val="32"/>
          <w:szCs w:val="32"/>
          <w:highlight w:val="none"/>
          <w:lang w:val="en-US" w:eastAsia="zh-CN"/>
        </w:rPr>
        <w:t>绒毛用羊新</w:t>
      </w:r>
      <w:r>
        <w:rPr>
          <w:rFonts w:hint="default" w:ascii="Times New Roman" w:hAnsi="Times New Roman" w:eastAsia="仿宋_GB2312" w:cs="Times New Roman"/>
          <w:color w:val="auto"/>
          <w:sz w:val="32"/>
          <w:szCs w:val="32"/>
          <w:highlight w:val="none"/>
        </w:rPr>
        <w:t>品种育种技术体系、良繁体系，研发并对现有技术进行组装配套，形成适应</w:t>
      </w:r>
      <w:r>
        <w:rPr>
          <w:rFonts w:hint="default" w:ascii="Times New Roman" w:hAnsi="Times New Roman" w:eastAsia="仿宋_GB2312" w:cs="Times New Roman"/>
          <w:color w:val="auto"/>
          <w:sz w:val="32"/>
          <w:szCs w:val="32"/>
          <w:highlight w:val="none"/>
          <w:lang w:val="en-US" w:eastAsia="zh-CN"/>
        </w:rPr>
        <w:t>绒毛用羊</w:t>
      </w:r>
      <w:r>
        <w:rPr>
          <w:rFonts w:hint="default" w:ascii="Times New Roman" w:hAnsi="Times New Roman" w:eastAsia="仿宋_GB2312" w:cs="Times New Roman"/>
          <w:color w:val="auto"/>
          <w:sz w:val="32"/>
          <w:szCs w:val="32"/>
          <w:highlight w:val="none"/>
        </w:rPr>
        <w:t>品种配套生产技术体系，引导并推动产</w:t>
      </w:r>
      <w:r>
        <w:rPr>
          <w:rFonts w:hint="eastAsia" w:ascii="Times New Roman" w:hAnsi="Times New Roman" w:eastAsia="仿宋_GB2312" w:cs="Times New Roman"/>
          <w:color w:val="auto"/>
          <w:sz w:val="32"/>
          <w:szCs w:val="32"/>
          <w:highlight w:val="none"/>
          <w:lang w:eastAsia="zh-CN"/>
        </w:rPr>
        <w:t>业</w:t>
      </w:r>
      <w:r>
        <w:rPr>
          <w:rFonts w:hint="default" w:ascii="Times New Roman" w:hAnsi="Times New Roman" w:eastAsia="仿宋_GB2312" w:cs="Times New Roman"/>
          <w:color w:val="auto"/>
          <w:sz w:val="32"/>
          <w:szCs w:val="32"/>
          <w:highlight w:val="none"/>
        </w:rPr>
        <w:t>发展。</w:t>
      </w:r>
    </w:p>
    <w:p>
      <w:pPr>
        <w:keepNext w:val="0"/>
        <w:keepLines w:val="0"/>
        <w:pageBreakBefore w:val="0"/>
        <w:kinsoku/>
        <w:wordWrap/>
        <w:overflowPunct/>
        <w:topLinePunct w:val="0"/>
        <w:autoSpaceDE/>
        <w:autoSpaceDN/>
        <w:bidi w:val="0"/>
        <w:adjustRightInd/>
        <w:snapToGrid/>
        <w:spacing w:line="560" w:lineRule="exact"/>
        <w:ind w:left="0" w:leftChars="0" w:firstLine="640" w:firstLineChars="200"/>
        <w:jc w:val="both"/>
        <w:textAlignment w:val="auto"/>
        <w:rPr>
          <w:rFonts w:hint="default" w:ascii="仿宋_GB2312" w:hAnsi="仿宋_GB2312" w:eastAsia="仿宋_GB2312" w:cs="仿宋_GB2312"/>
          <w:bCs/>
          <w:color w:val="auto"/>
          <w:sz w:val="32"/>
          <w:szCs w:val="32"/>
          <w:highlight w:val="none"/>
          <w:lang w:val="en-US" w:eastAsia="zh-CN"/>
        </w:rPr>
      </w:pPr>
      <w:r>
        <w:rPr>
          <w:rFonts w:hint="eastAsia" w:eastAsia="仿宋_GB2312"/>
          <w:color w:val="auto"/>
          <w:sz w:val="32"/>
          <w:szCs w:val="32"/>
          <w:highlight w:val="none"/>
          <w:lang w:eastAsia="zh-CN"/>
        </w:rPr>
        <w:t>（</w:t>
      </w:r>
      <w:r>
        <w:rPr>
          <w:rFonts w:hint="eastAsia" w:eastAsia="仿宋_GB2312"/>
          <w:color w:val="auto"/>
          <w:sz w:val="32"/>
          <w:szCs w:val="32"/>
          <w:highlight w:val="none"/>
          <w:lang w:val="en-US" w:eastAsia="zh-CN"/>
        </w:rPr>
        <w:t>7</w:t>
      </w:r>
      <w:r>
        <w:rPr>
          <w:rFonts w:hint="eastAsia" w:eastAsia="仿宋_GB2312"/>
          <w:color w:val="auto"/>
          <w:sz w:val="32"/>
          <w:szCs w:val="32"/>
          <w:highlight w:val="none"/>
          <w:lang w:eastAsia="zh-CN"/>
        </w:rPr>
        <w:t>）</w:t>
      </w:r>
      <w:r>
        <w:rPr>
          <w:rFonts w:hint="eastAsia" w:eastAsia="仿宋_GB2312"/>
          <w:color w:val="auto"/>
          <w:sz w:val="32"/>
          <w:szCs w:val="32"/>
          <w:highlight w:val="none"/>
        </w:rPr>
        <w:t>畜产品质量安全监测项目</w:t>
      </w:r>
      <w:r>
        <w:rPr>
          <w:rFonts w:hint="eastAsia" w:eastAsia="仿宋_GB2312"/>
          <w:color w:val="auto"/>
          <w:sz w:val="32"/>
          <w:szCs w:val="32"/>
          <w:highlight w:val="none"/>
          <w:lang w:val="en-US" w:eastAsia="zh-CN"/>
        </w:rPr>
        <w:t>600</w:t>
      </w:r>
      <w:r>
        <w:rPr>
          <w:rFonts w:hint="eastAsia" w:eastAsia="仿宋_GB2312"/>
          <w:color w:val="auto"/>
          <w:sz w:val="32"/>
          <w:szCs w:val="32"/>
          <w:highlight w:val="none"/>
        </w:rPr>
        <w:t>万。</w:t>
      </w:r>
      <w:r>
        <w:rPr>
          <w:rFonts w:hint="eastAsia" w:ascii="仿宋_GB2312" w:hAnsi="仿宋_GB2312" w:eastAsia="仿宋_GB2312" w:cs="仿宋_GB2312"/>
          <w:bCs/>
          <w:color w:val="auto"/>
          <w:sz w:val="32"/>
          <w:szCs w:val="32"/>
          <w:highlight w:val="none"/>
        </w:rPr>
        <w:t>202</w:t>
      </w:r>
      <w:r>
        <w:rPr>
          <w:rFonts w:hint="eastAsia" w:ascii="仿宋_GB2312" w:hAnsi="仿宋_GB2312" w:eastAsia="仿宋_GB2312" w:cs="仿宋_GB2312"/>
          <w:bCs/>
          <w:color w:val="auto"/>
          <w:sz w:val="32"/>
          <w:szCs w:val="32"/>
          <w:highlight w:val="none"/>
          <w:lang w:val="en-US" w:eastAsia="zh-CN"/>
        </w:rPr>
        <w:t>2</w:t>
      </w:r>
      <w:r>
        <w:rPr>
          <w:rFonts w:hint="eastAsia" w:ascii="仿宋_GB2312" w:hAnsi="仿宋_GB2312" w:eastAsia="仿宋_GB2312" w:cs="仿宋_GB2312"/>
          <w:bCs/>
          <w:color w:val="auto"/>
          <w:sz w:val="32"/>
          <w:szCs w:val="32"/>
          <w:highlight w:val="none"/>
        </w:rPr>
        <w:t>年畜产品质量安全监测项目主要</w:t>
      </w:r>
      <w:r>
        <w:rPr>
          <w:rFonts w:hint="eastAsia" w:ascii="仿宋_GB2312" w:hAnsi="仿宋_GB2312" w:eastAsia="仿宋_GB2312" w:cs="仿宋_GB2312"/>
          <w:bCs/>
          <w:color w:val="auto"/>
          <w:sz w:val="32"/>
          <w:szCs w:val="32"/>
          <w:highlight w:val="none"/>
          <w:lang w:val="en-US" w:eastAsia="zh-CN"/>
        </w:rPr>
        <w:t>是对全区14个地（州、市）</w:t>
      </w:r>
      <w:r>
        <w:rPr>
          <w:rFonts w:hint="eastAsia" w:ascii="仿宋_GB2312" w:hAnsi="仿宋_GB2312" w:eastAsia="仿宋_GB2312" w:cs="仿宋_GB2312"/>
          <w:bCs/>
          <w:color w:val="auto"/>
          <w:sz w:val="32"/>
          <w:szCs w:val="32"/>
          <w:highlight w:val="none"/>
        </w:rPr>
        <w:t>牛羊肝脏、牛羊</w:t>
      </w:r>
      <w:r>
        <w:rPr>
          <w:rFonts w:hint="eastAsia" w:ascii="仿宋_GB2312" w:hAnsi="仿宋_GB2312" w:eastAsia="仿宋_GB2312" w:cs="仿宋_GB2312"/>
          <w:bCs/>
          <w:color w:val="auto"/>
          <w:sz w:val="32"/>
          <w:szCs w:val="32"/>
          <w:highlight w:val="none"/>
          <w:lang w:val="en-US" w:eastAsia="zh-CN"/>
        </w:rPr>
        <w:t>猪</w:t>
      </w:r>
      <w:r>
        <w:rPr>
          <w:rFonts w:hint="eastAsia" w:ascii="仿宋_GB2312" w:hAnsi="仿宋_GB2312" w:eastAsia="仿宋_GB2312" w:cs="仿宋_GB2312"/>
          <w:bCs/>
          <w:color w:val="auto"/>
          <w:sz w:val="32"/>
          <w:szCs w:val="32"/>
          <w:highlight w:val="none"/>
        </w:rPr>
        <w:t>禽肉、禽蛋、生鲜乳等</w:t>
      </w:r>
      <w:r>
        <w:rPr>
          <w:rFonts w:hint="eastAsia" w:ascii="仿宋_GB2312" w:hAnsi="仿宋_GB2312" w:eastAsia="仿宋_GB2312" w:cs="仿宋_GB2312"/>
          <w:bCs/>
          <w:color w:val="auto"/>
          <w:sz w:val="32"/>
          <w:szCs w:val="32"/>
          <w:highlight w:val="none"/>
          <w:lang w:val="en-US" w:eastAsia="zh-CN"/>
        </w:rPr>
        <w:t>主要畜产品</w:t>
      </w:r>
      <w:r>
        <w:rPr>
          <w:rFonts w:hint="eastAsia" w:ascii="仿宋_GB2312" w:hAnsi="仿宋_GB2312" w:eastAsia="仿宋_GB2312" w:cs="仿宋_GB2312"/>
          <w:bCs/>
          <w:color w:val="auto"/>
          <w:sz w:val="32"/>
          <w:szCs w:val="32"/>
          <w:highlight w:val="none"/>
        </w:rPr>
        <w:t>开展四环素类（金霉素、土霉素、四环素、强力霉素）、氟喹诺酮类（恩诺沙星、环丙沙星、沙拉沙星、达氟沙星、氧氟沙星、培氟沙星、诺氟沙星、洛美沙星）、抗病毒药物（金刚烷胺）、伊维菌素、阿维菌素</w:t>
      </w:r>
      <w:r>
        <w:rPr>
          <w:rFonts w:hint="eastAsia" w:ascii="仿宋_GB2312" w:hAnsi="仿宋_GB2312" w:eastAsia="仿宋_GB2312" w:cs="仿宋_GB2312"/>
          <w:bCs/>
          <w:color w:val="auto"/>
          <w:sz w:val="32"/>
          <w:szCs w:val="32"/>
          <w:highlight w:val="none"/>
          <w:lang w:eastAsia="zh-CN"/>
        </w:rPr>
        <w:t>、</w:t>
      </w:r>
      <w:r>
        <w:rPr>
          <w:rFonts w:hint="eastAsia" w:ascii="仿宋_GB2312" w:hAnsi="仿宋_GB2312" w:eastAsia="仿宋_GB2312" w:cs="仿宋_GB2312"/>
          <w:bCs/>
          <w:color w:val="auto"/>
          <w:sz w:val="32"/>
          <w:szCs w:val="32"/>
          <w:highlight w:val="none"/>
        </w:rPr>
        <w:t>“瘦肉精”(克仑特罗、莱克多巴胺、沙丁胺醇)等</w:t>
      </w:r>
      <w:r>
        <w:rPr>
          <w:rFonts w:hint="eastAsia" w:ascii="仿宋_GB2312" w:hAnsi="仿宋_GB2312" w:eastAsia="仿宋_GB2312" w:cs="仿宋_GB2312"/>
          <w:bCs/>
          <w:color w:val="auto"/>
          <w:sz w:val="32"/>
          <w:szCs w:val="32"/>
          <w:highlight w:val="none"/>
          <w:lang w:val="en-US" w:eastAsia="zh-CN"/>
        </w:rPr>
        <w:t>药物，</w:t>
      </w:r>
      <w:r>
        <w:rPr>
          <w:rFonts w:hint="eastAsia" w:ascii="仿宋_GB2312" w:hAnsi="仿宋_GB2312" w:eastAsia="仿宋_GB2312" w:cs="仿宋_GB2312"/>
          <w:bCs/>
          <w:color w:val="auto"/>
          <w:sz w:val="32"/>
          <w:szCs w:val="32"/>
          <w:highlight w:val="none"/>
        </w:rPr>
        <w:t>完成</w:t>
      </w:r>
      <w:r>
        <w:rPr>
          <w:rFonts w:hint="eastAsia" w:ascii="仿宋_GB2312" w:hAnsi="仿宋_GB2312" w:eastAsia="仿宋_GB2312" w:cs="仿宋_GB2312"/>
          <w:bCs/>
          <w:color w:val="auto"/>
          <w:sz w:val="32"/>
          <w:szCs w:val="32"/>
          <w:highlight w:val="none"/>
          <w:lang w:val="en-US" w:eastAsia="zh-CN"/>
        </w:rPr>
        <w:t>3000批次</w:t>
      </w:r>
      <w:r>
        <w:rPr>
          <w:rFonts w:hint="eastAsia" w:ascii="仿宋_GB2312" w:hAnsi="仿宋_GB2312" w:eastAsia="仿宋_GB2312" w:cs="仿宋_GB2312"/>
          <w:bCs/>
          <w:color w:val="auto"/>
          <w:sz w:val="32"/>
          <w:szCs w:val="32"/>
          <w:highlight w:val="none"/>
        </w:rPr>
        <w:t>畜产品质量安全定量监测</w:t>
      </w:r>
      <w:r>
        <w:rPr>
          <w:rFonts w:hint="eastAsia" w:ascii="仿宋_GB2312" w:hAnsi="仿宋_GB2312" w:eastAsia="仿宋_GB2312" w:cs="仿宋_GB2312"/>
          <w:bCs/>
          <w:color w:val="auto"/>
          <w:sz w:val="32"/>
          <w:szCs w:val="32"/>
          <w:highlight w:val="none"/>
          <w:lang w:eastAsia="zh-CN"/>
        </w:rPr>
        <w:t>和</w:t>
      </w:r>
      <w:r>
        <w:rPr>
          <w:rFonts w:hint="eastAsia" w:ascii="仿宋_GB2312" w:hAnsi="仿宋_GB2312" w:eastAsia="仿宋_GB2312" w:cs="仿宋_GB2312"/>
          <w:bCs/>
          <w:color w:val="auto"/>
          <w:sz w:val="32"/>
          <w:szCs w:val="32"/>
          <w:highlight w:val="none"/>
          <w:lang w:val="en-US" w:eastAsia="zh-CN"/>
        </w:rPr>
        <w:t>1000批次快速监测</w:t>
      </w:r>
      <w:r>
        <w:rPr>
          <w:rFonts w:hint="eastAsia" w:ascii="仿宋_GB2312" w:hAnsi="仿宋_GB2312" w:eastAsia="仿宋_GB2312" w:cs="仿宋_GB2312"/>
          <w:bCs/>
          <w:color w:val="auto"/>
          <w:sz w:val="32"/>
          <w:szCs w:val="32"/>
          <w:highlight w:val="none"/>
        </w:rPr>
        <w:t>。完成</w:t>
      </w:r>
      <w:r>
        <w:rPr>
          <w:rFonts w:hint="eastAsia" w:ascii="仿宋_GB2312" w:hAnsi="仿宋_GB2312" w:eastAsia="仿宋_GB2312" w:cs="仿宋_GB2312"/>
          <w:bCs/>
          <w:color w:val="auto"/>
          <w:sz w:val="32"/>
          <w:szCs w:val="32"/>
          <w:highlight w:val="none"/>
          <w:lang w:val="en-US" w:eastAsia="zh-CN"/>
        </w:rPr>
        <w:t>14</w:t>
      </w:r>
      <w:r>
        <w:rPr>
          <w:rFonts w:hint="eastAsia" w:ascii="仿宋_GB2312" w:hAnsi="仿宋_GB2312" w:eastAsia="仿宋_GB2312" w:cs="仿宋_GB2312"/>
          <w:bCs/>
          <w:color w:val="auto"/>
          <w:sz w:val="32"/>
          <w:szCs w:val="32"/>
          <w:highlight w:val="none"/>
        </w:rPr>
        <w:t>个地州</w:t>
      </w:r>
      <w:r>
        <w:rPr>
          <w:rFonts w:hint="eastAsia" w:ascii="仿宋_GB2312" w:hAnsi="仿宋_GB2312" w:eastAsia="仿宋_GB2312" w:cs="仿宋_GB2312"/>
          <w:bCs/>
          <w:color w:val="auto"/>
          <w:sz w:val="32"/>
          <w:szCs w:val="32"/>
          <w:highlight w:val="none"/>
          <w:lang w:val="en-US" w:eastAsia="zh-CN"/>
        </w:rPr>
        <w:t>262批次屠宰环节</w:t>
      </w:r>
      <w:r>
        <w:rPr>
          <w:rFonts w:hint="default" w:ascii="仿宋_GB2312" w:hAnsi="仿宋_GB2312" w:eastAsia="仿宋_GB2312" w:cs="仿宋_GB2312"/>
          <w:bCs/>
          <w:color w:val="auto"/>
          <w:sz w:val="32"/>
          <w:szCs w:val="32"/>
          <w:highlight w:val="none"/>
        </w:rPr>
        <w:t>肉品水分含量监测</w:t>
      </w:r>
      <w:r>
        <w:rPr>
          <w:rFonts w:hint="eastAsia" w:ascii="仿宋_GB2312" w:hAnsi="仿宋_GB2312" w:eastAsia="仿宋_GB2312" w:cs="仿宋_GB2312"/>
          <w:bCs/>
          <w:color w:val="auto"/>
          <w:sz w:val="32"/>
          <w:szCs w:val="32"/>
          <w:highlight w:val="none"/>
          <w:lang w:eastAsia="zh-CN"/>
        </w:rPr>
        <w:t>（</w:t>
      </w:r>
      <w:r>
        <w:rPr>
          <w:rFonts w:hint="eastAsia" w:ascii="仿宋_GB2312" w:hAnsi="仿宋_GB2312" w:eastAsia="仿宋_GB2312" w:cs="仿宋_GB2312"/>
          <w:bCs/>
          <w:color w:val="auto"/>
          <w:sz w:val="32"/>
          <w:szCs w:val="32"/>
          <w:highlight w:val="none"/>
          <w:lang w:val="en-US" w:eastAsia="zh-CN"/>
        </w:rPr>
        <w:t>资金未在年初预算内）</w:t>
      </w:r>
      <w:r>
        <w:rPr>
          <w:rFonts w:hint="eastAsia" w:ascii="仿宋_GB2312" w:hAnsi="仿宋_GB2312" w:eastAsia="仿宋_GB2312" w:cs="仿宋_GB2312"/>
          <w:bCs/>
          <w:color w:val="auto"/>
          <w:sz w:val="32"/>
          <w:szCs w:val="32"/>
          <w:highlight w:val="none"/>
        </w:rPr>
        <w:t>。完成</w:t>
      </w:r>
      <w:r>
        <w:rPr>
          <w:rFonts w:hint="eastAsia" w:ascii="仿宋_GB2312" w:hAnsi="仿宋_GB2312" w:eastAsia="仿宋_GB2312" w:cs="仿宋_GB2312"/>
          <w:bCs/>
          <w:color w:val="auto"/>
          <w:sz w:val="32"/>
          <w:szCs w:val="32"/>
          <w:highlight w:val="none"/>
          <w:lang w:val="en-US" w:eastAsia="zh-CN"/>
        </w:rPr>
        <w:t>70批次屠宰环节猪肝样品</w:t>
      </w:r>
      <w:r>
        <w:rPr>
          <w:rFonts w:hint="default" w:ascii="仿宋_GB2312" w:hAnsi="仿宋_GB2312" w:eastAsia="仿宋_GB2312" w:cs="仿宋_GB2312"/>
          <w:bCs/>
          <w:color w:val="auto"/>
          <w:sz w:val="32"/>
          <w:szCs w:val="32"/>
          <w:highlight w:val="none"/>
        </w:rPr>
        <w:t>监测</w:t>
      </w:r>
      <w:r>
        <w:rPr>
          <w:rFonts w:hint="eastAsia" w:ascii="仿宋_GB2312" w:hAnsi="仿宋_GB2312" w:eastAsia="仿宋_GB2312" w:cs="仿宋_GB2312"/>
          <w:bCs/>
          <w:color w:val="auto"/>
          <w:sz w:val="32"/>
          <w:szCs w:val="32"/>
          <w:highlight w:val="none"/>
          <w:lang w:eastAsia="zh-CN"/>
        </w:rPr>
        <w:t>（</w:t>
      </w:r>
      <w:r>
        <w:rPr>
          <w:rFonts w:hint="eastAsia" w:ascii="仿宋_GB2312" w:hAnsi="仿宋_GB2312" w:eastAsia="仿宋_GB2312" w:cs="仿宋_GB2312"/>
          <w:bCs/>
          <w:color w:val="auto"/>
          <w:sz w:val="32"/>
          <w:szCs w:val="32"/>
          <w:highlight w:val="none"/>
          <w:lang w:val="en-US" w:eastAsia="zh-CN"/>
        </w:rPr>
        <w:t>资金未在年初预算内）</w:t>
      </w:r>
      <w:r>
        <w:rPr>
          <w:rFonts w:hint="eastAsia" w:ascii="仿宋_GB2312" w:hAnsi="仿宋_GB2312" w:eastAsia="仿宋_GB2312" w:cs="仿宋_GB2312"/>
          <w:bCs/>
          <w:color w:val="auto"/>
          <w:sz w:val="32"/>
          <w:szCs w:val="32"/>
          <w:highlight w:val="none"/>
        </w:rPr>
        <w:t>。</w:t>
      </w:r>
      <w:r>
        <w:rPr>
          <w:rStyle w:val="24"/>
          <w:rFonts w:hint="eastAsia" w:ascii="仿宋_GB2312" w:hAnsi="仿宋" w:eastAsia="仿宋_GB2312"/>
          <w:b w:val="0"/>
          <w:color w:val="auto"/>
          <w:spacing w:val="-4"/>
          <w:sz w:val="32"/>
          <w:szCs w:val="32"/>
          <w:highlight w:val="none"/>
          <w:lang w:val="en-US" w:eastAsia="zh-CN"/>
        </w:rPr>
        <w:t>本着简便、实用的原则，在充分考虑监管需求的同时，考虑养殖户、消费者需求，确保政府便于监管、养殖受益、百姓放心，稳步加快功能开发与完善，不断建设丰富“新疆畜牧兽医大数据平台”。</w:t>
      </w:r>
    </w:p>
    <w:p>
      <w:pPr>
        <w:pageBreakBefore w:val="0"/>
        <w:kinsoku/>
        <w:wordWrap/>
        <w:overflowPunct/>
        <w:topLinePunct w:val="0"/>
        <w:bidi w:val="0"/>
        <w:snapToGrid/>
        <w:spacing w:line="560" w:lineRule="exact"/>
        <w:ind w:firstLine="640" w:firstLineChars="200"/>
        <w:textAlignment w:val="auto"/>
        <w:rPr>
          <w:color w:val="auto"/>
          <w:highlight w:val="none"/>
        </w:rPr>
      </w:pPr>
      <w:r>
        <w:rPr>
          <w:rFonts w:eastAsia="仿宋_GB2312"/>
          <w:color w:val="auto"/>
          <w:sz w:val="32"/>
          <w:szCs w:val="32"/>
          <w:highlight w:val="none"/>
        </w:rPr>
        <w:t>项目实施情况：项目目前已经完成实际设立的目标，项目在实施过程中严格按照目标设立的各阶段任务进行开展工作，在前期立项过程中严格把质量关，建立安全防护机制，保证项目实施各阶段安全顺利进行。</w:t>
      </w:r>
    </w:p>
    <w:p>
      <w:pPr>
        <w:pageBreakBefore w:val="0"/>
        <w:kinsoku/>
        <w:wordWrap/>
        <w:overflowPunct/>
        <w:topLinePunct w:val="0"/>
        <w:bidi w:val="0"/>
        <w:snapToGrid/>
        <w:spacing w:line="560" w:lineRule="exact"/>
        <w:ind w:firstLine="640" w:firstLineChars="200"/>
        <w:textAlignment w:val="auto"/>
        <w:rPr>
          <w:rFonts w:eastAsia="仿宋_GB2312"/>
          <w:color w:val="auto"/>
          <w:sz w:val="32"/>
          <w:szCs w:val="32"/>
          <w:highlight w:val="none"/>
        </w:rPr>
      </w:pPr>
      <w:r>
        <w:rPr>
          <w:rFonts w:eastAsia="仿宋_GB2312"/>
          <w:color w:val="auto"/>
          <w:sz w:val="32"/>
          <w:szCs w:val="32"/>
          <w:highlight w:val="none"/>
        </w:rPr>
        <w:t>本项目总投资</w:t>
      </w:r>
      <w:r>
        <w:rPr>
          <w:rFonts w:hint="eastAsia" w:eastAsia="仿宋_GB2312"/>
          <w:color w:val="auto"/>
          <w:sz w:val="32"/>
          <w:szCs w:val="32"/>
          <w:highlight w:val="none"/>
          <w:lang w:val="en-US" w:eastAsia="zh-CN"/>
        </w:rPr>
        <w:t>10014</w:t>
      </w:r>
      <w:r>
        <w:rPr>
          <w:rFonts w:eastAsia="仿宋_GB2312"/>
          <w:color w:val="auto"/>
          <w:sz w:val="32"/>
          <w:szCs w:val="32"/>
          <w:highlight w:val="none"/>
        </w:rPr>
        <w:t>万元，其中：财政</w:t>
      </w:r>
      <w:r>
        <w:rPr>
          <w:rFonts w:hint="eastAsia" w:eastAsia="仿宋_GB2312"/>
          <w:color w:val="auto"/>
          <w:sz w:val="32"/>
          <w:szCs w:val="32"/>
          <w:highlight w:val="none"/>
        </w:rPr>
        <w:t>拨款</w:t>
      </w:r>
      <w:r>
        <w:rPr>
          <w:rFonts w:eastAsia="仿宋_GB2312"/>
          <w:color w:val="auto"/>
          <w:sz w:val="32"/>
          <w:szCs w:val="32"/>
          <w:highlight w:val="none"/>
        </w:rPr>
        <w:t>资金</w:t>
      </w:r>
      <w:r>
        <w:rPr>
          <w:rFonts w:hint="eastAsia" w:eastAsia="仿宋_GB2312"/>
          <w:color w:val="auto"/>
          <w:sz w:val="32"/>
          <w:szCs w:val="32"/>
          <w:highlight w:val="none"/>
          <w:lang w:val="en-US" w:eastAsia="zh-CN"/>
        </w:rPr>
        <w:t>10014</w:t>
      </w:r>
      <w:r>
        <w:rPr>
          <w:rFonts w:eastAsia="仿宋_GB2312"/>
          <w:color w:val="auto"/>
          <w:sz w:val="32"/>
          <w:szCs w:val="32"/>
          <w:highlight w:val="none"/>
        </w:rPr>
        <w:t>万元</w:t>
      </w:r>
      <w:r>
        <w:rPr>
          <w:rFonts w:hint="eastAsia" w:eastAsia="仿宋_GB2312"/>
          <w:color w:val="auto"/>
          <w:sz w:val="32"/>
          <w:szCs w:val="32"/>
          <w:highlight w:val="none"/>
        </w:rPr>
        <w:t>。</w:t>
      </w:r>
      <w:r>
        <w:rPr>
          <w:rFonts w:eastAsia="仿宋_GB2312"/>
          <w:color w:val="auto"/>
          <w:sz w:val="32"/>
          <w:szCs w:val="32"/>
          <w:highlight w:val="none"/>
        </w:rPr>
        <w:t>项目实际支出</w:t>
      </w:r>
      <w:r>
        <w:rPr>
          <w:rFonts w:hint="eastAsia" w:eastAsia="仿宋_GB2312"/>
          <w:color w:val="auto"/>
          <w:sz w:val="32"/>
          <w:szCs w:val="32"/>
          <w:highlight w:val="none"/>
        </w:rPr>
        <w:t>9631.74</w:t>
      </w:r>
      <w:r>
        <w:rPr>
          <w:rFonts w:eastAsia="仿宋_GB2312"/>
          <w:color w:val="auto"/>
          <w:sz w:val="32"/>
          <w:szCs w:val="32"/>
          <w:highlight w:val="none"/>
        </w:rPr>
        <w:t>万元，支出率为</w:t>
      </w:r>
      <w:r>
        <w:rPr>
          <w:rFonts w:hint="eastAsia" w:eastAsia="仿宋_GB2312"/>
          <w:color w:val="auto"/>
          <w:sz w:val="32"/>
          <w:szCs w:val="32"/>
          <w:highlight w:val="none"/>
          <w:lang w:val="en-US" w:eastAsia="zh-CN"/>
        </w:rPr>
        <w:t>96.18</w:t>
      </w:r>
      <w:r>
        <w:rPr>
          <w:rFonts w:eastAsia="仿宋_GB2312"/>
          <w:color w:val="auto"/>
          <w:sz w:val="32"/>
          <w:szCs w:val="32"/>
          <w:highlight w:val="none"/>
        </w:rPr>
        <w:t>%。</w:t>
      </w:r>
    </w:p>
    <w:p>
      <w:pPr>
        <w:pageBreakBefore w:val="0"/>
        <w:kinsoku/>
        <w:wordWrap/>
        <w:overflowPunct/>
        <w:topLinePunct w:val="0"/>
        <w:bidi w:val="0"/>
        <w:snapToGrid/>
        <w:spacing w:line="560" w:lineRule="exact"/>
        <w:ind w:firstLine="643" w:firstLineChars="200"/>
        <w:textAlignment w:val="auto"/>
        <w:rPr>
          <w:rFonts w:eastAsia="仿宋_GB2312"/>
          <w:b/>
          <w:bCs/>
          <w:color w:val="auto"/>
          <w:sz w:val="32"/>
          <w:szCs w:val="32"/>
          <w:highlight w:val="none"/>
        </w:rPr>
      </w:pPr>
      <w:r>
        <w:rPr>
          <w:rFonts w:eastAsia="仿宋_GB2312"/>
          <w:b/>
          <w:bCs/>
          <w:color w:val="auto"/>
          <w:sz w:val="32"/>
          <w:szCs w:val="32"/>
          <w:highlight w:val="none"/>
        </w:rPr>
        <w:t>3、资金投入和使用情况</w:t>
      </w:r>
    </w:p>
    <w:p>
      <w:pPr>
        <w:pageBreakBefore w:val="0"/>
        <w:kinsoku/>
        <w:wordWrap/>
        <w:overflowPunct/>
        <w:topLinePunct w:val="0"/>
        <w:bidi w:val="0"/>
        <w:snapToGrid/>
        <w:spacing w:line="560" w:lineRule="exact"/>
        <w:ind w:firstLine="640" w:firstLineChars="200"/>
        <w:textAlignment w:val="auto"/>
        <w:rPr>
          <w:rFonts w:eastAsia="仿宋_GB2312"/>
          <w:color w:val="auto"/>
          <w:sz w:val="20"/>
          <w:szCs w:val="20"/>
          <w:highlight w:val="none"/>
        </w:rPr>
      </w:pPr>
      <w:r>
        <w:rPr>
          <w:rFonts w:eastAsia="仿宋_GB2312"/>
          <w:color w:val="auto"/>
          <w:sz w:val="32"/>
          <w:szCs w:val="32"/>
          <w:highlight w:val="none"/>
        </w:rPr>
        <w:t>（1）资金安排</w:t>
      </w:r>
    </w:p>
    <w:p>
      <w:pPr>
        <w:pageBreakBefore w:val="0"/>
        <w:kinsoku/>
        <w:wordWrap/>
        <w:overflowPunct/>
        <w:topLinePunct w:val="0"/>
        <w:bidi w:val="0"/>
        <w:snapToGrid/>
        <w:spacing w:line="560" w:lineRule="exact"/>
        <w:ind w:firstLine="640" w:firstLineChars="200"/>
        <w:textAlignment w:val="auto"/>
        <w:rPr>
          <w:rFonts w:eastAsia="仿宋_GB2312"/>
          <w:color w:val="auto"/>
          <w:sz w:val="32"/>
          <w:szCs w:val="32"/>
          <w:highlight w:val="none"/>
        </w:rPr>
      </w:pPr>
      <w:r>
        <w:rPr>
          <w:rFonts w:eastAsia="仿宋_GB2312"/>
          <w:color w:val="auto"/>
          <w:sz w:val="32"/>
          <w:szCs w:val="32"/>
          <w:highlight w:val="none"/>
        </w:rPr>
        <w:t>项目总投资</w:t>
      </w:r>
      <w:r>
        <w:rPr>
          <w:rFonts w:hint="eastAsia" w:eastAsia="仿宋_GB2312"/>
          <w:color w:val="auto"/>
          <w:sz w:val="32"/>
          <w:szCs w:val="32"/>
          <w:highlight w:val="none"/>
          <w:lang w:val="en-US" w:eastAsia="zh-CN"/>
        </w:rPr>
        <w:t>10014</w:t>
      </w:r>
      <w:r>
        <w:rPr>
          <w:rFonts w:eastAsia="仿宋_GB2312"/>
          <w:color w:val="auto"/>
          <w:sz w:val="32"/>
          <w:szCs w:val="32"/>
          <w:highlight w:val="none"/>
        </w:rPr>
        <w:t>万元，按照单位财务制度等相关规定，资金支出符合</w:t>
      </w:r>
      <w:r>
        <w:rPr>
          <w:rFonts w:hint="eastAsia" w:eastAsia="仿宋_GB2312"/>
          <w:color w:val="auto"/>
          <w:sz w:val="32"/>
          <w:szCs w:val="32"/>
          <w:highlight w:val="none"/>
          <w:lang w:eastAsia="zh-CN"/>
        </w:rPr>
        <w:t>自治区畜牧业生产发展</w:t>
      </w:r>
      <w:r>
        <w:rPr>
          <w:rFonts w:eastAsia="仿宋_GB2312"/>
          <w:color w:val="auto"/>
          <w:sz w:val="32"/>
          <w:szCs w:val="32"/>
          <w:highlight w:val="none"/>
        </w:rPr>
        <w:t>专项资金费用范围，做到了专款专用。在项目资金拨付和使用过程中，为确保项目资金的安全性，提高项目资金使用效率，严格遵循</w:t>
      </w:r>
      <w:r>
        <w:rPr>
          <w:rFonts w:hint="eastAsia" w:eastAsia="仿宋_GB2312"/>
          <w:color w:val="auto"/>
          <w:sz w:val="32"/>
          <w:szCs w:val="32"/>
          <w:highlight w:val="none"/>
          <w:lang w:eastAsia="zh-CN"/>
        </w:rPr>
        <w:t>自治区畜牧业生产发展</w:t>
      </w:r>
      <w:r>
        <w:rPr>
          <w:rFonts w:eastAsia="仿宋_GB2312"/>
          <w:color w:val="auto"/>
          <w:sz w:val="32"/>
          <w:szCs w:val="32"/>
          <w:highlight w:val="none"/>
        </w:rPr>
        <w:t>资金的拨付程序，认真审核项目实施各阶段的相关材料和手续，根据项目实施进展情况拨付资金。</w:t>
      </w:r>
    </w:p>
    <w:p>
      <w:pPr>
        <w:pageBreakBefore w:val="0"/>
        <w:kinsoku/>
        <w:wordWrap/>
        <w:overflowPunct/>
        <w:topLinePunct w:val="0"/>
        <w:bidi w:val="0"/>
        <w:snapToGrid/>
        <w:spacing w:line="560" w:lineRule="exact"/>
        <w:ind w:firstLine="640" w:firstLineChars="200"/>
        <w:textAlignment w:val="auto"/>
        <w:rPr>
          <w:rFonts w:eastAsia="仿宋_GB2312"/>
          <w:color w:val="auto"/>
          <w:sz w:val="32"/>
          <w:szCs w:val="32"/>
          <w:highlight w:val="none"/>
        </w:rPr>
      </w:pPr>
      <w:r>
        <w:rPr>
          <w:rFonts w:eastAsia="仿宋_GB2312"/>
          <w:color w:val="auto"/>
          <w:sz w:val="32"/>
          <w:szCs w:val="32"/>
          <w:highlight w:val="none"/>
        </w:rPr>
        <w:t>（2）预算资金来源及使用情况</w:t>
      </w:r>
      <w:bookmarkStart w:id="0" w:name="page10"/>
      <w:bookmarkEnd w:id="0"/>
    </w:p>
    <w:p>
      <w:pPr>
        <w:pStyle w:val="19"/>
        <w:pageBreakBefore w:val="0"/>
        <w:kinsoku/>
        <w:wordWrap/>
        <w:overflowPunct/>
        <w:topLinePunct w:val="0"/>
        <w:bidi w:val="0"/>
        <w:snapToGrid/>
        <w:spacing w:before="0" w:after="0" w:line="560" w:lineRule="exact"/>
        <w:ind w:firstLine="640" w:firstLineChars="200"/>
        <w:jc w:val="both"/>
        <w:textAlignment w:val="auto"/>
        <w:rPr>
          <w:rFonts w:ascii="Times New Roman" w:hAnsi="Times New Roman" w:eastAsia="仿宋_GB2312"/>
          <w:b w:val="0"/>
          <w:bCs w:val="0"/>
          <w:color w:val="auto"/>
          <w:kern w:val="2"/>
          <w:highlight w:val="none"/>
        </w:rPr>
      </w:pPr>
      <w:r>
        <w:rPr>
          <w:rFonts w:ascii="Times New Roman" w:hAnsi="Times New Roman" w:eastAsia="仿宋_GB2312"/>
          <w:b w:val="0"/>
          <w:bCs w:val="0"/>
          <w:color w:val="auto"/>
          <w:kern w:val="2"/>
          <w:highlight w:val="none"/>
        </w:rPr>
        <w:t>项目预算资金来源于</w:t>
      </w:r>
      <w:r>
        <w:rPr>
          <w:rFonts w:hint="eastAsia" w:ascii="Times New Roman" w:hAnsi="Times New Roman" w:eastAsia="仿宋_GB2312"/>
          <w:b w:val="0"/>
          <w:bCs w:val="0"/>
          <w:color w:val="auto"/>
          <w:kern w:val="2"/>
          <w:highlight w:val="none"/>
          <w:lang w:eastAsia="zh-CN"/>
        </w:rPr>
        <w:t>当年财政拨款</w:t>
      </w:r>
      <w:r>
        <w:rPr>
          <w:rFonts w:ascii="Times New Roman" w:hAnsi="Times New Roman" w:eastAsia="仿宋_GB2312"/>
          <w:b w:val="0"/>
          <w:bCs w:val="0"/>
          <w:color w:val="auto"/>
          <w:kern w:val="2"/>
          <w:highlight w:val="none"/>
        </w:rPr>
        <w:t>，项目资金到位</w:t>
      </w:r>
      <w:r>
        <w:rPr>
          <w:rFonts w:hint="eastAsia" w:ascii="Times New Roman" w:hAnsi="Times New Roman" w:eastAsia="仿宋_GB2312"/>
          <w:b w:val="0"/>
          <w:bCs w:val="0"/>
          <w:color w:val="auto"/>
          <w:kern w:val="2"/>
          <w:highlight w:val="none"/>
          <w:lang w:val="en-US" w:eastAsia="zh-CN"/>
        </w:rPr>
        <w:t>10014</w:t>
      </w:r>
      <w:r>
        <w:rPr>
          <w:rFonts w:ascii="Times New Roman" w:hAnsi="Times New Roman" w:eastAsia="仿宋_GB2312"/>
          <w:b w:val="0"/>
          <w:bCs w:val="0"/>
          <w:color w:val="auto"/>
          <w:kern w:val="2"/>
          <w:highlight w:val="none"/>
        </w:rPr>
        <w:t>万元，</w:t>
      </w:r>
      <w:r>
        <w:rPr>
          <w:rFonts w:hint="eastAsia" w:ascii="Times New Roman" w:hAnsi="Times New Roman" w:eastAsia="仿宋_GB2312"/>
          <w:b w:val="0"/>
          <w:bCs w:val="0"/>
          <w:color w:val="auto"/>
          <w:kern w:val="2"/>
          <w:highlight w:val="none"/>
        </w:rPr>
        <w:t>全年执行9631.74万元，预算执行率为96.18%</w:t>
      </w:r>
      <w:r>
        <w:rPr>
          <w:rFonts w:ascii="Times New Roman" w:hAnsi="Times New Roman" w:eastAsia="仿宋_GB2312"/>
          <w:b w:val="0"/>
          <w:bCs w:val="0"/>
          <w:color w:val="auto"/>
          <w:kern w:val="2"/>
          <w:highlight w:val="none"/>
        </w:rPr>
        <w:t>,</w:t>
      </w:r>
      <w:r>
        <w:rPr>
          <w:rFonts w:hint="eastAsia" w:ascii="Times New Roman" w:hAnsi="Times New Roman" w:eastAsia="仿宋_GB2312"/>
          <w:b w:val="0"/>
          <w:bCs w:val="0"/>
          <w:color w:val="auto"/>
          <w:kern w:val="2"/>
          <w:highlight w:val="none"/>
        </w:rPr>
        <w:t>主要</w:t>
      </w:r>
      <w:r>
        <w:rPr>
          <w:rFonts w:ascii="Times New Roman" w:hAnsi="Times New Roman" w:eastAsia="仿宋_GB2312"/>
          <w:b w:val="0"/>
          <w:bCs w:val="0"/>
          <w:color w:val="auto"/>
          <w:kern w:val="2"/>
          <w:highlight w:val="none"/>
        </w:rPr>
        <w:t>用于支付项目实施进程中的各项费用。</w:t>
      </w:r>
    </w:p>
    <w:p>
      <w:pPr>
        <w:pageBreakBefore w:val="0"/>
        <w:kinsoku/>
        <w:wordWrap/>
        <w:overflowPunct/>
        <w:topLinePunct w:val="0"/>
        <w:bidi w:val="0"/>
        <w:snapToGrid/>
        <w:spacing w:line="560" w:lineRule="exact"/>
        <w:ind w:firstLine="643" w:firstLineChars="200"/>
        <w:textAlignment w:val="auto"/>
        <w:rPr>
          <w:rFonts w:eastAsia="楷体_GB2312"/>
          <w:b/>
          <w:bCs/>
          <w:color w:val="auto"/>
          <w:sz w:val="32"/>
          <w:szCs w:val="32"/>
          <w:highlight w:val="none"/>
        </w:rPr>
      </w:pPr>
      <w:r>
        <w:rPr>
          <w:rFonts w:eastAsia="楷体_GB2312"/>
          <w:b/>
          <w:bCs/>
          <w:color w:val="auto"/>
          <w:sz w:val="32"/>
          <w:szCs w:val="32"/>
          <w:highlight w:val="none"/>
        </w:rPr>
        <w:t>（二）项目绩效目标</w:t>
      </w:r>
    </w:p>
    <w:p>
      <w:pPr>
        <w:pageBreakBefore w:val="0"/>
        <w:shd w:val="clear"/>
        <w:kinsoku/>
        <w:wordWrap/>
        <w:overflowPunct/>
        <w:topLinePunct w:val="0"/>
        <w:bidi w:val="0"/>
        <w:snapToGrid/>
        <w:spacing w:line="560" w:lineRule="exact"/>
        <w:ind w:firstLine="640" w:firstLineChars="200"/>
        <w:textAlignment w:val="auto"/>
        <w:rPr>
          <w:rFonts w:eastAsia="仿宋_GB2312"/>
          <w:color w:val="auto"/>
          <w:sz w:val="32"/>
          <w:szCs w:val="32"/>
          <w:highlight w:val="none"/>
        </w:rPr>
      </w:pPr>
      <w:r>
        <w:rPr>
          <w:rFonts w:eastAsia="仿宋_GB2312"/>
          <w:color w:val="auto"/>
          <w:sz w:val="32"/>
          <w:szCs w:val="32"/>
          <w:highlight w:val="none"/>
        </w:rPr>
        <w:t>1、总体目标</w:t>
      </w:r>
    </w:p>
    <w:p>
      <w:pPr>
        <w:keepNext w:val="0"/>
        <w:keepLines w:val="0"/>
        <w:pageBreakBefore w:val="0"/>
        <w:kinsoku/>
        <w:wordWrap/>
        <w:overflowPunct/>
        <w:topLinePunct w:val="0"/>
        <w:autoSpaceDE/>
        <w:autoSpaceDN/>
        <w:bidi w:val="0"/>
        <w:snapToGrid/>
        <w:spacing w:line="560" w:lineRule="exact"/>
        <w:ind w:firstLine="640" w:firstLineChars="200"/>
        <w:textAlignment w:val="auto"/>
        <w:rPr>
          <w:rFonts w:hint="eastAsia" w:eastAsia="仿宋_GB2312"/>
          <w:color w:val="auto"/>
          <w:sz w:val="32"/>
          <w:szCs w:val="32"/>
          <w:highlight w:val="none"/>
          <w:lang w:eastAsia="zh-CN"/>
        </w:rPr>
      </w:pPr>
      <w:r>
        <w:rPr>
          <w:rFonts w:hint="eastAsia" w:eastAsia="仿宋_GB2312"/>
          <w:color w:val="auto"/>
          <w:sz w:val="32"/>
          <w:szCs w:val="32"/>
          <w:highlight w:val="none"/>
          <w:lang w:eastAsia="zh-CN"/>
        </w:rPr>
        <w:t>（</w:t>
      </w:r>
      <w:r>
        <w:rPr>
          <w:rFonts w:hint="eastAsia" w:eastAsia="仿宋_GB2312"/>
          <w:color w:val="auto"/>
          <w:sz w:val="32"/>
          <w:szCs w:val="32"/>
          <w:highlight w:val="none"/>
          <w:lang w:val="en-US" w:eastAsia="zh-CN"/>
        </w:rPr>
        <w:t>1</w:t>
      </w:r>
      <w:r>
        <w:rPr>
          <w:rFonts w:hint="eastAsia" w:eastAsia="仿宋_GB2312"/>
          <w:color w:val="auto"/>
          <w:sz w:val="32"/>
          <w:szCs w:val="32"/>
          <w:highlight w:val="none"/>
          <w:lang w:eastAsia="zh-CN"/>
        </w:rPr>
        <w:t>）</w:t>
      </w:r>
      <w:r>
        <w:rPr>
          <w:rFonts w:hint="default" w:ascii="Times New Roman" w:hAnsi="Times New Roman" w:eastAsia="仿宋_GB2312" w:cs="Times New Roman"/>
          <w:b w:val="0"/>
          <w:bCs w:val="0"/>
          <w:color w:val="auto"/>
          <w:kern w:val="0"/>
          <w:sz w:val="32"/>
          <w:szCs w:val="32"/>
          <w:highlight w:val="none"/>
          <w:lang w:val="en-US" w:eastAsia="zh-CN"/>
        </w:rPr>
        <w:t>通过项目支持</w:t>
      </w:r>
      <w:r>
        <w:rPr>
          <w:rFonts w:hint="eastAsia" w:ascii="Times New Roman" w:hAnsi="Times New Roman" w:eastAsia="仿宋_GB2312" w:cs="Times New Roman"/>
          <w:b w:val="0"/>
          <w:bCs w:val="0"/>
          <w:color w:val="auto"/>
          <w:kern w:val="0"/>
          <w:sz w:val="32"/>
          <w:szCs w:val="32"/>
          <w:highlight w:val="none"/>
          <w:lang w:val="en-US" w:eastAsia="zh-CN"/>
        </w:rPr>
        <w:t>，</w:t>
      </w:r>
      <w:r>
        <w:rPr>
          <w:rFonts w:hint="default" w:ascii="Times New Roman" w:hAnsi="Times New Roman" w:eastAsia="仿宋_GB2312" w:cs="Times New Roman"/>
          <w:b w:val="0"/>
          <w:bCs w:val="0"/>
          <w:color w:val="auto"/>
          <w:kern w:val="0"/>
          <w:sz w:val="32"/>
          <w:szCs w:val="32"/>
          <w:highlight w:val="none"/>
        </w:rPr>
        <w:t>年</w:t>
      </w:r>
      <w:r>
        <w:rPr>
          <w:rFonts w:hint="eastAsia" w:ascii="Times New Roman" w:hAnsi="Times New Roman" w:eastAsia="仿宋_GB2312" w:cs="Times New Roman"/>
          <w:b w:val="0"/>
          <w:bCs w:val="0"/>
          <w:color w:val="auto"/>
          <w:kern w:val="0"/>
          <w:sz w:val="32"/>
          <w:szCs w:val="32"/>
          <w:highlight w:val="none"/>
          <w:lang w:eastAsia="zh-CN"/>
        </w:rPr>
        <w:t>内</w:t>
      </w:r>
      <w:r>
        <w:rPr>
          <w:rFonts w:hint="default" w:ascii="Times New Roman" w:hAnsi="Times New Roman" w:eastAsia="仿宋_GB2312" w:cs="Times New Roman"/>
          <w:b w:val="0"/>
          <w:bCs w:val="0"/>
          <w:color w:val="auto"/>
          <w:kern w:val="0"/>
          <w:sz w:val="32"/>
          <w:szCs w:val="32"/>
          <w:highlight w:val="none"/>
        </w:rPr>
        <w:t>新增荷斯坦母牛存栏</w:t>
      </w:r>
      <w:r>
        <w:rPr>
          <w:rFonts w:hint="eastAsia" w:ascii="Times New Roman" w:hAnsi="Times New Roman" w:eastAsia="仿宋_GB2312" w:cs="Times New Roman"/>
          <w:b w:val="0"/>
          <w:bCs w:val="0"/>
          <w:color w:val="auto"/>
          <w:kern w:val="0"/>
          <w:sz w:val="32"/>
          <w:szCs w:val="32"/>
          <w:highlight w:val="none"/>
          <w:lang w:val="en-US" w:eastAsia="zh-CN"/>
        </w:rPr>
        <w:t>4200</w:t>
      </w:r>
      <w:r>
        <w:rPr>
          <w:rFonts w:hint="default" w:ascii="Times New Roman" w:hAnsi="Times New Roman" w:eastAsia="仿宋_GB2312" w:cs="Times New Roman"/>
          <w:b w:val="0"/>
          <w:bCs w:val="0"/>
          <w:color w:val="auto"/>
          <w:kern w:val="0"/>
          <w:sz w:val="32"/>
          <w:szCs w:val="32"/>
          <w:highlight w:val="none"/>
        </w:rPr>
        <w:t>头、新增奶产量</w:t>
      </w:r>
      <w:r>
        <w:rPr>
          <w:rFonts w:hint="eastAsia" w:ascii="Times New Roman" w:hAnsi="Times New Roman" w:eastAsia="仿宋_GB2312" w:cs="Times New Roman"/>
          <w:b w:val="0"/>
          <w:bCs w:val="0"/>
          <w:color w:val="auto"/>
          <w:kern w:val="0"/>
          <w:sz w:val="32"/>
          <w:szCs w:val="32"/>
          <w:highlight w:val="none"/>
          <w:lang w:val="en-US" w:eastAsia="zh-CN"/>
        </w:rPr>
        <w:t>1</w:t>
      </w:r>
      <w:r>
        <w:rPr>
          <w:rFonts w:hint="default" w:ascii="Times New Roman" w:hAnsi="Times New Roman" w:eastAsia="仿宋_GB2312" w:cs="Times New Roman"/>
          <w:b w:val="0"/>
          <w:bCs w:val="0"/>
          <w:color w:val="auto"/>
          <w:kern w:val="0"/>
          <w:sz w:val="32"/>
          <w:szCs w:val="32"/>
          <w:highlight w:val="none"/>
        </w:rPr>
        <w:t>万吨</w:t>
      </w:r>
      <w:r>
        <w:rPr>
          <w:rFonts w:hint="default" w:ascii="Times New Roman" w:hAnsi="Times New Roman" w:eastAsia="仿宋_GB2312" w:cs="Times New Roman"/>
          <w:color w:val="auto"/>
          <w:sz w:val="32"/>
          <w:szCs w:val="32"/>
          <w:highlight w:val="none"/>
          <w:lang w:val="en-US" w:eastAsia="zh-CN"/>
        </w:rPr>
        <w:t>。</w:t>
      </w:r>
      <w:r>
        <w:rPr>
          <w:rFonts w:hint="eastAsia" w:eastAsia="仿宋_GB2312"/>
          <w:color w:val="auto"/>
          <w:sz w:val="32"/>
          <w:szCs w:val="32"/>
          <w:highlight w:val="none"/>
          <w:lang w:eastAsia="zh-CN"/>
        </w:rPr>
        <w:t>（</w:t>
      </w:r>
      <w:r>
        <w:rPr>
          <w:rFonts w:hint="eastAsia" w:eastAsia="仿宋_GB2312"/>
          <w:color w:val="auto"/>
          <w:sz w:val="32"/>
          <w:szCs w:val="32"/>
          <w:highlight w:val="none"/>
          <w:lang w:val="en-US" w:eastAsia="zh-CN"/>
        </w:rPr>
        <w:t>2</w:t>
      </w:r>
      <w:r>
        <w:rPr>
          <w:rFonts w:hint="eastAsia" w:eastAsia="仿宋_GB2312"/>
          <w:color w:val="auto"/>
          <w:sz w:val="32"/>
          <w:szCs w:val="32"/>
          <w:highlight w:val="none"/>
          <w:lang w:eastAsia="zh-CN"/>
        </w:rPr>
        <w:t>）</w:t>
      </w:r>
      <w:r>
        <w:rPr>
          <w:rFonts w:hint="eastAsia" w:eastAsia="仿宋_GB2312"/>
          <w:color w:val="auto"/>
          <w:sz w:val="32"/>
          <w:szCs w:val="32"/>
          <w:highlight w:val="none"/>
        </w:rPr>
        <w:t>2022年建设不同优质饲草品种生产评比田4000亩，选择推荐适合全区种植的优质饲草品种10种以上；建设优质饲草高产栽培示范田10000亩，亩均单产提高5%以上。</w:t>
      </w:r>
      <w:r>
        <w:rPr>
          <w:rFonts w:hint="eastAsia" w:eastAsia="仿宋_GB2312"/>
          <w:color w:val="auto"/>
          <w:sz w:val="32"/>
          <w:szCs w:val="32"/>
          <w:highlight w:val="none"/>
          <w:lang w:eastAsia="zh-CN"/>
        </w:rPr>
        <w:t>（</w:t>
      </w:r>
      <w:r>
        <w:rPr>
          <w:rFonts w:hint="eastAsia" w:eastAsia="仿宋_GB2312"/>
          <w:color w:val="auto"/>
          <w:sz w:val="32"/>
          <w:szCs w:val="32"/>
          <w:highlight w:val="none"/>
          <w:lang w:val="en-US" w:eastAsia="zh-CN"/>
        </w:rPr>
        <w:t>3</w:t>
      </w:r>
      <w:r>
        <w:rPr>
          <w:rFonts w:hint="eastAsia" w:eastAsia="仿宋_GB2312"/>
          <w:color w:val="auto"/>
          <w:sz w:val="32"/>
          <w:szCs w:val="32"/>
          <w:highlight w:val="none"/>
          <w:lang w:eastAsia="zh-CN"/>
        </w:rPr>
        <w:t>）</w:t>
      </w:r>
      <w:r>
        <w:rPr>
          <w:rFonts w:hint="default" w:ascii="Times New Roman" w:hAnsi="Times New Roman" w:eastAsia="仿宋_GB2312" w:cs="Times New Roman"/>
          <w:color w:val="auto"/>
          <w:w w:val="100"/>
          <w:sz w:val="32"/>
          <w:szCs w:val="32"/>
          <w:highlight w:val="none"/>
          <w:lang w:val="en-US" w:eastAsia="zh-CN"/>
        </w:rPr>
        <w:t>优化肉牛（兼用牛）、肉羊产业布局，围绕肉牛（兼用牛）、肉羊</w:t>
      </w:r>
      <w:r>
        <w:rPr>
          <w:rFonts w:hint="eastAsia" w:ascii="Times New Roman" w:hAnsi="Times New Roman" w:eastAsia="仿宋_GB2312" w:cs="Times New Roman"/>
          <w:color w:val="auto"/>
          <w:w w:val="100"/>
          <w:sz w:val="32"/>
          <w:szCs w:val="32"/>
          <w:highlight w:val="none"/>
          <w:lang w:val="en-US" w:eastAsia="zh-CN"/>
        </w:rPr>
        <w:t>等</w:t>
      </w:r>
      <w:r>
        <w:rPr>
          <w:rFonts w:hint="default" w:ascii="Times New Roman" w:hAnsi="Times New Roman" w:eastAsia="仿宋_GB2312" w:cs="Times New Roman"/>
          <w:color w:val="auto"/>
          <w:w w:val="100"/>
          <w:sz w:val="32"/>
          <w:szCs w:val="32"/>
          <w:highlight w:val="none"/>
          <w:lang w:val="en-US" w:eastAsia="zh-CN"/>
        </w:rPr>
        <w:t>品种培育、良种繁育、群体改良主线，加快育种、繁殖、疫病防控、动物营养等技术组装配套应用，推进品种创新、</w:t>
      </w:r>
      <w:r>
        <w:rPr>
          <w:rFonts w:hint="eastAsia" w:ascii="Times New Roman" w:hAnsi="Times New Roman" w:eastAsia="仿宋_GB2312" w:cs="Times New Roman"/>
          <w:color w:val="auto"/>
          <w:w w:val="100"/>
          <w:sz w:val="32"/>
          <w:szCs w:val="32"/>
          <w:highlight w:val="none"/>
          <w:lang w:val="en-US" w:eastAsia="zh-CN"/>
        </w:rPr>
        <w:t>加快畜牧业实用技术集成推广，提升肉牛、肉羊、家禽、细毛羊产业发展科技支撑能力，使</w:t>
      </w:r>
      <w:r>
        <w:rPr>
          <w:rFonts w:hint="default" w:ascii="Times New Roman" w:hAnsi="Times New Roman" w:eastAsia="仿宋_GB2312" w:cs="Times New Roman"/>
          <w:color w:val="auto"/>
          <w:w w:val="100"/>
          <w:sz w:val="32"/>
          <w:szCs w:val="32"/>
          <w:highlight w:val="none"/>
          <w:lang w:val="en-US" w:eastAsia="en-US"/>
        </w:rPr>
        <w:t>肉类增长比例</w:t>
      </w:r>
      <w:r>
        <w:rPr>
          <w:rFonts w:hint="eastAsia" w:ascii="Times New Roman" w:hAnsi="Times New Roman" w:eastAsia="仿宋_GB2312" w:cs="Times New Roman"/>
          <w:color w:val="auto"/>
          <w:w w:val="100"/>
          <w:sz w:val="32"/>
          <w:szCs w:val="32"/>
          <w:highlight w:val="none"/>
          <w:lang w:val="en-US" w:eastAsia="zh-CN"/>
        </w:rPr>
        <w:t>达到</w:t>
      </w:r>
      <w:r>
        <w:rPr>
          <w:rFonts w:hint="default" w:ascii="Times New Roman" w:hAnsi="Times New Roman" w:eastAsia="仿宋_GB2312" w:cs="Times New Roman"/>
          <w:color w:val="auto"/>
          <w:w w:val="100"/>
          <w:sz w:val="32"/>
          <w:szCs w:val="32"/>
          <w:highlight w:val="none"/>
          <w:lang w:val="en-US" w:eastAsia="zh-CN"/>
        </w:rPr>
        <w:t>5</w:t>
      </w:r>
      <w:r>
        <w:rPr>
          <w:rFonts w:hint="default" w:ascii="Times New Roman" w:hAnsi="Times New Roman" w:eastAsia="仿宋_GB2312" w:cs="Times New Roman"/>
          <w:color w:val="auto"/>
          <w:w w:val="100"/>
          <w:sz w:val="32"/>
          <w:szCs w:val="32"/>
          <w:highlight w:val="none"/>
          <w:lang w:val="en-US" w:eastAsia="en-US"/>
        </w:rPr>
        <w:t>%</w:t>
      </w:r>
      <w:r>
        <w:rPr>
          <w:rFonts w:hint="eastAsia" w:ascii="Times New Roman" w:hAnsi="Times New Roman" w:eastAsia="仿宋_GB2312" w:cs="Times New Roman"/>
          <w:color w:val="auto"/>
          <w:w w:val="100"/>
          <w:sz w:val="32"/>
          <w:szCs w:val="32"/>
          <w:highlight w:val="none"/>
          <w:lang w:val="en-US" w:eastAsia="zh-CN"/>
        </w:rPr>
        <w:t>以上，</w:t>
      </w:r>
      <w:r>
        <w:rPr>
          <w:rFonts w:hint="default" w:ascii="Times New Roman" w:hAnsi="Times New Roman" w:eastAsia="仿宋_GB2312" w:cs="Times New Roman"/>
          <w:color w:val="auto"/>
          <w:w w:val="100"/>
          <w:sz w:val="32"/>
          <w:szCs w:val="32"/>
          <w:highlight w:val="none"/>
          <w:lang w:val="en-US" w:eastAsia="zh-CN"/>
        </w:rPr>
        <w:t>完成畜禽遗传资源性能测定数</w:t>
      </w:r>
      <w:r>
        <w:rPr>
          <w:rFonts w:hint="eastAsia" w:ascii="Times New Roman" w:hAnsi="Times New Roman" w:eastAsia="仿宋_GB2312" w:cs="Times New Roman"/>
          <w:color w:val="auto"/>
          <w:w w:val="100"/>
          <w:sz w:val="32"/>
          <w:szCs w:val="32"/>
          <w:highlight w:val="none"/>
          <w:lang w:val="en-US" w:eastAsia="zh-CN"/>
        </w:rPr>
        <w:t>量</w:t>
      </w:r>
      <w:r>
        <w:rPr>
          <w:rFonts w:hint="default" w:ascii="Times New Roman" w:hAnsi="Times New Roman" w:eastAsia="仿宋_GB2312" w:cs="Times New Roman"/>
          <w:color w:val="auto"/>
          <w:w w:val="100"/>
          <w:sz w:val="32"/>
          <w:szCs w:val="32"/>
          <w:highlight w:val="none"/>
          <w:lang w:val="en-US" w:eastAsia="zh-CN"/>
        </w:rPr>
        <w:t>5个</w:t>
      </w:r>
      <w:r>
        <w:rPr>
          <w:rFonts w:hint="eastAsia" w:ascii="Times New Roman" w:hAnsi="Times New Roman" w:eastAsia="仿宋_GB2312" w:cs="Times New Roman"/>
          <w:color w:val="auto"/>
          <w:w w:val="100"/>
          <w:sz w:val="32"/>
          <w:szCs w:val="32"/>
          <w:highlight w:val="none"/>
          <w:lang w:val="en-US" w:eastAsia="zh-CN"/>
        </w:rPr>
        <w:t>以上</w:t>
      </w:r>
      <w:r>
        <w:rPr>
          <w:rFonts w:hint="default" w:ascii="Times New Roman" w:hAnsi="Times New Roman" w:eastAsia="仿宋_GB2312" w:cs="Times New Roman"/>
          <w:color w:val="auto"/>
          <w:w w:val="100"/>
          <w:sz w:val="32"/>
          <w:szCs w:val="32"/>
          <w:highlight w:val="none"/>
          <w:lang w:val="en-US" w:eastAsia="zh-CN"/>
        </w:rPr>
        <w:t>。</w:t>
      </w:r>
      <w:r>
        <w:rPr>
          <w:rFonts w:hint="eastAsia" w:ascii="仿宋_GB2312" w:hAnsi="仿宋_GB2312" w:eastAsia="仿宋_GB2312" w:cs="仿宋_GB2312"/>
          <w:bCs/>
          <w:color w:val="auto"/>
          <w:sz w:val="32"/>
          <w:szCs w:val="32"/>
          <w:highlight w:val="none"/>
          <w:lang w:eastAsia="zh-CN"/>
        </w:rPr>
        <w:t>（</w:t>
      </w:r>
      <w:r>
        <w:rPr>
          <w:rFonts w:hint="eastAsia" w:ascii="仿宋_GB2312" w:hAnsi="仿宋_GB2312" w:eastAsia="仿宋_GB2312" w:cs="仿宋_GB2312"/>
          <w:bCs/>
          <w:color w:val="auto"/>
          <w:sz w:val="32"/>
          <w:szCs w:val="32"/>
          <w:highlight w:val="none"/>
          <w:lang w:val="en-US" w:eastAsia="zh-CN"/>
        </w:rPr>
        <w:t>4</w:t>
      </w:r>
      <w:r>
        <w:rPr>
          <w:rFonts w:hint="eastAsia" w:ascii="仿宋_GB2312" w:hAnsi="仿宋_GB2312" w:eastAsia="仿宋_GB2312" w:cs="仿宋_GB2312"/>
          <w:bCs/>
          <w:color w:val="auto"/>
          <w:sz w:val="32"/>
          <w:szCs w:val="32"/>
          <w:highlight w:val="none"/>
          <w:lang w:eastAsia="zh-CN"/>
        </w:rPr>
        <w:t>）</w:t>
      </w:r>
      <w:r>
        <w:rPr>
          <w:rFonts w:hint="eastAsia" w:ascii="Times New Roman" w:hAnsi="Times New Roman" w:eastAsia="仿宋_GB2312"/>
          <w:color w:val="auto"/>
          <w:sz w:val="32"/>
          <w:szCs w:val="32"/>
          <w:highlight w:val="none"/>
        </w:rPr>
        <w:t>支持14个畜禽遗传资源保种场（保护区、基因库）及种群建设，对品种数据监测、遗传物质采集、配套生产性能测定、购置育种材料、完善育种生产设施设备等给与补贴，进一步提升区内保种场（保护区、基因库）资源保护能力。</w:t>
      </w:r>
      <w:r>
        <w:rPr>
          <w:rFonts w:hint="eastAsia" w:eastAsia="仿宋_GB2312"/>
          <w:color w:val="auto"/>
          <w:sz w:val="32"/>
          <w:szCs w:val="32"/>
          <w:highlight w:val="none"/>
          <w:lang w:eastAsia="zh-CN"/>
        </w:rPr>
        <w:t>（</w:t>
      </w:r>
      <w:r>
        <w:rPr>
          <w:rFonts w:hint="eastAsia" w:eastAsia="仿宋_GB2312"/>
          <w:color w:val="auto"/>
          <w:sz w:val="32"/>
          <w:szCs w:val="32"/>
          <w:highlight w:val="none"/>
          <w:lang w:val="en-US" w:eastAsia="zh-CN"/>
        </w:rPr>
        <w:t>5</w:t>
      </w:r>
      <w:r>
        <w:rPr>
          <w:rFonts w:hint="eastAsia" w:eastAsia="仿宋_GB2312"/>
          <w:color w:val="auto"/>
          <w:sz w:val="32"/>
          <w:szCs w:val="32"/>
          <w:highlight w:val="none"/>
          <w:lang w:eastAsia="zh-CN"/>
        </w:rPr>
        <w:t>）</w:t>
      </w:r>
      <w:r>
        <w:rPr>
          <w:rFonts w:hint="eastAsia" w:ascii="Times New Roman" w:hAnsi="Times New Roman" w:eastAsia="仿宋_GB2312" w:cs="Times New Roman"/>
          <w:b w:val="0"/>
          <w:bCs w:val="0"/>
          <w:color w:val="auto"/>
          <w:kern w:val="2"/>
          <w:sz w:val="32"/>
          <w:szCs w:val="32"/>
          <w:highlight w:val="none"/>
          <w:lang w:val="en-US" w:eastAsia="zh-CN" w:bidi="ar-SA"/>
        </w:rPr>
        <w:t>支持</w:t>
      </w:r>
      <w:r>
        <w:rPr>
          <w:rFonts w:hint="eastAsia" w:eastAsia="仿宋_GB2312" w:cs="Times New Roman"/>
          <w:b w:val="0"/>
          <w:bCs w:val="0"/>
          <w:color w:val="auto"/>
          <w:kern w:val="2"/>
          <w:sz w:val="32"/>
          <w:szCs w:val="32"/>
          <w:highlight w:val="none"/>
          <w:lang w:val="en-US" w:eastAsia="zh-CN" w:bidi="ar-SA"/>
        </w:rPr>
        <w:t>5</w:t>
      </w:r>
      <w:r>
        <w:rPr>
          <w:rFonts w:hint="eastAsia" w:ascii="Times New Roman" w:hAnsi="Times New Roman" w:eastAsia="仿宋_GB2312" w:cs="Times New Roman"/>
          <w:b w:val="0"/>
          <w:bCs w:val="0"/>
          <w:color w:val="auto"/>
          <w:kern w:val="2"/>
          <w:sz w:val="32"/>
          <w:szCs w:val="32"/>
          <w:highlight w:val="none"/>
          <w:lang w:val="en-US" w:eastAsia="zh-CN" w:bidi="ar-SA"/>
        </w:rPr>
        <w:t>家示范企业</w:t>
      </w:r>
      <w:r>
        <w:rPr>
          <w:rFonts w:hint="eastAsia" w:eastAsia="仿宋_GB2312" w:cs="Times New Roman"/>
          <w:b w:val="0"/>
          <w:bCs w:val="0"/>
          <w:color w:val="auto"/>
          <w:kern w:val="2"/>
          <w:sz w:val="32"/>
          <w:szCs w:val="32"/>
          <w:highlight w:val="none"/>
          <w:lang w:val="en-US" w:eastAsia="zh-CN" w:bidi="ar-SA"/>
        </w:rPr>
        <w:t>以上</w:t>
      </w:r>
      <w:r>
        <w:rPr>
          <w:rFonts w:hint="eastAsia" w:ascii="Times New Roman" w:hAnsi="Times New Roman" w:eastAsia="仿宋_GB2312" w:cs="Times New Roman"/>
          <w:b w:val="0"/>
          <w:bCs w:val="0"/>
          <w:color w:val="auto"/>
          <w:kern w:val="2"/>
          <w:sz w:val="32"/>
          <w:szCs w:val="32"/>
          <w:highlight w:val="none"/>
          <w:lang w:val="en-US" w:eastAsia="zh-CN" w:bidi="ar-SA"/>
        </w:rPr>
        <w:t>，培育肉用细毛羊高效养殖示范基地2个，产学研结合，企业产肉量增加3%以上、产毛量提高5%以上，累计增收1000万元以上</w:t>
      </w:r>
      <w:r>
        <w:rPr>
          <w:rFonts w:hint="eastAsia" w:eastAsia="仿宋_GB2312" w:cs="Times New Roman"/>
          <w:b w:val="0"/>
          <w:bCs w:val="0"/>
          <w:color w:val="auto"/>
          <w:kern w:val="2"/>
          <w:sz w:val="32"/>
          <w:szCs w:val="32"/>
          <w:highlight w:val="none"/>
          <w:lang w:val="en-US" w:eastAsia="zh-CN" w:bidi="ar-SA"/>
        </w:rPr>
        <w:t>。</w:t>
      </w:r>
      <w:r>
        <w:rPr>
          <w:rFonts w:hint="eastAsia" w:eastAsia="仿宋_GB2312"/>
          <w:color w:val="auto"/>
          <w:sz w:val="32"/>
          <w:szCs w:val="32"/>
          <w:highlight w:val="none"/>
          <w:lang w:eastAsia="zh-CN"/>
        </w:rPr>
        <w:t>（</w:t>
      </w:r>
      <w:r>
        <w:rPr>
          <w:rFonts w:hint="eastAsia" w:eastAsia="仿宋_GB2312"/>
          <w:color w:val="auto"/>
          <w:sz w:val="32"/>
          <w:szCs w:val="32"/>
          <w:highlight w:val="none"/>
          <w:lang w:val="en-US" w:eastAsia="zh-CN"/>
        </w:rPr>
        <w:t>6</w:t>
      </w:r>
      <w:r>
        <w:rPr>
          <w:rFonts w:hint="eastAsia" w:eastAsia="仿宋_GB2312"/>
          <w:color w:val="auto"/>
          <w:sz w:val="32"/>
          <w:szCs w:val="32"/>
          <w:highlight w:val="none"/>
          <w:lang w:eastAsia="zh-CN"/>
        </w:rPr>
        <w:t>）</w:t>
      </w:r>
      <w:r>
        <w:rPr>
          <w:rFonts w:hint="eastAsia" w:ascii="仿宋_GB2312" w:hAnsi="仿宋_GB2312" w:eastAsia="仿宋_GB2312" w:cs="仿宋_GB2312"/>
          <w:bCs/>
          <w:color w:val="auto"/>
          <w:sz w:val="32"/>
          <w:szCs w:val="32"/>
          <w:highlight w:val="none"/>
          <w:lang w:val="en-US" w:eastAsia="zh-CN"/>
        </w:rPr>
        <w:t>委托5家检测单位</w:t>
      </w:r>
      <w:r>
        <w:rPr>
          <w:rFonts w:hint="eastAsia" w:ascii="仿宋_GB2312" w:hAnsi="仿宋_GB2312" w:eastAsia="仿宋_GB2312" w:cs="仿宋_GB2312"/>
          <w:bCs/>
          <w:color w:val="auto"/>
          <w:sz w:val="32"/>
          <w:szCs w:val="32"/>
          <w:highlight w:val="none"/>
        </w:rPr>
        <w:t>开展202</w:t>
      </w:r>
      <w:r>
        <w:rPr>
          <w:rFonts w:hint="eastAsia" w:ascii="仿宋_GB2312" w:hAnsi="仿宋_GB2312" w:eastAsia="仿宋_GB2312" w:cs="仿宋_GB2312"/>
          <w:bCs/>
          <w:color w:val="auto"/>
          <w:sz w:val="32"/>
          <w:szCs w:val="32"/>
          <w:highlight w:val="none"/>
          <w:lang w:val="en-US" w:eastAsia="zh-CN"/>
        </w:rPr>
        <w:t>2</w:t>
      </w:r>
      <w:r>
        <w:rPr>
          <w:rFonts w:hint="eastAsia" w:ascii="仿宋_GB2312" w:hAnsi="仿宋_GB2312" w:eastAsia="仿宋_GB2312" w:cs="仿宋_GB2312"/>
          <w:bCs/>
          <w:color w:val="auto"/>
          <w:sz w:val="32"/>
          <w:szCs w:val="32"/>
          <w:highlight w:val="none"/>
        </w:rPr>
        <w:t>年全区14个地（州、市）</w:t>
      </w:r>
      <w:r>
        <w:rPr>
          <w:rFonts w:hint="eastAsia" w:ascii="仿宋_GB2312" w:hAnsi="仿宋_GB2312" w:eastAsia="仿宋_GB2312" w:cs="仿宋_GB2312"/>
          <w:bCs/>
          <w:color w:val="auto"/>
          <w:sz w:val="32"/>
          <w:szCs w:val="32"/>
          <w:highlight w:val="none"/>
          <w:lang w:val="en-US" w:eastAsia="zh-CN"/>
        </w:rPr>
        <w:t>3000批次的</w:t>
      </w:r>
      <w:r>
        <w:rPr>
          <w:rFonts w:hint="eastAsia" w:ascii="仿宋_GB2312" w:hAnsi="仿宋_GB2312" w:eastAsia="仿宋_GB2312" w:cs="仿宋_GB2312"/>
          <w:bCs/>
          <w:color w:val="auto"/>
          <w:sz w:val="32"/>
          <w:szCs w:val="32"/>
          <w:highlight w:val="none"/>
        </w:rPr>
        <w:t>畜产品质量安全</w:t>
      </w:r>
      <w:r>
        <w:rPr>
          <w:rFonts w:hint="eastAsia" w:ascii="仿宋_GB2312" w:hAnsi="仿宋_GB2312" w:eastAsia="仿宋_GB2312" w:cs="仿宋_GB2312"/>
          <w:bCs/>
          <w:color w:val="auto"/>
          <w:sz w:val="32"/>
          <w:szCs w:val="32"/>
          <w:highlight w:val="none"/>
          <w:lang w:eastAsia="zh-CN"/>
        </w:rPr>
        <w:t>定量</w:t>
      </w:r>
      <w:r>
        <w:rPr>
          <w:rFonts w:hint="eastAsia" w:ascii="仿宋_GB2312" w:hAnsi="仿宋_GB2312" w:eastAsia="仿宋_GB2312" w:cs="仿宋_GB2312"/>
          <w:bCs/>
          <w:color w:val="auto"/>
          <w:sz w:val="32"/>
          <w:szCs w:val="32"/>
          <w:highlight w:val="none"/>
        </w:rPr>
        <w:t>监测</w:t>
      </w:r>
      <w:r>
        <w:rPr>
          <w:rFonts w:hint="eastAsia" w:ascii="仿宋_GB2312" w:hAnsi="仿宋_GB2312" w:eastAsia="仿宋_GB2312" w:cs="仿宋_GB2312"/>
          <w:bCs/>
          <w:color w:val="auto"/>
          <w:sz w:val="32"/>
          <w:szCs w:val="32"/>
          <w:highlight w:val="none"/>
          <w:lang w:eastAsia="zh-CN"/>
        </w:rPr>
        <w:t>和</w:t>
      </w:r>
      <w:r>
        <w:rPr>
          <w:rFonts w:hint="eastAsia" w:ascii="仿宋_GB2312" w:hAnsi="仿宋_GB2312" w:eastAsia="仿宋_GB2312" w:cs="仿宋_GB2312"/>
          <w:bCs/>
          <w:color w:val="auto"/>
          <w:sz w:val="32"/>
          <w:szCs w:val="32"/>
          <w:highlight w:val="none"/>
          <w:lang w:val="en-US" w:eastAsia="zh-CN"/>
        </w:rPr>
        <w:t>1000批次的快速监测工作</w:t>
      </w:r>
      <w:r>
        <w:rPr>
          <w:rFonts w:hint="eastAsia" w:ascii="仿宋_GB2312" w:hAnsi="仿宋_GB2312" w:eastAsia="仿宋_GB2312" w:cs="仿宋_GB2312"/>
          <w:bCs/>
          <w:color w:val="auto"/>
          <w:sz w:val="32"/>
          <w:szCs w:val="32"/>
          <w:highlight w:val="none"/>
        </w:rPr>
        <w:t>。</w:t>
      </w:r>
    </w:p>
    <w:p>
      <w:pPr>
        <w:pageBreakBefore w:val="0"/>
        <w:kinsoku/>
        <w:wordWrap/>
        <w:overflowPunct/>
        <w:topLinePunct w:val="0"/>
        <w:bidi w:val="0"/>
        <w:snapToGrid/>
        <w:spacing w:line="560" w:lineRule="exact"/>
        <w:ind w:firstLine="640" w:firstLineChars="200"/>
        <w:textAlignment w:val="auto"/>
        <w:rPr>
          <w:color w:val="auto"/>
          <w:highlight w:val="none"/>
        </w:rPr>
      </w:pPr>
      <w:r>
        <w:rPr>
          <w:rFonts w:eastAsia="仿宋_GB2312"/>
          <w:color w:val="auto"/>
          <w:sz w:val="32"/>
          <w:szCs w:val="32"/>
          <w:highlight w:val="none"/>
        </w:rPr>
        <w:t>2、阶段性目标</w:t>
      </w:r>
    </w:p>
    <w:p>
      <w:pPr>
        <w:pageBreakBefore w:val="0"/>
        <w:kinsoku/>
        <w:wordWrap/>
        <w:overflowPunct/>
        <w:topLinePunct w:val="0"/>
        <w:bidi w:val="0"/>
        <w:snapToGrid/>
        <w:spacing w:line="560" w:lineRule="exact"/>
        <w:ind w:firstLine="640" w:firstLineChars="200"/>
        <w:textAlignment w:val="auto"/>
        <w:rPr>
          <w:rFonts w:eastAsia="仿宋_GB2312"/>
          <w:color w:val="auto"/>
          <w:sz w:val="32"/>
          <w:szCs w:val="32"/>
          <w:highlight w:val="none"/>
        </w:rPr>
      </w:pPr>
      <w:r>
        <w:rPr>
          <w:rFonts w:eastAsia="仿宋_GB2312"/>
          <w:color w:val="auto"/>
          <w:sz w:val="32"/>
          <w:szCs w:val="32"/>
          <w:highlight w:val="none"/>
        </w:rPr>
        <w:t>（1）前期准备：通过制定项目实施方案，经项目负责人审核通过后，有序开展后续工作。</w:t>
      </w:r>
      <w:r>
        <w:rPr>
          <w:rFonts w:hint="default" w:ascii="Times New Roman" w:hAnsi="Times New Roman" w:eastAsia="仿宋_GB2312" w:cs="Times New Roman"/>
          <w:color w:val="auto"/>
          <w:kern w:val="2"/>
          <w:sz w:val="32"/>
          <w:szCs w:val="32"/>
          <w:highlight w:val="none"/>
          <w:lang w:val="en-US" w:eastAsia="zh-CN" w:bidi="ar-SA"/>
        </w:rPr>
        <w:t>自治区畜牧兽医局印发《关于做好2022年自治区畜牧业生产发展等项目实施工作的通知》</w:t>
      </w:r>
      <w:r>
        <w:rPr>
          <w:rFonts w:hint="eastAsia"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kern w:val="2"/>
          <w:sz w:val="32"/>
          <w:szCs w:val="32"/>
          <w:highlight w:val="none"/>
          <w:lang w:val="en-US" w:eastAsia="zh-CN" w:bidi="ar-SA"/>
        </w:rPr>
        <w:t>各地（州、市）畜牧兽医行政主管部门</w:t>
      </w:r>
      <w:r>
        <w:rPr>
          <w:rFonts w:hint="default" w:ascii="Times New Roman" w:hAnsi="Times New Roman" w:eastAsia="仿宋_GB2312" w:cs="Times New Roman"/>
          <w:color w:val="auto"/>
          <w:sz w:val="32"/>
          <w:szCs w:val="32"/>
          <w:highlight w:val="none"/>
        </w:rPr>
        <w:t>应根据</w:t>
      </w:r>
      <w:r>
        <w:rPr>
          <w:rFonts w:hint="eastAsia" w:eastAsia="仿宋_GB2312" w:cs="Times New Roman"/>
          <w:color w:val="auto"/>
          <w:sz w:val="32"/>
          <w:szCs w:val="32"/>
          <w:highlight w:val="none"/>
          <w:lang w:eastAsia="zh-CN"/>
        </w:rPr>
        <w:t>通知</w:t>
      </w:r>
      <w:r>
        <w:rPr>
          <w:rFonts w:hint="default" w:ascii="Times New Roman" w:hAnsi="Times New Roman" w:eastAsia="仿宋_GB2312" w:cs="Times New Roman"/>
          <w:color w:val="auto"/>
          <w:sz w:val="32"/>
          <w:szCs w:val="32"/>
          <w:highlight w:val="none"/>
          <w:lang w:eastAsia="zh-CN"/>
        </w:rPr>
        <w:t>要求</w:t>
      </w:r>
      <w:r>
        <w:rPr>
          <w:rFonts w:hint="default" w:ascii="Times New Roman" w:hAnsi="Times New Roman" w:eastAsia="仿宋_GB2312" w:cs="Times New Roman"/>
          <w:color w:val="auto"/>
          <w:sz w:val="32"/>
          <w:szCs w:val="32"/>
          <w:highlight w:val="none"/>
        </w:rPr>
        <w:t>，编制</w:t>
      </w:r>
      <w:r>
        <w:rPr>
          <w:rFonts w:hint="default" w:ascii="Times New Roman" w:hAnsi="Times New Roman" w:eastAsia="仿宋_GB2312" w:cs="Times New Roman"/>
          <w:color w:val="auto"/>
          <w:kern w:val="2"/>
          <w:sz w:val="32"/>
          <w:szCs w:val="32"/>
          <w:highlight w:val="none"/>
          <w:lang w:val="en-US" w:eastAsia="zh-CN" w:bidi="ar-SA"/>
        </w:rPr>
        <w:t>各地（州、市）</w:t>
      </w:r>
      <w:r>
        <w:rPr>
          <w:rFonts w:hint="eastAsia" w:eastAsia="仿宋_GB2312" w:cs="Times New Roman"/>
          <w:color w:val="auto"/>
          <w:sz w:val="32"/>
          <w:szCs w:val="32"/>
          <w:highlight w:val="none"/>
          <w:lang w:eastAsia="zh-CN"/>
        </w:rPr>
        <w:t>项目实施方案</w:t>
      </w:r>
      <w:r>
        <w:rPr>
          <w:rFonts w:hint="default" w:ascii="Times New Roman" w:hAnsi="Times New Roman" w:eastAsia="仿宋_GB2312" w:cs="Times New Roman"/>
          <w:color w:val="auto"/>
          <w:sz w:val="32"/>
          <w:szCs w:val="32"/>
          <w:highlight w:val="none"/>
        </w:rPr>
        <w:t>，明确项目</w:t>
      </w:r>
      <w:r>
        <w:rPr>
          <w:rFonts w:hint="eastAsia" w:ascii="Times New Roman" w:hAnsi="Times New Roman" w:eastAsia="仿宋_GB2312" w:cs="Times New Roman"/>
          <w:color w:val="auto"/>
          <w:sz w:val="32"/>
          <w:szCs w:val="32"/>
          <w:highlight w:val="none"/>
          <w:lang w:eastAsia="zh-CN"/>
        </w:rPr>
        <w:t>建设</w:t>
      </w:r>
      <w:r>
        <w:rPr>
          <w:rFonts w:hint="default" w:ascii="Times New Roman" w:hAnsi="Times New Roman" w:eastAsia="仿宋_GB2312" w:cs="Times New Roman"/>
          <w:color w:val="auto"/>
          <w:sz w:val="32"/>
          <w:szCs w:val="32"/>
          <w:highlight w:val="none"/>
        </w:rPr>
        <w:t>内容、</w:t>
      </w:r>
      <w:r>
        <w:rPr>
          <w:rFonts w:hint="eastAsia" w:ascii="Times New Roman" w:hAnsi="Times New Roman" w:eastAsia="仿宋_GB2312" w:cs="Times New Roman"/>
          <w:color w:val="auto"/>
          <w:sz w:val="32"/>
          <w:szCs w:val="32"/>
          <w:highlight w:val="none"/>
          <w:lang w:eastAsia="zh-CN"/>
        </w:rPr>
        <w:t>具体措施、完成任务量、具体项目县市、实施主体及经费预算</w:t>
      </w:r>
      <w:r>
        <w:rPr>
          <w:rFonts w:hint="eastAsia" w:eastAsia="仿宋_GB2312" w:cs="Times New Roman"/>
          <w:color w:val="auto"/>
          <w:sz w:val="32"/>
          <w:szCs w:val="32"/>
          <w:highlight w:val="none"/>
          <w:lang w:eastAsia="zh-CN"/>
        </w:rPr>
        <w:t>等</w:t>
      </w:r>
      <w:r>
        <w:rPr>
          <w:rFonts w:hint="eastAsia" w:ascii="Times New Roman" w:hAnsi="Times New Roman" w:eastAsia="仿宋_GB2312" w:cs="Times New Roman"/>
          <w:color w:val="auto"/>
          <w:sz w:val="32"/>
          <w:szCs w:val="32"/>
          <w:highlight w:val="none"/>
          <w:lang w:eastAsia="zh-CN"/>
        </w:rPr>
        <w:t>。</w:t>
      </w:r>
    </w:p>
    <w:p>
      <w:pPr>
        <w:pageBreakBefore w:val="0"/>
        <w:kinsoku/>
        <w:wordWrap/>
        <w:overflowPunct/>
        <w:topLinePunct w:val="0"/>
        <w:bidi w:val="0"/>
        <w:snapToGrid/>
        <w:spacing w:line="560" w:lineRule="exact"/>
        <w:ind w:firstLine="640" w:firstLineChars="200"/>
        <w:textAlignment w:val="auto"/>
        <w:rPr>
          <w:rFonts w:eastAsia="仿宋_GB2312"/>
          <w:color w:val="auto"/>
          <w:sz w:val="32"/>
          <w:szCs w:val="32"/>
          <w:highlight w:val="none"/>
        </w:rPr>
      </w:pPr>
      <w:r>
        <w:rPr>
          <w:rFonts w:eastAsia="仿宋_GB2312"/>
          <w:color w:val="auto"/>
          <w:sz w:val="32"/>
          <w:szCs w:val="32"/>
          <w:highlight w:val="none"/>
        </w:rPr>
        <w:t>（2）</w:t>
      </w:r>
      <w:r>
        <w:rPr>
          <w:rFonts w:eastAsia="仿宋_GB2312"/>
          <w:color w:val="auto"/>
          <w:sz w:val="32"/>
          <w:szCs w:val="32"/>
          <w:highlight w:val="none"/>
          <w:shd w:val="clear"/>
        </w:rPr>
        <w:t>组织实施：资金一到位，立即根据项目要求实施项目。项目责任</w:t>
      </w:r>
      <w:r>
        <w:rPr>
          <w:rFonts w:eastAsia="仿宋_GB2312"/>
          <w:color w:val="auto"/>
          <w:sz w:val="32"/>
          <w:szCs w:val="32"/>
          <w:highlight w:val="none"/>
        </w:rPr>
        <w:t>人按照项目实施方案要求逐一进行项目部署安排，</w:t>
      </w:r>
      <w:r>
        <w:rPr>
          <w:rFonts w:hint="default" w:ascii="Times New Roman" w:hAnsi="Times New Roman" w:eastAsia="仿宋_GB2312" w:cs="Times New Roman"/>
          <w:color w:val="auto"/>
          <w:kern w:val="2"/>
          <w:sz w:val="32"/>
          <w:szCs w:val="32"/>
          <w:highlight w:val="none"/>
          <w:lang w:val="en-US" w:eastAsia="zh-CN" w:bidi="ar-SA"/>
        </w:rPr>
        <w:t>各地（州、市）畜牧兽医行政主管部门</w:t>
      </w:r>
      <w:r>
        <w:rPr>
          <w:rFonts w:hint="default" w:ascii="Times New Roman" w:hAnsi="Times New Roman" w:eastAsia="仿宋_GB2312" w:cs="Times New Roman"/>
          <w:color w:val="auto"/>
          <w:sz w:val="32"/>
          <w:szCs w:val="32"/>
          <w:highlight w:val="none"/>
        </w:rPr>
        <w:t>加强对</w:t>
      </w:r>
      <w:r>
        <w:rPr>
          <w:rFonts w:hint="eastAsia" w:ascii="Times New Roman" w:hAnsi="Times New Roman" w:eastAsia="仿宋_GB2312" w:cs="Times New Roman"/>
          <w:color w:val="auto"/>
          <w:sz w:val="32"/>
          <w:szCs w:val="32"/>
          <w:highlight w:val="none"/>
          <w:lang w:eastAsia="zh-CN"/>
        </w:rPr>
        <w:t>本</w:t>
      </w:r>
      <w:r>
        <w:rPr>
          <w:rFonts w:hint="default" w:ascii="Times New Roman" w:hAnsi="Times New Roman" w:eastAsia="仿宋_GB2312" w:cs="Times New Roman"/>
          <w:color w:val="auto"/>
          <w:sz w:val="32"/>
          <w:szCs w:val="32"/>
          <w:highlight w:val="none"/>
        </w:rPr>
        <w:t>项目的监督管理，明确管理责任，切实抓好项目单位的日常监管</w:t>
      </w:r>
      <w:r>
        <w:rPr>
          <w:rFonts w:hint="eastAsia"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rPr>
        <w:t>验收</w:t>
      </w:r>
      <w:r>
        <w:rPr>
          <w:rFonts w:hint="eastAsia" w:ascii="Times New Roman" w:hAnsi="Times New Roman" w:eastAsia="仿宋_GB2312" w:cs="Times New Roman"/>
          <w:color w:val="auto"/>
          <w:sz w:val="32"/>
          <w:szCs w:val="32"/>
          <w:highlight w:val="none"/>
          <w:lang w:eastAsia="zh-CN"/>
        </w:rPr>
        <w:t>、资金使用</w:t>
      </w:r>
      <w:r>
        <w:rPr>
          <w:rFonts w:hint="default" w:ascii="Times New Roman" w:hAnsi="Times New Roman" w:eastAsia="仿宋_GB2312" w:cs="Times New Roman"/>
          <w:color w:val="auto"/>
          <w:sz w:val="32"/>
          <w:szCs w:val="32"/>
          <w:highlight w:val="none"/>
        </w:rPr>
        <w:t>等关键环节管理控制</w:t>
      </w:r>
      <w:r>
        <w:rPr>
          <w:rFonts w:hint="eastAsia" w:ascii="Times New Roman" w:hAnsi="Times New Roman" w:eastAsia="仿宋_GB2312" w:cs="Times New Roman"/>
          <w:color w:val="auto"/>
          <w:sz w:val="32"/>
          <w:szCs w:val="32"/>
          <w:highlight w:val="none"/>
          <w:lang w:eastAsia="zh-CN"/>
        </w:rPr>
        <w:t>，</w:t>
      </w:r>
      <w:r>
        <w:rPr>
          <w:rFonts w:eastAsia="仿宋_GB2312"/>
          <w:color w:val="auto"/>
          <w:sz w:val="32"/>
          <w:szCs w:val="32"/>
          <w:highlight w:val="none"/>
        </w:rPr>
        <w:t>提高项目质量及效率性。</w:t>
      </w:r>
    </w:p>
    <w:p>
      <w:pPr>
        <w:pageBreakBefore w:val="0"/>
        <w:kinsoku/>
        <w:wordWrap/>
        <w:overflowPunct/>
        <w:topLinePunct w:val="0"/>
        <w:bidi w:val="0"/>
        <w:snapToGrid/>
        <w:spacing w:line="560" w:lineRule="exact"/>
        <w:ind w:firstLine="640" w:firstLineChars="200"/>
        <w:textAlignment w:val="auto"/>
        <w:rPr>
          <w:rFonts w:eastAsia="黑体"/>
          <w:color w:val="auto"/>
          <w:sz w:val="32"/>
          <w:szCs w:val="32"/>
          <w:highlight w:val="none"/>
        </w:rPr>
      </w:pPr>
      <w:r>
        <w:rPr>
          <w:rFonts w:eastAsia="黑体"/>
          <w:color w:val="auto"/>
          <w:sz w:val="32"/>
          <w:szCs w:val="32"/>
          <w:highlight w:val="none"/>
        </w:rPr>
        <w:t>二、绩效评价工作开展情况</w:t>
      </w:r>
    </w:p>
    <w:p>
      <w:pPr>
        <w:pageBreakBefore w:val="0"/>
        <w:kinsoku/>
        <w:wordWrap/>
        <w:overflowPunct/>
        <w:topLinePunct w:val="0"/>
        <w:bidi w:val="0"/>
        <w:snapToGrid/>
        <w:spacing w:line="560" w:lineRule="exact"/>
        <w:ind w:firstLine="643" w:firstLineChars="200"/>
        <w:textAlignment w:val="auto"/>
        <w:rPr>
          <w:rFonts w:eastAsia="楷体_GB2312"/>
          <w:b/>
          <w:bCs/>
          <w:color w:val="auto"/>
          <w:sz w:val="32"/>
          <w:szCs w:val="32"/>
          <w:highlight w:val="none"/>
        </w:rPr>
      </w:pPr>
      <w:r>
        <w:rPr>
          <w:rFonts w:eastAsia="楷体_GB2312"/>
          <w:b/>
          <w:bCs/>
          <w:color w:val="auto"/>
          <w:sz w:val="32"/>
          <w:szCs w:val="32"/>
          <w:highlight w:val="none"/>
        </w:rPr>
        <w:t>（一）绩效评价目的、对象和范围</w:t>
      </w:r>
    </w:p>
    <w:p>
      <w:pPr>
        <w:pStyle w:val="19"/>
        <w:pageBreakBefore w:val="0"/>
        <w:widowControl w:val="0"/>
        <w:kinsoku/>
        <w:wordWrap/>
        <w:overflowPunct/>
        <w:topLinePunct w:val="0"/>
        <w:bidi w:val="0"/>
        <w:snapToGrid/>
        <w:spacing w:before="0" w:after="0" w:line="560" w:lineRule="exact"/>
        <w:ind w:firstLine="640" w:firstLineChars="200"/>
        <w:jc w:val="both"/>
        <w:textAlignment w:val="auto"/>
        <w:outlineLvl w:val="9"/>
        <w:rPr>
          <w:rFonts w:ascii="Times New Roman" w:hAnsi="Times New Roman" w:eastAsia="仿宋_GB2312"/>
          <w:b w:val="0"/>
          <w:bCs w:val="0"/>
          <w:color w:val="auto"/>
          <w:highlight w:val="none"/>
        </w:rPr>
      </w:pPr>
      <w:r>
        <w:rPr>
          <w:rFonts w:ascii="Times New Roman" w:hAnsi="Times New Roman" w:eastAsia="仿宋_GB2312"/>
          <w:b w:val="0"/>
          <w:bCs w:val="0"/>
          <w:color w:val="auto"/>
          <w:highlight w:val="none"/>
        </w:rPr>
        <w:t>1、绩效评价的目的</w:t>
      </w:r>
    </w:p>
    <w:p>
      <w:pPr>
        <w:pageBreakBefore w:val="0"/>
        <w:kinsoku/>
        <w:wordWrap/>
        <w:overflowPunct/>
        <w:topLinePunct w:val="0"/>
        <w:bidi w:val="0"/>
        <w:snapToGrid/>
        <w:spacing w:line="560" w:lineRule="exact"/>
        <w:ind w:firstLine="640" w:firstLineChars="200"/>
        <w:textAlignment w:val="auto"/>
        <w:rPr>
          <w:rFonts w:eastAsia="仿宋_GB2312"/>
          <w:color w:val="auto"/>
          <w:sz w:val="32"/>
          <w:szCs w:val="32"/>
          <w:highlight w:val="none"/>
        </w:rPr>
      </w:pPr>
      <w:r>
        <w:rPr>
          <w:rFonts w:eastAsia="仿宋_GB2312"/>
          <w:color w:val="auto"/>
          <w:sz w:val="32"/>
          <w:szCs w:val="32"/>
          <w:highlight w:val="none"/>
        </w:rPr>
        <w:t>财政支出绩效评价运用科学、规范的绩效评价方法，制定统一的评价标准，使财政资金得到事前、事中和事后多方面的控制。财政支出绩效评价贯穿于财政支出安排和实施的全过程，是对财政支出效益、管理水平、投入风险等方面的综合评价；是发挥财政调控功能、提高财政资金安排科学性、促进财政支持社会经济目标实现的重要保证。</w:t>
      </w:r>
    </w:p>
    <w:p>
      <w:pPr>
        <w:pageBreakBefore w:val="0"/>
        <w:numPr>
          <w:ilvl w:val="0"/>
          <w:numId w:val="3"/>
        </w:numPr>
        <w:kinsoku/>
        <w:wordWrap/>
        <w:overflowPunct/>
        <w:topLinePunct w:val="0"/>
        <w:bidi w:val="0"/>
        <w:snapToGrid/>
        <w:spacing w:line="560" w:lineRule="exact"/>
        <w:ind w:firstLine="640" w:firstLineChars="200"/>
        <w:textAlignment w:val="auto"/>
        <w:rPr>
          <w:rFonts w:eastAsia="仿宋_GB2312"/>
          <w:color w:val="auto"/>
          <w:sz w:val="32"/>
          <w:szCs w:val="32"/>
          <w:highlight w:val="none"/>
        </w:rPr>
      </w:pPr>
      <w:r>
        <w:rPr>
          <w:rFonts w:eastAsia="仿宋_GB2312"/>
          <w:color w:val="auto"/>
          <w:sz w:val="32"/>
          <w:szCs w:val="32"/>
          <w:highlight w:val="none"/>
        </w:rPr>
        <w:t>项目在实施前向项目负责人提供财政支出绩效方面的资金管理信息，促进项目支出严格按照资金管理规定进行。</w:t>
      </w:r>
    </w:p>
    <w:p>
      <w:pPr>
        <w:pageBreakBefore w:val="0"/>
        <w:kinsoku/>
        <w:wordWrap/>
        <w:overflowPunct/>
        <w:topLinePunct w:val="0"/>
        <w:bidi w:val="0"/>
        <w:snapToGrid/>
        <w:spacing w:line="560" w:lineRule="exact"/>
        <w:ind w:firstLine="640" w:firstLineChars="200"/>
        <w:textAlignment w:val="auto"/>
        <w:rPr>
          <w:rFonts w:eastAsia="仿宋_GB2312"/>
          <w:color w:val="auto"/>
          <w:sz w:val="32"/>
          <w:szCs w:val="32"/>
          <w:highlight w:val="none"/>
        </w:rPr>
      </w:pPr>
      <w:r>
        <w:rPr>
          <w:rFonts w:eastAsia="仿宋_GB2312"/>
          <w:color w:val="auto"/>
          <w:sz w:val="32"/>
          <w:szCs w:val="32"/>
          <w:highlight w:val="none"/>
        </w:rPr>
        <w:t>（2）项目绩效管理财政支出运行提供及时、有效的信息。</w:t>
      </w:r>
    </w:p>
    <w:p>
      <w:pPr>
        <w:pStyle w:val="59"/>
        <w:spacing w:line="560" w:lineRule="exact"/>
        <w:ind w:firstLine="640" w:firstLineChars="200"/>
        <w:rPr>
          <w:rFonts w:eastAsia="方正仿宋_GBK" w:cs="方正仿宋_GBK"/>
          <w:color w:val="auto"/>
          <w:sz w:val="32"/>
          <w:szCs w:val="32"/>
          <w:highlight w:val="none"/>
        </w:rPr>
      </w:pPr>
      <w:r>
        <w:rPr>
          <w:rFonts w:eastAsia="仿宋_GB2312"/>
          <w:color w:val="auto"/>
          <w:sz w:val="32"/>
          <w:szCs w:val="32"/>
          <w:highlight w:val="none"/>
        </w:rPr>
        <w:t>综合来看，通过开展有效的财政支出绩效评价管理，</w:t>
      </w:r>
      <w:r>
        <w:rPr>
          <w:rFonts w:hint="eastAsia" w:eastAsia="方正仿宋_GBK" w:cs="方正仿宋_GBK"/>
          <w:color w:val="auto"/>
          <w:sz w:val="32"/>
          <w:szCs w:val="32"/>
          <w:highlight w:val="none"/>
        </w:rPr>
        <w:t>全面了解该项目预算编制合理性、资金使用合规性、项目管理的规范性、项目目标的实现情况、服务对象的满意度等，通过本次</w:t>
      </w:r>
      <w:r>
        <w:rPr>
          <w:rFonts w:hint="eastAsia" w:eastAsia="方正仿宋_GBK" w:cs="方正仿宋_GBK"/>
          <w:color w:val="auto"/>
          <w:sz w:val="32"/>
          <w:szCs w:val="32"/>
          <w:highlight w:val="none"/>
          <w:lang w:eastAsia="zh-Hans"/>
        </w:rPr>
        <w:t>项目</w:t>
      </w:r>
      <w:r>
        <w:rPr>
          <w:rFonts w:hint="eastAsia" w:eastAsia="方正仿宋_GBK" w:cs="方正仿宋_GBK"/>
          <w:color w:val="auto"/>
          <w:sz w:val="32"/>
          <w:szCs w:val="32"/>
          <w:highlight w:val="none"/>
        </w:rPr>
        <w:t>绩效评价来总结经验和教训，促进项目成果转化和应用，为今后类似项目的长效管理，提供可行性参考建议。也为下一年预算编制与评审提供充分有效的依据，以</w:t>
      </w:r>
      <w:r>
        <w:rPr>
          <w:rFonts w:hint="eastAsia" w:eastAsia="方正仿宋_GBK" w:cs="方正仿宋_GBK"/>
          <w:color w:val="auto"/>
          <w:sz w:val="32"/>
          <w:szCs w:val="32"/>
          <w:highlight w:val="none"/>
          <w:lang w:eastAsia="zh-Hans"/>
        </w:rPr>
        <w:t>达到</w:t>
      </w:r>
      <w:r>
        <w:rPr>
          <w:rFonts w:eastAsia="仿宋_GB2312"/>
          <w:color w:val="auto"/>
          <w:sz w:val="32"/>
          <w:szCs w:val="32"/>
          <w:highlight w:val="none"/>
        </w:rPr>
        <w:t>改进预算管理、控制节约成本，</w:t>
      </w:r>
      <w:r>
        <w:rPr>
          <w:rFonts w:hint="eastAsia" w:eastAsia="方正仿宋_GBK" w:cs="方正仿宋_GBK"/>
          <w:color w:val="auto"/>
          <w:sz w:val="32"/>
          <w:szCs w:val="32"/>
          <w:highlight w:val="none"/>
        </w:rPr>
        <w:t>优化资源配置</w:t>
      </w:r>
      <w:r>
        <w:rPr>
          <w:rFonts w:hint="eastAsia" w:eastAsia="方正仿宋_GBK" w:cs="方正仿宋_GBK"/>
          <w:color w:val="auto"/>
          <w:sz w:val="32"/>
          <w:szCs w:val="32"/>
          <w:highlight w:val="none"/>
          <w:lang w:eastAsia="zh-Hans"/>
        </w:rPr>
        <w:t>、</w:t>
      </w:r>
      <w:r>
        <w:rPr>
          <w:rFonts w:eastAsia="仿宋_GB2312"/>
          <w:color w:val="auto"/>
          <w:sz w:val="32"/>
          <w:szCs w:val="32"/>
          <w:highlight w:val="none"/>
        </w:rPr>
        <w:t>提高预算资金使用效益的目的。</w:t>
      </w:r>
    </w:p>
    <w:p>
      <w:pPr>
        <w:pageBreakBefore w:val="0"/>
        <w:kinsoku/>
        <w:wordWrap/>
        <w:overflowPunct/>
        <w:topLinePunct w:val="0"/>
        <w:bidi w:val="0"/>
        <w:snapToGrid/>
        <w:spacing w:line="560" w:lineRule="exact"/>
        <w:ind w:firstLine="640" w:firstLineChars="200"/>
        <w:textAlignment w:val="auto"/>
        <w:rPr>
          <w:rFonts w:eastAsia="仿宋_GB2312"/>
          <w:color w:val="auto"/>
          <w:sz w:val="32"/>
          <w:szCs w:val="32"/>
          <w:highlight w:val="none"/>
        </w:rPr>
      </w:pPr>
    </w:p>
    <w:p>
      <w:pPr>
        <w:pStyle w:val="19"/>
        <w:pageBreakBefore w:val="0"/>
        <w:widowControl w:val="0"/>
        <w:kinsoku/>
        <w:wordWrap/>
        <w:overflowPunct/>
        <w:topLinePunct w:val="0"/>
        <w:bidi w:val="0"/>
        <w:snapToGrid/>
        <w:spacing w:before="0" w:after="0" w:line="560" w:lineRule="exact"/>
        <w:ind w:firstLine="640" w:firstLineChars="200"/>
        <w:jc w:val="both"/>
        <w:textAlignment w:val="auto"/>
        <w:outlineLvl w:val="9"/>
        <w:rPr>
          <w:rFonts w:ascii="Times New Roman" w:hAnsi="Times New Roman" w:eastAsia="仿宋_GB2312"/>
          <w:b w:val="0"/>
          <w:bCs w:val="0"/>
          <w:color w:val="auto"/>
          <w:highlight w:val="none"/>
        </w:rPr>
      </w:pPr>
      <w:r>
        <w:rPr>
          <w:rFonts w:ascii="Times New Roman" w:hAnsi="Times New Roman" w:eastAsia="仿宋_GB2312"/>
          <w:b w:val="0"/>
          <w:bCs w:val="0"/>
          <w:color w:val="auto"/>
          <w:highlight w:val="none"/>
        </w:rPr>
        <w:t>2、绩效评价的对象</w:t>
      </w:r>
    </w:p>
    <w:p>
      <w:pPr>
        <w:pageBreakBefore w:val="0"/>
        <w:kinsoku/>
        <w:wordWrap/>
        <w:overflowPunct/>
        <w:topLinePunct w:val="0"/>
        <w:bidi w:val="0"/>
        <w:snapToGrid/>
        <w:spacing w:line="560" w:lineRule="exact"/>
        <w:ind w:firstLine="640" w:firstLineChars="200"/>
        <w:textAlignment w:val="auto"/>
        <w:rPr>
          <w:rFonts w:hint="eastAsia" w:ascii="仿宋_GB2312" w:hAnsi="仿宋_GB2312" w:eastAsia="仿宋_GB2312" w:cs="仿宋_GB2312"/>
          <w:color w:val="auto"/>
          <w:sz w:val="32"/>
          <w:szCs w:val="32"/>
          <w:highlight w:val="none"/>
        </w:rPr>
      </w:pPr>
      <w:r>
        <w:rPr>
          <w:rFonts w:hint="eastAsia" w:eastAsia="仿宋_GB2312"/>
          <w:color w:val="auto"/>
          <w:sz w:val="32"/>
          <w:szCs w:val="32"/>
          <w:highlight w:val="none"/>
          <w:lang w:eastAsia="zh-CN"/>
        </w:rPr>
        <w:t>自治区畜牧业生产发展</w:t>
      </w:r>
      <w:r>
        <w:rPr>
          <w:rFonts w:hint="eastAsia" w:ascii="仿宋_GB2312" w:hAnsi="仿宋_GB2312" w:eastAsia="仿宋_GB2312" w:cs="仿宋_GB2312"/>
          <w:color w:val="auto"/>
          <w:sz w:val="32"/>
          <w:szCs w:val="32"/>
          <w:highlight w:val="none"/>
        </w:rPr>
        <w:t>项目所包含的全部项目</w:t>
      </w:r>
      <w:r>
        <w:rPr>
          <w:rFonts w:hint="eastAsia" w:ascii="仿宋_GB2312" w:hAnsi="仿宋_GB2312" w:eastAsia="仿宋_GB2312" w:cs="仿宋_GB2312"/>
          <w:color w:val="auto"/>
          <w:sz w:val="32"/>
          <w:szCs w:val="32"/>
          <w:highlight w:val="none"/>
          <w:lang w:val="en-US" w:eastAsia="zh-Hans"/>
        </w:rPr>
        <w:t>的</w:t>
      </w:r>
      <w:r>
        <w:rPr>
          <w:rFonts w:hint="eastAsia" w:ascii="仿宋_GB2312" w:hAnsi="仿宋_GB2312" w:eastAsia="仿宋_GB2312" w:cs="仿宋_GB2312"/>
          <w:color w:val="auto"/>
          <w:sz w:val="32"/>
          <w:szCs w:val="32"/>
          <w:highlight w:val="none"/>
        </w:rPr>
        <w:t>内容。</w:t>
      </w:r>
    </w:p>
    <w:p>
      <w:pPr>
        <w:pStyle w:val="19"/>
        <w:pageBreakBefore w:val="0"/>
        <w:widowControl w:val="0"/>
        <w:kinsoku/>
        <w:wordWrap/>
        <w:overflowPunct/>
        <w:topLinePunct w:val="0"/>
        <w:bidi w:val="0"/>
        <w:snapToGrid/>
        <w:spacing w:before="0" w:after="0" w:line="560" w:lineRule="exact"/>
        <w:ind w:firstLine="640" w:firstLineChars="200"/>
        <w:jc w:val="both"/>
        <w:textAlignment w:val="auto"/>
        <w:outlineLvl w:val="9"/>
        <w:rPr>
          <w:rFonts w:ascii="Times New Roman" w:hAnsi="Times New Roman" w:eastAsia="仿宋_GB2312"/>
          <w:b w:val="0"/>
          <w:bCs w:val="0"/>
          <w:color w:val="auto"/>
          <w:highlight w:val="none"/>
        </w:rPr>
      </w:pPr>
      <w:r>
        <w:rPr>
          <w:rFonts w:ascii="Times New Roman" w:hAnsi="Times New Roman" w:eastAsia="仿宋_GB2312"/>
          <w:b w:val="0"/>
          <w:bCs w:val="0"/>
          <w:color w:val="auto"/>
          <w:highlight w:val="none"/>
        </w:rPr>
        <w:t>3、绩效评价的范围</w:t>
      </w:r>
    </w:p>
    <w:p>
      <w:pPr>
        <w:keepNext w:val="0"/>
        <w:keepLines w:val="0"/>
        <w:pageBreakBefore w:val="0"/>
        <w:kinsoku/>
        <w:wordWrap/>
        <w:overflowPunct/>
        <w:topLinePunct w:val="0"/>
        <w:bidi w:val="0"/>
        <w:snapToGrid/>
        <w:spacing w:line="560" w:lineRule="exact"/>
        <w:ind w:left="638" w:leftChars="304" w:firstLine="0" w:firstLineChars="0"/>
        <w:textAlignment w:val="auto"/>
        <w:rPr>
          <w:rFonts w:hint="eastAsia" w:ascii="仿宋_GB2312" w:hAnsi="仿宋_GB2312" w:eastAsia="仿宋_GB2312" w:cs="仿宋_GB2312"/>
          <w:color w:val="auto"/>
          <w:sz w:val="32"/>
          <w:szCs w:val="32"/>
          <w:highlight w:val="none"/>
          <w:lang w:eastAsia="zh-CN"/>
        </w:rPr>
      </w:pPr>
      <w:r>
        <w:rPr>
          <w:rFonts w:hint="eastAsia" w:eastAsia="仿宋_GB2312"/>
          <w:color w:val="auto"/>
          <w:sz w:val="32"/>
          <w:szCs w:val="32"/>
          <w:highlight w:val="none"/>
          <w:lang w:eastAsia="zh-CN"/>
        </w:rPr>
        <w:t>自治区畜牧业生产发展</w:t>
      </w:r>
      <w:r>
        <w:rPr>
          <w:rFonts w:hint="eastAsia" w:ascii="仿宋_GB2312" w:hAnsi="仿宋_GB2312" w:eastAsia="仿宋_GB2312" w:cs="仿宋_GB2312"/>
          <w:color w:val="auto"/>
          <w:sz w:val="32"/>
          <w:szCs w:val="32"/>
          <w:highlight w:val="none"/>
        </w:rPr>
        <w:t>项目的决策、过程、产出、效益</w:t>
      </w:r>
      <w:r>
        <w:rPr>
          <w:rFonts w:hint="eastAsia" w:ascii="仿宋_GB2312" w:hAnsi="仿宋_GB2312" w:eastAsia="仿宋_GB2312" w:cs="仿宋_GB2312"/>
          <w:color w:val="auto"/>
          <w:sz w:val="32"/>
          <w:szCs w:val="32"/>
          <w:highlight w:val="none"/>
          <w:lang w:eastAsia="zh-CN"/>
        </w:rPr>
        <w:t>。</w:t>
      </w:r>
    </w:p>
    <w:p>
      <w:pPr>
        <w:pageBreakBefore w:val="0"/>
        <w:kinsoku/>
        <w:wordWrap/>
        <w:overflowPunct/>
        <w:topLinePunct w:val="0"/>
        <w:bidi w:val="0"/>
        <w:snapToGrid/>
        <w:spacing w:line="560" w:lineRule="exact"/>
        <w:ind w:firstLine="643" w:firstLineChars="200"/>
        <w:textAlignment w:val="auto"/>
        <w:rPr>
          <w:color w:val="auto"/>
          <w:highlight w:val="none"/>
        </w:rPr>
      </w:pPr>
      <w:r>
        <w:rPr>
          <w:rFonts w:eastAsia="楷体_GB2312"/>
          <w:b/>
          <w:bCs/>
          <w:color w:val="auto"/>
          <w:sz w:val="32"/>
          <w:szCs w:val="32"/>
          <w:highlight w:val="none"/>
        </w:rPr>
        <w:t>（二）绩效评价原则、评价指标体系（详情见表1）、评价方法、评价标准。</w:t>
      </w:r>
    </w:p>
    <w:p>
      <w:pPr>
        <w:pStyle w:val="19"/>
        <w:pageBreakBefore w:val="0"/>
        <w:widowControl w:val="0"/>
        <w:kinsoku/>
        <w:wordWrap/>
        <w:overflowPunct/>
        <w:topLinePunct w:val="0"/>
        <w:bidi w:val="0"/>
        <w:snapToGrid/>
        <w:spacing w:before="0" w:after="0" w:line="560" w:lineRule="exact"/>
        <w:ind w:firstLine="640" w:firstLineChars="200"/>
        <w:jc w:val="both"/>
        <w:textAlignment w:val="auto"/>
        <w:outlineLvl w:val="9"/>
        <w:rPr>
          <w:rFonts w:ascii="Times New Roman" w:hAnsi="Times New Roman" w:eastAsia="仿宋_GB2312"/>
          <w:b w:val="0"/>
          <w:bCs w:val="0"/>
          <w:color w:val="auto"/>
          <w:highlight w:val="none"/>
        </w:rPr>
      </w:pPr>
      <w:r>
        <w:rPr>
          <w:rFonts w:ascii="Times New Roman" w:hAnsi="Times New Roman" w:eastAsia="仿宋_GB2312"/>
          <w:b w:val="0"/>
          <w:bCs w:val="0"/>
          <w:color w:val="auto"/>
          <w:highlight w:val="none"/>
        </w:rPr>
        <w:t>1、绩效评价原则</w:t>
      </w:r>
    </w:p>
    <w:p>
      <w:pPr>
        <w:pageBreakBefore w:val="0"/>
        <w:kinsoku/>
        <w:wordWrap/>
        <w:overflowPunct/>
        <w:topLinePunct w:val="0"/>
        <w:bidi w:val="0"/>
        <w:snapToGrid/>
        <w:spacing w:line="560" w:lineRule="exact"/>
        <w:ind w:firstLine="640" w:firstLineChars="200"/>
        <w:textAlignment w:val="auto"/>
        <w:rPr>
          <w:rFonts w:eastAsia="仿宋_GB2312"/>
          <w:color w:val="auto"/>
          <w:sz w:val="32"/>
          <w:szCs w:val="32"/>
          <w:highlight w:val="none"/>
        </w:rPr>
      </w:pPr>
      <w:r>
        <w:rPr>
          <w:rFonts w:eastAsia="仿宋_GB2312"/>
          <w:color w:val="auto"/>
          <w:sz w:val="32"/>
          <w:szCs w:val="32"/>
          <w:highlight w:val="none"/>
        </w:rPr>
        <w:t>本次项目绩效评价遵循以下基本原则：</w:t>
      </w:r>
    </w:p>
    <w:p>
      <w:pPr>
        <w:pStyle w:val="19"/>
        <w:pageBreakBefore w:val="0"/>
        <w:kinsoku/>
        <w:wordWrap/>
        <w:overflowPunct/>
        <w:topLinePunct w:val="0"/>
        <w:bidi w:val="0"/>
        <w:snapToGrid/>
        <w:spacing w:before="0" w:after="0" w:line="560" w:lineRule="exact"/>
        <w:ind w:firstLine="640" w:firstLineChars="200"/>
        <w:jc w:val="both"/>
        <w:textAlignment w:val="auto"/>
        <w:outlineLvl w:val="9"/>
        <w:rPr>
          <w:rFonts w:ascii="Times New Roman" w:hAnsi="Times New Roman" w:eastAsia="仿宋_GB2312"/>
          <w:b w:val="0"/>
          <w:bCs w:val="0"/>
          <w:color w:val="auto"/>
          <w:highlight w:val="none"/>
        </w:rPr>
      </w:pPr>
      <w:r>
        <w:rPr>
          <w:rFonts w:ascii="Times New Roman" w:hAnsi="Times New Roman" w:eastAsia="仿宋_GB2312"/>
          <w:b w:val="0"/>
          <w:bCs w:val="0"/>
          <w:color w:val="auto"/>
          <w:highlight w:val="none"/>
        </w:rPr>
        <w:t>（1）科学公正。绩效评价应当运用科学合理的方法，按照规范的程序，对项目绩效进行客观、公正的反映。</w:t>
      </w:r>
    </w:p>
    <w:p>
      <w:pPr>
        <w:pStyle w:val="19"/>
        <w:pageBreakBefore w:val="0"/>
        <w:kinsoku/>
        <w:wordWrap/>
        <w:overflowPunct/>
        <w:topLinePunct w:val="0"/>
        <w:bidi w:val="0"/>
        <w:snapToGrid/>
        <w:spacing w:before="0" w:after="0" w:line="560" w:lineRule="exact"/>
        <w:ind w:firstLine="640" w:firstLineChars="200"/>
        <w:jc w:val="both"/>
        <w:textAlignment w:val="auto"/>
        <w:outlineLvl w:val="9"/>
        <w:rPr>
          <w:rFonts w:ascii="Times New Roman" w:hAnsi="Times New Roman" w:eastAsia="仿宋_GB2312"/>
          <w:b w:val="0"/>
          <w:bCs w:val="0"/>
          <w:color w:val="auto"/>
          <w:highlight w:val="none"/>
        </w:rPr>
      </w:pPr>
      <w:r>
        <w:rPr>
          <w:rFonts w:ascii="Times New Roman" w:hAnsi="Times New Roman" w:eastAsia="仿宋_GB2312"/>
          <w:b w:val="0"/>
          <w:bCs w:val="0"/>
          <w:color w:val="auto"/>
          <w:highlight w:val="none"/>
        </w:rPr>
        <w:t>（2）统筹兼顾。单位自评、部门评价和财政评价应职责明确，各有侧重，相互衔接。单位自评应由项目单位自主实施，即“谁支出、谁自评”。部门评价和财政评价应在单位自评的基础上开展。</w:t>
      </w:r>
    </w:p>
    <w:p>
      <w:pPr>
        <w:pStyle w:val="19"/>
        <w:pageBreakBefore w:val="0"/>
        <w:kinsoku/>
        <w:wordWrap/>
        <w:overflowPunct/>
        <w:topLinePunct w:val="0"/>
        <w:bidi w:val="0"/>
        <w:snapToGrid/>
        <w:spacing w:before="0" w:after="0" w:line="560" w:lineRule="exact"/>
        <w:ind w:firstLine="640" w:firstLineChars="200"/>
        <w:jc w:val="both"/>
        <w:textAlignment w:val="auto"/>
        <w:outlineLvl w:val="9"/>
        <w:rPr>
          <w:rFonts w:ascii="Times New Roman" w:hAnsi="Times New Roman" w:eastAsia="仿宋_GB2312"/>
          <w:b w:val="0"/>
          <w:bCs w:val="0"/>
          <w:color w:val="auto"/>
          <w:highlight w:val="none"/>
        </w:rPr>
      </w:pPr>
      <w:r>
        <w:rPr>
          <w:rFonts w:ascii="Times New Roman" w:hAnsi="Times New Roman" w:eastAsia="仿宋_GB2312"/>
          <w:b w:val="0"/>
          <w:bCs w:val="0"/>
          <w:color w:val="auto"/>
          <w:highlight w:val="none"/>
        </w:rPr>
        <w:t>（3）激励约束。绩效评价结果应与预算安排、政策调整、改进管理实质性挂钩，体现奖优罚劣和激励相容导向，有效要安排、低效要压减、无效要问责。</w:t>
      </w:r>
    </w:p>
    <w:p>
      <w:pPr>
        <w:pStyle w:val="19"/>
        <w:pageBreakBefore w:val="0"/>
        <w:kinsoku/>
        <w:wordWrap/>
        <w:overflowPunct/>
        <w:topLinePunct w:val="0"/>
        <w:bidi w:val="0"/>
        <w:snapToGrid/>
        <w:spacing w:before="0" w:after="0" w:line="560" w:lineRule="exact"/>
        <w:ind w:firstLine="640" w:firstLineChars="200"/>
        <w:jc w:val="both"/>
        <w:textAlignment w:val="auto"/>
        <w:outlineLvl w:val="9"/>
        <w:rPr>
          <w:rFonts w:ascii="Times New Roman" w:hAnsi="Times New Roman" w:eastAsia="仿宋_GB2312"/>
          <w:b w:val="0"/>
          <w:bCs w:val="0"/>
          <w:color w:val="auto"/>
          <w:highlight w:val="none"/>
        </w:rPr>
      </w:pPr>
      <w:r>
        <w:rPr>
          <w:rFonts w:ascii="Times New Roman" w:hAnsi="Times New Roman" w:eastAsia="仿宋_GB2312"/>
          <w:b w:val="0"/>
          <w:bCs w:val="0"/>
          <w:color w:val="auto"/>
          <w:highlight w:val="none"/>
        </w:rPr>
        <w:t>（4）公开透明。绩效评价结果应依法依规公开，并自觉接受社会监督。</w:t>
      </w:r>
    </w:p>
    <w:p>
      <w:pPr>
        <w:pStyle w:val="19"/>
        <w:pageBreakBefore w:val="0"/>
        <w:widowControl w:val="0"/>
        <w:kinsoku/>
        <w:wordWrap/>
        <w:overflowPunct/>
        <w:topLinePunct w:val="0"/>
        <w:bidi w:val="0"/>
        <w:snapToGrid/>
        <w:spacing w:before="0" w:after="0" w:line="560" w:lineRule="exact"/>
        <w:ind w:firstLine="640" w:firstLineChars="200"/>
        <w:jc w:val="both"/>
        <w:textAlignment w:val="auto"/>
        <w:outlineLvl w:val="9"/>
        <w:rPr>
          <w:rFonts w:ascii="Times New Roman" w:hAnsi="Times New Roman" w:eastAsia="仿宋_GB2312"/>
          <w:b w:val="0"/>
          <w:bCs w:val="0"/>
          <w:color w:val="auto"/>
          <w:highlight w:val="none"/>
        </w:rPr>
      </w:pPr>
      <w:r>
        <w:rPr>
          <w:rFonts w:ascii="Times New Roman" w:hAnsi="Times New Roman" w:eastAsia="仿宋_GB2312"/>
          <w:b w:val="0"/>
          <w:bCs w:val="0"/>
          <w:color w:val="auto"/>
          <w:highlight w:val="none"/>
        </w:rPr>
        <w:t>2、评价指标体系</w:t>
      </w:r>
    </w:p>
    <w:p>
      <w:pPr>
        <w:pageBreakBefore w:val="0"/>
        <w:kinsoku/>
        <w:wordWrap/>
        <w:overflowPunct/>
        <w:topLinePunct w:val="0"/>
        <w:bidi w:val="0"/>
        <w:snapToGrid/>
        <w:spacing w:line="560" w:lineRule="exact"/>
        <w:ind w:firstLine="708" w:firstLineChars="200"/>
        <w:textAlignment w:val="auto"/>
        <w:rPr>
          <w:color w:val="auto"/>
          <w:spacing w:val="17"/>
          <w:sz w:val="32"/>
          <w:szCs w:val="32"/>
          <w:highlight w:val="none"/>
        </w:rPr>
      </w:pPr>
      <w:r>
        <w:rPr>
          <w:rFonts w:eastAsia="仿宋_GB2312"/>
          <w:color w:val="auto"/>
          <w:spacing w:val="17"/>
          <w:sz w:val="32"/>
          <w:szCs w:val="32"/>
          <w:highlight w:val="none"/>
        </w:rPr>
        <w:t>绩效评价框架是开展绩效评价的核心。绩效评价框架包括评价准则、关键评价问题、评价指标、数据来源、数据收集方法等。指标体系建立过程如下：</w:t>
      </w:r>
    </w:p>
    <w:p>
      <w:pPr>
        <w:pageBreakBefore w:val="0"/>
        <w:kinsoku/>
        <w:wordWrap/>
        <w:overflowPunct/>
        <w:topLinePunct w:val="0"/>
        <w:bidi w:val="0"/>
        <w:snapToGrid/>
        <w:spacing w:line="560" w:lineRule="exact"/>
        <w:ind w:firstLine="708" w:firstLineChars="200"/>
        <w:textAlignment w:val="auto"/>
        <w:rPr>
          <w:rFonts w:eastAsia="仿宋_GB2312"/>
          <w:color w:val="auto"/>
          <w:spacing w:val="17"/>
          <w:sz w:val="32"/>
          <w:szCs w:val="32"/>
          <w:highlight w:val="none"/>
        </w:rPr>
      </w:pPr>
      <w:r>
        <w:rPr>
          <w:rFonts w:eastAsia="仿宋_GB2312"/>
          <w:color w:val="auto"/>
          <w:spacing w:val="17"/>
          <w:sz w:val="32"/>
          <w:szCs w:val="32"/>
          <w:highlight w:val="none"/>
        </w:rPr>
        <w:t>（1）确定评价指标</w:t>
      </w:r>
    </w:p>
    <w:p>
      <w:pPr>
        <w:pageBreakBefore w:val="0"/>
        <w:kinsoku/>
        <w:wordWrap/>
        <w:overflowPunct/>
        <w:topLinePunct w:val="0"/>
        <w:bidi w:val="0"/>
        <w:snapToGrid/>
        <w:spacing w:line="560" w:lineRule="exact"/>
        <w:ind w:firstLine="708" w:firstLineChars="200"/>
        <w:textAlignment w:val="auto"/>
        <w:rPr>
          <w:rFonts w:eastAsia="仿宋_GB2312"/>
          <w:color w:val="auto"/>
          <w:spacing w:val="17"/>
          <w:sz w:val="32"/>
          <w:szCs w:val="32"/>
          <w:highlight w:val="none"/>
        </w:rPr>
      </w:pPr>
      <w:r>
        <w:rPr>
          <w:rFonts w:eastAsia="仿宋_GB2312"/>
          <w:color w:val="auto"/>
          <w:spacing w:val="17"/>
          <w:sz w:val="32"/>
          <w:szCs w:val="32"/>
          <w:highlight w:val="none"/>
        </w:rPr>
        <w:t>采用层次分析法，建立评价指标体系。绩效评价将指标分为项目决策指标、项目过程指标、项目产出指标、项目效益指标四个维度，最终形成一个由多个相互联系的指标组成的多层次指标体系。</w:t>
      </w:r>
    </w:p>
    <w:p>
      <w:pPr>
        <w:pageBreakBefore w:val="0"/>
        <w:kinsoku/>
        <w:wordWrap/>
        <w:overflowPunct/>
        <w:topLinePunct w:val="0"/>
        <w:bidi w:val="0"/>
        <w:snapToGrid/>
        <w:spacing w:line="560" w:lineRule="exact"/>
        <w:ind w:firstLine="708" w:firstLineChars="200"/>
        <w:textAlignment w:val="auto"/>
        <w:rPr>
          <w:rFonts w:eastAsia="仿宋_GB2312"/>
          <w:color w:val="auto"/>
          <w:spacing w:val="17"/>
          <w:sz w:val="32"/>
          <w:szCs w:val="32"/>
          <w:highlight w:val="none"/>
        </w:rPr>
      </w:pPr>
      <w:r>
        <w:rPr>
          <w:rFonts w:eastAsia="仿宋_GB2312"/>
          <w:color w:val="auto"/>
          <w:spacing w:val="17"/>
          <w:sz w:val="32"/>
          <w:szCs w:val="32"/>
          <w:highlight w:val="none"/>
        </w:rPr>
        <w:t>（2）确定权重</w:t>
      </w:r>
    </w:p>
    <w:p>
      <w:pPr>
        <w:pageBreakBefore w:val="0"/>
        <w:kinsoku/>
        <w:wordWrap/>
        <w:overflowPunct/>
        <w:topLinePunct w:val="0"/>
        <w:bidi w:val="0"/>
        <w:snapToGrid/>
        <w:spacing w:line="560" w:lineRule="exact"/>
        <w:ind w:firstLine="708" w:firstLineChars="200"/>
        <w:textAlignment w:val="auto"/>
        <w:rPr>
          <w:rFonts w:eastAsia="仿宋_GB2312"/>
          <w:color w:val="auto"/>
          <w:spacing w:val="17"/>
          <w:sz w:val="32"/>
          <w:szCs w:val="32"/>
          <w:highlight w:val="none"/>
        </w:rPr>
      </w:pPr>
      <w:r>
        <w:rPr>
          <w:rFonts w:eastAsia="仿宋_GB2312"/>
          <w:color w:val="auto"/>
          <w:spacing w:val="17"/>
          <w:sz w:val="32"/>
          <w:szCs w:val="32"/>
          <w:highlight w:val="none"/>
        </w:rPr>
        <w:t>确定各个指标相对于项目总体绩效的权重分值。在绩效评价指标体系中，项目决策权重为</w:t>
      </w:r>
      <w:r>
        <w:rPr>
          <w:rFonts w:hint="eastAsia" w:eastAsia="仿宋_GB2312"/>
          <w:color w:val="auto"/>
          <w:spacing w:val="17"/>
          <w:sz w:val="32"/>
          <w:szCs w:val="32"/>
          <w:highlight w:val="none"/>
          <w:lang w:val="en-US" w:eastAsia="zh-CN"/>
        </w:rPr>
        <w:t>20</w:t>
      </w:r>
      <w:r>
        <w:rPr>
          <w:rFonts w:eastAsia="仿宋_GB2312"/>
          <w:color w:val="auto"/>
          <w:spacing w:val="17"/>
          <w:sz w:val="32"/>
          <w:szCs w:val="32"/>
          <w:highlight w:val="none"/>
        </w:rPr>
        <w:t>分，项目过程权重为</w:t>
      </w:r>
      <w:r>
        <w:rPr>
          <w:rFonts w:hint="eastAsia" w:eastAsia="仿宋_GB2312"/>
          <w:color w:val="auto"/>
          <w:spacing w:val="17"/>
          <w:sz w:val="32"/>
          <w:szCs w:val="32"/>
          <w:highlight w:val="none"/>
          <w:lang w:val="en-US" w:eastAsia="zh-CN"/>
        </w:rPr>
        <w:t>20</w:t>
      </w:r>
      <w:r>
        <w:rPr>
          <w:rFonts w:eastAsia="仿宋_GB2312"/>
          <w:color w:val="auto"/>
          <w:spacing w:val="17"/>
          <w:sz w:val="32"/>
          <w:szCs w:val="32"/>
          <w:highlight w:val="none"/>
        </w:rPr>
        <w:t>分，项目产出权重为</w:t>
      </w:r>
      <w:r>
        <w:rPr>
          <w:rFonts w:hint="eastAsia" w:eastAsia="仿宋_GB2312"/>
          <w:color w:val="auto"/>
          <w:spacing w:val="17"/>
          <w:sz w:val="32"/>
          <w:szCs w:val="32"/>
          <w:highlight w:val="none"/>
          <w:lang w:val="en-US" w:eastAsia="zh-CN"/>
        </w:rPr>
        <w:t>4</w:t>
      </w:r>
      <w:r>
        <w:rPr>
          <w:rFonts w:eastAsia="仿宋_GB2312"/>
          <w:color w:val="auto"/>
          <w:spacing w:val="17"/>
          <w:sz w:val="32"/>
          <w:szCs w:val="32"/>
          <w:highlight w:val="none"/>
        </w:rPr>
        <w:t>0分，项目效益权重为</w:t>
      </w:r>
      <w:r>
        <w:rPr>
          <w:rFonts w:hint="eastAsia" w:eastAsia="仿宋_GB2312"/>
          <w:color w:val="auto"/>
          <w:spacing w:val="17"/>
          <w:sz w:val="32"/>
          <w:szCs w:val="32"/>
          <w:highlight w:val="none"/>
          <w:lang w:val="en-US" w:eastAsia="zh-CN"/>
        </w:rPr>
        <w:t>2</w:t>
      </w:r>
      <w:r>
        <w:rPr>
          <w:rFonts w:eastAsia="仿宋_GB2312"/>
          <w:color w:val="auto"/>
          <w:spacing w:val="17"/>
          <w:sz w:val="32"/>
          <w:szCs w:val="32"/>
          <w:highlight w:val="none"/>
        </w:rPr>
        <w:t>0分。</w:t>
      </w:r>
    </w:p>
    <w:p>
      <w:pPr>
        <w:pageBreakBefore w:val="0"/>
        <w:kinsoku/>
        <w:wordWrap/>
        <w:overflowPunct/>
        <w:topLinePunct w:val="0"/>
        <w:bidi w:val="0"/>
        <w:snapToGrid/>
        <w:spacing w:line="560" w:lineRule="exact"/>
        <w:ind w:firstLine="708" w:firstLineChars="200"/>
        <w:textAlignment w:val="auto"/>
        <w:rPr>
          <w:rFonts w:eastAsia="仿宋_GB2312"/>
          <w:color w:val="auto"/>
          <w:spacing w:val="17"/>
          <w:sz w:val="32"/>
          <w:szCs w:val="32"/>
          <w:highlight w:val="none"/>
        </w:rPr>
      </w:pPr>
      <w:r>
        <w:rPr>
          <w:rFonts w:eastAsia="仿宋_GB2312"/>
          <w:color w:val="auto"/>
          <w:spacing w:val="17"/>
          <w:sz w:val="32"/>
          <w:szCs w:val="32"/>
          <w:highlight w:val="none"/>
        </w:rPr>
        <w:t>（3）确定指标标准值</w:t>
      </w:r>
    </w:p>
    <w:p>
      <w:pPr>
        <w:pageBreakBefore w:val="0"/>
        <w:kinsoku/>
        <w:wordWrap/>
        <w:overflowPunct/>
        <w:topLinePunct w:val="0"/>
        <w:bidi w:val="0"/>
        <w:snapToGrid/>
        <w:spacing w:line="560" w:lineRule="exact"/>
        <w:ind w:firstLine="708" w:firstLineChars="200"/>
        <w:textAlignment w:val="auto"/>
        <w:rPr>
          <w:rFonts w:eastAsia="仿宋_GB2312"/>
          <w:color w:val="auto"/>
          <w:spacing w:val="17"/>
          <w:sz w:val="32"/>
          <w:szCs w:val="32"/>
          <w:highlight w:val="none"/>
        </w:rPr>
      </w:pPr>
      <w:r>
        <w:rPr>
          <w:rFonts w:eastAsia="仿宋_GB2312"/>
          <w:color w:val="auto"/>
          <w:spacing w:val="17"/>
          <w:sz w:val="32"/>
          <w:szCs w:val="32"/>
          <w:highlight w:val="none"/>
        </w:rPr>
        <w:t>指标标准值是绩效评价指标的尺度，既要反映同类项目的先进水平，又要符合项目的实际绩效水平。具体采用计划标准等确定此次绩效评价指标标准值。</w:t>
      </w:r>
    </w:p>
    <w:p>
      <w:pPr>
        <w:pStyle w:val="19"/>
        <w:pageBreakBefore w:val="0"/>
        <w:kinsoku/>
        <w:wordWrap/>
        <w:overflowPunct/>
        <w:topLinePunct w:val="0"/>
        <w:bidi w:val="0"/>
        <w:snapToGrid/>
        <w:spacing w:before="0" w:after="0" w:line="560" w:lineRule="exact"/>
        <w:ind w:firstLine="708" w:firstLineChars="200"/>
        <w:jc w:val="both"/>
        <w:textAlignment w:val="auto"/>
        <w:rPr>
          <w:rFonts w:ascii="Times New Roman" w:hAnsi="Times New Roman" w:eastAsia="仿宋_GB2312"/>
          <w:b w:val="0"/>
          <w:bCs w:val="0"/>
          <w:color w:val="auto"/>
          <w:spacing w:val="17"/>
          <w:kern w:val="2"/>
          <w:highlight w:val="none"/>
        </w:rPr>
      </w:pPr>
      <w:r>
        <w:rPr>
          <w:rFonts w:ascii="Times New Roman" w:hAnsi="Times New Roman" w:eastAsia="仿宋_GB2312"/>
          <w:b w:val="0"/>
          <w:bCs w:val="0"/>
          <w:color w:val="auto"/>
          <w:spacing w:val="17"/>
          <w:kern w:val="2"/>
          <w:highlight w:val="none"/>
        </w:rPr>
        <w:t>绩效评价总分值100分，根据综合评分结果，评价计分90分-100分（含90分）对应的评分结果级别为优，80-90分（含80分）对应的评分结果级别为良，60-80分（含60分）对应的评分结果级别为中，60分以下对应的评分结果级别为差。</w:t>
      </w:r>
    </w:p>
    <w:p>
      <w:pPr>
        <w:pStyle w:val="19"/>
        <w:pageBreakBefore w:val="0"/>
        <w:widowControl w:val="0"/>
        <w:kinsoku/>
        <w:wordWrap/>
        <w:overflowPunct/>
        <w:topLinePunct w:val="0"/>
        <w:bidi w:val="0"/>
        <w:snapToGrid/>
        <w:spacing w:before="0" w:after="0" w:line="560" w:lineRule="exact"/>
        <w:ind w:firstLine="708" w:firstLineChars="200"/>
        <w:jc w:val="both"/>
        <w:textAlignment w:val="auto"/>
        <w:outlineLvl w:val="9"/>
        <w:rPr>
          <w:rFonts w:ascii="Times New Roman" w:hAnsi="Times New Roman" w:eastAsia="仿宋_GB2312"/>
          <w:b w:val="0"/>
          <w:bCs w:val="0"/>
          <w:color w:val="auto"/>
          <w:spacing w:val="17"/>
          <w:highlight w:val="none"/>
        </w:rPr>
      </w:pPr>
      <w:r>
        <w:rPr>
          <w:rFonts w:ascii="Times New Roman" w:hAnsi="Times New Roman" w:eastAsia="仿宋_GB2312"/>
          <w:b w:val="0"/>
          <w:bCs w:val="0"/>
          <w:color w:val="auto"/>
          <w:spacing w:val="17"/>
          <w:highlight w:val="none"/>
        </w:rPr>
        <w:t>具体评价指标体系详情见附件1</w:t>
      </w:r>
    </w:p>
    <w:p>
      <w:pPr>
        <w:pStyle w:val="19"/>
        <w:pageBreakBefore w:val="0"/>
        <w:widowControl w:val="0"/>
        <w:kinsoku/>
        <w:wordWrap/>
        <w:overflowPunct/>
        <w:topLinePunct w:val="0"/>
        <w:bidi w:val="0"/>
        <w:snapToGrid/>
        <w:spacing w:before="0" w:after="0" w:line="560" w:lineRule="exact"/>
        <w:ind w:firstLine="640" w:firstLineChars="200"/>
        <w:jc w:val="both"/>
        <w:textAlignment w:val="auto"/>
        <w:outlineLvl w:val="9"/>
        <w:rPr>
          <w:rFonts w:ascii="Times New Roman" w:hAnsi="Times New Roman" w:eastAsia="仿宋_GB2312"/>
          <w:b w:val="0"/>
          <w:bCs w:val="0"/>
          <w:color w:val="auto"/>
          <w:highlight w:val="none"/>
        </w:rPr>
      </w:pPr>
      <w:r>
        <w:rPr>
          <w:rFonts w:ascii="Times New Roman" w:hAnsi="Times New Roman" w:eastAsia="仿宋_GB2312"/>
          <w:b w:val="0"/>
          <w:bCs w:val="0"/>
          <w:color w:val="auto"/>
          <w:highlight w:val="none"/>
        </w:rPr>
        <w:t>3、绩效评价方法</w:t>
      </w:r>
    </w:p>
    <w:p>
      <w:pPr>
        <w:pageBreakBefore w:val="0"/>
        <w:kinsoku/>
        <w:wordWrap/>
        <w:overflowPunct/>
        <w:topLinePunct w:val="0"/>
        <w:bidi w:val="0"/>
        <w:snapToGrid/>
        <w:spacing w:line="560" w:lineRule="exact"/>
        <w:ind w:firstLine="708" w:firstLineChars="200"/>
        <w:textAlignment w:val="auto"/>
        <w:rPr>
          <w:rFonts w:eastAsia="仿宋_GB2312"/>
          <w:color w:val="auto"/>
          <w:spacing w:val="17"/>
          <w:sz w:val="32"/>
          <w:szCs w:val="32"/>
          <w:highlight w:val="none"/>
        </w:rPr>
      </w:pPr>
      <w:r>
        <w:rPr>
          <w:rFonts w:eastAsia="仿宋_GB2312"/>
          <w:color w:val="auto"/>
          <w:spacing w:val="17"/>
          <w:sz w:val="32"/>
          <w:szCs w:val="32"/>
          <w:highlight w:val="none"/>
        </w:rPr>
        <w:t>绩效评价从项目决策、项目过程、项目产出、项目效益四个维度进行评价。评价对象为项目目标实施情况，  评价核心为资金的支出完成情况和项目的产出效益。</w:t>
      </w:r>
    </w:p>
    <w:p>
      <w:pPr>
        <w:pageBreakBefore w:val="0"/>
        <w:kinsoku/>
        <w:wordWrap/>
        <w:overflowPunct/>
        <w:topLinePunct w:val="0"/>
        <w:bidi w:val="0"/>
        <w:snapToGrid/>
        <w:spacing w:line="560" w:lineRule="exact"/>
        <w:ind w:firstLine="708" w:firstLineChars="200"/>
        <w:textAlignment w:val="auto"/>
        <w:rPr>
          <w:rFonts w:eastAsia="仿宋_GB2312"/>
          <w:color w:val="auto"/>
          <w:spacing w:val="17"/>
          <w:sz w:val="32"/>
          <w:szCs w:val="32"/>
          <w:highlight w:val="none"/>
        </w:rPr>
      </w:pPr>
      <w:r>
        <w:rPr>
          <w:rFonts w:eastAsia="仿宋_GB2312"/>
          <w:color w:val="auto"/>
          <w:spacing w:val="17"/>
          <w:sz w:val="32"/>
          <w:szCs w:val="32"/>
          <w:highlight w:val="none"/>
        </w:rPr>
        <w:t>本次评价指标中，既有定性指标又有定量指标，各类指标因考核内容不同和客观标准不同存在较大差异，因此核定具体指标时采用了不同方法，具体评价方法如下：</w:t>
      </w:r>
    </w:p>
    <w:p>
      <w:pPr>
        <w:pageBreakBefore w:val="0"/>
        <w:kinsoku/>
        <w:wordWrap/>
        <w:overflowPunct/>
        <w:topLinePunct w:val="0"/>
        <w:bidi w:val="0"/>
        <w:snapToGrid/>
        <w:spacing w:line="560" w:lineRule="exact"/>
        <w:ind w:firstLine="708" w:firstLineChars="200"/>
        <w:textAlignment w:val="auto"/>
        <w:rPr>
          <w:rFonts w:eastAsia="仿宋_GB2312"/>
          <w:color w:val="auto"/>
          <w:spacing w:val="17"/>
          <w:sz w:val="32"/>
          <w:szCs w:val="32"/>
          <w:highlight w:val="none"/>
        </w:rPr>
      </w:pPr>
      <w:r>
        <w:rPr>
          <w:rFonts w:eastAsia="仿宋_GB2312"/>
          <w:color w:val="auto"/>
          <w:spacing w:val="17"/>
          <w:sz w:val="32"/>
          <w:szCs w:val="32"/>
          <w:highlight w:val="none"/>
        </w:rPr>
        <w:t>（1）比较法</w:t>
      </w:r>
    </w:p>
    <w:p>
      <w:pPr>
        <w:pageBreakBefore w:val="0"/>
        <w:kinsoku/>
        <w:wordWrap/>
        <w:overflowPunct/>
        <w:topLinePunct w:val="0"/>
        <w:bidi w:val="0"/>
        <w:snapToGrid/>
        <w:spacing w:line="560" w:lineRule="exact"/>
        <w:ind w:firstLine="708" w:firstLineChars="200"/>
        <w:textAlignment w:val="auto"/>
        <w:rPr>
          <w:rFonts w:eastAsia="仿宋_GB2312"/>
          <w:color w:val="auto"/>
          <w:spacing w:val="17"/>
          <w:sz w:val="32"/>
          <w:szCs w:val="32"/>
          <w:highlight w:val="none"/>
        </w:rPr>
      </w:pPr>
      <w:r>
        <w:rPr>
          <w:rFonts w:eastAsia="仿宋_GB2312"/>
          <w:color w:val="auto"/>
          <w:spacing w:val="17"/>
          <w:sz w:val="32"/>
          <w:szCs w:val="32"/>
          <w:highlight w:val="none"/>
        </w:rPr>
        <w:t>通过对绩效目标与实施效果、历史与当期情况，综合分析绩效目标实现程度。对</w:t>
      </w:r>
      <w:r>
        <w:rPr>
          <w:rFonts w:eastAsia="仿宋_GB2312"/>
          <w:color w:val="auto"/>
          <w:sz w:val="32"/>
          <w:szCs w:val="32"/>
          <w:highlight w:val="none"/>
        </w:rPr>
        <w:t>项目</w:t>
      </w:r>
      <w:r>
        <w:rPr>
          <w:rFonts w:eastAsia="仿宋_GB2312"/>
          <w:color w:val="auto"/>
          <w:spacing w:val="17"/>
          <w:sz w:val="32"/>
          <w:szCs w:val="32"/>
          <w:highlight w:val="none"/>
        </w:rPr>
        <w:t>最终验收情况与年度绩效目标对比、预算资金执行情况等相关因素进行比较。</w:t>
      </w:r>
    </w:p>
    <w:p>
      <w:pPr>
        <w:pageBreakBefore w:val="0"/>
        <w:kinsoku/>
        <w:wordWrap/>
        <w:overflowPunct/>
        <w:topLinePunct w:val="0"/>
        <w:bidi w:val="0"/>
        <w:snapToGrid/>
        <w:spacing w:line="560" w:lineRule="exact"/>
        <w:ind w:firstLine="708" w:firstLineChars="200"/>
        <w:textAlignment w:val="auto"/>
        <w:rPr>
          <w:rFonts w:eastAsia="仿宋_GB2312"/>
          <w:color w:val="auto"/>
          <w:spacing w:val="17"/>
          <w:sz w:val="32"/>
          <w:szCs w:val="32"/>
          <w:highlight w:val="none"/>
        </w:rPr>
      </w:pPr>
      <w:r>
        <w:rPr>
          <w:rFonts w:eastAsia="仿宋_GB2312"/>
          <w:color w:val="auto"/>
          <w:spacing w:val="17"/>
          <w:sz w:val="32"/>
          <w:szCs w:val="32"/>
          <w:highlight w:val="none"/>
        </w:rPr>
        <w:t>（2）因素分析法</w:t>
      </w:r>
    </w:p>
    <w:p>
      <w:pPr>
        <w:pageBreakBefore w:val="0"/>
        <w:kinsoku/>
        <w:wordWrap/>
        <w:overflowPunct/>
        <w:topLinePunct w:val="0"/>
        <w:bidi w:val="0"/>
        <w:snapToGrid/>
        <w:spacing w:line="560" w:lineRule="exact"/>
        <w:ind w:firstLine="708" w:firstLineChars="200"/>
        <w:textAlignment w:val="auto"/>
        <w:rPr>
          <w:rFonts w:eastAsia="仿宋_GB2312"/>
          <w:color w:val="auto"/>
          <w:spacing w:val="17"/>
          <w:sz w:val="32"/>
          <w:szCs w:val="32"/>
          <w:highlight w:val="none"/>
        </w:rPr>
      </w:pPr>
      <w:r>
        <w:rPr>
          <w:rFonts w:eastAsia="仿宋_GB2312"/>
          <w:color w:val="auto"/>
          <w:spacing w:val="17"/>
          <w:sz w:val="32"/>
          <w:szCs w:val="32"/>
          <w:highlight w:val="none"/>
        </w:rPr>
        <w:t>通过综合分析影响绩效目标实现、实施效果的内外因素，评价绩效目标实现程度。通过对</w:t>
      </w:r>
      <w:r>
        <w:rPr>
          <w:rFonts w:eastAsia="仿宋_GB2312"/>
          <w:color w:val="auto"/>
          <w:sz w:val="32"/>
          <w:szCs w:val="32"/>
          <w:highlight w:val="none"/>
        </w:rPr>
        <w:t>项目</w:t>
      </w:r>
      <w:r>
        <w:rPr>
          <w:rFonts w:eastAsia="仿宋_GB2312"/>
          <w:color w:val="auto"/>
          <w:spacing w:val="17"/>
          <w:sz w:val="32"/>
          <w:szCs w:val="32"/>
          <w:highlight w:val="none"/>
        </w:rPr>
        <w:t>的开展情况、项目产出数量、成本控制、资金拨付文件及自评报告等相关资料的收集和审核，综合分析各因素对绩效目标实现的影响。</w:t>
      </w:r>
    </w:p>
    <w:p>
      <w:pPr>
        <w:pStyle w:val="19"/>
        <w:pageBreakBefore w:val="0"/>
        <w:widowControl w:val="0"/>
        <w:kinsoku/>
        <w:wordWrap/>
        <w:overflowPunct/>
        <w:topLinePunct w:val="0"/>
        <w:bidi w:val="0"/>
        <w:snapToGrid/>
        <w:spacing w:before="0" w:after="0" w:line="560" w:lineRule="exact"/>
        <w:ind w:firstLine="640" w:firstLineChars="200"/>
        <w:jc w:val="both"/>
        <w:textAlignment w:val="auto"/>
        <w:outlineLvl w:val="9"/>
        <w:rPr>
          <w:rFonts w:ascii="Times New Roman" w:hAnsi="Times New Roman" w:eastAsia="仿宋_GB2312"/>
          <w:b w:val="0"/>
          <w:bCs w:val="0"/>
          <w:color w:val="auto"/>
          <w:highlight w:val="none"/>
        </w:rPr>
      </w:pPr>
      <w:r>
        <w:rPr>
          <w:rFonts w:ascii="Times New Roman" w:hAnsi="Times New Roman" w:eastAsia="仿宋_GB2312"/>
          <w:b w:val="0"/>
          <w:bCs w:val="0"/>
          <w:color w:val="auto"/>
          <w:highlight w:val="none"/>
        </w:rPr>
        <w:t>4、评价标准</w:t>
      </w:r>
    </w:p>
    <w:p>
      <w:pPr>
        <w:pageBreakBefore w:val="0"/>
        <w:kinsoku/>
        <w:wordWrap/>
        <w:overflowPunct/>
        <w:topLinePunct w:val="0"/>
        <w:bidi w:val="0"/>
        <w:snapToGrid/>
        <w:spacing w:line="560" w:lineRule="exact"/>
        <w:ind w:firstLine="708" w:firstLineChars="200"/>
        <w:textAlignment w:val="auto"/>
        <w:rPr>
          <w:rFonts w:eastAsia="仿宋_GB2312"/>
          <w:color w:val="auto"/>
          <w:spacing w:val="17"/>
          <w:sz w:val="32"/>
          <w:szCs w:val="32"/>
          <w:highlight w:val="none"/>
        </w:rPr>
      </w:pPr>
      <w:r>
        <w:rPr>
          <w:rFonts w:eastAsia="仿宋_GB2312"/>
          <w:color w:val="auto"/>
          <w:spacing w:val="17"/>
          <w:sz w:val="32"/>
          <w:szCs w:val="32"/>
          <w:highlight w:val="none"/>
        </w:rPr>
        <w:t>绩效评价标准通常包括计划标准、行业标准、历史标准等，用于对绩效指标完成情况进行比较。本次评价主要采用了计划标准和行业标准。</w:t>
      </w:r>
    </w:p>
    <w:p>
      <w:pPr>
        <w:spacing w:line="560" w:lineRule="exact"/>
        <w:ind w:firstLine="640"/>
        <w:rPr>
          <w:rFonts w:eastAsia="方正仿宋_GBK" w:cs="方正仿宋_GBK"/>
          <w:color w:val="auto"/>
          <w:sz w:val="32"/>
          <w:szCs w:val="32"/>
          <w:highlight w:val="none"/>
        </w:rPr>
      </w:pPr>
      <w:bookmarkStart w:id="1" w:name="_Toc31464"/>
      <w:bookmarkStart w:id="2" w:name="_Toc17882"/>
      <w:r>
        <w:rPr>
          <w:rFonts w:hint="eastAsia" w:eastAsia="方正仿宋_GBK" w:cs="方正仿宋_GBK"/>
          <w:b/>
          <w:bCs/>
          <w:color w:val="auto"/>
          <w:sz w:val="32"/>
          <w:szCs w:val="32"/>
          <w:highlight w:val="none"/>
        </w:rPr>
        <w:t>计划标准：</w:t>
      </w:r>
      <w:r>
        <w:rPr>
          <w:rFonts w:hint="eastAsia" w:eastAsia="方正仿宋_GBK" w:cs="方正仿宋_GBK"/>
          <w:color w:val="auto"/>
          <w:sz w:val="32"/>
          <w:szCs w:val="32"/>
          <w:highlight w:val="none"/>
        </w:rPr>
        <w:t>指以预先制定的目标、计划、预算、定额等作为评价标准。</w:t>
      </w:r>
      <w:bookmarkEnd w:id="1"/>
      <w:bookmarkEnd w:id="2"/>
    </w:p>
    <w:p>
      <w:pPr>
        <w:spacing w:line="560" w:lineRule="exact"/>
        <w:ind w:firstLine="640"/>
        <w:rPr>
          <w:color w:val="auto"/>
          <w:highlight w:val="none"/>
        </w:rPr>
      </w:pPr>
      <w:bookmarkStart w:id="3" w:name="_Toc2318"/>
      <w:bookmarkStart w:id="4" w:name="_Toc5633"/>
      <w:r>
        <w:rPr>
          <w:rFonts w:hint="eastAsia" w:eastAsia="方正仿宋_GBK" w:cs="方正仿宋_GBK"/>
          <w:b/>
          <w:bCs/>
          <w:color w:val="auto"/>
          <w:sz w:val="32"/>
          <w:szCs w:val="32"/>
          <w:highlight w:val="none"/>
        </w:rPr>
        <w:t>行业标准：</w:t>
      </w:r>
      <w:r>
        <w:rPr>
          <w:rFonts w:hint="eastAsia" w:eastAsia="方正仿宋_GBK" w:cs="方正仿宋_GBK"/>
          <w:color w:val="auto"/>
          <w:sz w:val="32"/>
          <w:szCs w:val="32"/>
          <w:highlight w:val="none"/>
        </w:rPr>
        <w:t>指参照国家公布的行业指标数据制定的评价标准。</w:t>
      </w:r>
      <w:bookmarkEnd w:id="3"/>
      <w:bookmarkEnd w:id="4"/>
    </w:p>
    <w:p>
      <w:pPr>
        <w:pStyle w:val="19"/>
        <w:pageBreakBefore w:val="0"/>
        <w:numPr>
          <w:ilvl w:val="0"/>
          <w:numId w:val="4"/>
        </w:numPr>
        <w:kinsoku/>
        <w:wordWrap/>
        <w:overflowPunct/>
        <w:topLinePunct w:val="0"/>
        <w:bidi w:val="0"/>
        <w:snapToGrid/>
        <w:spacing w:before="0" w:after="0" w:line="560" w:lineRule="exact"/>
        <w:ind w:firstLine="711" w:firstLineChars="200"/>
        <w:jc w:val="both"/>
        <w:textAlignment w:val="auto"/>
        <w:rPr>
          <w:rFonts w:ascii="楷体" w:hAnsi="楷体" w:eastAsia="楷体" w:cs="楷体"/>
          <w:color w:val="auto"/>
          <w:spacing w:val="17"/>
          <w:highlight w:val="none"/>
        </w:rPr>
      </w:pPr>
      <w:r>
        <w:rPr>
          <w:rFonts w:hint="eastAsia" w:ascii="楷体" w:hAnsi="楷体" w:eastAsia="楷体" w:cs="楷体"/>
          <w:color w:val="auto"/>
          <w:spacing w:val="17"/>
          <w:highlight w:val="none"/>
        </w:rPr>
        <w:t>绩效评价工作过程</w:t>
      </w:r>
    </w:p>
    <w:p>
      <w:pPr>
        <w:pageBreakBefore w:val="0"/>
        <w:numPr>
          <w:ilvl w:val="0"/>
          <w:numId w:val="5"/>
        </w:numPr>
        <w:kinsoku/>
        <w:wordWrap/>
        <w:overflowPunct/>
        <w:topLinePunct w:val="0"/>
        <w:bidi w:val="0"/>
        <w:snapToGrid/>
        <w:spacing w:line="560" w:lineRule="exact"/>
        <w:ind w:firstLine="640" w:firstLineChars="200"/>
        <w:textAlignment w:val="auto"/>
        <w:rPr>
          <w:rFonts w:eastAsia="仿宋_GB2312"/>
          <w:bCs/>
          <w:color w:val="auto"/>
          <w:sz w:val="32"/>
          <w:szCs w:val="32"/>
          <w:highlight w:val="none"/>
        </w:rPr>
      </w:pPr>
      <w:r>
        <w:rPr>
          <w:rFonts w:hint="eastAsia" w:eastAsia="仿宋_GB2312"/>
          <w:bCs/>
          <w:color w:val="auto"/>
          <w:sz w:val="32"/>
          <w:szCs w:val="32"/>
          <w:highlight w:val="none"/>
        </w:rPr>
        <w:t>前期准备。首先成立评价工作组，开展前期调研；其次明确项目绩效目标，设计绩效评价指标体系并确定绩效评价方法；接着确定现场和非现场评价范围，设计资料清单；最后制定评价实施方案并进行论证。</w:t>
      </w:r>
    </w:p>
    <w:p>
      <w:pPr>
        <w:pageBreakBefore w:val="0"/>
        <w:numPr>
          <w:ilvl w:val="0"/>
          <w:numId w:val="5"/>
        </w:numPr>
        <w:kinsoku/>
        <w:wordWrap/>
        <w:overflowPunct/>
        <w:topLinePunct w:val="0"/>
        <w:bidi w:val="0"/>
        <w:snapToGrid/>
        <w:spacing w:line="560" w:lineRule="exact"/>
        <w:ind w:firstLine="640" w:firstLineChars="200"/>
        <w:textAlignment w:val="auto"/>
        <w:rPr>
          <w:rFonts w:eastAsia="仿宋_GB2312"/>
          <w:bCs/>
          <w:color w:val="auto"/>
          <w:sz w:val="32"/>
          <w:szCs w:val="32"/>
          <w:highlight w:val="none"/>
        </w:rPr>
      </w:pPr>
      <w:r>
        <w:rPr>
          <w:rFonts w:hint="eastAsia" w:eastAsia="仿宋_GB2312"/>
          <w:bCs/>
          <w:color w:val="auto"/>
          <w:sz w:val="32"/>
          <w:szCs w:val="32"/>
          <w:highlight w:val="none"/>
        </w:rPr>
        <w:t>组织实施。制定绩效评价工作方案，具体包括项目概况、评价思路、方法手段、组织实施、进度安排等。收集项目立项依据、相关会议纪要、实施方案、财政资金分配方案、支付管理情况等相关评价资料并进行梳理。</w:t>
      </w:r>
    </w:p>
    <w:p>
      <w:pPr>
        <w:pageBreakBefore w:val="0"/>
        <w:numPr>
          <w:ilvl w:val="0"/>
          <w:numId w:val="5"/>
        </w:numPr>
        <w:kinsoku/>
        <w:wordWrap/>
        <w:overflowPunct/>
        <w:topLinePunct w:val="0"/>
        <w:bidi w:val="0"/>
        <w:snapToGrid/>
        <w:spacing w:line="560" w:lineRule="exact"/>
        <w:ind w:firstLine="640" w:firstLineChars="200"/>
        <w:textAlignment w:val="auto"/>
        <w:rPr>
          <w:color w:val="auto"/>
          <w:sz w:val="32"/>
          <w:szCs w:val="32"/>
          <w:highlight w:val="none"/>
        </w:rPr>
      </w:pPr>
      <w:r>
        <w:rPr>
          <w:rFonts w:hint="eastAsia" w:eastAsia="仿宋_GB2312"/>
          <w:bCs/>
          <w:color w:val="auto"/>
          <w:sz w:val="32"/>
          <w:szCs w:val="32"/>
          <w:highlight w:val="none"/>
        </w:rPr>
        <w:t>分析评价。根据收集梳理的资料围绕项目立项、资金落实、业务管理、财务管理、项目产出、项目效益等内容，对照已确定的绩效评价指标进行详细全面的分析评价，逐项打分并形成绩效评价最终结果。</w:t>
      </w:r>
    </w:p>
    <w:p>
      <w:pPr>
        <w:pageBreakBefore w:val="0"/>
        <w:numPr>
          <w:ilvl w:val="0"/>
          <w:numId w:val="6"/>
        </w:numPr>
        <w:kinsoku/>
        <w:wordWrap/>
        <w:overflowPunct/>
        <w:topLinePunct w:val="0"/>
        <w:bidi w:val="0"/>
        <w:snapToGrid/>
        <w:spacing w:line="560" w:lineRule="exact"/>
        <w:ind w:firstLine="640" w:firstLineChars="200"/>
        <w:textAlignment w:val="auto"/>
        <w:rPr>
          <w:rFonts w:eastAsia="黑体"/>
          <w:color w:val="auto"/>
          <w:sz w:val="32"/>
          <w:szCs w:val="32"/>
          <w:highlight w:val="none"/>
        </w:rPr>
      </w:pPr>
      <w:r>
        <w:rPr>
          <w:rFonts w:eastAsia="黑体"/>
          <w:color w:val="auto"/>
          <w:sz w:val="32"/>
          <w:szCs w:val="32"/>
          <w:highlight w:val="none"/>
        </w:rPr>
        <w:t>综合评价情况及评价结论（附相关评分表）</w:t>
      </w:r>
    </w:p>
    <w:p>
      <w:pPr>
        <w:pStyle w:val="19"/>
        <w:pageBreakBefore w:val="0"/>
        <w:widowControl w:val="0"/>
        <w:kinsoku/>
        <w:wordWrap/>
        <w:overflowPunct/>
        <w:topLinePunct w:val="0"/>
        <w:bidi w:val="0"/>
        <w:snapToGrid/>
        <w:spacing w:before="0" w:after="0" w:line="560" w:lineRule="exact"/>
        <w:ind w:firstLine="640" w:firstLineChars="200"/>
        <w:jc w:val="both"/>
        <w:textAlignment w:val="auto"/>
        <w:outlineLvl w:val="9"/>
        <w:rPr>
          <w:rFonts w:ascii="Times New Roman" w:hAnsi="Times New Roman" w:eastAsia="仿宋_GB2312"/>
          <w:color w:val="auto"/>
          <w:sz w:val="30"/>
          <w:szCs w:val="30"/>
          <w:highlight w:val="none"/>
        </w:rPr>
      </w:pPr>
      <w:r>
        <w:rPr>
          <w:rFonts w:ascii="Times New Roman" w:hAnsi="Times New Roman" w:eastAsia="仿宋_GB2312"/>
          <w:b w:val="0"/>
          <w:bCs w:val="0"/>
          <w:color w:val="auto"/>
          <w:highlight w:val="none"/>
        </w:rPr>
        <w:t>对</w:t>
      </w:r>
      <w:r>
        <w:rPr>
          <w:rFonts w:hint="eastAsia" w:ascii="Times New Roman" w:hAnsi="Times New Roman" w:eastAsia="仿宋_GB2312"/>
          <w:b w:val="0"/>
          <w:bCs w:val="0"/>
          <w:color w:val="auto"/>
          <w:highlight w:val="none"/>
          <w:lang w:eastAsia="zh-CN"/>
        </w:rPr>
        <w:t>自治区畜牧业生产发展</w:t>
      </w:r>
      <w:r>
        <w:rPr>
          <w:rFonts w:ascii="Times New Roman" w:hAnsi="Times New Roman" w:eastAsia="仿宋_GB2312"/>
          <w:b w:val="0"/>
          <w:bCs w:val="0"/>
          <w:color w:val="auto"/>
          <w:highlight w:val="none"/>
        </w:rPr>
        <w:t>项目进行客观评价，最终评分结果：总得分为</w:t>
      </w:r>
      <w:r>
        <w:rPr>
          <w:rFonts w:hint="eastAsia" w:ascii="Times New Roman" w:hAnsi="Times New Roman" w:eastAsia="仿宋_GB2312"/>
          <w:b w:val="0"/>
          <w:bCs w:val="0"/>
          <w:color w:val="auto"/>
          <w:highlight w:val="none"/>
          <w:lang w:val="en-US" w:eastAsia="zh-CN"/>
        </w:rPr>
        <w:t>9</w:t>
      </w:r>
      <w:r>
        <w:rPr>
          <w:rFonts w:hint="default" w:ascii="Times New Roman" w:hAnsi="Times New Roman" w:eastAsia="仿宋_GB2312"/>
          <w:b w:val="0"/>
          <w:bCs w:val="0"/>
          <w:color w:val="auto"/>
          <w:highlight w:val="none"/>
          <w:lang w:eastAsia="zh-CN"/>
        </w:rPr>
        <w:t>9.82</w:t>
      </w:r>
      <w:r>
        <w:rPr>
          <w:rFonts w:ascii="Times New Roman" w:hAnsi="Times New Roman" w:eastAsia="仿宋_GB2312"/>
          <w:b w:val="0"/>
          <w:bCs w:val="0"/>
          <w:color w:val="auto"/>
          <w:highlight w:val="none"/>
        </w:rPr>
        <w:t>分，属于“优”。其中，项目决策类指标权重为</w:t>
      </w:r>
      <w:r>
        <w:rPr>
          <w:rFonts w:hint="eastAsia" w:ascii="Times New Roman" w:hAnsi="Times New Roman" w:eastAsia="仿宋_GB2312"/>
          <w:b w:val="0"/>
          <w:bCs w:val="0"/>
          <w:color w:val="auto"/>
          <w:highlight w:val="none"/>
        </w:rPr>
        <w:t>20</w:t>
      </w:r>
      <w:r>
        <w:rPr>
          <w:rFonts w:ascii="Times New Roman" w:hAnsi="Times New Roman" w:eastAsia="仿宋_GB2312"/>
          <w:b w:val="0"/>
          <w:bCs w:val="0"/>
          <w:color w:val="auto"/>
          <w:highlight w:val="none"/>
        </w:rPr>
        <w:t>分，得分为</w:t>
      </w:r>
      <w:r>
        <w:rPr>
          <w:rFonts w:hint="eastAsia" w:ascii="Times New Roman" w:hAnsi="Times New Roman" w:eastAsia="仿宋_GB2312"/>
          <w:b w:val="0"/>
          <w:bCs w:val="0"/>
          <w:color w:val="auto"/>
          <w:highlight w:val="none"/>
          <w:lang w:val="en-US" w:eastAsia="zh-CN"/>
        </w:rPr>
        <w:t>20</w:t>
      </w:r>
      <w:r>
        <w:rPr>
          <w:rFonts w:ascii="Times New Roman" w:hAnsi="Times New Roman" w:eastAsia="仿宋_GB2312"/>
          <w:b w:val="0"/>
          <w:bCs w:val="0"/>
          <w:color w:val="auto"/>
          <w:highlight w:val="none"/>
        </w:rPr>
        <w:t>分，得分率为</w:t>
      </w:r>
      <w:r>
        <w:rPr>
          <w:rFonts w:hint="eastAsia" w:ascii="Times New Roman" w:hAnsi="Times New Roman" w:eastAsia="仿宋_GB2312"/>
          <w:b w:val="0"/>
          <w:bCs w:val="0"/>
          <w:color w:val="auto"/>
          <w:highlight w:val="none"/>
          <w:lang w:val="en-US" w:eastAsia="zh-CN"/>
        </w:rPr>
        <w:t>100</w:t>
      </w:r>
      <w:r>
        <w:rPr>
          <w:rFonts w:ascii="Times New Roman" w:hAnsi="Times New Roman" w:eastAsia="仿宋_GB2312"/>
          <w:b w:val="0"/>
          <w:bCs w:val="0"/>
          <w:color w:val="auto"/>
          <w:highlight w:val="none"/>
        </w:rPr>
        <w:t>%。项目过程类指标权重为</w:t>
      </w:r>
      <w:r>
        <w:rPr>
          <w:rFonts w:hint="eastAsia" w:ascii="Times New Roman" w:hAnsi="Times New Roman" w:eastAsia="仿宋_GB2312"/>
          <w:b w:val="0"/>
          <w:bCs w:val="0"/>
          <w:color w:val="auto"/>
          <w:highlight w:val="none"/>
        </w:rPr>
        <w:t>20</w:t>
      </w:r>
      <w:r>
        <w:rPr>
          <w:rFonts w:ascii="Times New Roman" w:hAnsi="Times New Roman" w:eastAsia="仿宋_GB2312"/>
          <w:b w:val="0"/>
          <w:bCs w:val="0"/>
          <w:color w:val="auto"/>
          <w:highlight w:val="none"/>
        </w:rPr>
        <w:t>分，得分为</w:t>
      </w:r>
      <w:r>
        <w:rPr>
          <w:rFonts w:hint="eastAsia" w:ascii="Times New Roman" w:hAnsi="Times New Roman" w:eastAsia="仿宋_GB2312"/>
          <w:b w:val="0"/>
          <w:bCs w:val="0"/>
          <w:color w:val="auto"/>
          <w:highlight w:val="none"/>
          <w:lang w:val="en-US" w:eastAsia="zh-CN"/>
        </w:rPr>
        <w:t>19.</w:t>
      </w:r>
      <w:r>
        <w:rPr>
          <w:rFonts w:hint="default" w:ascii="Times New Roman" w:hAnsi="Times New Roman" w:eastAsia="仿宋_GB2312"/>
          <w:b w:val="0"/>
          <w:bCs w:val="0"/>
          <w:color w:val="auto"/>
          <w:highlight w:val="none"/>
          <w:lang w:eastAsia="zh-CN"/>
        </w:rPr>
        <w:t>8</w:t>
      </w:r>
      <w:r>
        <w:rPr>
          <w:rFonts w:hint="eastAsia" w:ascii="Times New Roman" w:hAnsi="Times New Roman" w:eastAsia="仿宋_GB2312"/>
          <w:b w:val="0"/>
          <w:bCs w:val="0"/>
          <w:color w:val="auto"/>
          <w:highlight w:val="none"/>
          <w:lang w:val="en-US" w:eastAsia="zh-CN"/>
        </w:rPr>
        <w:t>5</w:t>
      </w:r>
      <w:r>
        <w:rPr>
          <w:rFonts w:ascii="Times New Roman" w:hAnsi="Times New Roman" w:eastAsia="仿宋_GB2312"/>
          <w:b w:val="0"/>
          <w:bCs w:val="0"/>
          <w:color w:val="auto"/>
          <w:highlight w:val="none"/>
        </w:rPr>
        <w:t>分，得分率为</w:t>
      </w:r>
      <w:r>
        <w:rPr>
          <w:rFonts w:hint="eastAsia" w:ascii="Times New Roman" w:hAnsi="Times New Roman" w:eastAsia="仿宋_GB2312"/>
          <w:b w:val="0"/>
          <w:bCs w:val="0"/>
          <w:color w:val="auto"/>
          <w:highlight w:val="none"/>
          <w:lang w:val="en-US" w:eastAsia="zh-CN"/>
        </w:rPr>
        <w:t>9</w:t>
      </w:r>
      <w:r>
        <w:rPr>
          <w:rFonts w:hint="default" w:ascii="Times New Roman" w:hAnsi="Times New Roman" w:eastAsia="仿宋_GB2312"/>
          <w:b w:val="0"/>
          <w:bCs w:val="0"/>
          <w:color w:val="auto"/>
          <w:highlight w:val="none"/>
          <w:lang w:eastAsia="zh-CN"/>
        </w:rPr>
        <w:t>9</w:t>
      </w:r>
      <w:r>
        <w:rPr>
          <w:rFonts w:hint="eastAsia" w:ascii="Times New Roman" w:hAnsi="Times New Roman" w:eastAsia="仿宋_GB2312"/>
          <w:b w:val="0"/>
          <w:bCs w:val="0"/>
          <w:color w:val="auto"/>
          <w:highlight w:val="none"/>
          <w:lang w:val="en-US" w:eastAsia="zh-CN"/>
        </w:rPr>
        <w:t>.25</w:t>
      </w:r>
      <w:r>
        <w:rPr>
          <w:rFonts w:ascii="Times New Roman" w:hAnsi="Times New Roman" w:eastAsia="仿宋_GB2312"/>
          <w:b w:val="0"/>
          <w:bCs w:val="0"/>
          <w:color w:val="auto"/>
          <w:highlight w:val="none"/>
        </w:rPr>
        <w:t>%。项目产出类指标权重为</w:t>
      </w:r>
      <w:r>
        <w:rPr>
          <w:rFonts w:hint="eastAsia" w:ascii="Times New Roman" w:hAnsi="Times New Roman" w:eastAsia="仿宋_GB2312"/>
          <w:b w:val="0"/>
          <w:bCs w:val="0"/>
          <w:color w:val="auto"/>
          <w:highlight w:val="none"/>
        </w:rPr>
        <w:t>40</w:t>
      </w:r>
      <w:r>
        <w:rPr>
          <w:rFonts w:ascii="Times New Roman" w:hAnsi="Times New Roman" w:eastAsia="仿宋_GB2312"/>
          <w:b w:val="0"/>
          <w:bCs w:val="0"/>
          <w:color w:val="auto"/>
          <w:highlight w:val="none"/>
        </w:rPr>
        <w:t>分，得分为</w:t>
      </w:r>
      <w:r>
        <w:rPr>
          <w:rFonts w:hint="eastAsia" w:ascii="Times New Roman" w:hAnsi="Times New Roman" w:eastAsia="仿宋_GB2312"/>
          <w:b w:val="0"/>
          <w:bCs w:val="0"/>
          <w:color w:val="auto"/>
          <w:highlight w:val="none"/>
          <w:lang w:val="en-US" w:eastAsia="zh-CN"/>
        </w:rPr>
        <w:t>39.</w:t>
      </w:r>
      <w:r>
        <w:rPr>
          <w:rFonts w:hint="default" w:ascii="Times New Roman" w:hAnsi="Times New Roman" w:eastAsia="仿宋_GB2312"/>
          <w:b w:val="0"/>
          <w:bCs w:val="0"/>
          <w:color w:val="auto"/>
          <w:highlight w:val="none"/>
          <w:lang w:eastAsia="zh-CN"/>
        </w:rPr>
        <w:t>97</w:t>
      </w:r>
      <w:r>
        <w:rPr>
          <w:rFonts w:ascii="Times New Roman" w:hAnsi="Times New Roman" w:eastAsia="仿宋_GB2312"/>
          <w:b w:val="0"/>
          <w:bCs w:val="0"/>
          <w:color w:val="auto"/>
          <w:highlight w:val="none"/>
        </w:rPr>
        <w:t>分，得分率为</w:t>
      </w:r>
      <w:r>
        <w:rPr>
          <w:rFonts w:hint="eastAsia" w:ascii="Times New Roman" w:hAnsi="Times New Roman" w:eastAsia="仿宋_GB2312"/>
          <w:b w:val="0"/>
          <w:bCs w:val="0"/>
          <w:color w:val="auto"/>
          <w:highlight w:val="none"/>
          <w:lang w:val="en-US" w:eastAsia="zh-CN"/>
        </w:rPr>
        <w:t>9</w:t>
      </w:r>
      <w:r>
        <w:rPr>
          <w:rFonts w:hint="default" w:ascii="Times New Roman" w:hAnsi="Times New Roman" w:eastAsia="仿宋_GB2312"/>
          <w:b w:val="0"/>
          <w:bCs w:val="0"/>
          <w:color w:val="auto"/>
          <w:highlight w:val="none"/>
          <w:lang w:eastAsia="zh-CN"/>
        </w:rPr>
        <w:t>9</w:t>
      </w:r>
      <w:r>
        <w:rPr>
          <w:rFonts w:hint="eastAsia" w:ascii="Times New Roman" w:hAnsi="Times New Roman" w:eastAsia="仿宋_GB2312"/>
          <w:b w:val="0"/>
          <w:bCs w:val="0"/>
          <w:color w:val="auto"/>
          <w:highlight w:val="none"/>
          <w:lang w:val="en-US" w:eastAsia="zh-CN"/>
        </w:rPr>
        <w:t>.</w:t>
      </w:r>
      <w:r>
        <w:rPr>
          <w:rFonts w:hint="default" w:ascii="Times New Roman" w:hAnsi="Times New Roman" w:eastAsia="仿宋_GB2312"/>
          <w:b w:val="0"/>
          <w:bCs w:val="0"/>
          <w:color w:val="auto"/>
          <w:highlight w:val="none"/>
          <w:lang w:eastAsia="zh-CN"/>
        </w:rPr>
        <w:t>93</w:t>
      </w:r>
      <w:r>
        <w:rPr>
          <w:rFonts w:ascii="Times New Roman" w:hAnsi="Times New Roman" w:eastAsia="仿宋_GB2312"/>
          <w:b w:val="0"/>
          <w:bCs w:val="0"/>
          <w:color w:val="auto"/>
          <w:highlight w:val="none"/>
        </w:rPr>
        <w:t>%。项目效益类指标权重为</w:t>
      </w:r>
      <w:r>
        <w:rPr>
          <w:rFonts w:hint="eastAsia" w:ascii="Times New Roman" w:hAnsi="Times New Roman" w:eastAsia="仿宋_GB2312"/>
          <w:b w:val="0"/>
          <w:bCs w:val="0"/>
          <w:color w:val="auto"/>
          <w:highlight w:val="none"/>
        </w:rPr>
        <w:t>20</w:t>
      </w:r>
      <w:r>
        <w:rPr>
          <w:rFonts w:ascii="Times New Roman" w:hAnsi="Times New Roman" w:eastAsia="仿宋_GB2312"/>
          <w:b w:val="0"/>
          <w:bCs w:val="0"/>
          <w:color w:val="auto"/>
          <w:highlight w:val="none"/>
        </w:rPr>
        <w:t>分，得分为</w:t>
      </w:r>
      <w:r>
        <w:rPr>
          <w:rFonts w:hint="eastAsia" w:ascii="Times New Roman" w:hAnsi="Times New Roman" w:eastAsia="仿宋_GB2312"/>
          <w:b w:val="0"/>
          <w:bCs w:val="0"/>
          <w:color w:val="auto"/>
          <w:highlight w:val="none"/>
          <w:lang w:val="en-US" w:eastAsia="zh-CN"/>
        </w:rPr>
        <w:t>20</w:t>
      </w:r>
      <w:r>
        <w:rPr>
          <w:rFonts w:ascii="Times New Roman" w:hAnsi="Times New Roman" w:eastAsia="仿宋_GB2312"/>
          <w:b w:val="0"/>
          <w:bCs w:val="0"/>
          <w:color w:val="auto"/>
          <w:highlight w:val="none"/>
        </w:rPr>
        <w:t>分，得分率为</w:t>
      </w:r>
      <w:r>
        <w:rPr>
          <w:rFonts w:hint="eastAsia" w:ascii="Times New Roman" w:hAnsi="Times New Roman" w:eastAsia="仿宋_GB2312"/>
          <w:b w:val="0"/>
          <w:bCs w:val="0"/>
          <w:color w:val="auto"/>
          <w:highlight w:val="none"/>
          <w:lang w:val="en-US" w:eastAsia="zh-CN"/>
        </w:rPr>
        <w:t>100</w:t>
      </w:r>
      <w:r>
        <w:rPr>
          <w:rFonts w:ascii="Times New Roman" w:hAnsi="Times New Roman" w:eastAsia="仿宋_GB2312"/>
          <w:b w:val="0"/>
          <w:bCs w:val="0"/>
          <w:color w:val="auto"/>
          <w:highlight w:val="none"/>
        </w:rPr>
        <w:t>%。</w:t>
      </w:r>
    </w:p>
    <w:p>
      <w:pPr>
        <w:pStyle w:val="19"/>
        <w:pageBreakBefore w:val="0"/>
        <w:kinsoku/>
        <w:wordWrap/>
        <w:overflowPunct/>
        <w:topLinePunct w:val="0"/>
        <w:bidi w:val="0"/>
        <w:snapToGrid/>
        <w:spacing w:line="560" w:lineRule="exact"/>
        <w:textAlignment w:val="auto"/>
        <w:rPr>
          <w:rFonts w:ascii="Times New Roman" w:hAnsi="Times New Roman" w:eastAsia="仿宋_GB2312"/>
          <w:color w:val="auto"/>
          <w:sz w:val="30"/>
          <w:szCs w:val="30"/>
          <w:highlight w:val="none"/>
        </w:rPr>
      </w:pPr>
      <w:r>
        <w:rPr>
          <w:rFonts w:ascii="Times New Roman" w:hAnsi="Times New Roman" w:eastAsia="仿宋_GB2312"/>
          <w:color w:val="auto"/>
          <w:sz w:val="30"/>
          <w:szCs w:val="30"/>
          <w:highlight w:val="none"/>
        </w:rPr>
        <w:t>表1综合评分表</w:t>
      </w:r>
    </w:p>
    <w:p>
      <w:pPr>
        <w:pageBreakBefore w:val="0"/>
        <w:kinsoku/>
        <w:wordWrap/>
        <w:overflowPunct/>
        <w:topLinePunct w:val="0"/>
        <w:bidi w:val="0"/>
        <w:snapToGrid/>
        <w:spacing w:line="560" w:lineRule="exact"/>
        <w:textAlignment w:val="auto"/>
        <w:rPr>
          <w:color w:val="auto"/>
          <w:highlight w:val="none"/>
        </w:rPr>
      </w:pPr>
    </w:p>
    <w:p>
      <w:pPr>
        <w:pageBreakBefore w:val="0"/>
        <w:kinsoku/>
        <w:wordWrap/>
        <w:overflowPunct/>
        <w:topLinePunct w:val="0"/>
        <w:bidi w:val="0"/>
        <w:snapToGrid/>
        <w:spacing w:line="560" w:lineRule="exact"/>
        <w:textAlignment w:val="auto"/>
        <w:rPr>
          <w:color w:val="auto"/>
          <w:highlight w:val="none"/>
        </w:rPr>
      </w:pPr>
    </w:p>
    <w:tbl>
      <w:tblPr>
        <w:tblStyle w:val="22"/>
        <w:tblpPr w:leftFromText="180" w:rightFromText="180" w:vertAnchor="text" w:horzAnchor="page" w:tblpX="1016" w:tblpY="-67"/>
        <w:tblOverlap w:val="never"/>
        <w:tblW w:w="9954" w:type="dxa"/>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1104"/>
        <w:gridCol w:w="990"/>
        <w:gridCol w:w="1283"/>
        <w:gridCol w:w="1707"/>
        <w:gridCol w:w="727"/>
        <w:gridCol w:w="1044"/>
        <w:gridCol w:w="924"/>
        <w:gridCol w:w="1215"/>
        <w:gridCol w:w="960"/>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380" w:hRule="atLeast"/>
          <w:tblHeader/>
        </w:trPr>
        <w:tc>
          <w:tcPr>
            <w:tcW w:w="1104" w:type="dxa"/>
            <w:shd w:val="clear" w:color="auto" w:fill="BFBFBF"/>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rPr>
                <w:b/>
                <w:bCs/>
                <w:color w:val="auto"/>
                <w:kern w:val="0"/>
                <w:sz w:val="22"/>
                <w:szCs w:val="22"/>
                <w:highlight w:val="none"/>
              </w:rPr>
            </w:pPr>
            <w:r>
              <w:rPr>
                <w:b/>
                <w:bCs/>
                <w:color w:val="auto"/>
                <w:kern w:val="0"/>
                <w:sz w:val="22"/>
                <w:szCs w:val="22"/>
                <w:highlight w:val="none"/>
              </w:rPr>
              <w:t>一级指标</w:t>
            </w:r>
          </w:p>
        </w:tc>
        <w:tc>
          <w:tcPr>
            <w:tcW w:w="990" w:type="dxa"/>
            <w:shd w:val="clear" w:color="auto" w:fill="BFBFBF"/>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b/>
                <w:bCs/>
                <w:color w:val="auto"/>
                <w:kern w:val="0"/>
                <w:sz w:val="22"/>
                <w:szCs w:val="22"/>
                <w:highlight w:val="none"/>
              </w:rPr>
            </w:pPr>
            <w:r>
              <w:rPr>
                <w:b/>
                <w:bCs/>
                <w:color w:val="auto"/>
                <w:kern w:val="0"/>
                <w:sz w:val="22"/>
                <w:szCs w:val="22"/>
                <w:highlight w:val="none"/>
              </w:rPr>
              <w:t>分值</w:t>
            </w:r>
          </w:p>
        </w:tc>
        <w:tc>
          <w:tcPr>
            <w:tcW w:w="1283" w:type="dxa"/>
            <w:shd w:val="clear" w:color="auto" w:fill="BFBFBF"/>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b/>
                <w:bCs/>
                <w:color w:val="auto"/>
                <w:kern w:val="0"/>
                <w:sz w:val="22"/>
                <w:szCs w:val="22"/>
                <w:highlight w:val="none"/>
              </w:rPr>
            </w:pPr>
            <w:r>
              <w:rPr>
                <w:b/>
                <w:bCs/>
                <w:color w:val="auto"/>
                <w:kern w:val="0"/>
                <w:sz w:val="22"/>
                <w:szCs w:val="22"/>
                <w:highlight w:val="none"/>
              </w:rPr>
              <w:t>二级指标</w:t>
            </w:r>
          </w:p>
        </w:tc>
        <w:tc>
          <w:tcPr>
            <w:tcW w:w="1707" w:type="dxa"/>
            <w:shd w:val="clear" w:color="auto" w:fill="BFBFBF"/>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b/>
                <w:bCs/>
                <w:color w:val="auto"/>
                <w:kern w:val="0"/>
                <w:sz w:val="22"/>
                <w:szCs w:val="22"/>
                <w:highlight w:val="none"/>
              </w:rPr>
            </w:pPr>
            <w:r>
              <w:rPr>
                <w:b/>
                <w:bCs/>
                <w:color w:val="auto"/>
                <w:kern w:val="0"/>
                <w:sz w:val="22"/>
                <w:szCs w:val="22"/>
                <w:highlight w:val="none"/>
              </w:rPr>
              <w:t>三级指标</w:t>
            </w:r>
          </w:p>
        </w:tc>
        <w:tc>
          <w:tcPr>
            <w:tcW w:w="727" w:type="dxa"/>
            <w:shd w:val="clear" w:color="auto" w:fill="BFBFBF"/>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b/>
                <w:bCs/>
                <w:color w:val="auto"/>
                <w:kern w:val="0"/>
                <w:sz w:val="22"/>
                <w:szCs w:val="22"/>
                <w:highlight w:val="none"/>
              </w:rPr>
            </w:pPr>
            <w:r>
              <w:rPr>
                <w:b/>
                <w:bCs/>
                <w:color w:val="auto"/>
                <w:kern w:val="0"/>
                <w:sz w:val="22"/>
                <w:szCs w:val="22"/>
                <w:highlight w:val="none"/>
              </w:rPr>
              <w:t>权重</w:t>
            </w:r>
          </w:p>
        </w:tc>
        <w:tc>
          <w:tcPr>
            <w:tcW w:w="1044" w:type="dxa"/>
            <w:shd w:val="clear" w:color="auto" w:fill="BFBFBF"/>
            <w:vAlign w:val="center"/>
          </w:tcPr>
          <w:p>
            <w:pPr>
              <w:keepNext w:val="0"/>
              <w:keepLines w:val="0"/>
              <w:pageBreakBefore w:val="0"/>
              <w:widowControl/>
              <w:tabs>
                <w:tab w:val="left" w:pos="1333"/>
                <w:tab w:val="center" w:pos="3623"/>
              </w:tabs>
              <w:kinsoku/>
              <w:wordWrap/>
              <w:overflowPunct/>
              <w:topLinePunct w:val="0"/>
              <w:autoSpaceDE/>
              <w:autoSpaceDN/>
              <w:bidi w:val="0"/>
              <w:adjustRightInd/>
              <w:snapToGrid/>
              <w:spacing w:line="240" w:lineRule="auto"/>
              <w:jc w:val="center"/>
              <w:textAlignment w:val="auto"/>
              <w:rPr>
                <w:b/>
                <w:bCs/>
                <w:color w:val="auto"/>
                <w:kern w:val="0"/>
                <w:sz w:val="22"/>
                <w:szCs w:val="22"/>
                <w:highlight w:val="none"/>
              </w:rPr>
            </w:pPr>
            <w:r>
              <w:rPr>
                <w:b/>
                <w:bCs/>
                <w:color w:val="auto"/>
                <w:kern w:val="0"/>
                <w:sz w:val="22"/>
                <w:szCs w:val="22"/>
                <w:highlight w:val="none"/>
              </w:rPr>
              <w:t>目标值</w:t>
            </w:r>
          </w:p>
        </w:tc>
        <w:tc>
          <w:tcPr>
            <w:tcW w:w="924" w:type="dxa"/>
            <w:shd w:val="clear" w:color="auto" w:fill="BFBFBF"/>
            <w:vAlign w:val="center"/>
          </w:tcPr>
          <w:p>
            <w:pPr>
              <w:keepNext w:val="0"/>
              <w:keepLines w:val="0"/>
              <w:pageBreakBefore w:val="0"/>
              <w:widowControl/>
              <w:tabs>
                <w:tab w:val="left" w:pos="1333"/>
                <w:tab w:val="center" w:pos="3623"/>
              </w:tabs>
              <w:kinsoku/>
              <w:wordWrap/>
              <w:overflowPunct/>
              <w:topLinePunct w:val="0"/>
              <w:autoSpaceDE/>
              <w:autoSpaceDN/>
              <w:bidi w:val="0"/>
              <w:adjustRightInd/>
              <w:snapToGrid/>
              <w:spacing w:line="240" w:lineRule="auto"/>
              <w:jc w:val="center"/>
              <w:textAlignment w:val="auto"/>
              <w:rPr>
                <w:b/>
                <w:bCs/>
                <w:color w:val="auto"/>
                <w:kern w:val="0"/>
                <w:sz w:val="22"/>
                <w:szCs w:val="22"/>
                <w:highlight w:val="none"/>
              </w:rPr>
            </w:pPr>
            <w:r>
              <w:rPr>
                <w:b/>
                <w:bCs/>
                <w:color w:val="auto"/>
                <w:kern w:val="0"/>
                <w:sz w:val="22"/>
                <w:szCs w:val="22"/>
                <w:highlight w:val="none"/>
              </w:rPr>
              <w:t>业绩值</w:t>
            </w:r>
          </w:p>
        </w:tc>
        <w:tc>
          <w:tcPr>
            <w:tcW w:w="1215" w:type="dxa"/>
            <w:shd w:val="clear" w:color="auto" w:fill="BFBFBF"/>
            <w:vAlign w:val="center"/>
          </w:tcPr>
          <w:p>
            <w:pPr>
              <w:keepNext w:val="0"/>
              <w:keepLines w:val="0"/>
              <w:pageBreakBefore w:val="0"/>
              <w:widowControl/>
              <w:tabs>
                <w:tab w:val="left" w:pos="1333"/>
                <w:tab w:val="center" w:pos="3623"/>
              </w:tabs>
              <w:kinsoku/>
              <w:wordWrap/>
              <w:overflowPunct/>
              <w:topLinePunct w:val="0"/>
              <w:autoSpaceDE/>
              <w:autoSpaceDN/>
              <w:bidi w:val="0"/>
              <w:adjustRightInd/>
              <w:snapToGrid/>
              <w:spacing w:line="240" w:lineRule="auto"/>
              <w:jc w:val="center"/>
              <w:textAlignment w:val="auto"/>
              <w:rPr>
                <w:b/>
                <w:bCs/>
                <w:color w:val="auto"/>
                <w:kern w:val="0"/>
                <w:sz w:val="22"/>
                <w:szCs w:val="22"/>
                <w:highlight w:val="none"/>
              </w:rPr>
            </w:pPr>
            <w:r>
              <w:rPr>
                <w:b/>
                <w:bCs/>
                <w:color w:val="auto"/>
                <w:kern w:val="0"/>
                <w:sz w:val="22"/>
                <w:szCs w:val="22"/>
                <w:highlight w:val="none"/>
              </w:rPr>
              <w:t>得分率</w:t>
            </w:r>
          </w:p>
        </w:tc>
        <w:tc>
          <w:tcPr>
            <w:tcW w:w="960" w:type="dxa"/>
            <w:shd w:val="clear" w:color="auto" w:fill="BFBFBF"/>
            <w:vAlign w:val="center"/>
          </w:tcPr>
          <w:p>
            <w:pPr>
              <w:keepNext w:val="0"/>
              <w:keepLines w:val="0"/>
              <w:pageBreakBefore w:val="0"/>
              <w:widowControl/>
              <w:tabs>
                <w:tab w:val="left" w:pos="1333"/>
                <w:tab w:val="center" w:pos="3623"/>
              </w:tabs>
              <w:kinsoku/>
              <w:wordWrap/>
              <w:overflowPunct/>
              <w:topLinePunct w:val="0"/>
              <w:autoSpaceDE/>
              <w:autoSpaceDN/>
              <w:bidi w:val="0"/>
              <w:adjustRightInd/>
              <w:snapToGrid/>
              <w:spacing w:line="240" w:lineRule="auto"/>
              <w:jc w:val="center"/>
              <w:textAlignment w:val="auto"/>
              <w:rPr>
                <w:b/>
                <w:bCs/>
                <w:color w:val="auto"/>
                <w:kern w:val="0"/>
                <w:sz w:val="22"/>
                <w:szCs w:val="22"/>
                <w:highlight w:val="none"/>
              </w:rPr>
            </w:pPr>
            <w:r>
              <w:rPr>
                <w:b/>
                <w:bCs/>
                <w:color w:val="auto"/>
                <w:kern w:val="0"/>
                <w:sz w:val="22"/>
                <w:szCs w:val="22"/>
                <w:highlight w:val="none"/>
              </w:rPr>
              <w:t>得分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567" w:hRule="atLeast"/>
        </w:trPr>
        <w:tc>
          <w:tcPr>
            <w:tcW w:w="1104" w:type="dxa"/>
            <w:vMerge w:val="restart"/>
            <w:shd w:val="clear" w:color="auto" w:fill="FFFFFF"/>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color w:val="auto"/>
                <w:kern w:val="0"/>
                <w:sz w:val="22"/>
                <w:szCs w:val="22"/>
                <w:highlight w:val="none"/>
              </w:rPr>
            </w:pPr>
            <w:r>
              <w:rPr>
                <w:color w:val="auto"/>
                <w:kern w:val="0"/>
                <w:sz w:val="22"/>
                <w:szCs w:val="22"/>
                <w:highlight w:val="none"/>
              </w:rPr>
              <w:t>决策　</w:t>
            </w:r>
          </w:p>
          <w:p>
            <w:pPr>
              <w:keepNext w:val="0"/>
              <w:keepLines w:val="0"/>
              <w:pageBreakBefore w:val="0"/>
              <w:widowControl/>
              <w:kinsoku/>
              <w:wordWrap/>
              <w:overflowPunct/>
              <w:topLinePunct w:val="0"/>
              <w:autoSpaceDE/>
              <w:autoSpaceDN/>
              <w:bidi w:val="0"/>
              <w:adjustRightInd/>
              <w:snapToGrid/>
              <w:spacing w:line="240" w:lineRule="auto"/>
              <w:jc w:val="center"/>
              <w:textAlignment w:val="auto"/>
              <w:rPr>
                <w:color w:val="auto"/>
                <w:kern w:val="0"/>
                <w:sz w:val="22"/>
                <w:szCs w:val="22"/>
                <w:highlight w:val="none"/>
              </w:rPr>
            </w:pPr>
            <w:r>
              <w:rPr>
                <w:color w:val="auto"/>
                <w:kern w:val="0"/>
                <w:sz w:val="22"/>
                <w:szCs w:val="22"/>
                <w:highlight w:val="none"/>
              </w:rPr>
              <w:t>　</w:t>
            </w:r>
          </w:p>
          <w:p>
            <w:pPr>
              <w:keepNext w:val="0"/>
              <w:keepLines w:val="0"/>
              <w:pageBreakBefore w:val="0"/>
              <w:kinsoku/>
              <w:wordWrap/>
              <w:overflowPunct/>
              <w:topLinePunct w:val="0"/>
              <w:autoSpaceDE/>
              <w:autoSpaceDN/>
              <w:bidi w:val="0"/>
              <w:adjustRightInd/>
              <w:snapToGrid/>
              <w:spacing w:line="240" w:lineRule="auto"/>
              <w:jc w:val="center"/>
              <w:textAlignment w:val="auto"/>
              <w:rPr>
                <w:color w:val="auto"/>
                <w:kern w:val="0"/>
                <w:sz w:val="22"/>
                <w:szCs w:val="22"/>
                <w:highlight w:val="none"/>
              </w:rPr>
            </w:pPr>
            <w:r>
              <w:rPr>
                <w:color w:val="auto"/>
                <w:kern w:val="0"/>
                <w:sz w:val="22"/>
                <w:szCs w:val="22"/>
                <w:highlight w:val="none"/>
              </w:rPr>
              <w:t>　</w:t>
            </w:r>
          </w:p>
          <w:p>
            <w:pPr>
              <w:keepNext w:val="0"/>
              <w:keepLines w:val="0"/>
              <w:pageBreakBefore w:val="0"/>
              <w:widowControl/>
              <w:kinsoku/>
              <w:wordWrap/>
              <w:overflowPunct/>
              <w:topLinePunct w:val="0"/>
              <w:autoSpaceDE/>
              <w:autoSpaceDN/>
              <w:bidi w:val="0"/>
              <w:adjustRightInd/>
              <w:snapToGrid/>
              <w:spacing w:line="240" w:lineRule="auto"/>
              <w:jc w:val="center"/>
              <w:textAlignment w:val="auto"/>
              <w:rPr>
                <w:color w:val="auto"/>
                <w:kern w:val="0"/>
                <w:sz w:val="22"/>
                <w:szCs w:val="22"/>
                <w:highlight w:val="none"/>
              </w:rPr>
            </w:pPr>
            <w:r>
              <w:rPr>
                <w:color w:val="auto"/>
                <w:kern w:val="0"/>
                <w:sz w:val="22"/>
                <w:szCs w:val="22"/>
                <w:highlight w:val="none"/>
              </w:rPr>
              <w:t>　</w:t>
            </w:r>
          </w:p>
        </w:tc>
        <w:tc>
          <w:tcPr>
            <w:tcW w:w="990" w:type="dxa"/>
            <w:vMerge w:val="restart"/>
            <w:shd w:val="clear" w:color="auto" w:fill="FFFFFF"/>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color w:val="auto"/>
                <w:kern w:val="0"/>
                <w:sz w:val="22"/>
                <w:szCs w:val="22"/>
                <w:highlight w:val="none"/>
              </w:rPr>
            </w:pPr>
            <w:r>
              <w:rPr>
                <w:rFonts w:hint="eastAsia"/>
                <w:color w:val="auto"/>
                <w:kern w:val="0"/>
                <w:sz w:val="22"/>
                <w:szCs w:val="22"/>
                <w:highlight w:val="none"/>
              </w:rPr>
              <w:t>20</w:t>
            </w:r>
            <w:r>
              <w:rPr>
                <w:color w:val="auto"/>
                <w:kern w:val="0"/>
                <w:sz w:val="22"/>
                <w:szCs w:val="22"/>
                <w:highlight w:val="none"/>
              </w:rPr>
              <w:t>分</w:t>
            </w:r>
          </w:p>
        </w:tc>
        <w:tc>
          <w:tcPr>
            <w:tcW w:w="1283" w:type="dxa"/>
            <w:vMerge w:val="restart"/>
            <w:shd w:val="clear" w:color="auto" w:fill="FFFFFF"/>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color w:val="auto"/>
                <w:kern w:val="0"/>
                <w:sz w:val="22"/>
                <w:szCs w:val="22"/>
                <w:highlight w:val="none"/>
              </w:rPr>
            </w:pPr>
            <w:r>
              <w:rPr>
                <w:color w:val="auto"/>
                <w:kern w:val="0"/>
                <w:sz w:val="22"/>
                <w:szCs w:val="22"/>
                <w:highlight w:val="none"/>
              </w:rPr>
              <w:t>项目立项　</w:t>
            </w:r>
          </w:p>
        </w:tc>
        <w:tc>
          <w:tcPr>
            <w:tcW w:w="1707" w:type="dxa"/>
            <w:shd w:val="clear" w:color="auto" w:fill="FFFFFF"/>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color w:val="auto"/>
                <w:kern w:val="0"/>
                <w:sz w:val="22"/>
                <w:szCs w:val="22"/>
                <w:highlight w:val="none"/>
              </w:rPr>
            </w:pPr>
            <w:r>
              <w:rPr>
                <w:color w:val="auto"/>
                <w:kern w:val="0"/>
                <w:sz w:val="22"/>
                <w:szCs w:val="22"/>
                <w:highlight w:val="none"/>
              </w:rPr>
              <w:t>立项依据</w:t>
            </w:r>
          </w:p>
          <w:p>
            <w:pPr>
              <w:keepNext w:val="0"/>
              <w:keepLines w:val="0"/>
              <w:pageBreakBefore w:val="0"/>
              <w:widowControl/>
              <w:kinsoku/>
              <w:wordWrap/>
              <w:overflowPunct/>
              <w:topLinePunct w:val="0"/>
              <w:autoSpaceDE/>
              <w:autoSpaceDN/>
              <w:bidi w:val="0"/>
              <w:adjustRightInd/>
              <w:snapToGrid/>
              <w:spacing w:line="240" w:lineRule="auto"/>
              <w:jc w:val="center"/>
              <w:textAlignment w:val="auto"/>
              <w:rPr>
                <w:color w:val="auto"/>
                <w:kern w:val="0"/>
                <w:sz w:val="22"/>
                <w:szCs w:val="22"/>
                <w:highlight w:val="none"/>
              </w:rPr>
            </w:pPr>
            <w:r>
              <w:rPr>
                <w:color w:val="auto"/>
                <w:kern w:val="0"/>
                <w:sz w:val="22"/>
                <w:szCs w:val="22"/>
                <w:highlight w:val="none"/>
              </w:rPr>
              <w:t>充分性</w:t>
            </w:r>
          </w:p>
        </w:tc>
        <w:tc>
          <w:tcPr>
            <w:tcW w:w="727" w:type="dxa"/>
            <w:shd w:val="clear" w:color="auto" w:fill="FFFFFF"/>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color w:val="auto"/>
                <w:kern w:val="0"/>
                <w:sz w:val="22"/>
                <w:szCs w:val="22"/>
                <w:highlight w:val="none"/>
              </w:rPr>
            </w:pPr>
            <w:r>
              <w:rPr>
                <w:rFonts w:hint="eastAsia"/>
                <w:color w:val="auto"/>
                <w:kern w:val="0"/>
                <w:sz w:val="22"/>
                <w:szCs w:val="22"/>
                <w:highlight w:val="none"/>
              </w:rPr>
              <w:t>3</w:t>
            </w:r>
          </w:p>
        </w:tc>
        <w:tc>
          <w:tcPr>
            <w:tcW w:w="1044" w:type="dxa"/>
            <w:shd w:val="clear" w:color="auto" w:fill="FFFFFF"/>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color w:val="auto"/>
                <w:kern w:val="0"/>
                <w:sz w:val="22"/>
                <w:szCs w:val="22"/>
                <w:highlight w:val="none"/>
              </w:rPr>
            </w:pPr>
            <w:r>
              <w:rPr>
                <w:color w:val="auto"/>
                <w:kern w:val="0"/>
                <w:sz w:val="22"/>
                <w:szCs w:val="22"/>
                <w:highlight w:val="none"/>
              </w:rPr>
              <w:t>充分</w:t>
            </w:r>
          </w:p>
        </w:tc>
        <w:tc>
          <w:tcPr>
            <w:tcW w:w="924" w:type="dxa"/>
            <w:shd w:val="clear" w:color="auto" w:fill="FFFFFF"/>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color w:val="auto"/>
                <w:kern w:val="0"/>
                <w:sz w:val="22"/>
                <w:szCs w:val="22"/>
                <w:highlight w:val="none"/>
              </w:rPr>
            </w:pPr>
            <w:r>
              <w:rPr>
                <w:color w:val="auto"/>
                <w:kern w:val="0"/>
                <w:sz w:val="22"/>
                <w:szCs w:val="22"/>
                <w:highlight w:val="none"/>
              </w:rPr>
              <w:t>充分</w:t>
            </w:r>
          </w:p>
        </w:tc>
        <w:tc>
          <w:tcPr>
            <w:tcW w:w="1215" w:type="dxa"/>
            <w:shd w:val="clear" w:color="auto" w:fill="FFFFFF"/>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color w:val="auto"/>
                <w:kern w:val="0"/>
                <w:sz w:val="22"/>
                <w:szCs w:val="22"/>
                <w:highlight w:val="none"/>
              </w:rPr>
            </w:pPr>
            <w:r>
              <w:rPr>
                <w:color w:val="auto"/>
                <w:kern w:val="0"/>
                <w:sz w:val="22"/>
                <w:szCs w:val="22"/>
                <w:highlight w:val="none"/>
              </w:rPr>
              <w:t>100%</w:t>
            </w:r>
          </w:p>
        </w:tc>
        <w:tc>
          <w:tcPr>
            <w:tcW w:w="960" w:type="dxa"/>
            <w:shd w:val="clear" w:color="auto" w:fill="FFFFFF"/>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color w:val="auto"/>
                <w:kern w:val="0"/>
                <w:sz w:val="22"/>
                <w:szCs w:val="22"/>
                <w:highlight w:val="none"/>
              </w:rPr>
            </w:pPr>
            <w:r>
              <w:rPr>
                <w:rFonts w:hint="eastAsia"/>
                <w:color w:val="auto"/>
                <w:kern w:val="0"/>
                <w:sz w:val="22"/>
                <w:szCs w:val="22"/>
                <w:highlight w:val="none"/>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keepNext w:val="0"/>
              <w:keepLines w:val="0"/>
              <w:pageBreakBefore w:val="0"/>
              <w:kinsoku/>
              <w:wordWrap/>
              <w:overflowPunct/>
              <w:topLinePunct w:val="0"/>
              <w:autoSpaceDE/>
              <w:autoSpaceDN/>
              <w:bidi w:val="0"/>
              <w:adjustRightInd/>
              <w:snapToGrid/>
              <w:spacing w:line="240" w:lineRule="auto"/>
              <w:jc w:val="center"/>
              <w:textAlignment w:val="auto"/>
              <w:rPr>
                <w:color w:val="auto"/>
                <w:kern w:val="0"/>
                <w:sz w:val="22"/>
                <w:szCs w:val="22"/>
                <w:highlight w:val="none"/>
              </w:rPr>
            </w:pPr>
          </w:p>
        </w:tc>
        <w:tc>
          <w:tcPr>
            <w:tcW w:w="990" w:type="dxa"/>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color w:val="auto"/>
                <w:kern w:val="0"/>
                <w:sz w:val="22"/>
                <w:szCs w:val="22"/>
                <w:highlight w:val="none"/>
              </w:rPr>
            </w:pPr>
          </w:p>
        </w:tc>
        <w:tc>
          <w:tcPr>
            <w:tcW w:w="1283" w:type="dxa"/>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color w:val="auto"/>
                <w:kern w:val="0"/>
                <w:sz w:val="22"/>
                <w:szCs w:val="22"/>
                <w:highlight w:val="none"/>
              </w:rPr>
            </w:pPr>
          </w:p>
        </w:tc>
        <w:tc>
          <w:tcPr>
            <w:tcW w:w="1707" w:type="dxa"/>
            <w:shd w:val="clear" w:color="auto" w:fill="FFFFFF"/>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color w:val="auto"/>
                <w:kern w:val="0"/>
                <w:sz w:val="22"/>
                <w:szCs w:val="22"/>
                <w:highlight w:val="none"/>
              </w:rPr>
            </w:pPr>
            <w:r>
              <w:rPr>
                <w:color w:val="auto"/>
                <w:kern w:val="0"/>
                <w:sz w:val="22"/>
                <w:szCs w:val="22"/>
                <w:highlight w:val="none"/>
              </w:rPr>
              <w:t>立项程序</w:t>
            </w:r>
          </w:p>
          <w:p>
            <w:pPr>
              <w:keepNext w:val="0"/>
              <w:keepLines w:val="0"/>
              <w:pageBreakBefore w:val="0"/>
              <w:widowControl/>
              <w:kinsoku/>
              <w:wordWrap/>
              <w:overflowPunct/>
              <w:topLinePunct w:val="0"/>
              <w:autoSpaceDE/>
              <w:autoSpaceDN/>
              <w:bidi w:val="0"/>
              <w:adjustRightInd/>
              <w:snapToGrid/>
              <w:spacing w:line="240" w:lineRule="auto"/>
              <w:jc w:val="center"/>
              <w:textAlignment w:val="auto"/>
              <w:rPr>
                <w:color w:val="auto"/>
                <w:kern w:val="0"/>
                <w:sz w:val="22"/>
                <w:szCs w:val="22"/>
                <w:highlight w:val="none"/>
              </w:rPr>
            </w:pPr>
            <w:r>
              <w:rPr>
                <w:color w:val="auto"/>
                <w:kern w:val="0"/>
                <w:sz w:val="22"/>
                <w:szCs w:val="22"/>
                <w:highlight w:val="none"/>
              </w:rPr>
              <w:t>规范性</w:t>
            </w:r>
          </w:p>
        </w:tc>
        <w:tc>
          <w:tcPr>
            <w:tcW w:w="727" w:type="dxa"/>
            <w:shd w:val="clear" w:color="auto" w:fill="FFFFFF"/>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color w:val="auto"/>
                <w:kern w:val="0"/>
                <w:sz w:val="22"/>
                <w:szCs w:val="22"/>
                <w:highlight w:val="none"/>
              </w:rPr>
            </w:pPr>
            <w:r>
              <w:rPr>
                <w:rFonts w:hint="eastAsia"/>
                <w:color w:val="auto"/>
                <w:kern w:val="0"/>
                <w:sz w:val="22"/>
                <w:szCs w:val="22"/>
                <w:highlight w:val="none"/>
              </w:rPr>
              <w:t>3</w:t>
            </w:r>
          </w:p>
        </w:tc>
        <w:tc>
          <w:tcPr>
            <w:tcW w:w="1044" w:type="dxa"/>
            <w:shd w:val="clear" w:color="auto" w:fill="FFFFFF"/>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color w:val="auto"/>
                <w:kern w:val="0"/>
                <w:sz w:val="22"/>
                <w:szCs w:val="22"/>
                <w:highlight w:val="none"/>
              </w:rPr>
            </w:pPr>
            <w:r>
              <w:rPr>
                <w:color w:val="auto"/>
                <w:kern w:val="0"/>
                <w:sz w:val="22"/>
                <w:szCs w:val="22"/>
                <w:highlight w:val="none"/>
              </w:rPr>
              <w:t>规范</w:t>
            </w:r>
          </w:p>
        </w:tc>
        <w:tc>
          <w:tcPr>
            <w:tcW w:w="924" w:type="dxa"/>
            <w:shd w:val="clear" w:color="auto" w:fill="FFFFFF"/>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color w:val="auto"/>
                <w:kern w:val="0"/>
                <w:sz w:val="22"/>
                <w:szCs w:val="22"/>
                <w:highlight w:val="none"/>
              </w:rPr>
            </w:pPr>
            <w:r>
              <w:rPr>
                <w:color w:val="auto"/>
                <w:kern w:val="0"/>
                <w:sz w:val="22"/>
                <w:szCs w:val="22"/>
                <w:highlight w:val="none"/>
              </w:rPr>
              <w:t>规范</w:t>
            </w:r>
          </w:p>
        </w:tc>
        <w:tc>
          <w:tcPr>
            <w:tcW w:w="1215" w:type="dxa"/>
            <w:shd w:val="clear" w:color="auto" w:fill="FFFFFF"/>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color w:val="auto"/>
                <w:kern w:val="0"/>
                <w:sz w:val="22"/>
                <w:szCs w:val="22"/>
                <w:highlight w:val="none"/>
              </w:rPr>
            </w:pPr>
            <w:r>
              <w:rPr>
                <w:color w:val="auto"/>
                <w:kern w:val="0"/>
                <w:sz w:val="22"/>
                <w:szCs w:val="22"/>
                <w:highlight w:val="none"/>
              </w:rPr>
              <w:t>100%</w:t>
            </w:r>
          </w:p>
        </w:tc>
        <w:tc>
          <w:tcPr>
            <w:tcW w:w="960" w:type="dxa"/>
            <w:shd w:val="clear" w:color="auto" w:fill="FFFFFF"/>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color w:val="auto"/>
                <w:kern w:val="0"/>
                <w:sz w:val="22"/>
                <w:szCs w:val="22"/>
                <w:highlight w:val="none"/>
              </w:rPr>
            </w:pPr>
            <w:r>
              <w:rPr>
                <w:rFonts w:hint="eastAsia"/>
                <w:color w:val="auto"/>
                <w:kern w:val="0"/>
                <w:sz w:val="22"/>
                <w:szCs w:val="22"/>
                <w:highlight w:val="none"/>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keepNext w:val="0"/>
              <w:keepLines w:val="0"/>
              <w:pageBreakBefore w:val="0"/>
              <w:kinsoku/>
              <w:wordWrap/>
              <w:overflowPunct/>
              <w:topLinePunct w:val="0"/>
              <w:autoSpaceDE/>
              <w:autoSpaceDN/>
              <w:bidi w:val="0"/>
              <w:adjustRightInd/>
              <w:snapToGrid/>
              <w:spacing w:line="240" w:lineRule="auto"/>
              <w:jc w:val="center"/>
              <w:textAlignment w:val="auto"/>
              <w:rPr>
                <w:color w:val="auto"/>
                <w:kern w:val="0"/>
                <w:sz w:val="22"/>
                <w:szCs w:val="22"/>
                <w:highlight w:val="none"/>
              </w:rPr>
            </w:pPr>
          </w:p>
        </w:tc>
        <w:tc>
          <w:tcPr>
            <w:tcW w:w="990" w:type="dxa"/>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color w:val="auto"/>
                <w:kern w:val="0"/>
                <w:sz w:val="22"/>
                <w:szCs w:val="22"/>
                <w:highlight w:val="none"/>
              </w:rPr>
            </w:pPr>
          </w:p>
        </w:tc>
        <w:tc>
          <w:tcPr>
            <w:tcW w:w="1283" w:type="dxa"/>
            <w:vMerge w:val="restart"/>
            <w:shd w:val="clear" w:color="auto" w:fill="FFFFFF"/>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color w:val="auto"/>
                <w:kern w:val="0"/>
                <w:sz w:val="22"/>
                <w:szCs w:val="22"/>
                <w:highlight w:val="none"/>
              </w:rPr>
            </w:pPr>
            <w:r>
              <w:rPr>
                <w:color w:val="auto"/>
                <w:kern w:val="0"/>
                <w:sz w:val="22"/>
                <w:szCs w:val="22"/>
                <w:highlight w:val="none"/>
              </w:rPr>
              <w:t>绩效目标　</w:t>
            </w:r>
          </w:p>
        </w:tc>
        <w:tc>
          <w:tcPr>
            <w:tcW w:w="1707" w:type="dxa"/>
            <w:shd w:val="clear" w:color="auto" w:fill="FFFFFF"/>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color w:val="auto"/>
                <w:kern w:val="0"/>
                <w:sz w:val="22"/>
                <w:szCs w:val="22"/>
                <w:highlight w:val="none"/>
              </w:rPr>
            </w:pPr>
            <w:r>
              <w:rPr>
                <w:color w:val="auto"/>
                <w:kern w:val="0"/>
                <w:sz w:val="22"/>
                <w:szCs w:val="22"/>
                <w:highlight w:val="none"/>
              </w:rPr>
              <w:t>绩效目标</w:t>
            </w:r>
          </w:p>
          <w:p>
            <w:pPr>
              <w:keepNext w:val="0"/>
              <w:keepLines w:val="0"/>
              <w:pageBreakBefore w:val="0"/>
              <w:widowControl/>
              <w:kinsoku/>
              <w:wordWrap/>
              <w:overflowPunct/>
              <w:topLinePunct w:val="0"/>
              <w:autoSpaceDE/>
              <w:autoSpaceDN/>
              <w:bidi w:val="0"/>
              <w:adjustRightInd/>
              <w:snapToGrid/>
              <w:spacing w:line="240" w:lineRule="auto"/>
              <w:jc w:val="center"/>
              <w:textAlignment w:val="auto"/>
              <w:rPr>
                <w:color w:val="auto"/>
                <w:kern w:val="0"/>
                <w:sz w:val="22"/>
                <w:szCs w:val="22"/>
                <w:highlight w:val="none"/>
              </w:rPr>
            </w:pPr>
            <w:r>
              <w:rPr>
                <w:color w:val="auto"/>
                <w:kern w:val="0"/>
                <w:sz w:val="22"/>
                <w:szCs w:val="22"/>
                <w:highlight w:val="none"/>
              </w:rPr>
              <w:t>合理性</w:t>
            </w:r>
          </w:p>
        </w:tc>
        <w:tc>
          <w:tcPr>
            <w:tcW w:w="727" w:type="dxa"/>
            <w:shd w:val="clear" w:color="000000" w:fill="FFFFFF"/>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color w:val="auto"/>
                <w:kern w:val="0"/>
                <w:sz w:val="22"/>
                <w:szCs w:val="22"/>
                <w:highlight w:val="none"/>
              </w:rPr>
            </w:pPr>
            <w:r>
              <w:rPr>
                <w:rFonts w:hint="eastAsia"/>
                <w:color w:val="auto"/>
                <w:kern w:val="0"/>
                <w:sz w:val="22"/>
                <w:szCs w:val="22"/>
                <w:highlight w:val="none"/>
              </w:rPr>
              <w:t>4</w:t>
            </w:r>
          </w:p>
        </w:tc>
        <w:tc>
          <w:tcPr>
            <w:tcW w:w="1044" w:type="dxa"/>
            <w:shd w:val="clear" w:color="000000" w:fill="FFFFFF"/>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color w:val="auto"/>
                <w:kern w:val="0"/>
                <w:sz w:val="22"/>
                <w:szCs w:val="22"/>
                <w:highlight w:val="none"/>
              </w:rPr>
            </w:pPr>
            <w:r>
              <w:rPr>
                <w:color w:val="auto"/>
                <w:kern w:val="0"/>
                <w:sz w:val="22"/>
                <w:szCs w:val="22"/>
                <w:highlight w:val="none"/>
              </w:rPr>
              <w:t>合理</w:t>
            </w:r>
          </w:p>
        </w:tc>
        <w:tc>
          <w:tcPr>
            <w:tcW w:w="924" w:type="dxa"/>
            <w:shd w:val="clear" w:color="000000" w:fill="FFFFFF"/>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color w:val="auto"/>
                <w:kern w:val="0"/>
                <w:sz w:val="22"/>
                <w:szCs w:val="22"/>
                <w:highlight w:val="none"/>
              </w:rPr>
            </w:pPr>
            <w:r>
              <w:rPr>
                <w:color w:val="auto"/>
                <w:kern w:val="0"/>
                <w:sz w:val="22"/>
                <w:szCs w:val="22"/>
                <w:highlight w:val="none"/>
              </w:rPr>
              <w:t>合理</w:t>
            </w:r>
          </w:p>
        </w:tc>
        <w:tc>
          <w:tcPr>
            <w:tcW w:w="1215" w:type="dxa"/>
            <w:shd w:val="clear" w:color="000000" w:fill="FFFFFF"/>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color w:val="auto"/>
                <w:kern w:val="0"/>
                <w:sz w:val="22"/>
                <w:szCs w:val="22"/>
                <w:highlight w:val="none"/>
              </w:rPr>
            </w:pPr>
            <w:r>
              <w:rPr>
                <w:color w:val="auto"/>
                <w:kern w:val="0"/>
                <w:sz w:val="22"/>
                <w:szCs w:val="22"/>
                <w:highlight w:val="none"/>
              </w:rPr>
              <w:t>100%</w:t>
            </w:r>
          </w:p>
        </w:tc>
        <w:tc>
          <w:tcPr>
            <w:tcW w:w="960" w:type="dxa"/>
            <w:shd w:val="clear" w:color="000000" w:fill="FFFFFF"/>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color w:val="auto"/>
                <w:kern w:val="0"/>
                <w:sz w:val="22"/>
                <w:szCs w:val="22"/>
                <w:highlight w:val="none"/>
              </w:rPr>
            </w:pPr>
            <w:r>
              <w:rPr>
                <w:rFonts w:hint="eastAsia"/>
                <w:color w:val="auto"/>
                <w:kern w:val="0"/>
                <w:sz w:val="22"/>
                <w:szCs w:val="22"/>
                <w:highlight w:val="none"/>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color w:val="auto"/>
                <w:kern w:val="0"/>
                <w:sz w:val="22"/>
                <w:szCs w:val="22"/>
                <w:highlight w:val="none"/>
              </w:rPr>
            </w:pPr>
          </w:p>
        </w:tc>
        <w:tc>
          <w:tcPr>
            <w:tcW w:w="990" w:type="dxa"/>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color w:val="auto"/>
                <w:kern w:val="0"/>
                <w:sz w:val="22"/>
                <w:szCs w:val="22"/>
                <w:highlight w:val="none"/>
              </w:rPr>
            </w:pPr>
          </w:p>
        </w:tc>
        <w:tc>
          <w:tcPr>
            <w:tcW w:w="1283" w:type="dxa"/>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color w:val="auto"/>
                <w:kern w:val="0"/>
                <w:sz w:val="22"/>
                <w:szCs w:val="22"/>
                <w:highlight w:val="none"/>
              </w:rPr>
            </w:pPr>
          </w:p>
        </w:tc>
        <w:tc>
          <w:tcPr>
            <w:tcW w:w="1707" w:type="dxa"/>
            <w:shd w:val="clear" w:color="auto" w:fill="FFFFFF"/>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color w:val="auto"/>
                <w:kern w:val="0"/>
                <w:sz w:val="22"/>
                <w:szCs w:val="22"/>
                <w:highlight w:val="none"/>
              </w:rPr>
            </w:pPr>
            <w:r>
              <w:rPr>
                <w:color w:val="auto"/>
                <w:kern w:val="0"/>
                <w:sz w:val="22"/>
                <w:szCs w:val="22"/>
                <w:highlight w:val="none"/>
              </w:rPr>
              <w:t>绩效指标</w:t>
            </w:r>
          </w:p>
          <w:p>
            <w:pPr>
              <w:keepNext w:val="0"/>
              <w:keepLines w:val="0"/>
              <w:pageBreakBefore w:val="0"/>
              <w:widowControl/>
              <w:kinsoku/>
              <w:wordWrap/>
              <w:overflowPunct/>
              <w:topLinePunct w:val="0"/>
              <w:autoSpaceDE/>
              <w:autoSpaceDN/>
              <w:bidi w:val="0"/>
              <w:adjustRightInd/>
              <w:snapToGrid/>
              <w:spacing w:line="240" w:lineRule="auto"/>
              <w:jc w:val="center"/>
              <w:textAlignment w:val="auto"/>
              <w:rPr>
                <w:color w:val="auto"/>
                <w:kern w:val="0"/>
                <w:sz w:val="22"/>
                <w:szCs w:val="22"/>
                <w:highlight w:val="none"/>
              </w:rPr>
            </w:pPr>
            <w:r>
              <w:rPr>
                <w:color w:val="auto"/>
                <w:kern w:val="0"/>
                <w:sz w:val="22"/>
                <w:szCs w:val="22"/>
                <w:highlight w:val="none"/>
              </w:rPr>
              <w:t>明确性</w:t>
            </w:r>
          </w:p>
        </w:tc>
        <w:tc>
          <w:tcPr>
            <w:tcW w:w="727" w:type="dxa"/>
            <w:shd w:val="clear" w:color="000000" w:fill="FFFFFF"/>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color w:val="auto"/>
                <w:kern w:val="0"/>
                <w:sz w:val="22"/>
                <w:szCs w:val="22"/>
                <w:highlight w:val="none"/>
              </w:rPr>
            </w:pPr>
            <w:r>
              <w:rPr>
                <w:rFonts w:hint="eastAsia"/>
                <w:color w:val="auto"/>
                <w:kern w:val="0"/>
                <w:sz w:val="22"/>
                <w:szCs w:val="22"/>
                <w:highlight w:val="none"/>
              </w:rPr>
              <w:t>3</w:t>
            </w:r>
          </w:p>
        </w:tc>
        <w:tc>
          <w:tcPr>
            <w:tcW w:w="1044" w:type="dxa"/>
            <w:shd w:val="clear" w:color="000000" w:fill="FFFFFF"/>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color w:val="auto"/>
                <w:kern w:val="0"/>
                <w:sz w:val="22"/>
                <w:szCs w:val="22"/>
                <w:highlight w:val="none"/>
              </w:rPr>
            </w:pPr>
            <w:r>
              <w:rPr>
                <w:color w:val="auto"/>
                <w:kern w:val="0"/>
                <w:sz w:val="22"/>
                <w:szCs w:val="22"/>
                <w:highlight w:val="none"/>
              </w:rPr>
              <w:t>明确</w:t>
            </w:r>
          </w:p>
        </w:tc>
        <w:tc>
          <w:tcPr>
            <w:tcW w:w="924" w:type="dxa"/>
            <w:shd w:val="clear" w:color="000000" w:fill="FFFFFF"/>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color w:val="auto"/>
                <w:kern w:val="0"/>
                <w:sz w:val="22"/>
                <w:szCs w:val="22"/>
                <w:highlight w:val="none"/>
              </w:rPr>
            </w:pPr>
            <w:r>
              <w:rPr>
                <w:color w:val="auto"/>
                <w:kern w:val="0"/>
                <w:sz w:val="22"/>
                <w:szCs w:val="22"/>
                <w:highlight w:val="none"/>
              </w:rPr>
              <w:t>明确</w:t>
            </w:r>
          </w:p>
        </w:tc>
        <w:tc>
          <w:tcPr>
            <w:tcW w:w="1215" w:type="dxa"/>
            <w:shd w:val="clear" w:color="000000" w:fill="FFFFFF"/>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color w:val="auto"/>
                <w:kern w:val="0"/>
                <w:sz w:val="22"/>
                <w:szCs w:val="22"/>
                <w:highlight w:val="none"/>
              </w:rPr>
            </w:pPr>
            <w:r>
              <w:rPr>
                <w:color w:val="auto"/>
                <w:kern w:val="0"/>
                <w:sz w:val="22"/>
                <w:szCs w:val="22"/>
                <w:highlight w:val="none"/>
              </w:rPr>
              <w:t>100%</w:t>
            </w:r>
          </w:p>
        </w:tc>
        <w:tc>
          <w:tcPr>
            <w:tcW w:w="960" w:type="dxa"/>
            <w:shd w:val="clear" w:color="000000" w:fill="FFFFFF"/>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color w:val="auto"/>
                <w:kern w:val="0"/>
                <w:sz w:val="22"/>
                <w:szCs w:val="22"/>
                <w:highlight w:val="none"/>
              </w:rPr>
            </w:pPr>
            <w:r>
              <w:rPr>
                <w:rFonts w:hint="eastAsia"/>
                <w:color w:val="auto"/>
                <w:kern w:val="0"/>
                <w:sz w:val="22"/>
                <w:szCs w:val="22"/>
                <w:highlight w:val="none"/>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keepNext w:val="0"/>
              <w:keepLines w:val="0"/>
              <w:pageBreakBefore w:val="0"/>
              <w:kinsoku/>
              <w:wordWrap/>
              <w:overflowPunct/>
              <w:topLinePunct w:val="0"/>
              <w:autoSpaceDE/>
              <w:autoSpaceDN/>
              <w:bidi w:val="0"/>
              <w:adjustRightInd/>
              <w:snapToGrid/>
              <w:spacing w:line="240" w:lineRule="auto"/>
              <w:jc w:val="center"/>
              <w:textAlignment w:val="auto"/>
              <w:rPr>
                <w:color w:val="auto"/>
                <w:kern w:val="0"/>
                <w:sz w:val="22"/>
                <w:szCs w:val="22"/>
                <w:highlight w:val="none"/>
              </w:rPr>
            </w:pPr>
          </w:p>
        </w:tc>
        <w:tc>
          <w:tcPr>
            <w:tcW w:w="990" w:type="dxa"/>
            <w:vMerge w:val="continue"/>
            <w:shd w:val="clear" w:color="auto" w:fill="FFFFFF"/>
            <w:vAlign w:val="center"/>
          </w:tcPr>
          <w:p>
            <w:pPr>
              <w:keepNext w:val="0"/>
              <w:keepLines w:val="0"/>
              <w:pageBreakBefore w:val="0"/>
              <w:kinsoku/>
              <w:wordWrap/>
              <w:overflowPunct/>
              <w:topLinePunct w:val="0"/>
              <w:autoSpaceDE/>
              <w:autoSpaceDN/>
              <w:bidi w:val="0"/>
              <w:adjustRightInd/>
              <w:snapToGrid/>
              <w:spacing w:line="240" w:lineRule="auto"/>
              <w:jc w:val="center"/>
              <w:textAlignment w:val="auto"/>
              <w:rPr>
                <w:color w:val="auto"/>
                <w:kern w:val="0"/>
                <w:sz w:val="22"/>
                <w:szCs w:val="22"/>
                <w:highlight w:val="none"/>
              </w:rPr>
            </w:pPr>
          </w:p>
        </w:tc>
        <w:tc>
          <w:tcPr>
            <w:tcW w:w="1283" w:type="dxa"/>
            <w:vMerge w:val="restart"/>
            <w:shd w:val="clear" w:color="auto" w:fill="FFFFFF"/>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color w:val="auto"/>
                <w:kern w:val="0"/>
                <w:sz w:val="22"/>
                <w:szCs w:val="22"/>
                <w:highlight w:val="none"/>
              </w:rPr>
            </w:pPr>
            <w:r>
              <w:rPr>
                <w:color w:val="auto"/>
                <w:kern w:val="0"/>
                <w:sz w:val="22"/>
                <w:szCs w:val="22"/>
                <w:highlight w:val="none"/>
              </w:rPr>
              <w:t>资金投入</w:t>
            </w:r>
          </w:p>
        </w:tc>
        <w:tc>
          <w:tcPr>
            <w:tcW w:w="1707" w:type="dxa"/>
            <w:shd w:val="clear" w:color="auto" w:fill="FFFFFF"/>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color w:val="auto"/>
                <w:kern w:val="0"/>
                <w:sz w:val="22"/>
                <w:szCs w:val="22"/>
                <w:highlight w:val="none"/>
              </w:rPr>
            </w:pPr>
            <w:r>
              <w:rPr>
                <w:color w:val="auto"/>
                <w:kern w:val="0"/>
                <w:sz w:val="22"/>
                <w:szCs w:val="22"/>
                <w:highlight w:val="none"/>
              </w:rPr>
              <w:t>预算编制</w:t>
            </w:r>
          </w:p>
          <w:p>
            <w:pPr>
              <w:keepNext w:val="0"/>
              <w:keepLines w:val="0"/>
              <w:pageBreakBefore w:val="0"/>
              <w:widowControl/>
              <w:kinsoku/>
              <w:wordWrap/>
              <w:overflowPunct/>
              <w:topLinePunct w:val="0"/>
              <w:autoSpaceDE/>
              <w:autoSpaceDN/>
              <w:bidi w:val="0"/>
              <w:adjustRightInd/>
              <w:snapToGrid/>
              <w:spacing w:line="240" w:lineRule="auto"/>
              <w:jc w:val="center"/>
              <w:textAlignment w:val="auto"/>
              <w:rPr>
                <w:color w:val="auto"/>
                <w:kern w:val="0"/>
                <w:sz w:val="22"/>
                <w:szCs w:val="22"/>
                <w:highlight w:val="none"/>
              </w:rPr>
            </w:pPr>
            <w:r>
              <w:rPr>
                <w:color w:val="auto"/>
                <w:kern w:val="0"/>
                <w:sz w:val="22"/>
                <w:szCs w:val="22"/>
                <w:highlight w:val="none"/>
              </w:rPr>
              <w:t>科学性</w:t>
            </w:r>
          </w:p>
        </w:tc>
        <w:tc>
          <w:tcPr>
            <w:tcW w:w="727" w:type="dxa"/>
            <w:shd w:val="clear" w:color="auto" w:fill="FFFFFF"/>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color w:val="auto"/>
                <w:kern w:val="0"/>
                <w:sz w:val="22"/>
                <w:szCs w:val="22"/>
                <w:highlight w:val="none"/>
              </w:rPr>
            </w:pPr>
            <w:r>
              <w:rPr>
                <w:rFonts w:hint="eastAsia"/>
                <w:color w:val="auto"/>
                <w:kern w:val="0"/>
                <w:sz w:val="22"/>
                <w:szCs w:val="22"/>
                <w:highlight w:val="none"/>
              </w:rPr>
              <w:t>4</w:t>
            </w:r>
          </w:p>
        </w:tc>
        <w:tc>
          <w:tcPr>
            <w:tcW w:w="1044" w:type="dxa"/>
            <w:shd w:val="clear" w:color="auto" w:fill="FFFFFF"/>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color w:val="auto"/>
                <w:kern w:val="0"/>
                <w:sz w:val="22"/>
                <w:szCs w:val="22"/>
                <w:highlight w:val="none"/>
              </w:rPr>
            </w:pPr>
            <w:r>
              <w:rPr>
                <w:color w:val="auto"/>
                <w:kern w:val="0"/>
                <w:sz w:val="22"/>
                <w:szCs w:val="22"/>
                <w:highlight w:val="none"/>
              </w:rPr>
              <w:t>科学</w:t>
            </w:r>
          </w:p>
        </w:tc>
        <w:tc>
          <w:tcPr>
            <w:tcW w:w="924" w:type="dxa"/>
            <w:shd w:val="clear" w:color="auto" w:fill="FFFFFF"/>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color w:val="auto"/>
                <w:kern w:val="0"/>
                <w:sz w:val="22"/>
                <w:szCs w:val="22"/>
                <w:highlight w:val="none"/>
              </w:rPr>
            </w:pPr>
            <w:r>
              <w:rPr>
                <w:color w:val="auto"/>
                <w:kern w:val="0"/>
                <w:sz w:val="22"/>
                <w:szCs w:val="22"/>
                <w:highlight w:val="none"/>
              </w:rPr>
              <w:t>科学</w:t>
            </w:r>
          </w:p>
        </w:tc>
        <w:tc>
          <w:tcPr>
            <w:tcW w:w="1215" w:type="dxa"/>
            <w:shd w:val="clear" w:color="auto" w:fill="FFFFFF"/>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color w:val="auto"/>
                <w:kern w:val="0"/>
                <w:sz w:val="22"/>
                <w:szCs w:val="22"/>
                <w:highlight w:val="none"/>
              </w:rPr>
            </w:pPr>
            <w:r>
              <w:rPr>
                <w:color w:val="auto"/>
                <w:kern w:val="0"/>
                <w:sz w:val="22"/>
                <w:szCs w:val="22"/>
                <w:highlight w:val="none"/>
              </w:rPr>
              <w:t>100%</w:t>
            </w:r>
          </w:p>
        </w:tc>
        <w:tc>
          <w:tcPr>
            <w:tcW w:w="960" w:type="dxa"/>
            <w:shd w:val="clear" w:color="auto" w:fill="FFFFFF"/>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color w:val="auto"/>
                <w:kern w:val="0"/>
                <w:sz w:val="22"/>
                <w:szCs w:val="22"/>
                <w:highlight w:val="none"/>
              </w:rPr>
            </w:pPr>
            <w:r>
              <w:rPr>
                <w:rFonts w:hint="eastAsia"/>
                <w:color w:val="auto"/>
                <w:kern w:val="0"/>
                <w:sz w:val="22"/>
                <w:szCs w:val="22"/>
                <w:highlight w:val="none"/>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color w:val="auto"/>
                <w:kern w:val="0"/>
                <w:sz w:val="22"/>
                <w:szCs w:val="22"/>
                <w:highlight w:val="none"/>
              </w:rPr>
            </w:pPr>
          </w:p>
        </w:tc>
        <w:tc>
          <w:tcPr>
            <w:tcW w:w="990" w:type="dxa"/>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color w:val="auto"/>
                <w:kern w:val="0"/>
                <w:sz w:val="22"/>
                <w:szCs w:val="22"/>
                <w:highlight w:val="none"/>
              </w:rPr>
            </w:pPr>
          </w:p>
        </w:tc>
        <w:tc>
          <w:tcPr>
            <w:tcW w:w="1283" w:type="dxa"/>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color w:val="auto"/>
                <w:kern w:val="0"/>
                <w:sz w:val="22"/>
                <w:szCs w:val="22"/>
                <w:highlight w:val="none"/>
              </w:rPr>
            </w:pPr>
          </w:p>
        </w:tc>
        <w:tc>
          <w:tcPr>
            <w:tcW w:w="1707" w:type="dxa"/>
            <w:shd w:val="clear" w:color="auto" w:fill="FFFFFF"/>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color w:val="auto"/>
                <w:kern w:val="0"/>
                <w:sz w:val="22"/>
                <w:szCs w:val="22"/>
                <w:highlight w:val="none"/>
              </w:rPr>
            </w:pPr>
            <w:r>
              <w:rPr>
                <w:color w:val="auto"/>
                <w:kern w:val="0"/>
                <w:sz w:val="22"/>
                <w:szCs w:val="22"/>
                <w:highlight w:val="none"/>
              </w:rPr>
              <w:t>资金分配</w:t>
            </w:r>
          </w:p>
          <w:p>
            <w:pPr>
              <w:keepNext w:val="0"/>
              <w:keepLines w:val="0"/>
              <w:pageBreakBefore w:val="0"/>
              <w:widowControl/>
              <w:kinsoku/>
              <w:wordWrap/>
              <w:overflowPunct/>
              <w:topLinePunct w:val="0"/>
              <w:autoSpaceDE/>
              <w:autoSpaceDN/>
              <w:bidi w:val="0"/>
              <w:adjustRightInd/>
              <w:snapToGrid/>
              <w:spacing w:line="240" w:lineRule="auto"/>
              <w:jc w:val="center"/>
              <w:textAlignment w:val="auto"/>
              <w:rPr>
                <w:color w:val="auto"/>
                <w:kern w:val="0"/>
                <w:sz w:val="22"/>
                <w:szCs w:val="22"/>
                <w:highlight w:val="none"/>
              </w:rPr>
            </w:pPr>
            <w:r>
              <w:rPr>
                <w:color w:val="auto"/>
                <w:kern w:val="0"/>
                <w:sz w:val="22"/>
                <w:szCs w:val="22"/>
                <w:highlight w:val="none"/>
              </w:rPr>
              <w:t>合理性</w:t>
            </w:r>
          </w:p>
        </w:tc>
        <w:tc>
          <w:tcPr>
            <w:tcW w:w="727" w:type="dxa"/>
            <w:shd w:val="clear" w:color="auto" w:fill="FFFFFF"/>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color w:val="auto"/>
                <w:kern w:val="0"/>
                <w:sz w:val="22"/>
                <w:szCs w:val="22"/>
                <w:highlight w:val="none"/>
              </w:rPr>
            </w:pPr>
            <w:r>
              <w:rPr>
                <w:rFonts w:hint="eastAsia"/>
                <w:color w:val="auto"/>
                <w:kern w:val="0"/>
                <w:sz w:val="22"/>
                <w:szCs w:val="22"/>
                <w:highlight w:val="none"/>
              </w:rPr>
              <w:t>3</w:t>
            </w:r>
          </w:p>
        </w:tc>
        <w:tc>
          <w:tcPr>
            <w:tcW w:w="1044" w:type="dxa"/>
            <w:shd w:val="clear" w:color="auto" w:fill="FFFFFF"/>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color w:val="auto"/>
                <w:kern w:val="0"/>
                <w:sz w:val="22"/>
                <w:szCs w:val="22"/>
                <w:highlight w:val="none"/>
              </w:rPr>
            </w:pPr>
            <w:r>
              <w:rPr>
                <w:color w:val="auto"/>
                <w:kern w:val="0"/>
                <w:sz w:val="22"/>
                <w:szCs w:val="22"/>
                <w:highlight w:val="none"/>
              </w:rPr>
              <w:t>合理</w:t>
            </w:r>
          </w:p>
        </w:tc>
        <w:tc>
          <w:tcPr>
            <w:tcW w:w="924" w:type="dxa"/>
            <w:shd w:val="clear" w:color="auto" w:fill="FFFFFF"/>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color w:val="auto"/>
                <w:kern w:val="0"/>
                <w:sz w:val="22"/>
                <w:szCs w:val="22"/>
                <w:highlight w:val="none"/>
              </w:rPr>
            </w:pPr>
            <w:r>
              <w:rPr>
                <w:color w:val="auto"/>
                <w:kern w:val="0"/>
                <w:sz w:val="22"/>
                <w:szCs w:val="22"/>
                <w:highlight w:val="none"/>
              </w:rPr>
              <w:t>合理</w:t>
            </w:r>
          </w:p>
        </w:tc>
        <w:tc>
          <w:tcPr>
            <w:tcW w:w="1215" w:type="dxa"/>
            <w:shd w:val="clear" w:color="auto" w:fill="FFFFFF"/>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color w:val="auto"/>
                <w:kern w:val="0"/>
                <w:sz w:val="22"/>
                <w:szCs w:val="22"/>
                <w:highlight w:val="none"/>
              </w:rPr>
            </w:pPr>
            <w:r>
              <w:rPr>
                <w:color w:val="auto"/>
                <w:kern w:val="0"/>
                <w:sz w:val="22"/>
                <w:szCs w:val="22"/>
                <w:highlight w:val="none"/>
              </w:rPr>
              <w:t>100%</w:t>
            </w:r>
          </w:p>
        </w:tc>
        <w:tc>
          <w:tcPr>
            <w:tcW w:w="960" w:type="dxa"/>
            <w:shd w:val="clear" w:color="auto" w:fill="FFFFFF"/>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color w:val="auto"/>
                <w:kern w:val="0"/>
                <w:sz w:val="22"/>
                <w:szCs w:val="22"/>
                <w:highlight w:val="none"/>
              </w:rPr>
            </w:pPr>
            <w:r>
              <w:rPr>
                <w:rFonts w:hint="eastAsia"/>
                <w:color w:val="auto"/>
                <w:kern w:val="0"/>
                <w:sz w:val="22"/>
                <w:szCs w:val="22"/>
                <w:highlight w:val="none"/>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567" w:hRule="atLeast"/>
        </w:trPr>
        <w:tc>
          <w:tcPr>
            <w:tcW w:w="1104" w:type="dxa"/>
            <w:vMerge w:val="restart"/>
            <w:shd w:val="clear" w:color="auto" w:fill="FFFFFF"/>
            <w:vAlign w:val="center"/>
          </w:tcPr>
          <w:p>
            <w:pPr>
              <w:keepNext w:val="0"/>
              <w:keepLines w:val="0"/>
              <w:pageBreakBefore w:val="0"/>
              <w:kinsoku/>
              <w:wordWrap/>
              <w:overflowPunct/>
              <w:topLinePunct w:val="0"/>
              <w:autoSpaceDE/>
              <w:autoSpaceDN/>
              <w:bidi w:val="0"/>
              <w:adjustRightInd/>
              <w:snapToGrid/>
              <w:spacing w:line="240" w:lineRule="auto"/>
              <w:jc w:val="center"/>
              <w:textAlignment w:val="auto"/>
              <w:rPr>
                <w:color w:val="auto"/>
                <w:kern w:val="0"/>
                <w:sz w:val="22"/>
                <w:szCs w:val="22"/>
                <w:highlight w:val="none"/>
              </w:rPr>
            </w:pPr>
            <w:r>
              <w:rPr>
                <w:color w:val="auto"/>
                <w:kern w:val="0"/>
                <w:sz w:val="22"/>
                <w:szCs w:val="22"/>
                <w:highlight w:val="none"/>
              </w:rPr>
              <w:t>过程</w:t>
            </w:r>
          </w:p>
          <w:p>
            <w:pPr>
              <w:keepNext w:val="0"/>
              <w:keepLines w:val="0"/>
              <w:pageBreakBefore w:val="0"/>
              <w:kinsoku/>
              <w:wordWrap/>
              <w:overflowPunct/>
              <w:topLinePunct w:val="0"/>
              <w:autoSpaceDE/>
              <w:autoSpaceDN/>
              <w:bidi w:val="0"/>
              <w:adjustRightInd/>
              <w:snapToGrid/>
              <w:spacing w:line="240" w:lineRule="auto"/>
              <w:jc w:val="center"/>
              <w:textAlignment w:val="auto"/>
              <w:rPr>
                <w:color w:val="auto"/>
                <w:kern w:val="0"/>
                <w:sz w:val="22"/>
                <w:szCs w:val="22"/>
                <w:highlight w:val="none"/>
              </w:rPr>
            </w:pPr>
            <w:r>
              <w:rPr>
                <w:color w:val="auto"/>
                <w:kern w:val="0"/>
                <w:sz w:val="22"/>
                <w:szCs w:val="22"/>
                <w:highlight w:val="none"/>
              </w:rPr>
              <w:t>　</w:t>
            </w:r>
          </w:p>
        </w:tc>
        <w:tc>
          <w:tcPr>
            <w:tcW w:w="990" w:type="dxa"/>
            <w:vMerge w:val="restart"/>
            <w:shd w:val="clear" w:color="auto" w:fill="FFFFFF"/>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color w:val="auto"/>
                <w:kern w:val="0"/>
                <w:sz w:val="22"/>
                <w:szCs w:val="22"/>
                <w:highlight w:val="none"/>
              </w:rPr>
            </w:pPr>
            <w:r>
              <w:rPr>
                <w:rFonts w:hint="eastAsia"/>
                <w:color w:val="auto"/>
                <w:kern w:val="0"/>
                <w:sz w:val="22"/>
                <w:szCs w:val="22"/>
                <w:highlight w:val="none"/>
              </w:rPr>
              <w:t>20</w:t>
            </w:r>
            <w:r>
              <w:rPr>
                <w:color w:val="auto"/>
                <w:kern w:val="0"/>
                <w:sz w:val="22"/>
                <w:szCs w:val="22"/>
                <w:highlight w:val="none"/>
              </w:rPr>
              <w:t>分</w:t>
            </w:r>
          </w:p>
        </w:tc>
        <w:tc>
          <w:tcPr>
            <w:tcW w:w="1283" w:type="dxa"/>
            <w:vMerge w:val="restart"/>
            <w:shd w:val="clear" w:color="auto" w:fill="FFFFFF"/>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color w:val="auto"/>
                <w:kern w:val="0"/>
                <w:sz w:val="22"/>
                <w:szCs w:val="22"/>
                <w:highlight w:val="none"/>
              </w:rPr>
            </w:pPr>
            <w:r>
              <w:rPr>
                <w:color w:val="auto"/>
                <w:kern w:val="0"/>
                <w:sz w:val="22"/>
                <w:szCs w:val="22"/>
                <w:highlight w:val="none"/>
              </w:rPr>
              <w:t>资金管理</w:t>
            </w:r>
          </w:p>
        </w:tc>
        <w:tc>
          <w:tcPr>
            <w:tcW w:w="1707" w:type="dxa"/>
            <w:shd w:val="clear" w:color="auto" w:fill="FFFFFF"/>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color w:val="auto"/>
                <w:kern w:val="0"/>
                <w:sz w:val="22"/>
                <w:szCs w:val="22"/>
                <w:highlight w:val="none"/>
              </w:rPr>
            </w:pPr>
            <w:r>
              <w:rPr>
                <w:color w:val="auto"/>
                <w:kern w:val="0"/>
                <w:sz w:val="22"/>
                <w:szCs w:val="22"/>
                <w:highlight w:val="none"/>
              </w:rPr>
              <w:t>资金到位率</w:t>
            </w:r>
          </w:p>
        </w:tc>
        <w:tc>
          <w:tcPr>
            <w:tcW w:w="727" w:type="dxa"/>
            <w:shd w:val="clear" w:color="000000" w:fill="FFFFFF"/>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color w:val="auto"/>
                <w:kern w:val="0"/>
                <w:sz w:val="22"/>
                <w:szCs w:val="22"/>
                <w:highlight w:val="none"/>
              </w:rPr>
            </w:pPr>
            <w:r>
              <w:rPr>
                <w:rFonts w:hint="eastAsia"/>
                <w:color w:val="auto"/>
                <w:kern w:val="0"/>
                <w:sz w:val="22"/>
                <w:szCs w:val="22"/>
                <w:highlight w:val="none"/>
              </w:rPr>
              <w:t>4</w:t>
            </w:r>
          </w:p>
        </w:tc>
        <w:tc>
          <w:tcPr>
            <w:tcW w:w="1044" w:type="dxa"/>
            <w:shd w:val="clear" w:color="000000" w:fill="FFFFFF"/>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color w:val="auto"/>
                <w:kern w:val="0"/>
                <w:sz w:val="22"/>
                <w:szCs w:val="22"/>
                <w:highlight w:val="none"/>
              </w:rPr>
            </w:pPr>
            <w:r>
              <w:rPr>
                <w:color w:val="auto"/>
                <w:kern w:val="0"/>
                <w:sz w:val="22"/>
                <w:szCs w:val="22"/>
                <w:highlight w:val="none"/>
              </w:rPr>
              <w:t>100%</w:t>
            </w:r>
          </w:p>
        </w:tc>
        <w:tc>
          <w:tcPr>
            <w:tcW w:w="924" w:type="dxa"/>
            <w:shd w:val="clear" w:color="000000" w:fill="FFFFFF"/>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color w:val="auto"/>
                <w:kern w:val="0"/>
                <w:sz w:val="22"/>
                <w:szCs w:val="22"/>
                <w:highlight w:val="none"/>
              </w:rPr>
            </w:pPr>
            <w:r>
              <w:rPr>
                <w:color w:val="auto"/>
                <w:kern w:val="0"/>
                <w:sz w:val="22"/>
                <w:szCs w:val="22"/>
                <w:highlight w:val="none"/>
              </w:rPr>
              <w:t>100%</w:t>
            </w:r>
          </w:p>
        </w:tc>
        <w:tc>
          <w:tcPr>
            <w:tcW w:w="1215" w:type="dxa"/>
            <w:shd w:val="clear" w:color="000000" w:fill="FFFFFF"/>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color w:val="auto"/>
                <w:kern w:val="0"/>
                <w:sz w:val="22"/>
                <w:szCs w:val="22"/>
                <w:highlight w:val="none"/>
              </w:rPr>
            </w:pPr>
            <w:r>
              <w:rPr>
                <w:color w:val="auto"/>
                <w:kern w:val="0"/>
                <w:sz w:val="22"/>
                <w:szCs w:val="22"/>
                <w:highlight w:val="none"/>
              </w:rPr>
              <w:t>100%</w:t>
            </w:r>
          </w:p>
        </w:tc>
        <w:tc>
          <w:tcPr>
            <w:tcW w:w="960" w:type="dxa"/>
            <w:shd w:val="clear" w:color="000000" w:fill="FFFFFF"/>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color w:val="auto"/>
                <w:kern w:val="0"/>
                <w:sz w:val="22"/>
                <w:szCs w:val="22"/>
                <w:highlight w:val="none"/>
              </w:rPr>
            </w:pPr>
            <w:r>
              <w:rPr>
                <w:rFonts w:hint="eastAsia"/>
                <w:color w:val="auto"/>
                <w:kern w:val="0"/>
                <w:sz w:val="22"/>
                <w:szCs w:val="22"/>
                <w:highlight w:val="none"/>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keepNext w:val="0"/>
              <w:keepLines w:val="0"/>
              <w:pageBreakBefore w:val="0"/>
              <w:kinsoku/>
              <w:wordWrap/>
              <w:overflowPunct/>
              <w:topLinePunct w:val="0"/>
              <w:autoSpaceDE/>
              <w:autoSpaceDN/>
              <w:bidi w:val="0"/>
              <w:adjustRightInd/>
              <w:snapToGrid/>
              <w:spacing w:line="240" w:lineRule="auto"/>
              <w:jc w:val="center"/>
              <w:textAlignment w:val="auto"/>
              <w:rPr>
                <w:color w:val="auto"/>
                <w:kern w:val="0"/>
                <w:sz w:val="22"/>
                <w:szCs w:val="22"/>
                <w:highlight w:val="none"/>
              </w:rPr>
            </w:pPr>
          </w:p>
        </w:tc>
        <w:tc>
          <w:tcPr>
            <w:tcW w:w="990" w:type="dxa"/>
            <w:vMerge w:val="continue"/>
            <w:shd w:val="clear" w:color="auto" w:fill="FFFFFF"/>
            <w:vAlign w:val="center"/>
          </w:tcPr>
          <w:p>
            <w:pPr>
              <w:keepNext w:val="0"/>
              <w:keepLines w:val="0"/>
              <w:pageBreakBefore w:val="0"/>
              <w:kinsoku/>
              <w:wordWrap/>
              <w:overflowPunct/>
              <w:topLinePunct w:val="0"/>
              <w:autoSpaceDE/>
              <w:autoSpaceDN/>
              <w:bidi w:val="0"/>
              <w:adjustRightInd/>
              <w:snapToGrid/>
              <w:spacing w:line="240" w:lineRule="auto"/>
              <w:jc w:val="center"/>
              <w:textAlignment w:val="auto"/>
              <w:rPr>
                <w:color w:val="auto"/>
                <w:kern w:val="0"/>
                <w:sz w:val="22"/>
                <w:szCs w:val="22"/>
                <w:highlight w:val="none"/>
              </w:rPr>
            </w:pPr>
          </w:p>
        </w:tc>
        <w:tc>
          <w:tcPr>
            <w:tcW w:w="1283" w:type="dxa"/>
            <w:vMerge w:val="continue"/>
            <w:shd w:val="clear" w:color="auto" w:fill="FFFFFF"/>
            <w:vAlign w:val="center"/>
          </w:tcPr>
          <w:p>
            <w:pPr>
              <w:keepNext w:val="0"/>
              <w:keepLines w:val="0"/>
              <w:pageBreakBefore w:val="0"/>
              <w:kinsoku/>
              <w:wordWrap/>
              <w:overflowPunct/>
              <w:topLinePunct w:val="0"/>
              <w:autoSpaceDE/>
              <w:autoSpaceDN/>
              <w:bidi w:val="0"/>
              <w:adjustRightInd/>
              <w:snapToGrid/>
              <w:spacing w:line="240" w:lineRule="auto"/>
              <w:jc w:val="center"/>
              <w:textAlignment w:val="auto"/>
              <w:rPr>
                <w:color w:val="auto"/>
                <w:kern w:val="0"/>
                <w:sz w:val="22"/>
                <w:szCs w:val="22"/>
                <w:highlight w:val="none"/>
              </w:rPr>
            </w:pPr>
          </w:p>
        </w:tc>
        <w:tc>
          <w:tcPr>
            <w:tcW w:w="1707" w:type="dxa"/>
            <w:shd w:val="clear" w:color="auto" w:fill="FFFFFF"/>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color w:val="auto"/>
                <w:kern w:val="0"/>
                <w:sz w:val="22"/>
                <w:szCs w:val="22"/>
                <w:highlight w:val="none"/>
              </w:rPr>
            </w:pPr>
            <w:r>
              <w:rPr>
                <w:color w:val="auto"/>
                <w:kern w:val="0"/>
                <w:sz w:val="22"/>
                <w:szCs w:val="22"/>
                <w:highlight w:val="none"/>
              </w:rPr>
              <w:t>预算执行率</w:t>
            </w:r>
          </w:p>
        </w:tc>
        <w:tc>
          <w:tcPr>
            <w:tcW w:w="727" w:type="dxa"/>
            <w:shd w:val="clear" w:color="auto" w:fill="FFFFFF"/>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color w:val="auto"/>
                <w:kern w:val="0"/>
                <w:sz w:val="22"/>
                <w:szCs w:val="22"/>
                <w:highlight w:val="none"/>
              </w:rPr>
            </w:pPr>
            <w:r>
              <w:rPr>
                <w:rFonts w:hint="eastAsia"/>
                <w:color w:val="auto"/>
                <w:kern w:val="0"/>
                <w:sz w:val="22"/>
                <w:szCs w:val="22"/>
                <w:highlight w:val="none"/>
              </w:rPr>
              <w:t>4</w:t>
            </w:r>
          </w:p>
        </w:tc>
        <w:tc>
          <w:tcPr>
            <w:tcW w:w="1044" w:type="dxa"/>
            <w:shd w:val="clear" w:color="auto" w:fill="FFFFFF"/>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color w:val="auto"/>
                <w:kern w:val="0"/>
                <w:sz w:val="22"/>
                <w:szCs w:val="22"/>
                <w:highlight w:val="none"/>
              </w:rPr>
            </w:pPr>
            <w:r>
              <w:rPr>
                <w:color w:val="auto"/>
                <w:kern w:val="0"/>
                <w:sz w:val="22"/>
                <w:szCs w:val="22"/>
                <w:highlight w:val="none"/>
              </w:rPr>
              <w:t>100%</w:t>
            </w:r>
          </w:p>
        </w:tc>
        <w:tc>
          <w:tcPr>
            <w:tcW w:w="924" w:type="dxa"/>
            <w:shd w:val="clear" w:color="auto" w:fill="FFFFFF"/>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default" w:eastAsia="宋体"/>
                <w:color w:val="auto"/>
                <w:kern w:val="0"/>
                <w:sz w:val="22"/>
                <w:szCs w:val="22"/>
                <w:highlight w:val="none"/>
                <w:lang w:val="en-US" w:eastAsia="zh-CN"/>
              </w:rPr>
            </w:pPr>
            <w:r>
              <w:rPr>
                <w:rFonts w:hint="eastAsia"/>
                <w:color w:val="auto"/>
                <w:kern w:val="0"/>
                <w:sz w:val="22"/>
                <w:szCs w:val="22"/>
                <w:highlight w:val="none"/>
                <w:lang w:val="en-US" w:eastAsia="zh-CN"/>
              </w:rPr>
              <w:t>96.18%</w:t>
            </w:r>
          </w:p>
        </w:tc>
        <w:tc>
          <w:tcPr>
            <w:tcW w:w="1215" w:type="dxa"/>
            <w:shd w:val="clear" w:color="auto" w:fill="FFFFFF"/>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color w:val="auto"/>
                <w:kern w:val="0"/>
                <w:sz w:val="22"/>
                <w:szCs w:val="22"/>
                <w:highlight w:val="none"/>
              </w:rPr>
            </w:pPr>
            <w:r>
              <w:rPr>
                <w:rFonts w:hint="eastAsia"/>
                <w:color w:val="auto"/>
                <w:kern w:val="0"/>
                <w:sz w:val="22"/>
                <w:szCs w:val="22"/>
                <w:highlight w:val="none"/>
                <w:lang w:val="en-US" w:eastAsia="zh-CN"/>
              </w:rPr>
              <w:t>96.18%</w:t>
            </w:r>
          </w:p>
        </w:tc>
        <w:tc>
          <w:tcPr>
            <w:tcW w:w="960" w:type="dxa"/>
            <w:shd w:val="clear" w:color="auto" w:fill="FFFFFF"/>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default" w:eastAsia="宋体"/>
                <w:color w:val="auto"/>
                <w:kern w:val="0"/>
                <w:sz w:val="22"/>
                <w:szCs w:val="22"/>
                <w:highlight w:val="none"/>
                <w:lang w:val="en-US" w:eastAsia="zh-CN"/>
              </w:rPr>
            </w:pPr>
            <w:r>
              <w:rPr>
                <w:rFonts w:hint="eastAsia"/>
                <w:color w:val="auto"/>
                <w:kern w:val="0"/>
                <w:sz w:val="22"/>
                <w:szCs w:val="22"/>
                <w:highlight w:val="none"/>
                <w:lang w:val="en-US" w:eastAsia="zh-CN"/>
              </w:rPr>
              <w:t>3.85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keepNext w:val="0"/>
              <w:keepLines w:val="0"/>
              <w:pageBreakBefore w:val="0"/>
              <w:kinsoku/>
              <w:wordWrap/>
              <w:overflowPunct/>
              <w:topLinePunct w:val="0"/>
              <w:autoSpaceDE/>
              <w:autoSpaceDN/>
              <w:bidi w:val="0"/>
              <w:adjustRightInd/>
              <w:snapToGrid/>
              <w:spacing w:line="240" w:lineRule="auto"/>
              <w:jc w:val="center"/>
              <w:textAlignment w:val="auto"/>
              <w:rPr>
                <w:color w:val="auto"/>
                <w:kern w:val="0"/>
                <w:sz w:val="22"/>
                <w:szCs w:val="22"/>
                <w:highlight w:val="none"/>
              </w:rPr>
            </w:pPr>
          </w:p>
        </w:tc>
        <w:tc>
          <w:tcPr>
            <w:tcW w:w="990" w:type="dxa"/>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color w:val="auto"/>
                <w:kern w:val="0"/>
                <w:sz w:val="22"/>
                <w:szCs w:val="22"/>
                <w:highlight w:val="none"/>
              </w:rPr>
            </w:pPr>
          </w:p>
        </w:tc>
        <w:tc>
          <w:tcPr>
            <w:tcW w:w="1283" w:type="dxa"/>
            <w:shd w:val="clear" w:color="auto" w:fill="FFFFFF"/>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color w:val="auto"/>
                <w:kern w:val="0"/>
                <w:sz w:val="22"/>
                <w:szCs w:val="22"/>
                <w:highlight w:val="none"/>
              </w:rPr>
            </w:pPr>
            <w:r>
              <w:rPr>
                <w:color w:val="auto"/>
                <w:kern w:val="0"/>
                <w:sz w:val="22"/>
                <w:szCs w:val="22"/>
                <w:highlight w:val="none"/>
              </w:rPr>
              <w:t>资金管理</w:t>
            </w:r>
          </w:p>
        </w:tc>
        <w:tc>
          <w:tcPr>
            <w:tcW w:w="1707" w:type="dxa"/>
            <w:shd w:val="clear" w:color="auto" w:fill="FFFFFF"/>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color w:val="auto"/>
                <w:kern w:val="0"/>
                <w:sz w:val="22"/>
                <w:szCs w:val="22"/>
                <w:highlight w:val="none"/>
              </w:rPr>
            </w:pPr>
            <w:r>
              <w:rPr>
                <w:color w:val="auto"/>
                <w:kern w:val="0"/>
                <w:sz w:val="22"/>
                <w:szCs w:val="22"/>
                <w:highlight w:val="none"/>
              </w:rPr>
              <w:t>资金使用</w:t>
            </w:r>
          </w:p>
          <w:p>
            <w:pPr>
              <w:keepNext w:val="0"/>
              <w:keepLines w:val="0"/>
              <w:pageBreakBefore w:val="0"/>
              <w:widowControl/>
              <w:kinsoku/>
              <w:wordWrap/>
              <w:overflowPunct/>
              <w:topLinePunct w:val="0"/>
              <w:autoSpaceDE/>
              <w:autoSpaceDN/>
              <w:bidi w:val="0"/>
              <w:adjustRightInd/>
              <w:snapToGrid/>
              <w:spacing w:line="240" w:lineRule="auto"/>
              <w:jc w:val="center"/>
              <w:textAlignment w:val="auto"/>
              <w:rPr>
                <w:color w:val="auto"/>
                <w:kern w:val="0"/>
                <w:sz w:val="22"/>
                <w:szCs w:val="22"/>
                <w:highlight w:val="none"/>
              </w:rPr>
            </w:pPr>
            <w:r>
              <w:rPr>
                <w:color w:val="auto"/>
                <w:kern w:val="0"/>
                <w:sz w:val="22"/>
                <w:szCs w:val="22"/>
                <w:highlight w:val="none"/>
              </w:rPr>
              <w:t>合规性</w:t>
            </w:r>
          </w:p>
        </w:tc>
        <w:tc>
          <w:tcPr>
            <w:tcW w:w="727" w:type="dxa"/>
            <w:shd w:val="clear" w:color="000000" w:fill="FFFFFF"/>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color w:val="auto"/>
                <w:kern w:val="0"/>
                <w:sz w:val="22"/>
                <w:szCs w:val="22"/>
                <w:highlight w:val="none"/>
              </w:rPr>
            </w:pPr>
            <w:r>
              <w:rPr>
                <w:rFonts w:hint="eastAsia"/>
                <w:color w:val="auto"/>
                <w:kern w:val="0"/>
                <w:sz w:val="22"/>
                <w:szCs w:val="22"/>
                <w:highlight w:val="none"/>
              </w:rPr>
              <w:t>4</w:t>
            </w:r>
          </w:p>
        </w:tc>
        <w:tc>
          <w:tcPr>
            <w:tcW w:w="1044" w:type="dxa"/>
            <w:shd w:val="clear" w:color="000000" w:fill="FFFFFF"/>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color w:val="auto"/>
                <w:kern w:val="0"/>
                <w:sz w:val="22"/>
                <w:szCs w:val="22"/>
                <w:highlight w:val="none"/>
              </w:rPr>
            </w:pPr>
            <w:r>
              <w:rPr>
                <w:color w:val="auto"/>
                <w:kern w:val="0"/>
                <w:sz w:val="22"/>
                <w:szCs w:val="22"/>
                <w:highlight w:val="none"/>
              </w:rPr>
              <w:t>合格</w:t>
            </w:r>
          </w:p>
        </w:tc>
        <w:tc>
          <w:tcPr>
            <w:tcW w:w="924" w:type="dxa"/>
            <w:shd w:val="clear" w:color="000000" w:fill="FFFFFF"/>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color w:val="auto"/>
                <w:kern w:val="0"/>
                <w:sz w:val="22"/>
                <w:szCs w:val="22"/>
                <w:highlight w:val="none"/>
              </w:rPr>
            </w:pPr>
            <w:r>
              <w:rPr>
                <w:color w:val="auto"/>
                <w:kern w:val="0"/>
                <w:sz w:val="22"/>
                <w:szCs w:val="22"/>
                <w:highlight w:val="none"/>
              </w:rPr>
              <w:t>合格</w:t>
            </w:r>
          </w:p>
        </w:tc>
        <w:tc>
          <w:tcPr>
            <w:tcW w:w="1215" w:type="dxa"/>
            <w:shd w:val="clear" w:color="000000" w:fill="FFFFFF"/>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color w:val="auto"/>
                <w:kern w:val="0"/>
                <w:sz w:val="22"/>
                <w:szCs w:val="22"/>
                <w:highlight w:val="none"/>
              </w:rPr>
            </w:pPr>
            <w:r>
              <w:rPr>
                <w:color w:val="auto"/>
                <w:kern w:val="0"/>
                <w:sz w:val="22"/>
                <w:szCs w:val="22"/>
                <w:highlight w:val="none"/>
              </w:rPr>
              <w:t>100%</w:t>
            </w:r>
          </w:p>
        </w:tc>
        <w:tc>
          <w:tcPr>
            <w:tcW w:w="960" w:type="dxa"/>
            <w:shd w:val="clear" w:color="000000" w:fill="FFFFFF"/>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color w:val="auto"/>
                <w:kern w:val="0"/>
                <w:sz w:val="22"/>
                <w:szCs w:val="22"/>
                <w:highlight w:val="none"/>
              </w:rPr>
            </w:pPr>
            <w:r>
              <w:rPr>
                <w:rFonts w:hint="eastAsia"/>
                <w:color w:val="auto"/>
                <w:kern w:val="0"/>
                <w:sz w:val="22"/>
                <w:szCs w:val="22"/>
                <w:highlight w:val="none"/>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keepNext w:val="0"/>
              <w:keepLines w:val="0"/>
              <w:pageBreakBefore w:val="0"/>
              <w:kinsoku/>
              <w:wordWrap/>
              <w:overflowPunct/>
              <w:topLinePunct w:val="0"/>
              <w:autoSpaceDE/>
              <w:autoSpaceDN/>
              <w:bidi w:val="0"/>
              <w:adjustRightInd/>
              <w:snapToGrid/>
              <w:spacing w:line="240" w:lineRule="auto"/>
              <w:jc w:val="center"/>
              <w:textAlignment w:val="auto"/>
              <w:rPr>
                <w:color w:val="auto"/>
                <w:kern w:val="0"/>
                <w:sz w:val="22"/>
                <w:szCs w:val="22"/>
                <w:highlight w:val="none"/>
              </w:rPr>
            </w:pPr>
          </w:p>
        </w:tc>
        <w:tc>
          <w:tcPr>
            <w:tcW w:w="990" w:type="dxa"/>
            <w:vMerge w:val="continue"/>
            <w:shd w:val="clear" w:color="auto" w:fill="FFFFFF"/>
            <w:vAlign w:val="center"/>
          </w:tcPr>
          <w:p>
            <w:pPr>
              <w:keepNext w:val="0"/>
              <w:keepLines w:val="0"/>
              <w:pageBreakBefore w:val="0"/>
              <w:kinsoku/>
              <w:wordWrap/>
              <w:overflowPunct/>
              <w:topLinePunct w:val="0"/>
              <w:autoSpaceDE/>
              <w:autoSpaceDN/>
              <w:bidi w:val="0"/>
              <w:adjustRightInd/>
              <w:snapToGrid/>
              <w:spacing w:line="240" w:lineRule="auto"/>
              <w:jc w:val="center"/>
              <w:textAlignment w:val="auto"/>
              <w:rPr>
                <w:color w:val="auto"/>
                <w:kern w:val="0"/>
                <w:sz w:val="22"/>
                <w:szCs w:val="22"/>
                <w:highlight w:val="none"/>
              </w:rPr>
            </w:pPr>
          </w:p>
        </w:tc>
        <w:tc>
          <w:tcPr>
            <w:tcW w:w="1283" w:type="dxa"/>
            <w:vMerge w:val="restart"/>
            <w:shd w:val="clear" w:color="auto" w:fill="FFFFFF"/>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color w:val="auto"/>
                <w:kern w:val="0"/>
                <w:sz w:val="22"/>
                <w:szCs w:val="22"/>
                <w:highlight w:val="none"/>
              </w:rPr>
            </w:pPr>
            <w:r>
              <w:rPr>
                <w:color w:val="auto"/>
                <w:kern w:val="0"/>
                <w:sz w:val="22"/>
                <w:szCs w:val="22"/>
                <w:highlight w:val="none"/>
              </w:rPr>
              <w:t>组织实施</w:t>
            </w:r>
          </w:p>
        </w:tc>
        <w:tc>
          <w:tcPr>
            <w:tcW w:w="1707" w:type="dxa"/>
            <w:shd w:val="clear" w:color="auto" w:fill="FFFFFF"/>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color w:val="auto"/>
                <w:kern w:val="0"/>
                <w:sz w:val="22"/>
                <w:szCs w:val="22"/>
                <w:highlight w:val="none"/>
              </w:rPr>
            </w:pPr>
            <w:r>
              <w:rPr>
                <w:color w:val="auto"/>
                <w:kern w:val="0"/>
                <w:sz w:val="22"/>
                <w:szCs w:val="22"/>
                <w:highlight w:val="none"/>
              </w:rPr>
              <w:t>管理制度</w:t>
            </w:r>
          </w:p>
          <w:p>
            <w:pPr>
              <w:keepNext w:val="0"/>
              <w:keepLines w:val="0"/>
              <w:pageBreakBefore w:val="0"/>
              <w:widowControl/>
              <w:kinsoku/>
              <w:wordWrap/>
              <w:overflowPunct/>
              <w:topLinePunct w:val="0"/>
              <w:autoSpaceDE/>
              <w:autoSpaceDN/>
              <w:bidi w:val="0"/>
              <w:adjustRightInd/>
              <w:snapToGrid/>
              <w:spacing w:line="240" w:lineRule="auto"/>
              <w:jc w:val="center"/>
              <w:textAlignment w:val="auto"/>
              <w:rPr>
                <w:color w:val="auto"/>
                <w:kern w:val="0"/>
                <w:sz w:val="22"/>
                <w:szCs w:val="22"/>
                <w:highlight w:val="none"/>
              </w:rPr>
            </w:pPr>
            <w:r>
              <w:rPr>
                <w:color w:val="auto"/>
                <w:kern w:val="0"/>
                <w:sz w:val="22"/>
                <w:szCs w:val="22"/>
                <w:highlight w:val="none"/>
              </w:rPr>
              <w:t>健全性</w:t>
            </w:r>
          </w:p>
        </w:tc>
        <w:tc>
          <w:tcPr>
            <w:tcW w:w="727" w:type="dxa"/>
            <w:shd w:val="clear" w:color="000000" w:fill="FFFFFF"/>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color w:val="auto"/>
                <w:kern w:val="0"/>
                <w:sz w:val="22"/>
                <w:szCs w:val="22"/>
                <w:highlight w:val="none"/>
              </w:rPr>
            </w:pPr>
            <w:r>
              <w:rPr>
                <w:rFonts w:hint="eastAsia"/>
                <w:color w:val="auto"/>
                <w:kern w:val="0"/>
                <w:sz w:val="22"/>
                <w:szCs w:val="22"/>
                <w:highlight w:val="none"/>
              </w:rPr>
              <w:t>4</w:t>
            </w:r>
          </w:p>
        </w:tc>
        <w:tc>
          <w:tcPr>
            <w:tcW w:w="1044" w:type="dxa"/>
            <w:shd w:val="clear" w:color="000000" w:fill="FFFFFF"/>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color w:val="auto"/>
                <w:kern w:val="0"/>
                <w:sz w:val="22"/>
                <w:szCs w:val="22"/>
                <w:highlight w:val="none"/>
              </w:rPr>
            </w:pPr>
            <w:r>
              <w:rPr>
                <w:color w:val="auto"/>
                <w:kern w:val="0"/>
                <w:sz w:val="22"/>
                <w:szCs w:val="22"/>
                <w:highlight w:val="none"/>
              </w:rPr>
              <w:t>健全</w:t>
            </w:r>
          </w:p>
        </w:tc>
        <w:tc>
          <w:tcPr>
            <w:tcW w:w="924" w:type="dxa"/>
            <w:shd w:val="clear" w:color="000000" w:fill="FFFFFF"/>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color w:val="auto"/>
                <w:kern w:val="0"/>
                <w:sz w:val="22"/>
                <w:szCs w:val="22"/>
                <w:highlight w:val="none"/>
              </w:rPr>
            </w:pPr>
            <w:r>
              <w:rPr>
                <w:color w:val="auto"/>
                <w:kern w:val="0"/>
                <w:sz w:val="22"/>
                <w:szCs w:val="22"/>
                <w:highlight w:val="none"/>
              </w:rPr>
              <w:t>健全</w:t>
            </w:r>
          </w:p>
        </w:tc>
        <w:tc>
          <w:tcPr>
            <w:tcW w:w="1215" w:type="dxa"/>
            <w:shd w:val="clear" w:color="000000" w:fill="FFFFFF"/>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color w:val="auto"/>
                <w:kern w:val="0"/>
                <w:sz w:val="22"/>
                <w:szCs w:val="22"/>
                <w:highlight w:val="none"/>
              </w:rPr>
            </w:pPr>
            <w:r>
              <w:rPr>
                <w:rFonts w:hint="default"/>
                <w:color w:val="auto"/>
                <w:kern w:val="0"/>
                <w:sz w:val="22"/>
                <w:szCs w:val="22"/>
                <w:highlight w:val="none"/>
                <w:lang w:eastAsia="zh-CN"/>
              </w:rPr>
              <w:t>100</w:t>
            </w:r>
            <w:r>
              <w:rPr>
                <w:color w:val="auto"/>
                <w:kern w:val="0"/>
                <w:sz w:val="22"/>
                <w:szCs w:val="22"/>
                <w:highlight w:val="none"/>
              </w:rPr>
              <w:t>%</w:t>
            </w:r>
          </w:p>
        </w:tc>
        <w:tc>
          <w:tcPr>
            <w:tcW w:w="960" w:type="dxa"/>
            <w:shd w:val="clear" w:color="000000" w:fill="FFFFFF"/>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default" w:eastAsia="宋体"/>
                <w:color w:val="auto"/>
                <w:kern w:val="0"/>
                <w:sz w:val="22"/>
                <w:szCs w:val="22"/>
                <w:highlight w:val="none"/>
                <w:lang w:eastAsia="zh-CN"/>
              </w:rPr>
            </w:pPr>
            <w:r>
              <w:rPr>
                <w:rFonts w:hint="default"/>
                <w:color w:val="auto"/>
                <w:kern w:val="0"/>
                <w:sz w:val="22"/>
                <w:szCs w:val="22"/>
                <w:highlight w:val="none"/>
                <w:lang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color w:val="auto"/>
                <w:kern w:val="0"/>
                <w:sz w:val="22"/>
                <w:szCs w:val="22"/>
                <w:highlight w:val="none"/>
              </w:rPr>
            </w:pPr>
          </w:p>
        </w:tc>
        <w:tc>
          <w:tcPr>
            <w:tcW w:w="990" w:type="dxa"/>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color w:val="auto"/>
                <w:kern w:val="0"/>
                <w:sz w:val="22"/>
                <w:szCs w:val="22"/>
                <w:highlight w:val="none"/>
              </w:rPr>
            </w:pPr>
          </w:p>
        </w:tc>
        <w:tc>
          <w:tcPr>
            <w:tcW w:w="1283" w:type="dxa"/>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color w:val="auto"/>
                <w:kern w:val="0"/>
                <w:sz w:val="22"/>
                <w:szCs w:val="22"/>
                <w:highlight w:val="none"/>
              </w:rPr>
            </w:pPr>
          </w:p>
        </w:tc>
        <w:tc>
          <w:tcPr>
            <w:tcW w:w="1707" w:type="dxa"/>
            <w:shd w:val="clear" w:color="auto" w:fill="FFFFFF"/>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color w:val="auto"/>
                <w:kern w:val="0"/>
                <w:sz w:val="22"/>
                <w:szCs w:val="22"/>
                <w:highlight w:val="none"/>
              </w:rPr>
            </w:pPr>
            <w:r>
              <w:rPr>
                <w:color w:val="auto"/>
                <w:kern w:val="0"/>
                <w:sz w:val="22"/>
                <w:szCs w:val="22"/>
                <w:highlight w:val="none"/>
              </w:rPr>
              <w:t>制度执行</w:t>
            </w:r>
          </w:p>
          <w:p>
            <w:pPr>
              <w:keepNext w:val="0"/>
              <w:keepLines w:val="0"/>
              <w:pageBreakBefore w:val="0"/>
              <w:widowControl/>
              <w:kinsoku/>
              <w:wordWrap/>
              <w:overflowPunct/>
              <w:topLinePunct w:val="0"/>
              <w:autoSpaceDE/>
              <w:autoSpaceDN/>
              <w:bidi w:val="0"/>
              <w:adjustRightInd/>
              <w:snapToGrid/>
              <w:spacing w:line="240" w:lineRule="auto"/>
              <w:jc w:val="center"/>
              <w:textAlignment w:val="auto"/>
              <w:rPr>
                <w:color w:val="auto"/>
                <w:kern w:val="0"/>
                <w:sz w:val="22"/>
                <w:szCs w:val="22"/>
                <w:highlight w:val="none"/>
              </w:rPr>
            </w:pPr>
            <w:r>
              <w:rPr>
                <w:color w:val="auto"/>
                <w:kern w:val="0"/>
                <w:sz w:val="22"/>
                <w:szCs w:val="22"/>
                <w:highlight w:val="none"/>
              </w:rPr>
              <w:t>有效性</w:t>
            </w:r>
          </w:p>
        </w:tc>
        <w:tc>
          <w:tcPr>
            <w:tcW w:w="727" w:type="dxa"/>
            <w:shd w:val="clear" w:color="000000" w:fill="FFFFFF"/>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color w:val="auto"/>
                <w:kern w:val="0"/>
                <w:sz w:val="22"/>
                <w:szCs w:val="22"/>
                <w:highlight w:val="none"/>
              </w:rPr>
            </w:pPr>
            <w:r>
              <w:rPr>
                <w:rFonts w:hint="eastAsia"/>
                <w:color w:val="auto"/>
                <w:kern w:val="0"/>
                <w:sz w:val="22"/>
                <w:szCs w:val="22"/>
                <w:highlight w:val="none"/>
              </w:rPr>
              <w:t>4</w:t>
            </w:r>
          </w:p>
        </w:tc>
        <w:tc>
          <w:tcPr>
            <w:tcW w:w="1044" w:type="dxa"/>
            <w:shd w:val="clear" w:color="000000" w:fill="FFFFFF"/>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color w:val="auto"/>
                <w:kern w:val="0"/>
                <w:sz w:val="22"/>
                <w:szCs w:val="22"/>
                <w:highlight w:val="none"/>
              </w:rPr>
            </w:pPr>
            <w:r>
              <w:rPr>
                <w:color w:val="auto"/>
                <w:kern w:val="0"/>
                <w:sz w:val="22"/>
                <w:szCs w:val="22"/>
                <w:highlight w:val="none"/>
              </w:rPr>
              <w:t>有效</w:t>
            </w:r>
          </w:p>
        </w:tc>
        <w:tc>
          <w:tcPr>
            <w:tcW w:w="924" w:type="dxa"/>
            <w:shd w:val="clear" w:color="000000" w:fill="FFFFFF"/>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color w:val="auto"/>
                <w:kern w:val="0"/>
                <w:sz w:val="22"/>
                <w:szCs w:val="22"/>
                <w:highlight w:val="none"/>
              </w:rPr>
            </w:pPr>
            <w:r>
              <w:rPr>
                <w:color w:val="auto"/>
                <w:kern w:val="0"/>
                <w:sz w:val="22"/>
                <w:szCs w:val="22"/>
                <w:highlight w:val="none"/>
              </w:rPr>
              <w:t>有效</w:t>
            </w:r>
          </w:p>
        </w:tc>
        <w:tc>
          <w:tcPr>
            <w:tcW w:w="1215" w:type="dxa"/>
            <w:shd w:val="clear" w:color="000000" w:fill="FFFFFF"/>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color w:val="auto"/>
                <w:kern w:val="0"/>
                <w:sz w:val="22"/>
                <w:szCs w:val="22"/>
                <w:highlight w:val="none"/>
              </w:rPr>
            </w:pPr>
            <w:r>
              <w:rPr>
                <w:rFonts w:hint="default"/>
                <w:color w:val="auto"/>
                <w:kern w:val="0"/>
                <w:sz w:val="22"/>
                <w:szCs w:val="22"/>
                <w:highlight w:val="none"/>
                <w:lang w:eastAsia="zh-CN"/>
              </w:rPr>
              <w:t>100</w:t>
            </w:r>
            <w:r>
              <w:rPr>
                <w:color w:val="auto"/>
                <w:kern w:val="0"/>
                <w:sz w:val="22"/>
                <w:szCs w:val="22"/>
                <w:highlight w:val="none"/>
              </w:rPr>
              <w:t>%</w:t>
            </w:r>
          </w:p>
        </w:tc>
        <w:tc>
          <w:tcPr>
            <w:tcW w:w="960" w:type="dxa"/>
            <w:shd w:val="clear" w:color="000000" w:fill="FFFFFF"/>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default"/>
                <w:color w:val="auto"/>
                <w:kern w:val="0"/>
                <w:sz w:val="22"/>
                <w:szCs w:val="22"/>
                <w:highlight w:val="none"/>
              </w:rPr>
            </w:pPr>
            <w:r>
              <w:rPr>
                <w:rFonts w:hint="default"/>
                <w:color w:val="auto"/>
                <w:kern w:val="0"/>
                <w:sz w:val="22"/>
                <w:szCs w:val="22"/>
                <w:highlight w:val="none"/>
                <w:lang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567" w:hRule="atLeast"/>
        </w:trPr>
        <w:tc>
          <w:tcPr>
            <w:tcW w:w="1104" w:type="dxa"/>
            <w:vMerge w:val="restart"/>
            <w:shd w:val="clear" w:color="auto" w:fill="FFFFFF"/>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color w:val="auto"/>
                <w:kern w:val="0"/>
                <w:sz w:val="22"/>
                <w:szCs w:val="22"/>
                <w:highlight w:val="none"/>
              </w:rPr>
            </w:pPr>
            <w:r>
              <w:rPr>
                <w:color w:val="auto"/>
                <w:kern w:val="0"/>
                <w:sz w:val="22"/>
                <w:szCs w:val="22"/>
                <w:highlight w:val="none"/>
              </w:rPr>
              <w:t>产出</w:t>
            </w:r>
          </w:p>
        </w:tc>
        <w:tc>
          <w:tcPr>
            <w:tcW w:w="990" w:type="dxa"/>
            <w:vMerge w:val="restart"/>
            <w:shd w:val="clear" w:color="auto" w:fill="FFFFFF"/>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color w:val="auto"/>
                <w:kern w:val="0"/>
                <w:sz w:val="22"/>
                <w:szCs w:val="22"/>
                <w:highlight w:val="none"/>
              </w:rPr>
            </w:pPr>
            <w:r>
              <w:rPr>
                <w:rFonts w:hint="eastAsia"/>
                <w:color w:val="auto"/>
                <w:kern w:val="0"/>
                <w:sz w:val="22"/>
                <w:szCs w:val="22"/>
                <w:highlight w:val="none"/>
              </w:rPr>
              <w:t>40</w:t>
            </w:r>
            <w:r>
              <w:rPr>
                <w:color w:val="auto"/>
                <w:kern w:val="0"/>
                <w:sz w:val="22"/>
                <w:szCs w:val="22"/>
                <w:highlight w:val="none"/>
              </w:rPr>
              <w:t>分</w:t>
            </w:r>
          </w:p>
        </w:tc>
        <w:tc>
          <w:tcPr>
            <w:tcW w:w="1283" w:type="dxa"/>
            <w:shd w:val="clear" w:color="auto" w:fill="FFFFFF"/>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color w:val="auto"/>
                <w:kern w:val="0"/>
                <w:sz w:val="22"/>
                <w:szCs w:val="22"/>
                <w:highlight w:val="none"/>
              </w:rPr>
            </w:pPr>
            <w:r>
              <w:rPr>
                <w:color w:val="auto"/>
                <w:kern w:val="0"/>
                <w:sz w:val="22"/>
                <w:szCs w:val="22"/>
                <w:highlight w:val="none"/>
              </w:rPr>
              <w:t>产出数量</w:t>
            </w:r>
          </w:p>
        </w:tc>
        <w:tc>
          <w:tcPr>
            <w:tcW w:w="1707" w:type="dxa"/>
            <w:shd w:val="clear" w:color="auto" w:fill="FFFFFF"/>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color w:val="auto"/>
                <w:kern w:val="0"/>
                <w:sz w:val="22"/>
                <w:szCs w:val="22"/>
                <w:highlight w:val="none"/>
              </w:rPr>
            </w:pPr>
            <w:r>
              <w:rPr>
                <w:color w:val="auto"/>
                <w:kern w:val="0"/>
                <w:sz w:val="22"/>
                <w:szCs w:val="22"/>
                <w:highlight w:val="none"/>
              </w:rPr>
              <w:t>实际完成率</w:t>
            </w:r>
          </w:p>
        </w:tc>
        <w:tc>
          <w:tcPr>
            <w:tcW w:w="727" w:type="dxa"/>
            <w:shd w:val="clear" w:color="000000" w:fill="FFFFFF"/>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color w:val="auto"/>
                <w:kern w:val="0"/>
                <w:sz w:val="22"/>
                <w:szCs w:val="22"/>
                <w:highlight w:val="none"/>
              </w:rPr>
            </w:pPr>
            <w:r>
              <w:rPr>
                <w:color w:val="auto"/>
                <w:kern w:val="0"/>
                <w:sz w:val="22"/>
                <w:szCs w:val="22"/>
                <w:highlight w:val="none"/>
              </w:rPr>
              <w:t>1</w:t>
            </w:r>
            <w:r>
              <w:rPr>
                <w:rFonts w:hint="eastAsia"/>
                <w:color w:val="auto"/>
                <w:kern w:val="0"/>
                <w:sz w:val="22"/>
                <w:szCs w:val="22"/>
                <w:highlight w:val="none"/>
              </w:rPr>
              <w:t>0</w:t>
            </w:r>
          </w:p>
        </w:tc>
        <w:tc>
          <w:tcPr>
            <w:tcW w:w="1044" w:type="dxa"/>
            <w:shd w:val="clear" w:color="000000" w:fill="FFFFFF"/>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color w:val="auto"/>
                <w:kern w:val="0"/>
                <w:sz w:val="22"/>
                <w:szCs w:val="22"/>
                <w:highlight w:val="none"/>
              </w:rPr>
            </w:pPr>
            <w:r>
              <w:rPr>
                <w:color w:val="auto"/>
                <w:kern w:val="0"/>
                <w:sz w:val="22"/>
                <w:szCs w:val="22"/>
                <w:highlight w:val="none"/>
              </w:rPr>
              <w:t>100%</w:t>
            </w:r>
          </w:p>
        </w:tc>
        <w:tc>
          <w:tcPr>
            <w:tcW w:w="924" w:type="dxa"/>
            <w:shd w:val="clear" w:color="000000" w:fill="FFFFFF"/>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color w:val="auto"/>
                <w:kern w:val="0"/>
                <w:sz w:val="22"/>
                <w:szCs w:val="22"/>
                <w:highlight w:val="none"/>
              </w:rPr>
            </w:pPr>
            <w:r>
              <w:rPr>
                <w:rFonts w:hint="eastAsia"/>
                <w:color w:val="auto"/>
                <w:kern w:val="0"/>
                <w:sz w:val="22"/>
                <w:szCs w:val="22"/>
                <w:highlight w:val="none"/>
                <w:lang w:val="en-US" w:eastAsia="zh-CN"/>
              </w:rPr>
              <w:t>9</w:t>
            </w:r>
            <w:r>
              <w:rPr>
                <w:rFonts w:hint="default"/>
                <w:color w:val="auto"/>
                <w:kern w:val="0"/>
                <w:sz w:val="22"/>
                <w:szCs w:val="22"/>
                <w:highlight w:val="none"/>
                <w:lang w:eastAsia="zh-CN"/>
              </w:rPr>
              <w:t>9.7</w:t>
            </w:r>
            <w:r>
              <w:rPr>
                <w:color w:val="auto"/>
                <w:kern w:val="0"/>
                <w:sz w:val="22"/>
                <w:szCs w:val="22"/>
                <w:highlight w:val="none"/>
              </w:rPr>
              <w:t>%</w:t>
            </w:r>
          </w:p>
        </w:tc>
        <w:tc>
          <w:tcPr>
            <w:tcW w:w="1215" w:type="dxa"/>
            <w:shd w:val="clear" w:color="000000" w:fill="FFFFFF"/>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default" w:eastAsia="宋体"/>
                <w:color w:val="auto"/>
                <w:kern w:val="0"/>
                <w:sz w:val="22"/>
                <w:szCs w:val="22"/>
                <w:highlight w:val="none"/>
                <w:lang w:val="en-US" w:eastAsia="zh-CN"/>
              </w:rPr>
            </w:pPr>
            <w:r>
              <w:rPr>
                <w:rFonts w:hint="eastAsia"/>
                <w:color w:val="auto"/>
                <w:kern w:val="0"/>
                <w:sz w:val="22"/>
                <w:szCs w:val="22"/>
                <w:highlight w:val="none"/>
                <w:lang w:val="en-US" w:eastAsia="zh-CN"/>
              </w:rPr>
              <w:t>9</w:t>
            </w:r>
            <w:r>
              <w:rPr>
                <w:rFonts w:hint="default"/>
                <w:color w:val="auto"/>
                <w:kern w:val="0"/>
                <w:sz w:val="22"/>
                <w:szCs w:val="22"/>
                <w:highlight w:val="none"/>
                <w:lang w:eastAsia="zh-CN"/>
              </w:rPr>
              <w:t>9.7</w:t>
            </w:r>
            <w:r>
              <w:rPr>
                <w:color w:val="auto"/>
                <w:kern w:val="0"/>
                <w:sz w:val="22"/>
                <w:szCs w:val="22"/>
                <w:highlight w:val="none"/>
              </w:rPr>
              <w:t>%</w:t>
            </w:r>
          </w:p>
        </w:tc>
        <w:tc>
          <w:tcPr>
            <w:tcW w:w="960" w:type="dxa"/>
            <w:shd w:val="clear" w:color="000000" w:fill="FFFFFF"/>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default" w:eastAsia="宋体"/>
                <w:color w:val="auto"/>
                <w:kern w:val="0"/>
                <w:sz w:val="22"/>
                <w:szCs w:val="22"/>
                <w:highlight w:val="none"/>
                <w:lang w:eastAsia="zh-CN"/>
              </w:rPr>
            </w:pPr>
            <w:r>
              <w:rPr>
                <w:rFonts w:hint="default"/>
                <w:color w:val="auto"/>
                <w:kern w:val="0"/>
                <w:sz w:val="22"/>
                <w:szCs w:val="22"/>
                <w:highlight w:val="none"/>
                <w:lang w:eastAsia="zh-CN"/>
              </w:rPr>
              <w:t>9.97</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color w:val="auto"/>
                <w:kern w:val="0"/>
                <w:sz w:val="22"/>
                <w:szCs w:val="22"/>
                <w:highlight w:val="none"/>
              </w:rPr>
            </w:pPr>
          </w:p>
        </w:tc>
        <w:tc>
          <w:tcPr>
            <w:tcW w:w="990" w:type="dxa"/>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color w:val="auto"/>
                <w:kern w:val="0"/>
                <w:sz w:val="22"/>
                <w:szCs w:val="22"/>
                <w:highlight w:val="none"/>
              </w:rPr>
            </w:pPr>
          </w:p>
        </w:tc>
        <w:tc>
          <w:tcPr>
            <w:tcW w:w="1283" w:type="dxa"/>
            <w:shd w:val="clear" w:color="auto" w:fill="FFFFFF"/>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color w:val="auto"/>
                <w:kern w:val="0"/>
                <w:sz w:val="22"/>
                <w:szCs w:val="22"/>
                <w:highlight w:val="none"/>
              </w:rPr>
            </w:pPr>
            <w:r>
              <w:rPr>
                <w:color w:val="auto"/>
                <w:kern w:val="0"/>
                <w:sz w:val="22"/>
                <w:szCs w:val="22"/>
                <w:highlight w:val="none"/>
              </w:rPr>
              <w:t>产出质量</w:t>
            </w:r>
          </w:p>
        </w:tc>
        <w:tc>
          <w:tcPr>
            <w:tcW w:w="1707" w:type="dxa"/>
            <w:shd w:val="clear" w:color="auto" w:fill="FFFFFF"/>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color w:val="auto"/>
                <w:kern w:val="0"/>
                <w:sz w:val="22"/>
                <w:szCs w:val="22"/>
                <w:highlight w:val="none"/>
              </w:rPr>
            </w:pPr>
            <w:r>
              <w:rPr>
                <w:color w:val="auto"/>
                <w:kern w:val="0"/>
                <w:sz w:val="22"/>
                <w:szCs w:val="22"/>
                <w:highlight w:val="none"/>
              </w:rPr>
              <w:t>质量达标率</w:t>
            </w:r>
          </w:p>
        </w:tc>
        <w:tc>
          <w:tcPr>
            <w:tcW w:w="727" w:type="dxa"/>
            <w:shd w:val="clear" w:color="000000" w:fill="FFFFFF"/>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color w:val="auto"/>
                <w:kern w:val="0"/>
                <w:sz w:val="22"/>
                <w:szCs w:val="22"/>
                <w:highlight w:val="none"/>
              </w:rPr>
            </w:pPr>
            <w:r>
              <w:rPr>
                <w:color w:val="auto"/>
                <w:kern w:val="0"/>
                <w:sz w:val="22"/>
                <w:szCs w:val="22"/>
                <w:highlight w:val="none"/>
              </w:rPr>
              <w:t>10</w:t>
            </w:r>
          </w:p>
        </w:tc>
        <w:tc>
          <w:tcPr>
            <w:tcW w:w="1044" w:type="dxa"/>
            <w:shd w:val="clear" w:color="000000" w:fill="FFFFFF"/>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color w:val="auto"/>
                <w:kern w:val="0"/>
                <w:sz w:val="22"/>
                <w:szCs w:val="22"/>
                <w:highlight w:val="none"/>
              </w:rPr>
            </w:pPr>
            <w:r>
              <w:rPr>
                <w:color w:val="auto"/>
                <w:kern w:val="0"/>
                <w:sz w:val="22"/>
                <w:szCs w:val="22"/>
                <w:highlight w:val="none"/>
              </w:rPr>
              <w:t>100%</w:t>
            </w:r>
          </w:p>
        </w:tc>
        <w:tc>
          <w:tcPr>
            <w:tcW w:w="924" w:type="dxa"/>
            <w:shd w:val="clear" w:color="000000" w:fill="FFFFFF"/>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color w:val="auto"/>
                <w:kern w:val="0"/>
                <w:sz w:val="22"/>
                <w:szCs w:val="22"/>
                <w:highlight w:val="none"/>
              </w:rPr>
            </w:pPr>
            <w:r>
              <w:rPr>
                <w:color w:val="auto"/>
                <w:kern w:val="0"/>
                <w:sz w:val="22"/>
                <w:szCs w:val="22"/>
                <w:highlight w:val="none"/>
              </w:rPr>
              <w:t>100%</w:t>
            </w:r>
          </w:p>
        </w:tc>
        <w:tc>
          <w:tcPr>
            <w:tcW w:w="1215" w:type="dxa"/>
            <w:shd w:val="clear" w:color="000000" w:fill="FFFFFF"/>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color w:val="auto"/>
                <w:kern w:val="0"/>
                <w:sz w:val="22"/>
                <w:szCs w:val="22"/>
                <w:highlight w:val="none"/>
              </w:rPr>
            </w:pPr>
            <w:r>
              <w:rPr>
                <w:color w:val="auto"/>
                <w:kern w:val="0"/>
                <w:sz w:val="22"/>
                <w:szCs w:val="22"/>
                <w:highlight w:val="none"/>
              </w:rPr>
              <w:t>100%</w:t>
            </w:r>
          </w:p>
        </w:tc>
        <w:tc>
          <w:tcPr>
            <w:tcW w:w="960" w:type="dxa"/>
            <w:shd w:val="clear" w:color="000000" w:fill="FFFFFF"/>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default" w:eastAsia="宋体"/>
                <w:color w:val="auto"/>
                <w:kern w:val="0"/>
                <w:sz w:val="22"/>
                <w:szCs w:val="22"/>
                <w:highlight w:val="none"/>
                <w:lang w:val="en-US" w:eastAsia="zh-CN"/>
              </w:rPr>
            </w:pPr>
            <w:r>
              <w:rPr>
                <w:rFonts w:hint="eastAsia"/>
                <w:color w:val="auto"/>
                <w:kern w:val="0"/>
                <w:sz w:val="22"/>
                <w:szCs w:val="22"/>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keepNext w:val="0"/>
              <w:keepLines w:val="0"/>
              <w:pageBreakBefore w:val="0"/>
              <w:kinsoku/>
              <w:wordWrap/>
              <w:overflowPunct/>
              <w:topLinePunct w:val="0"/>
              <w:autoSpaceDE/>
              <w:autoSpaceDN/>
              <w:bidi w:val="0"/>
              <w:adjustRightInd/>
              <w:snapToGrid/>
              <w:spacing w:line="240" w:lineRule="auto"/>
              <w:jc w:val="center"/>
              <w:textAlignment w:val="auto"/>
              <w:rPr>
                <w:color w:val="auto"/>
                <w:kern w:val="0"/>
                <w:sz w:val="22"/>
                <w:szCs w:val="22"/>
                <w:highlight w:val="none"/>
              </w:rPr>
            </w:pPr>
          </w:p>
        </w:tc>
        <w:tc>
          <w:tcPr>
            <w:tcW w:w="990" w:type="dxa"/>
            <w:vMerge w:val="continue"/>
            <w:shd w:val="clear" w:color="auto" w:fill="FFFFFF"/>
            <w:vAlign w:val="center"/>
          </w:tcPr>
          <w:p>
            <w:pPr>
              <w:keepNext w:val="0"/>
              <w:keepLines w:val="0"/>
              <w:pageBreakBefore w:val="0"/>
              <w:kinsoku/>
              <w:wordWrap/>
              <w:overflowPunct/>
              <w:topLinePunct w:val="0"/>
              <w:autoSpaceDE/>
              <w:autoSpaceDN/>
              <w:bidi w:val="0"/>
              <w:adjustRightInd/>
              <w:snapToGrid/>
              <w:spacing w:line="240" w:lineRule="auto"/>
              <w:jc w:val="center"/>
              <w:textAlignment w:val="auto"/>
              <w:rPr>
                <w:color w:val="auto"/>
                <w:kern w:val="0"/>
                <w:sz w:val="22"/>
                <w:szCs w:val="22"/>
                <w:highlight w:val="none"/>
              </w:rPr>
            </w:pPr>
          </w:p>
        </w:tc>
        <w:tc>
          <w:tcPr>
            <w:tcW w:w="1283" w:type="dxa"/>
            <w:shd w:val="clear" w:color="auto" w:fill="FFFFFF"/>
            <w:vAlign w:val="center"/>
          </w:tcPr>
          <w:p>
            <w:pPr>
              <w:keepNext w:val="0"/>
              <w:keepLines w:val="0"/>
              <w:pageBreakBefore w:val="0"/>
              <w:kinsoku/>
              <w:wordWrap/>
              <w:overflowPunct/>
              <w:topLinePunct w:val="0"/>
              <w:autoSpaceDE/>
              <w:autoSpaceDN/>
              <w:bidi w:val="0"/>
              <w:adjustRightInd/>
              <w:snapToGrid/>
              <w:spacing w:line="240" w:lineRule="auto"/>
              <w:jc w:val="center"/>
              <w:textAlignment w:val="auto"/>
              <w:rPr>
                <w:color w:val="auto"/>
                <w:kern w:val="0"/>
                <w:sz w:val="22"/>
                <w:szCs w:val="22"/>
                <w:highlight w:val="none"/>
              </w:rPr>
            </w:pPr>
            <w:r>
              <w:rPr>
                <w:color w:val="auto"/>
                <w:kern w:val="0"/>
                <w:sz w:val="22"/>
                <w:szCs w:val="22"/>
                <w:highlight w:val="none"/>
              </w:rPr>
              <w:t>产出时效</w:t>
            </w:r>
          </w:p>
        </w:tc>
        <w:tc>
          <w:tcPr>
            <w:tcW w:w="1707" w:type="dxa"/>
            <w:shd w:val="clear" w:color="auto" w:fill="FFFFFF"/>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color w:val="auto"/>
                <w:kern w:val="0"/>
                <w:sz w:val="22"/>
                <w:szCs w:val="22"/>
                <w:highlight w:val="none"/>
              </w:rPr>
            </w:pPr>
            <w:r>
              <w:rPr>
                <w:color w:val="auto"/>
                <w:kern w:val="0"/>
                <w:sz w:val="22"/>
                <w:szCs w:val="22"/>
                <w:highlight w:val="none"/>
              </w:rPr>
              <w:t>完成及时性</w:t>
            </w:r>
          </w:p>
        </w:tc>
        <w:tc>
          <w:tcPr>
            <w:tcW w:w="727" w:type="dxa"/>
            <w:shd w:val="clear" w:color="000000" w:fill="FFFFFF"/>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color w:val="auto"/>
                <w:kern w:val="0"/>
                <w:sz w:val="22"/>
                <w:szCs w:val="22"/>
                <w:highlight w:val="none"/>
              </w:rPr>
            </w:pPr>
            <w:r>
              <w:rPr>
                <w:color w:val="auto"/>
                <w:kern w:val="0"/>
                <w:sz w:val="22"/>
                <w:szCs w:val="22"/>
                <w:highlight w:val="none"/>
              </w:rPr>
              <w:t>1</w:t>
            </w:r>
            <w:r>
              <w:rPr>
                <w:rFonts w:hint="eastAsia"/>
                <w:color w:val="auto"/>
                <w:kern w:val="0"/>
                <w:sz w:val="22"/>
                <w:szCs w:val="22"/>
                <w:highlight w:val="none"/>
              </w:rPr>
              <w:t>0</w:t>
            </w:r>
          </w:p>
        </w:tc>
        <w:tc>
          <w:tcPr>
            <w:tcW w:w="1044" w:type="dxa"/>
            <w:shd w:val="clear" w:color="000000" w:fill="FFFFFF"/>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color w:val="auto"/>
                <w:kern w:val="0"/>
                <w:sz w:val="22"/>
                <w:szCs w:val="22"/>
                <w:highlight w:val="none"/>
              </w:rPr>
            </w:pPr>
            <w:r>
              <w:rPr>
                <w:color w:val="auto"/>
                <w:kern w:val="0"/>
                <w:sz w:val="22"/>
                <w:szCs w:val="22"/>
                <w:highlight w:val="none"/>
              </w:rPr>
              <w:t>及时</w:t>
            </w:r>
          </w:p>
        </w:tc>
        <w:tc>
          <w:tcPr>
            <w:tcW w:w="924" w:type="dxa"/>
            <w:shd w:val="clear" w:color="000000" w:fill="FFFFFF"/>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color w:val="auto"/>
                <w:kern w:val="0"/>
                <w:sz w:val="22"/>
                <w:szCs w:val="22"/>
                <w:highlight w:val="none"/>
              </w:rPr>
            </w:pPr>
            <w:r>
              <w:rPr>
                <w:color w:val="auto"/>
                <w:kern w:val="0"/>
                <w:sz w:val="22"/>
                <w:szCs w:val="22"/>
                <w:highlight w:val="none"/>
              </w:rPr>
              <w:t>及时</w:t>
            </w:r>
          </w:p>
        </w:tc>
        <w:tc>
          <w:tcPr>
            <w:tcW w:w="1215" w:type="dxa"/>
            <w:shd w:val="clear" w:color="000000" w:fill="FFFFFF"/>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color w:val="auto"/>
                <w:kern w:val="0"/>
                <w:sz w:val="22"/>
                <w:szCs w:val="22"/>
                <w:highlight w:val="none"/>
              </w:rPr>
            </w:pPr>
            <w:r>
              <w:rPr>
                <w:rFonts w:hint="eastAsia"/>
                <w:color w:val="auto"/>
                <w:kern w:val="0"/>
                <w:sz w:val="22"/>
                <w:szCs w:val="22"/>
                <w:highlight w:val="none"/>
                <w:lang w:val="en-US" w:eastAsia="zh-CN"/>
              </w:rPr>
              <w:t>100%</w:t>
            </w:r>
          </w:p>
        </w:tc>
        <w:tc>
          <w:tcPr>
            <w:tcW w:w="960" w:type="dxa"/>
            <w:shd w:val="clear" w:color="000000" w:fill="FFFFFF"/>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default"/>
                <w:color w:val="auto"/>
                <w:kern w:val="0"/>
                <w:sz w:val="22"/>
                <w:szCs w:val="22"/>
                <w:highlight w:val="none"/>
                <w:lang w:val="en-US"/>
              </w:rPr>
            </w:pPr>
            <w:r>
              <w:rPr>
                <w:rFonts w:hint="eastAsia"/>
                <w:color w:val="auto"/>
                <w:kern w:val="0"/>
                <w:sz w:val="22"/>
                <w:szCs w:val="22"/>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color w:val="auto"/>
                <w:kern w:val="0"/>
                <w:sz w:val="22"/>
                <w:szCs w:val="22"/>
                <w:highlight w:val="none"/>
              </w:rPr>
            </w:pPr>
          </w:p>
        </w:tc>
        <w:tc>
          <w:tcPr>
            <w:tcW w:w="990" w:type="dxa"/>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color w:val="auto"/>
                <w:kern w:val="0"/>
                <w:sz w:val="22"/>
                <w:szCs w:val="22"/>
                <w:highlight w:val="none"/>
              </w:rPr>
            </w:pPr>
          </w:p>
        </w:tc>
        <w:tc>
          <w:tcPr>
            <w:tcW w:w="1283" w:type="dxa"/>
            <w:shd w:val="clear" w:color="auto" w:fill="FFFFFF"/>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color w:val="auto"/>
                <w:kern w:val="0"/>
                <w:sz w:val="22"/>
                <w:szCs w:val="22"/>
                <w:highlight w:val="none"/>
              </w:rPr>
            </w:pPr>
            <w:r>
              <w:rPr>
                <w:color w:val="auto"/>
                <w:kern w:val="0"/>
                <w:sz w:val="22"/>
                <w:szCs w:val="22"/>
                <w:highlight w:val="none"/>
              </w:rPr>
              <w:t>产出成本</w:t>
            </w:r>
          </w:p>
        </w:tc>
        <w:tc>
          <w:tcPr>
            <w:tcW w:w="1707" w:type="dxa"/>
            <w:shd w:val="clear" w:color="auto" w:fill="FFFFFF"/>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color w:val="auto"/>
                <w:kern w:val="0"/>
                <w:sz w:val="22"/>
                <w:szCs w:val="22"/>
                <w:highlight w:val="none"/>
              </w:rPr>
            </w:pPr>
            <w:r>
              <w:rPr>
                <w:color w:val="auto"/>
                <w:kern w:val="0"/>
                <w:sz w:val="22"/>
                <w:szCs w:val="22"/>
                <w:highlight w:val="none"/>
              </w:rPr>
              <w:t>成本节约率</w:t>
            </w:r>
          </w:p>
        </w:tc>
        <w:tc>
          <w:tcPr>
            <w:tcW w:w="727" w:type="dxa"/>
            <w:shd w:val="clear" w:color="000000" w:fill="FFFFFF"/>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color w:val="auto"/>
                <w:kern w:val="0"/>
                <w:sz w:val="22"/>
                <w:szCs w:val="22"/>
                <w:highlight w:val="none"/>
              </w:rPr>
            </w:pPr>
            <w:r>
              <w:rPr>
                <w:color w:val="auto"/>
                <w:kern w:val="0"/>
                <w:sz w:val="22"/>
                <w:szCs w:val="22"/>
                <w:highlight w:val="none"/>
              </w:rPr>
              <w:t>10</w:t>
            </w:r>
          </w:p>
        </w:tc>
        <w:tc>
          <w:tcPr>
            <w:tcW w:w="1044" w:type="dxa"/>
            <w:shd w:val="clear" w:color="000000" w:fill="FFFFFF"/>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color w:val="auto"/>
                <w:kern w:val="0"/>
                <w:sz w:val="22"/>
                <w:szCs w:val="22"/>
                <w:highlight w:val="none"/>
              </w:rPr>
            </w:pPr>
            <w:r>
              <w:rPr>
                <w:color w:val="auto"/>
                <w:kern w:val="0"/>
                <w:sz w:val="22"/>
                <w:szCs w:val="22"/>
                <w:highlight w:val="none"/>
              </w:rPr>
              <w:t>100%</w:t>
            </w:r>
          </w:p>
        </w:tc>
        <w:tc>
          <w:tcPr>
            <w:tcW w:w="924" w:type="dxa"/>
            <w:shd w:val="clear" w:color="000000" w:fill="FFFFFF"/>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color w:val="auto"/>
                <w:kern w:val="0"/>
                <w:sz w:val="22"/>
                <w:szCs w:val="22"/>
                <w:highlight w:val="none"/>
              </w:rPr>
            </w:pPr>
            <w:r>
              <w:rPr>
                <w:rFonts w:hint="eastAsia"/>
                <w:color w:val="auto"/>
                <w:kern w:val="0"/>
                <w:sz w:val="22"/>
                <w:szCs w:val="22"/>
                <w:highlight w:val="none"/>
                <w:lang w:val="en-US" w:eastAsia="zh-CN"/>
              </w:rPr>
              <w:t>100</w:t>
            </w:r>
            <w:r>
              <w:rPr>
                <w:color w:val="auto"/>
                <w:kern w:val="0"/>
                <w:sz w:val="22"/>
                <w:szCs w:val="22"/>
                <w:highlight w:val="none"/>
              </w:rPr>
              <w:t>%</w:t>
            </w:r>
          </w:p>
        </w:tc>
        <w:tc>
          <w:tcPr>
            <w:tcW w:w="1215" w:type="dxa"/>
            <w:shd w:val="clear" w:color="000000" w:fill="FFFFFF"/>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color w:val="auto"/>
                <w:kern w:val="0"/>
                <w:sz w:val="22"/>
                <w:szCs w:val="22"/>
                <w:highlight w:val="none"/>
              </w:rPr>
            </w:pPr>
            <w:r>
              <w:rPr>
                <w:rFonts w:hint="eastAsia"/>
                <w:color w:val="auto"/>
                <w:kern w:val="0"/>
                <w:sz w:val="22"/>
                <w:szCs w:val="22"/>
                <w:highlight w:val="none"/>
                <w:lang w:val="en-US" w:eastAsia="zh-CN"/>
              </w:rPr>
              <w:t>100</w:t>
            </w:r>
            <w:r>
              <w:rPr>
                <w:color w:val="auto"/>
                <w:kern w:val="0"/>
                <w:sz w:val="22"/>
                <w:szCs w:val="22"/>
                <w:highlight w:val="none"/>
              </w:rPr>
              <w:t>%</w:t>
            </w:r>
          </w:p>
        </w:tc>
        <w:tc>
          <w:tcPr>
            <w:tcW w:w="960" w:type="dxa"/>
            <w:shd w:val="clear" w:color="000000" w:fill="FFFFFF"/>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default" w:eastAsia="宋体"/>
                <w:color w:val="auto"/>
                <w:kern w:val="0"/>
                <w:sz w:val="22"/>
                <w:szCs w:val="22"/>
                <w:highlight w:val="none"/>
                <w:lang w:val="en-US" w:eastAsia="zh-CN"/>
              </w:rPr>
            </w:pPr>
            <w:r>
              <w:rPr>
                <w:rFonts w:hint="eastAsia"/>
                <w:color w:val="auto"/>
                <w:kern w:val="0"/>
                <w:sz w:val="22"/>
                <w:szCs w:val="22"/>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567" w:hRule="atLeast"/>
        </w:trPr>
        <w:tc>
          <w:tcPr>
            <w:tcW w:w="1104" w:type="dxa"/>
            <w:vMerge w:val="restart"/>
            <w:shd w:val="clear" w:color="auto" w:fill="FFFFFF"/>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color w:val="auto"/>
                <w:kern w:val="0"/>
                <w:sz w:val="22"/>
                <w:szCs w:val="22"/>
                <w:highlight w:val="none"/>
              </w:rPr>
            </w:pPr>
            <w:r>
              <w:rPr>
                <w:color w:val="auto"/>
                <w:kern w:val="0"/>
                <w:sz w:val="22"/>
                <w:szCs w:val="22"/>
                <w:highlight w:val="none"/>
              </w:rPr>
              <w:t>效益　</w:t>
            </w:r>
          </w:p>
        </w:tc>
        <w:tc>
          <w:tcPr>
            <w:tcW w:w="990" w:type="dxa"/>
            <w:vMerge w:val="restart"/>
            <w:shd w:val="clear" w:color="auto" w:fill="FFFFFF"/>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color w:val="auto"/>
                <w:kern w:val="0"/>
                <w:sz w:val="22"/>
                <w:szCs w:val="22"/>
                <w:highlight w:val="none"/>
              </w:rPr>
            </w:pPr>
            <w:r>
              <w:rPr>
                <w:rFonts w:hint="eastAsia"/>
                <w:color w:val="auto"/>
                <w:kern w:val="0"/>
                <w:sz w:val="22"/>
                <w:szCs w:val="22"/>
                <w:highlight w:val="none"/>
              </w:rPr>
              <w:t>20</w:t>
            </w:r>
            <w:r>
              <w:rPr>
                <w:color w:val="auto"/>
                <w:kern w:val="0"/>
                <w:sz w:val="22"/>
                <w:szCs w:val="22"/>
                <w:highlight w:val="none"/>
              </w:rPr>
              <w:t>分</w:t>
            </w:r>
          </w:p>
        </w:tc>
        <w:tc>
          <w:tcPr>
            <w:tcW w:w="1283" w:type="dxa"/>
            <w:vMerge w:val="restart"/>
            <w:shd w:val="clear" w:color="auto" w:fill="FFFFFF"/>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color w:val="auto"/>
                <w:kern w:val="0"/>
                <w:sz w:val="22"/>
                <w:szCs w:val="22"/>
                <w:highlight w:val="none"/>
              </w:rPr>
            </w:pPr>
            <w:r>
              <w:rPr>
                <w:color w:val="auto"/>
                <w:kern w:val="0"/>
                <w:sz w:val="22"/>
                <w:szCs w:val="22"/>
                <w:highlight w:val="none"/>
              </w:rPr>
              <w:t>项目效益　</w:t>
            </w:r>
          </w:p>
        </w:tc>
        <w:tc>
          <w:tcPr>
            <w:tcW w:w="1707" w:type="dxa"/>
            <w:shd w:val="clear" w:color="auto" w:fill="FFFFFF"/>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color w:val="auto"/>
                <w:kern w:val="0"/>
                <w:sz w:val="22"/>
                <w:szCs w:val="22"/>
                <w:highlight w:val="none"/>
              </w:rPr>
            </w:pPr>
            <w:r>
              <w:rPr>
                <w:color w:val="auto"/>
                <w:kern w:val="0"/>
                <w:sz w:val="22"/>
                <w:szCs w:val="22"/>
                <w:highlight w:val="none"/>
              </w:rPr>
              <w:t>实施效益</w:t>
            </w:r>
          </w:p>
          <w:p>
            <w:pPr>
              <w:keepNext w:val="0"/>
              <w:keepLines w:val="0"/>
              <w:pageBreakBefore w:val="0"/>
              <w:widowControl/>
              <w:kinsoku/>
              <w:wordWrap/>
              <w:overflowPunct/>
              <w:topLinePunct w:val="0"/>
              <w:autoSpaceDE/>
              <w:autoSpaceDN/>
              <w:bidi w:val="0"/>
              <w:adjustRightInd/>
              <w:snapToGrid/>
              <w:spacing w:line="240" w:lineRule="auto"/>
              <w:jc w:val="center"/>
              <w:textAlignment w:val="auto"/>
              <w:rPr>
                <w:color w:val="auto"/>
                <w:kern w:val="0"/>
                <w:sz w:val="22"/>
                <w:szCs w:val="22"/>
                <w:highlight w:val="none"/>
              </w:rPr>
            </w:pPr>
            <w:r>
              <w:rPr>
                <w:color w:val="auto"/>
                <w:kern w:val="0"/>
                <w:sz w:val="22"/>
                <w:szCs w:val="22"/>
                <w:highlight w:val="none"/>
              </w:rPr>
              <w:t>（社会效益、经济效益、可持续效益）</w:t>
            </w:r>
          </w:p>
        </w:tc>
        <w:tc>
          <w:tcPr>
            <w:tcW w:w="727" w:type="dxa"/>
            <w:shd w:val="clear" w:color="auto" w:fill="FFFFFF"/>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color w:val="auto"/>
                <w:kern w:val="0"/>
                <w:sz w:val="22"/>
                <w:szCs w:val="22"/>
                <w:highlight w:val="none"/>
              </w:rPr>
            </w:pPr>
            <w:r>
              <w:rPr>
                <w:rFonts w:hint="eastAsia"/>
                <w:color w:val="auto"/>
                <w:kern w:val="0"/>
                <w:sz w:val="22"/>
                <w:szCs w:val="22"/>
                <w:highlight w:val="none"/>
              </w:rPr>
              <w:t>15</w:t>
            </w:r>
          </w:p>
        </w:tc>
        <w:tc>
          <w:tcPr>
            <w:tcW w:w="1044" w:type="dxa"/>
            <w:shd w:val="clear" w:color="auto" w:fill="FFFFFF"/>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color w:val="auto"/>
                <w:kern w:val="0"/>
                <w:sz w:val="22"/>
                <w:szCs w:val="22"/>
                <w:highlight w:val="none"/>
              </w:rPr>
            </w:pPr>
            <w:r>
              <w:rPr>
                <w:color w:val="auto"/>
                <w:kern w:val="0"/>
                <w:sz w:val="22"/>
                <w:szCs w:val="22"/>
                <w:highlight w:val="none"/>
              </w:rPr>
              <w:t>有效</w:t>
            </w:r>
          </w:p>
        </w:tc>
        <w:tc>
          <w:tcPr>
            <w:tcW w:w="924" w:type="dxa"/>
            <w:shd w:val="clear" w:color="auto" w:fill="FFFFFF"/>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color w:val="auto"/>
                <w:kern w:val="0"/>
                <w:sz w:val="22"/>
                <w:szCs w:val="22"/>
                <w:highlight w:val="none"/>
              </w:rPr>
            </w:pPr>
            <w:r>
              <w:rPr>
                <w:color w:val="auto"/>
                <w:kern w:val="0"/>
                <w:sz w:val="22"/>
                <w:szCs w:val="22"/>
                <w:highlight w:val="none"/>
              </w:rPr>
              <w:t>有效</w:t>
            </w:r>
          </w:p>
        </w:tc>
        <w:tc>
          <w:tcPr>
            <w:tcW w:w="1215" w:type="dxa"/>
            <w:shd w:val="clear" w:color="auto" w:fill="FFFFFF"/>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color w:val="auto"/>
                <w:kern w:val="0"/>
                <w:sz w:val="22"/>
                <w:szCs w:val="22"/>
                <w:highlight w:val="none"/>
              </w:rPr>
            </w:pPr>
            <w:r>
              <w:rPr>
                <w:rFonts w:hint="eastAsia"/>
                <w:color w:val="auto"/>
                <w:kern w:val="0"/>
                <w:sz w:val="22"/>
                <w:szCs w:val="22"/>
                <w:highlight w:val="none"/>
                <w:lang w:val="en-US" w:eastAsia="zh-CN"/>
              </w:rPr>
              <w:t>100%</w:t>
            </w:r>
          </w:p>
        </w:tc>
        <w:tc>
          <w:tcPr>
            <w:tcW w:w="960" w:type="dxa"/>
            <w:shd w:val="clear" w:color="auto" w:fill="FFFFFF"/>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color w:val="auto"/>
                <w:kern w:val="0"/>
                <w:sz w:val="22"/>
                <w:szCs w:val="22"/>
                <w:highlight w:val="none"/>
              </w:rPr>
            </w:pPr>
            <w:r>
              <w:rPr>
                <w:rFonts w:hint="eastAsia"/>
                <w:color w:val="auto"/>
                <w:kern w:val="0"/>
                <w:sz w:val="22"/>
                <w:szCs w:val="22"/>
                <w:highlight w:val="none"/>
                <w:lang w:val="en-US" w:eastAsia="zh-CN"/>
              </w:rPr>
              <w:t>15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color w:val="auto"/>
                <w:kern w:val="0"/>
                <w:sz w:val="22"/>
                <w:szCs w:val="22"/>
                <w:highlight w:val="none"/>
              </w:rPr>
            </w:pPr>
          </w:p>
        </w:tc>
        <w:tc>
          <w:tcPr>
            <w:tcW w:w="990" w:type="dxa"/>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color w:val="auto"/>
                <w:kern w:val="0"/>
                <w:sz w:val="22"/>
                <w:szCs w:val="22"/>
                <w:highlight w:val="none"/>
              </w:rPr>
            </w:pPr>
          </w:p>
        </w:tc>
        <w:tc>
          <w:tcPr>
            <w:tcW w:w="1283" w:type="dxa"/>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color w:val="auto"/>
                <w:kern w:val="0"/>
                <w:sz w:val="22"/>
                <w:szCs w:val="22"/>
                <w:highlight w:val="none"/>
              </w:rPr>
            </w:pPr>
          </w:p>
        </w:tc>
        <w:tc>
          <w:tcPr>
            <w:tcW w:w="1707" w:type="dxa"/>
            <w:shd w:val="clear" w:color="auto" w:fill="FFFFFF"/>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color w:val="auto"/>
                <w:kern w:val="0"/>
                <w:sz w:val="22"/>
                <w:szCs w:val="22"/>
                <w:highlight w:val="none"/>
              </w:rPr>
            </w:pPr>
            <w:r>
              <w:rPr>
                <w:color w:val="auto"/>
                <w:kern w:val="0"/>
                <w:sz w:val="22"/>
                <w:szCs w:val="22"/>
                <w:highlight w:val="none"/>
              </w:rPr>
              <w:t>满意度</w:t>
            </w:r>
          </w:p>
        </w:tc>
        <w:tc>
          <w:tcPr>
            <w:tcW w:w="727" w:type="dxa"/>
            <w:shd w:val="clear" w:color="000000" w:fill="FFFFFF"/>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color w:val="auto"/>
                <w:kern w:val="0"/>
                <w:sz w:val="22"/>
                <w:szCs w:val="22"/>
                <w:highlight w:val="none"/>
              </w:rPr>
            </w:pPr>
            <w:r>
              <w:rPr>
                <w:rFonts w:hint="eastAsia"/>
                <w:color w:val="auto"/>
                <w:kern w:val="0"/>
                <w:sz w:val="22"/>
                <w:szCs w:val="22"/>
                <w:highlight w:val="none"/>
              </w:rPr>
              <w:t>5</w:t>
            </w:r>
          </w:p>
        </w:tc>
        <w:tc>
          <w:tcPr>
            <w:tcW w:w="1044" w:type="dxa"/>
            <w:shd w:val="clear" w:color="000000" w:fill="FFFFFF"/>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color w:val="auto"/>
                <w:kern w:val="0"/>
                <w:sz w:val="22"/>
                <w:szCs w:val="22"/>
                <w:highlight w:val="none"/>
              </w:rPr>
            </w:pPr>
            <w:r>
              <w:rPr>
                <w:color w:val="auto"/>
                <w:kern w:val="0"/>
                <w:sz w:val="22"/>
                <w:szCs w:val="22"/>
                <w:highlight w:val="none"/>
              </w:rPr>
              <w:t>≥</w:t>
            </w:r>
            <w:r>
              <w:rPr>
                <w:rFonts w:hint="eastAsia"/>
                <w:color w:val="auto"/>
                <w:kern w:val="0"/>
                <w:sz w:val="22"/>
                <w:szCs w:val="22"/>
                <w:highlight w:val="none"/>
                <w:lang w:val="en-US" w:eastAsia="zh-CN"/>
              </w:rPr>
              <w:t>85</w:t>
            </w:r>
            <w:r>
              <w:rPr>
                <w:color w:val="auto"/>
                <w:kern w:val="0"/>
                <w:sz w:val="22"/>
                <w:szCs w:val="22"/>
                <w:highlight w:val="none"/>
              </w:rPr>
              <w:t>%</w:t>
            </w:r>
          </w:p>
        </w:tc>
        <w:tc>
          <w:tcPr>
            <w:tcW w:w="924" w:type="dxa"/>
            <w:shd w:val="clear" w:color="000000" w:fill="FFFFFF"/>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color w:val="auto"/>
                <w:kern w:val="0"/>
                <w:sz w:val="22"/>
                <w:szCs w:val="22"/>
                <w:highlight w:val="none"/>
              </w:rPr>
            </w:pPr>
            <w:r>
              <w:rPr>
                <w:rFonts w:hint="eastAsia"/>
                <w:color w:val="auto"/>
                <w:kern w:val="0"/>
                <w:sz w:val="22"/>
                <w:szCs w:val="22"/>
                <w:highlight w:val="none"/>
                <w:lang w:val="en-US" w:eastAsia="zh-CN"/>
              </w:rPr>
              <w:t>85</w:t>
            </w:r>
            <w:r>
              <w:rPr>
                <w:color w:val="auto"/>
                <w:kern w:val="0"/>
                <w:sz w:val="22"/>
                <w:szCs w:val="22"/>
                <w:highlight w:val="none"/>
              </w:rPr>
              <w:t>%</w:t>
            </w:r>
          </w:p>
        </w:tc>
        <w:tc>
          <w:tcPr>
            <w:tcW w:w="1215" w:type="dxa"/>
            <w:shd w:val="clear" w:color="000000" w:fill="FFFFFF"/>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default" w:eastAsia="宋体"/>
                <w:color w:val="auto"/>
                <w:kern w:val="0"/>
                <w:sz w:val="22"/>
                <w:szCs w:val="22"/>
                <w:highlight w:val="none"/>
                <w:lang w:val="en-US" w:eastAsia="zh-CN"/>
              </w:rPr>
            </w:pPr>
            <w:r>
              <w:rPr>
                <w:rFonts w:hint="eastAsia"/>
                <w:color w:val="auto"/>
                <w:kern w:val="0"/>
                <w:sz w:val="22"/>
                <w:szCs w:val="22"/>
                <w:highlight w:val="none"/>
                <w:lang w:val="en-US" w:eastAsia="zh-CN"/>
              </w:rPr>
              <w:t>100%</w:t>
            </w:r>
          </w:p>
        </w:tc>
        <w:tc>
          <w:tcPr>
            <w:tcW w:w="960" w:type="dxa"/>
            <w:shd w:val="clear" w:color="000000" w:fill="FFFFFF"/>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eastAsia="宋体"/>
                <w:color w:val="auto"/>
                <w:kern w:val="0"/>
                <w:sz w:val="22"/>
                <w:szCs w:val="22"/>
                <w:highlight w:val="none"/>
                <w:lang w:val="en-US" w:eastAsia="zh-CN"/>
              </w:rPr>
            </w:pPr>
            <w:r>
              <w:rPr>
                <w:rFonts w:hint="eastAsia"/>
                <w:color w:val="auto"/>
                <w:kern w:val="0"/>
                <w:sz w:val="22"/>
                <w:szCs w:val="22"/>
                <w:highlight w:val="none"/>
                <w:lang w:val="en-US" w:eastAsia="zh-CN"/>
              </w:rPr>
              <w:t>5</w:t>
            </w:r>
          </w:p>
        </w:tc>
      </w:tr>
    </w:tbl>
    <w:p>
      <w:pPr>
        <w:pageBreakBefore w:val="0"/>
        <w:kinsoku/>
        <w:wordWrap/>
        <w:overflowPunct/>
        <w:topLinePunct w:val="0"/>
        <w:bidi w:val="0"/>
        <w:snapToGrid/>
        <w:spacing w:line="560" w:lineRule="exact"/>
        <w:ind w:firstLine="320" w:firstLineChars="100"/>
        <w:textAlignment w:val="auto"/>
        <w:rPr>
          <w:rFonts w:eastAsia="黑体"/>
          <w:color w:val="auto"/>
          <w:sz w:val="32"/>
          <w:szCs w:val="32"/>
          <w:highlight w:val="none"/>
        </w:rPr>
      </w:pPr>
      <w:r>
        <w:rPr>
          <w:rFonts w:eastAsia="黑体"/>
          <w:color w:val="auto"/>
          <w:sz w:val="32"/>
          <w:szCs w:val="32"/>
          <w:highlight w:val="none"/>
        </w:rPr>
        <w:t>四、绩效评价指标分析</w:t>
      </w:r>
    </w:p>
    <w:p>
      <w:pPr>
        <w:pStyle w:val="19"/>
        <w:pageBreakBefore w:val="0"/>
        <w:kinsoku/>
        <w:wordWrap/>
        <w:overflowPunct/>
        <w:topLinePunct w:val="0"/>
        <w:bidi w:val="0"/>
        <w:snapToGrid/>
        <w:spacing w:line="560" w:lineRule="exact"/>
        <w:ind w:firstLine="321" w:firstLineChars="100"/>
        <w:jc w:val="both"/>
        <w:textAlignment w:val="auto"/>
        <w:rPr>
          <w:rFonts w:ascii="Times New Roman" w:hAnsi="Times New Roman" w:eastAsia="楷体_GB2312"/>
          <w:color w:val="auto"/>
          <w:highlight w:val="none"/>
        </w:rPr>
      </w:pPr>
      <w:r>
        <w:rPr>
          <w:rFonts w:ascii="Times New Roman" w:hAnsi="Times New Roman" w:eastAsia="楷体_GB2312"/>
          <w:color w:val="auto"/>
          <w:highlight w:val="none"/>
        </w:rPr>
        <w:t>（一）项目决策情况</w:t>
      </w:r>
    </w:p>
    <w:p>
      <w:pPr>
        <w:spacing w:line="560" w:lineRule="exact"/>
        <w:ind w:firstLine="640" w:firstLineChars="200"/>
        <w:outlineLvl w:val="0"/>
        <w:rPr>
          <w:rFonts w:eastAsia="仿宋_GB2312"/>
          <w:color w:val="auto"/>
          <w:highlight w:val="none"/>
          <w:lang w:eastAsia="zh-Hans"/>
        </w:rPr>
      </w:pPr>
      <w:r>
        <w:rPr>
          <w:rFonts w:hint="eastAsia" w:ascii="仿宋_GB2312" w:hAnsi="仿宋_GB2312" w:eastAsia="仿宋_GB2312" w:cs="仿宋_GB2312"/>
          <w:color w:val="auto"/>
          <w:sz w:val="32"/>
          <w:szCs w:val="32"/>
          <w:highlight w:val="none"/>
        </w:rPr>
        <w:t>项目立项符合法律法规、相关政策</w:t>
      </w:r>
      <w:r>
        <w:rPr>
          <w:rFonts w:hint="eastAsia" w:ascii="仿宋_GB2312" w:hAnsi="仿宋_GB2312" w:eastAsia="仿宋_GB2312" w:cs="仿宋_GB2312"/>
          <w:color w:val="auto"/>
          <w:sz w:val="32"/>
          <w:szCs w:val="32"/>
          <w:highlight w:val="none"/>
          <w:lang w:eastAsia="zh-Hans"/>
        </w:rPr>
        <w:t>、行业发展规划</w:t>
      </w:r>
      <w:r>
        <w:rPr>
          <w:rFonts w:hint="eastAsia" w:ascii="仿宋_GB2312" w:hAnsi="仿宋_GB2312" w:eastAsia="仿宋_GB2312" w:cs="仿宋_GB2312"/>
          <w:color w:val="auto"/>
          <w:sz w:val="32"/>
          <w:szCs w:val="32"/>
          <w:highlight w:val="none"/>
        </w:rPr>
        <w:t>及部门职责，能反映和考核项目立项依据情况，</w:t>
      </w:r>
      <w:r>
        <w:rPr>
          <w:rFonts w:hint="eastAsia" w:ascii="仿宋_GB2312" w:hAnsi="仿宋_GB2312" w:eastAsia="仿宋_GB2312" w:cs="仿宋_GB2312"/>
          <w:color w:val="auto"/>
          <w:sz w:val="32"/>
          <w:szCs w:val="32"/>
          <w:highlight w:val="none"/>
          <w:lang w:eastAsia="zh-Hans"/>
        </w:rPr>
        <w:t>属于公共财产支持范围，严格遵守中央、地方事权支出责任划分范围原则；</w:t>
      </w:r>
      <w:r>
        <w:rPr>
          <w:rFonts w:hint="eastAsia" w:ascii="仿宋_GB2312" w:hAnsi="仿宋_GB2312" w:eastAsia="仿宋_GB2312" w:cs="仿宋_GB2312"/>
          <w:color w:val="auto"/>
          <w:sz w:val="32"/>
          <w:szCs w:val="32"/>
          <w:highlight w:val="none"/>
        </w:rPr>
        <w:t>项目申请、设立过程符合相关要求，</w:t>
      </w:r>
      <w:r>
        <w:rPr>
          <w:rFonts w:hint="eastAsia" w:ascii="仿宋_GB2312" w:hAnsi="仿宋_GB2312" w:eastAsia="仿宋_GB2312" w:cs="仿宋_GB2312"/>
          <w:color w:val="auto"/>
          <w:sz w:val="32"/>
          <w:szCs w:val="32"/>
          <w:highlight w:val="none"/>
          <w:lang w:eastAsia="zh-Hans"/>
        </w:rPr>
        <w:t>严格按照审批流程准备符合要求的文件、材料；事前已经过必要的可行性研究、绩效评估、集体决策</w:t>
      </w:r>
      <w:r>
        <w:rPr>
          <w:rFonts w:hint="eastAsia"/>
          <w:color w:val="auto"/>
          <w:highlight w:val="none"/>
          <w:lang w:eastAsia="zh-Hans"/>
        </w:rPr>
        <w:t>，</w:t>
      </w:r>
      <w:r>
        <w:rPr>
          <w:rFonts w:hint="eastAsia" w:ascii="仿宋_GB2312" w:hAnsi="仿宋_GB2312" w:eastAsia="仿宋_GB2312" w:cs="仿宋_GB2312"/>
          <w:color w:val="auto"/>
          <w:sz w:val="32"/>
          <w:szCs w:val="32"/>
          <w:highlight w:val="none"/>
          <w:lang w:eastAsia="zh-Hans"/>
        </w:rPr>
        <w:t>以上</w:t>
      </w:r>
      <w:r>
        <w:rPr>
          <w:rFonts w:hint="eastAsia" w:ascii="仿宋_GB2312" w:hAnsi="仿宋_GB2312" w:eastAsia="仿宋_GB2312" w:cs="仿宋_GB2312"/>
          <w:color w:val="auto"/>
          <w:sz w:val="32"/>
          <w:szCs w:val="32"/>
          <w:highlight w:val="none"/>
        </w:rPr>
        <w:t>能反映和考核项目立项</w:t>
      </w:r>
      <w:r>
        <w:rPr>
          <w:rFonts w:hint="eastAsia" w:ascii="仿宋_GB2312" w:hAnsi="仿宋_GB2312" w:eastAsia="仿宋_GB2312" w:cs="仿宋_GB2312"/>
          <w:color w:val="auto"/>
          <w:sz w:val="32"/>
          <w:szCs w:val="32"/>
          <w:highlight w:val="none"/>
          <w:lang w:eastAsia="zh-Hans"/>
        </w:rPr>
        <w:t>程序</w:t>
      </w:r>
      <w:r>
        <w:rPr>
          <w:rFonts w:hint="eastAsia" w:ascii="仿宋_GB2312" w:hAnsi="仿宋_GB2312" w:eastAsia="仿宋_GB2312" w:cs="仿宋_GB2312"/>
          <w:color w:val="auto"/>
          <w:sz w:val="32"/>
          <w:szCs w:val="32"/>
          <w:highlight w:val="none"/>
        </w:rPr>
        <w:t>的规范情况</w:t>
      </w:r>
      <w:r>
        <w:rPr>
          <w:rFonts w:hint="eastAsia" w:ascii="仿宋_GB2312" w:hAnsi="仿宋_GB2312" w:eastAsia="仿宋_GB2312" w:cs="仿宋_GB2312"/>
          <w:color w:val="auto"/>
          <w:sz w:val="32"/>
          <w:szCs w:val="32"/>
          <w:highlight w:val="none"/>
          <w:lang w:eastAsia="zh-Hans"/>
        </w:rPr>
        <w:t>；年初结合实际工作内容</w:t>
      </w:r>
      <w:r>
        <w:rPr>
          <w:rFonts w:hint="eastAsia" w:ascii="仿宋_GB2312" w:hAnsi="仿宋_GB2312" w:eastAsia="仿宋_GB2312" w:cs="仿宋_GB2312"/>
          <w:color w:val="auto"/>
          <w:sz w:val="32"/>
          <w:szCs w:val="32"/>
          <w:highlight w:val="none"/>
        </w:rPr>
        <w:t>设定绩效目标</w:t>
      </w:r>
      <w:r>
        <w:rPr>
          <w:rFonts w:hint="eastAsia" w:ascii="仿宋_GB2312" w:hAnsi="仿宋_GB2312" w:eastAsia="仿宋_GB2312" w:cs="仿宋_GB2312"/>
          <w:color w:val="auto"/>
          <w:sz w:val="32"/>
          <w:szCs w:val="32"/>
          <w:highlight w:val="none"/>
          <w:lang w:eastAsia="zh-Hans"/>
        </w:rPr>
        <w:t>，绩效目标</w:t>
      </w:r>
      <w:r>
        <w:rPr>
          <w:rFonts w:hint="eastAsia" w:ascii="仿宋_GB2312" w:hAnsi="仿宋_GB2312" w:eastAsia="仿宋_GB2312" w:cs="仿宋_GB2312"/>
          <w:color w:val="auto"/>
          <w:sz w:val="32"/>
          <w:szCs w:val="32"/>
          <w:highlight w:val="none"/>
        </w:rPr>
        <w:t>依据充分，符合客观实际，能反映和考核项目绩效目标与项目实施的相符情况，依据绩效目标设定的绩效指标清晰、细化、可衡量，能反映和考核项目绩效目标的明细化情况。</w:t>
      </w:r>
      <w:r>
        <w:rPr>
          <w:rFonts w:hint="eastAsia" w:ascii="仿宋_GB2312" w:hAnsi="仿宋_GB2312" w:eastAsia="仿宋_GB2312" w:cs="仿宋_GB2312"/>
          <w:color w:val="auto"/>
          <w:sz w:val="32"/>
          <w:szCs w:val="32"/>
          <w:highlight w:val="none"/>
          <w:lang w:eastAsia="zh-Hans"/>
        </w:rPr>
        <w:t>资金分配额度合理，与项目单位项目情况相适应。</w:t>
      </w:r>
    </w:p>
    <w:p>
      <w:pPr>
        <w:pStyle w:val="19"/>
        <w:pageBreakBefore w:val="0"/>
        <w:kinsoku/>
        <w:wordWrap/>
        <w:overflowPunct/>
        <w:topLinePunct w:val="0"/>
        <w:bidi w:val="0"/>
        <w:snapToGrid/>
        <w:spacing w:line="560" w:lineRule="exact"/>
        <w:ind w:firstLine="321" w:firstLineChars="100"/>
        <w:jc w:val="both"/>
        <w:textAlignment w:val="auto"/>
        <w:rPr>
          <w:rFonts w:ascii="Times New Roman" w:hAnsi="Times New Roman" w:eastAsia="楷体_GB2312"/>
          <w:color w:val="auto"/>
          <w:highlight w:val="none"/>
        </w:rPr>
      </w:pPr>
      <w:r>
        <w:rPr>
          <w:rFonts w:hint="eastAsia" w:ascii="Times New Roman" w:hAnsi="Times New Roman" w:eastAsia="楷体_GB2312"/>
          <w:color w:val="auto"/>
          <w:highlight w:val="none"/>
        </w:rPr>
        <w:t>（二）</w:t>
      </w:r>
      <w:r>
        <w:rPr>
          <w:rFonts w:ascii="Times New Roman" w:hAnsi="Times New Roman" w:eastAsia="楷体_GB2312"/>
          <w:color w:val="auto"/>
          <w:highlight w:val="none"/>
        </w:rPr>
        <w:t>项目过程情况</w:t>
      </w:r>
    </w:p>
    <w:p>
      <w:pPr>
        <w:keepNext w:val="0"/>
        <w:keepLines w:val="0"/>
        <w:pageBreakBefore w:val="0"/>
        <w:widowControl/>
        <w:kinsoku/>
        <w:wordWrap/>
        <w:overflowPunct/>
        <w:topLinePunct w:val="0"/>
        <w:autoSpaceDE/>
        <w:autoSpaceDN/>
        <w:bidi w:val="0"/>
        <w:adjustRightInd/>
        <w:snapToGrid/>
        <w:spacing w:line="560" w:lineRule="exact"/>
        <w:ind w:firstLine="640" w:firstLineChars="200"/>
        <w:textAlignment w:val="auto"/>
        <w:outlineLvl w:val="0"/>
        <w:rPr>
          <w:rFonts w:hint="default" w:ascii="Times New Roman" w:hAnsi="Times New Roman" w:eastAsia="仿宋_GB2312" w:cs="Times New Roman"/>
          <w:color w:val="auto"/>
          <w:kern w:val="2"/>
          <w:sz w:val="32"/>
          <w:szCs w:val="32"/>
          <w:highlight w:val="none"/>
          <w:lang w:val="en-US" w:eastAsia="zh-CN" w:bidi="ar-SA"/>
        </w:rPr>
      </w:pPr>
      <w:r>
        <w:rPr>
          <w:rFonts w:hint="eastAsia" w:ascii="仿宋_GB2312" w:hAnsi="仿宋_GB2312" w:eastAsia="仿宋_GB2312" w:cs="仿宋_GB2312"/>
          <w:color w:val="auto"/>
          <w:sz w:val="32"/>
          <w:szCs w:val="32"/>
          <w:highlight w:val="none"/>
          <w:lang w:eastAsia="zh-Hans"/>
        </w:rPr>
        <w:t>本项目预算资金</w:t>
      </w:r>
      <w:r>
        <w:rPr>
          <w:rFonts w:hint="default" w:ascii="仿宋_GB2312" w:hAnsi="仿宋_GB2312" w:eastAsia="仿宋_GB2312" w:cs="仿宋_GB2312"/>
          <w:color w:val="auto"/>
          <w:sz w:val="32"/>
          <w:szCs w:val="32"/>
          <w:highlight w:val="none"/>
          <w:lang w:eastAsia="zh-Hans"/>
        </w:rPr>
        <w:t>10014</w:t>
      </w:r>
      <w:r>
        <w:rPr>
          <w:rFonts w:hint="eastAsia" w:ascii="仿宋_GB2312" w:hAnsi="仿宋_GB2312" w:eastAsia="仿宋_GB2312" w:cs="仿宋_GB2312"/>
          <w:color w:val="auto"/>
          <w:sz w:val="32"/>
          <w:szCs w:val="32"/>
          <w:highlight w:val="none"/>
          <w:lang w:eastAsia="zh-Hans"/>
        </w:rPr>
        <w:t>万元，实际到位资金</w:t>
      </w:r>
      <w:r>
        <w:rPr>
          <w:rFonts w:hint="default" w:ascii="仿宋_GB2312" w:hAnsi="仿宋_GB2312" w:eastAsia="仿宋_GB2312" w:cs="仿宋_GB2312"/>
          <w:color w:val="auto"/>
          <w:sz w:val="32"/>
          <w:szCs w:val="32"/>
          <w:highlight w:val="none"/>
          <w:lang w:eastAsia="zh-Hans"/>
        </w:rPr>
        <w:t>10014</w:t>
      </w:r>
      <w:r>
        <w:rPr>
          <w:rFonts w:hint="eastAsia" w:ascii="仿宋_GB2312" w:hAnsi="仿宋_GB2312" w:eastAsia="仿宋_GB2312" w:cs="仿宋_GB2312"/>
          <w:color w:val="auto"/>
          <w:sz w:val="32"/>
          <w:szCs w:val="32"/>
          <w:highlight w:val="none"/>
          <w:lang w:eastAsia="zh-Hans"/>
        </w:rPr>
        <w:t>万元，实际支出资金</w:t>
      </w:r>
      <w:r>
        <w:rPr>
          <w:rFonts w:hint="default" w:ascii="仿宋_GB2312" w:hAnsi="仿宋_GB2312" w:eastAsia="仿宋_GB2312" w:cs="仿宋_GB2312"/>
          <w:color w:val="auto"/>
          <w:sz w:val="32"/>
          <w:szCs w:val="32"/>
          <w:highlight w:val="none"/>
          <w:lang w:eastAsia="zh-Hans"/>
        </w:rPr>
        <w:t>9631.74</w:t>
      </w:r>
      <w:r>
        <w:rPr>
          <w:rFonts w:hint="eastAsia" w:ascii="仿宋_GB2312" w:hAnsi="仿宋_GB2312" w:eastAsia="仿宋_GB2312" w:cs="仿宋_GB2312"/>
          <w:color w:val="auto"/>
          <w:sz w:val="32"/>
          <w:szCs w:val="32"/>
          <w:highlight w:val="none"/>
          <w:lang w:eastAsia="zh-Hans"/>
        </w:rPr>
        <w:t>万元，资金到位率为</w:t>
      </w:r>
      <w:r>
        <w:rPr>
          <w:rFonts w:hint="default" w:ascii="仿宋_GB2312" w:hAnsi="仿宋_GB2312" w:eastAsia="仿宋_GB2312" w:cs="仿宋_GB2312"/>
          <w:color w:val="auto"/>
          <w:sz w:val="32"/>
          <w:szCs w:val="32"/>
          <w:highlight w:val="none"/>
          <w:lang w:eastAsia="zh-Hans"/>
        </w:rPr>
        <w:t>100</w:t>
      </w:r>
      <w:r>
        <w:rPr>
          <w:rFonts w:ascii="仿宋_GB2312" w:hAnsi="仿宋_GB2312" w:eastAsia="仿宋_GB2312" w:cs="仿宋_GB2312"/>
          <w:color w:val="auto"/>
          <w:sz w:val="32"/>
          <w:szCs w:val="32"/>
          <w:highlight w:val="none"/>
          <w:lang w:eastAsia="zh-Hans"/>
        </w:rPr>
        <w:t>%</w:t>
      </w:r>
      <w:r>
        <w:rPr>
          <w:rFonts w:hint="eastAsia" w:ascii="仿宋_GB2312" w:hAnsi="仿宋_GB2312" w:eastAsia="仿宋_GB2312" w:cs="仿宋_GB2312"/>
          <w:color w:val="auto"/>
          <w:sz w:val="32"/>
          <w:szCs w:val="32"/>
          <w:highlight w:val="none"/>
          <w:lang w:eastAsia="zh-Hans"/>
        </w:rPr>
        <w:t>，预算执行率为</w:t>
      </w:r>
      <w:r>
        <w:rPr>
          <w:rFonts w:hint="default" w:ascii="仿宋_GB2312" w:hAnsi="仿宋_GB2312" w:eastAsia="仿宋_GB2312" w:cs="仿宋_GB2312"/>
          <w:color w:val="auto"/>
          <w:sz w:val="32"/>
          <w:szCs w:val="32"/>
          <w:highlight w:val="none"/>
          <w:lang w:eastAsia="zh-Hans"/>
        </w:rPr>
        <w:t>96.18</w:t>
      </w:r>
      <w:r>
        <w:rPr>
          <w:rFonts w:ascii="仿宋_GB2312" w:hAnsi="仿宋_GB2312" w:eastAsia="仿宋_GB2312" w:cs="仿宋_GB2312"/>
          <w:color w:val="auto"/>
          <w:sz w:val="32"/>
          <w:szCs w:val="32"/>
          <w:highlight w:val="none"/>
          <w:lang w:eastAsia="zh-Hans"/>
        </w:rPr>
        <w:t>%</w:t>
      </w:r>
      <w:r>
        <w:rPr>
          <w:rFonts w:hint="eastAsia" w:ascii="仿宋_GB2312" w:hAnsi="仿宋_GB2312" w:eastAsia="仿宋_GB2312" w:cs="仿宋_GB2312"/>
          <w:color w:val="auto"/>
          <w:sz w:val="32"/>
          <w:szCs w:val="32"/>
          <w:highlight w:val="none"/>
          <w:lang w:eastAsia="zh-Hans"/>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kern w:val="2"/>
          <w:sz w:val="32"/>
          <w:szCs w:val="32"/>
          <w:highlight w:val="none"/>
          <w:lang w:val="en-US" w:eastAsia="zh-CN" w:bidi="ar-SA"/>
        </w:rPr>
      </w:pPr>
      <w:r>
        <w:rPr>
          <w:rFonts w:hint="default" w:ascii="Times New Roman" w:hAnsi="Times New Roman" w:eastAsia="仿宋_GB2312" w:cs="Times New Roman"/>
          <w:color w:val="auto"/>
          <w:kern w:val="2"/>
          <w:sz w:val="32"/>
          <w:szCs w:val="32"/>
          <w:highlight w:val="none"/>
          <w:lang w:val="en-US" w:eastAsia="zh-CN" w:bidi="ar-SA"/>
        </w:rPr>
        <w:t>202</w:t>
      </w:r>
      <w:r>
        <w:rPr>
          <w:rFonts w:hint="eastAsia" w:ascii="Times New Roman" w:hAnsi="Times New Roman" w:eastAsia="仿宋_GB2312" w:cs="Times New Roman"/>
          <w:color w:val="auto"/>
          <w:kern w:val="2"/>
          <w:sz w:val="32"/>
          <w:szCs w:val="32"/>
          <w:highlight w:val="none"/>
          <w:lang w:val="en-US" w:eastAsia="zh-CN" w:bidi="ar-SA"/>
        </w:rPr>
        <w:t>1</w:t>
      </w:r>
      <w:r>
        <w:rPr>
          <w:rFonts w:hint="default" w:ascii="Times New Roman" w:hAnsi="Times New Roman" w:eastAsia="仿宋_GB2312" w:cs="Times New Roman"/>
          <w:color w:val="auto"/>
          <w:kern w:val="2"/>
          <w:sz w:val="32"/>
          <w:szCs w:val="32"/>
          <w:highlight w:val="none"/>
          <w:lang w:val="en-US" w:eastAsia="zh-CN" w:bidi="ar-SA"/>
        </w:rPr>
        <w:t>年12月，自治区财政厅印发</w:t>
      </w:r>
      <w:r>
        <w:rPr>
          <w:rFonts w:hint="default" w:ascii="Times New Roman" w:hAnsi="Times New Roman" w:eastAsia="仿宋_GB2312" w:cs="Times New Roman"/>
          <w:color w:val="auto"/>
          <w:sz w:val="32"/>
          <w:szCs w:val="32"/>
          <w:highlight w:val="none"/>
        </w:rPr>
        <w:t>《关于提前下达2022年自治区畜牧类相关转移支付资金预算的通知》（新</w:t>
      </w:r>
      <w:r>
        <w:rPr>
          <w:rFonts w:hint="default" w:ascii="Times New Roman" w:hAnsi="Times New Roman" w:eastAsia="仿宋_GB2312" w:cs="Times New Roman"/>
          <w:color w:val="auto"/>
          <w:sz w:val="32"/>
          <w:szCs w:val="32"/>
          <w:highlight w:val="none"/>
          <w:lang w:val="en-US" w:eastAsia="zh-CN"/>
        </w:rPr>
        <w:t>财农</w:t>
      </w:r>
      <w:r>
        <w:rPr>
          <w:rFonts w:hint="default" w:ascii="Times New Roman" w:hAnsi="Times New Roman" w:eastAsia="仿宋_GB2312" w:cs="Times New Roman"/>
          <w:color w:val="auto"/>
          <w:sz w:val="32"/>
          <w:szCs w:val="32"/>
          <w:highlight w:val="none"/>
        </w:rPr>
        <w:t>〔202</w:t>
      </w:r>
      <w:r>
        <w:rPr>
          <w:rFonts w:hint="default" w:ascii="Times New Roman" w:hAnsi="Times New Roman" w:eastAsia="仿宋_GB2312" w:cs="Times New Roman"/>
          <w:color w:val="auto"/>
          <w:sz w:val="32"/>
          <w:szCs w:val="32"/>
          <w:highlight w:val="none"/>
          <w:lang w:val="en-US" w:eastAsia="zh-CN"/>
        </w:rPr>
        <w:t>1</w:t>
      </w:r>
      <w:r>
        <w:rPr>
          <w:rFonts w:hint="default" w:ascii="Times New Roman" w:hAnsi="Times New Roman" w:eastAsia="仿宋_GB2312" w:cs="Times New Roman"/>
          <w:color w:val="auto"/>
          <w:sz w:val="32"/>
          <w:szCs w:val="32"/>
          <w:highlight w:val="none"/>
        </w:rPr>
        <w:t>〕</w:t>
      </w:r>
      <w:r>
        <w:rPr>
          <w:rFonts w:hint="default" w:ascii="Times New Roman" w:hAnsi="Times New Roman" w:eastAsia="仿宋_GB2312" w:cs="Times New Roman"/>
          <w:color w:val="auto"/>
          <w:sz w:val="32"/>
          <w:szCs w:val="32"/>
          <w:highlight w:val="none"/>
          <w:lang w:val="en-US" w:eastAsia="zh-CN"/>
        </w:rPr>
        <w:t>114</w:t>
      </w:r>
      <w:r>
        <w:rPr>
          <w:rFonts w:hint="default" w:ascii="Times New Roman" w:hAnsi="Times New Roman" w:eastAsia="仿宋_GB2312" w:cs="Times New Roman"/>
          <w:color w:val="auto"/>
          <w:sz w:val="32"/>
          <w:szCs w:val="32"/>
          <w:highlight w:val="none"/>
        </w:rPr>
        <w:t>号）</w:t>
      </w:r>
      <w:r>
        <w:rPr>
          <w:rFonts w:hint="default" w:ascii="Times New Roman" w:hAnsi="Times New Roman" w:eastAsia="仿宋_GB2312" w:cs="Times New Roman"/>
          <w:color w:val="auto"/>
          <w:kern w:val="2"/>
          <w:sz w:val="32"/>
          <w:szCs w:val="32"/>
          <w:highlight w:val="none"/>
          <w:lang w:val="en-US" w:eastAsia="zh-CN" w:bidi="ar-SA"/>
        </w:rPr>
        <w:t>，将</w:t>
      </w:r>
      <w:r>
        <w:rPr>
          <w:rFonts w:hint="eastAsia" w:ascii="Times New Roman" w:hAnsi="Times New Roman" w:eastAsia="仿宋_GB2312" w:cs="Times New Roman"/>
          <w:color w:val="auto"/>
          <w:kern w:val="2"/>
          <w:sz w:val="32"/>
          <w:szCs w:val="32"/>
          <w:highlight w:val="none"/>
          <w:lang w:val="en-US" w:eastAsia="zh-CN" w:bidi="ar-SA"/>
        </w:rPr>
        <w:t>10014</w:t>
      </w:r>
      <w:r>
        <w:rPr>
          <w:rFonts w:hint="default" w:ascii="Times New Roman" w:hAnsi="Times New Roman" w:eastAsia="仿宋_GB2312" w:cs="Times New Roman"/>
          <w:color w:val="auto"/>
          <w:kern w:val="2"/>
          <w:sz w:val="32"/>
          <w:szCs w:val="32"/>
          <w:highlight w:val="none"/>
          <w:lang w:val="en-US" w:eastAsia="zh-CN" w:bidi="ar-SA"/>
        </w:rPr>
        <w:t>万元项目资金及区域绩效目标表下达至各项目实施地（州、市）。</w:t>
      </w:r>
    </w:p>
    <w:p>
      <w:pPr>
        <w:pageBreakBefore w:val="0"/>
        <w:kinsoku/>
        <w:wordWrap/>
        <w:overflowPunct/>
        <w:topLinePunct w:val="0"/>
        <w:bidi w:val="0"/>
        <w:snapToGrid/>
        <w:spacing w:line="560" w:lineRule="exact"/>
        <w:ind w:firstLine="640" w:firstLineChars="200"/>
        <w:textAlignment w:val="auto"/>
        <w:outlineLvl w:val="0"/>
        <w:rPr>
          <w:rFonts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项目严格按照预期绩效目标执行预算资金。项目资金使用符合相关的财务管理制度规定，能够反映和考核项目资金的规范运行情况；项目实施单位的财务和业务管理制度健全，能够反映和考核财务和业务管理制度对项目顺利实施的保障情况。</w:t>
      </w:r>
    </w:p>
    <w:p>
      <w:pPr>
        <w:pStyle w:val="19"/>
        <w:pageBreakBefore w:val="0"/>
        <w:kinsoku/>
        <w:wordWrap/>
        <w:overflowPunct/>
        <w:topLinePunct w:val="0"/>
        <w:bidi w:val="0"/>
        <w:snapToGrid/>
        <w:spacing w:line="560" w:lineRule="exact"/>
        <w:ind w:firstLine="321" w:firstLineChars="100"/>
        <w:jc w:val="both"/>
        <w:textAlignment w:val="auto"/>
        <w:rPr>
          <w:rFonts w:ascii="Times New Roman" w:hAnsi="Times New Roman" w:eastAsia="楷体_GB2312"/>
          <w:color w:val="auto"/>
          <w:highlight w:val="none"/>
        </w:rPr>
      </w:pPr>
      <w:r>
        <w:rPr>
          <w:rFonts w:hint="eastAsia" w:ascii="Times New Roman" w:hAnsi="Times New Roman" w:eastAsia="楷体_GB2312"/>
          <w:color w:val="auto"/>
          <w:highlight w:val="none"/>
        </w:rPr>
        <w:t>（三）</w:t>
      </w:r>
      <w:r>
        <w:rPr>
          <w:rFonts w:ascii="Times New Roman" w:hAnsi="Times New Roman" w:eastAsia="楷体_GB2312"/>
          <w:color w:val="auto"/>
          <w:highlight w:val="none"/>
        </w:rPr>
        <w:t>项目产出</w:t>
      </w:r>
    </w:p>
    <w:p>
      <w:pPr>
        <w:pageBreakBefore w:val="0"/>
        <w:kinsoku/>
        <w:wordWrap/>
        <w:overflowPunct/>
        <w:topLinePunct w:val="0"/>
        <w:bidi w:val="0"/>
        <w:snapToGrid/>
        <w:spacing w:line="560" w:lineRule="exact"/>
        <w:ind w:firstLine="627" w:firstLineChars="200"/>
        <w:textAlignment w:val="auto"/>
        <w:rPr>
          <w:rStyle w:val="24"/>
          <w:rFonts w:eastAsia="仿宋"/>
          <w:b/>
          <w:bCs w:val="0"/>
          <w:color w:val="auto"/>
          <w:spacing w:val="-4"/>
          <w:sz w:val="32"/>
          <w:szCs w:val="32"/>
          <w:highlight w:val="none"/>
        </w:rPr>
      </w:pPr>
      <w:r>
        <w:rPr>
          <w:rStyle w:val="24"/>
          <w:rFonts w:eastAsia="仿宋"/>
          <w:b/>
          <w:bCs w:val="0"/>
          <w:color w:val="auto"/>
          <w:spacing w:val="-4"/>
          <w:sz w:val="32"/>
          <w:szCs w:val="32"/>
          <w:highlight w:val="none"/>
        </w:rPr>
        <w:t>数量指标方面：</w:t>
      </w:r>
    </w:p>
    <w:p>
      <w:pPr>
        <w:pStyle w:val="19"/>
        <w:pageBreakBefore w:val="0"/>
        <w:numPr>
          <w:ilvl w:val="0"/>
          <w:numId w:val="0"/>
        </w:numPr>
        <w:kinsoku/>
        <w:wordWrap/>
        <w:overflowPunct/>
        <w:topLinePunct w:val="0"/>
        <w:bidi w:val="0"/>
        <w:snapToGrid/>
        <w:spacing w:line="560" w:lineRule="exact"/>
        <w:ind w:firstLine="640" w:firstLineChars="200"/>
        <w:jc w:val="left"/>
        <w:textAlignment w:val="auto"/>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1.建设不同优质饲划品种生产评比田面积指标，指标值为≥4000亩，实际完成4100.93亩，完成率102.52%，偏差率2.52%，偏差原因是克州超额完成种植任务。</w:t>
      </w:r>
    </w:p>
    <w:p>
      <w:pPr>
        <w:pStyle w:val="19"/>
        <w:pageBreakBefore w:val="0"/>
        <w:numPr>
          <w:ilvl w:val="0"/>
          <w:numId w:val="0"/>
        </w:numPr>
        <w:kinsoku/>
        <w:wordWrap/>
        <w:overflowPunct/>
        <w:topLinePunct w:val="0"/>
        <w:bidi w:val="0"/>
        <w:snapToGrid/>
        <w:spacing w:line="560" w:lineRule="exact"/>
        <w:ind w:firstLine="640" w:firstLineChars="200"/>
        <w:jc w:val="left"/>
        <w:textAlignment w:val="auto"/>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2.建设优质饲划高产栽培示范田面积指标，指标值为≥10000亩，实际完成10850亩，完成率108.5%，偏差率8.5%，偏差原因是巴州超额完成种植面积。</w:t>
      </w:r>
    </w:p>
    <w:p>
      <w:pPr>
        <w:pStyle w:val="19"/>
        <w:pageBreakBefore w:val="0"/>
        <w:numPr>
          <w:ilvl w:val="0"/>
          <w:numId w:val="0"/>
        </w:numPr>
        <w:kinsoku/>
        <w:wordWrap/>
        <w:overflowPunct/>
        <w:topLinePunct w:val="0"/>
        <w:bidi w:val="0"/>
        <w:snapToGrid/>
        <w:spacing w:line="560" w:lineRule="exact"/>
        <w:ind w:firstLine="640" w:firstLineChars="200"/>
        <w:jc w:val="left"/>
        <w:textAlignment w:val="auto"/>
        <w:rPr>
          <w:rFonts w:hint="eastAsia"/>
          <w:color w:val="auto"/>
          <w:highlight w:val="none"/>
          <w:lang w:val="en-US" w:eastAsia="zh-CN"/>
        </w:rPr>
      </w:pPr>
      <w:r>
        <w:rPr>
          <w:rFonts w:hint="eastAsia" w:ascii="仿宋_GB2312" w:hAnsi="仿宋_GB2312" w:eastAsia="仿宋_GB2312" w:cs="仿宋_GB2312"/>
          <w:b w:val="0"/>
          <w:bCs w:val="0"/>
          <w:color w:val="auto"/>
          <w:kern w:val="2"/>
          <w:sz w:val="32"/>
          <w:szCs w:val="32"/>
          <w:highlight w:val="none"/>
          <w:lang w:val="en-US" w:eastAsia="zh-CN" w:bidi="ar-SA"/>
        </w:rPr>
        <w:t>3.完成畜禽遗传资源性能测定数量指标，指标值为≥5个，实际完成5个，完成率100%，偏差率0%。</w:t>
      </w:r>
    </w:p>
    <w:p>
      <w:pPr>
        <w:pStyle w:val="19"/>
        <w:pageBreakBefore w:val="0"/>
        <w:numPr>
          <w:ilvl w:val="0"/>
          <w:numId w:val="0"/>
        </w:numPr>
        <w:kinsoku/>
        <w:wordWrap/>
        <w:overflowPunct/>
        <w:topLinePunct w:val="0"/>
        <w:bidi w:val="0"/>
        <w:snapToGrid/>
        <w:spacing w:line="560" w:lineRule="exact"/>
        <w:ind w:firstLine="640" w:firstLineChars="200"/>
        <w:jc w:val="left"/>
        <w:textAlignment w:val="auto"/>
        <w:rPr>
          <w:rFonts w:hint="eastAsia"/>
          <w:color w:val="auto"/>
          <w:highlight w:val="none"/>
          <w:lang w:val="en-US" w:eastAsia="zh-CN"/>
        </w:rPr>
      </w:pPr>
      <w:r>
        <w:rPr>
          <w:rFonts w:hint="eastAsia" w:ascii="仿宋_GB2312" w:hAnsi="仿宋_GB2312" w:eastAsia="仿宋_GB2312" w:cs="仿宋_GB2312"/>
          <w:b w:val="0"/>
          <w:bCs w:val="0"/>
          <w:color w:val="auto"/>
          <w:kern w:val="2"/>
          <w:sz w:val="32"/>
          <w:szCs w:val="32"/>
          <w:highlight w:val="none"/>
          <w:lang w:val="en-US" w:eastAsia="zh-CN" w:bidi="ar-SA"/>
        </w:rPr>
        <w:t>4.新增荷斯坦能繁母牛数量指标，指标值为≥4200头，实际完成4200头，完成率100%，偏差率0%。</w:t>
      </w:r>
    </w:p>
    <w:p>
      <w:pPr>
        <w:pStyle w:val="19"/>
        <w:pageBreakBefore w:val="0"/>
        <w:numPr>
          <w:ilvl w:val="0"/>
          <w:numId w:val="0"/>
        </w:numPr>
        <w:kinsoku/>
        <w:wordWrap/>
        <w:overflowPunct/>
        <w:topLinePunct w:val="0"/>
        <w:bidi w:val="0"/>
        <w:snapToGrid/>
        <w:spacing w:line="560" w:lineRule="exact"/>
        <w:ind w:firstLine="640" w:firstLineChars="200"/>
        <w:jc w:val="left"/>
        <w:textAlignment w:val="auto"/>
        <w:rPr>
          <w:rFonts w:hint="eastAsia"/>
          <w:color w:val="auto"/>
          <w:highlight w:val="none"/>
          <w:lang w:val="en-US" w:eastAsia="zh-CN"/>
        </w:rPr>
      </w:pPr>
      <w:r>
        <w:rPr>
          <w:rFonts w:hint="eastAsia" w:ascii="仿宋_GB2312" w:hAnsi="仿宋_GB2312" w:eastAsia="仿宋_GB2312" w:cs="仿宋_GB2312"/>
          <w:b w:val="0"/>
          <w:bCs w:val="0"/>
          <w:color w:val="auto"/>
          <w:kern w:val="2"/>
          <w:sz w:val="32"/>
          <w:szCs w:val="32"/>
          <w:highlight w:val="none"/>
          <w:lang w:val="en-US" w:eastAsia="zh-CN" w:bidi="ar-SA"/>
        </w:rPr>
        <w:t>5.畜产品质量安全监测批次指标，指标值为≥3000批次，实际完成3000批次，完成率100%，偏差率0%。</w:t>
      </w:r>
    </w:p>
    <w:p>
      <w:pPr>
        <w:pStyle w:val="19"/>
        <w:pageBreakBefore w:val="0"/>
        <w:numPr>
          <w:ilvl w:val="0"/>
          <w:numId w:val="0"/>
        </w:numPr>
        <w:kinsoku/>
        <w:wordWrap/>
        <w:overflowPunct/>
        <w:topLinePunct w:val="0"/>
        <w:bidi w:val="0"/>
        <w:snapToGrid/>
        <w:spacing w:line="560" w:lineRule="exact"/>
        <w:ind w:firstLine="640" w:firstLineChars="200"/>
        <w:jc w:val="left"/>
        <w:textAlignment w:val="auto"/>
        <w:rPr>
          <w:rFonts w:hint="eastAsia"/>
          <w:color w:val="auto"/>
          <w:highlight w:val="none"/>
          <w:lang w:val="en-US" w:eastAsia="zh-CN"/>
        </w:rPr>
      </w:pPr>
      <w:r>
        <w:rPr>
          <w:rFonts w:hint="eastAsia" w:ascii="仿宋_GB2312" w:hAnsi="仿宋_GB2312" w:eastAsia="仿宋_GB2312" w:cs="仿宋_GB2312"/>
          <w:b w:val="0"/>
          <w:bCs w:val="0"/>
          <w:color w:val="auto"/>
          <w:kern w:val="2"/>
          <w:sz w:val="32"/>
          <w:szCs w:val="32"/>
          <w:highlight w:val="none"/>
          <w:lang w:val="en-US" w:eastAsia="zh-CN" w:bidi="ar-SA"/>
        </w:rPr>
        <w:t>6.新增奶产量指标，指标值为≥10000吨，实际完成10000吨，完成率100%，偏差率0%。</w:t>
      </w:r>
    </w:p>
    <w:p>
      <w:pPr>
        <w:pStyle w:val="19"/>
        <w:pageBreakBefore w:val="0"/>
        <w:numPr>
          <w:ilvl w:val="0"/>
          <w:numId w:val="0"/>
        </w:numPr>
        <w:kinsoku/>
        <w:wordWrap/>
        <w:overflowPunct/>
        <w:topLinePunct w:val="0"/>
        <w:bidi w:val="0"/>
        <w:snapToGrid/>
        <w:spacing w:line="560" w:lineRule="exact"/>
        <w:ind w:firstLine="640" w:firstLineChars="200"/>
        <w:jc w:val="left"/>
        <w:textAlignment w:val="auto"/>
        <w:rPr>
          <w:rFonts w:hint="eastAsia"/>
          <w:color w:val="auto"/>
          <w:highlight w:val="none"/>
          <w:lang w:val="en-US" w:eastAsia="zh-CN"/>
        </w:rPr>
      </w:pPr>
      <w:r>
        <w:rPr>
          <w:rFonts w:hint="eastAsia" w:ascii="仿宋_GB2312" w:hAnsi="仿宋_GB2312" w:eastAsia="仿宋_GB2312" w:cs="仿宋_GB2312"/>
          <w:b w:val="0"/>
          <w:bCs w:val="0"/>
          <w:color w:val="auto"/>
          <w:kern w:val="2"/>
          <w:sz w:val="32"/>
          <w:szCs w:val="32"/>
          <w:highlight w:val="none"/>
          <w:lang w:val="en-US" w:eastAsia="zh-CN" w:bidi="ar-SA"/>
        </w:rPr>
        <w:t>7.支持建设畜禽遗传资源保种场（保护区、基因库)建设数量指标，指标值为≥14个，实际完成14个，完成率100%，偏差率0%。</w:t>
      </w:r>
    </w:p>
    <w:p>
      <w:pPr>
        <w:keepNext w:val="0"/>
        <w:keepLines w:val="0"/>
        <w:pageBreakBefore w:val="0"/>
        <w:kinsoku/>
        <w:wordWrap/>
        <w:overflowPunct/>
        <w:topLinePunct w:val="0"/>
        <w:autoSpaceDE/>
        <w:autoSpaceDN/>
        <w:bidi w:val="0"/>
        <w:adjustRightInd/>
        <w:snapToGrid/>
        <w:spacing w:line="560" w:lineRule="exact"/>
        <w:ind w:firstLine="640"/>
        <w:textAlignment w:val="auto"/>
        <w:rPr>
          <w:rFonts w:hint="default" w:ascii="Times New Roman" w:hAnsi="Times New Roman" w:eastAsia="仿宋_GB2312" w:cs="Times New Roman"/>
          <w:color w:val="auto"/>
          <w:spacing w:val="-4"/>
          <w:w w:val="100"/>
          <w:sz w:val="32"/>
          <w:szCs w:val="32"/>
          <w:highlight w:val="none"/>
          <w:lang w:val="en-US" w:eastAsia="zh-CN"/>
        </w:rPr>
      </w:pPr>
      <w:r>
        <w:rPr>
          <w:rFonts w:hint="eastAsia" w:ascii="仿宋_GB2312" w:hAnsi="仿宋_GB2312" w:eastAsia="仿宋_GB2312" w:cs="仿宋_GB2312"/>
          <w:b w:val="0"/>
          <w:bCs w:val="0"/>
          <w:color w:val="auto"/>
          <w:kern w:val="2"/>
          <w:sz w:val="32"/>
          <w:szCs w:val="32"/>
          <w:highlight w:val="none"/>
          <w:lang w:val="en-US" w:eastAsia="zh-CN" w:bidi="ar-SA"/>
        </w:rPr>
        <w:t>8.肉类增长比例指标，指标值为≥5%，实际完成4.3%，完成率86%，偏差率14%，偏差原因是</w:t>
      </w:r>
      <w:r>
        <w:rPr>
          <w:rFonts w:hint="eastAsia" w:ascii="Times New Roman" w:hAnsi="Times New Roman" w:eastAsia="仿宋_GB2312" w:cs="Times New Roman"/>
          <w:color w:val="auto"/>
          <w:spacing w:val="-4"/>
          <w:w w:val="100"/>
          <w:sz w:val="32"/>
          <w:szCs w:val="32"/>
          <w:highlight w:val="none"/>
          <w:lang w:val="en-US" w:eastAsia="zh-CN"/>
        </w:rPr>
        <w:t>受2022年7月—12月突发新冠疫情影响，全疆长期处于静态管理状态，对饲草料调运、畜产品交易、畜牧业生产影响较大，特别是秋季为牧区牲畜传统出栏旺季，加之畜牧业生产流通不畅，虽然解封后压栏情况有所缓解，但依然影响了肉蛋产量，导致没有完成预期目标。</w:t>
      </w:r>
    </w:p>
    <w:p>
      <w:pPr>
        <w:pStyle w:val="19"/>
        <w:pageBreakBefore w:val="0"/>
        <w:numPr>
          <w:ilvl w:val="0"/>
          <w:numId w:val="0"/>
        </w:numPr>
        <w:kinsoku/>
        <w:wordWrap/>
        <w:overflowPunct/>
        <w:topLinePunct w:val="0"/>
        <w:bidi w:val="0"/>
        <w:snapToGrid/>
        <w:spacing w:line="560" w:lineRule="exact"/>
        <w:ind w:firstLine="640" w:firstLineChars="200"/>
        <w:jc w:val="left"/>
        <w:textAlignment w:val="auto"/>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9.支持绒毛羊示范企业指标，指标值为≥5个，实际完成5个，完成率100%，偏差率0%。</w:t>
      </w:r>
    </w:p>
    <w:p>
      <w:pPr>
        <w:pStyle w:val="19"/>
        <w:pageBreakBefore w:val="0"/>
        <w:numPr>
          <w:ilvl w:val="0"/>
          <w:numId w:val="0"/>
        </w:numPr>
        <w:kinsoku/>
        <w:wordWrap/>
        <w:overflowPunct/>
        <w:topLinePunct w:val="0"/>
        <w:bidi w:val="0"/>
        <w:snapToGrid/>
        <w:spacing w:line="560" w:lineRule="exact"/>
        <w:ind w:firstLine="640" w:firstLineChars="200"/>
        <w:jc w:val="left"/>
        <w:textAlignment w:val="auto"/>
        <w:rPr>
          <w:rFonts w:hint="eastAsia"/>
          <w:color w:val="auto"/>
          <w:highlight w:val="none"/>
          <w:lang w:val="en-US" w:eastAsia="zh-CN"/>
        </w:rPr>
      </w:pPr>
      <w:r>
        <w:rPr>
          <w:rFonts w:hint="eastAsia" w:ascii="仿宋_GB2312" w:hAnsi="仿宋_GB2312" w:eastAsia="仿宋_GB2312" w:cs="仿宋_GB2312"/>
          <w:b w:val="0"/>
          <w:bCs w:val="0"/>
          <w:color w:val="auto"/>
          <w:kern w:val="2"/>
          <w:sz w:val="32"/>
          <w:szCs w:val="32"/>
          <w:highlight w:val="none"/>
          <w:lang w:val="en-US" w:eastAsia="zh-CN" w:bidi="ar-SA"/>
        </w:rPr>
        <w:t>10.动物检疫电子出证系统出证覆盖率指标，指标值为100%，实际完成100%，完成率100%，偏差率0%。</w:t>
      </w:r>
    </w:p>
    <w:p>
      <w:pPr>
        <w:pageBreakBefore w:val="0"/>
        <w:kinsoku/>
        <w:wordWrap/>
        <w:overflowPunct/>
        <w:topLinePunct w:val="0"/>
        <w:bidi w:val="0"/>
        <w:snapToGrid/>
        <w:spacing w:line="560" w:lineRule="exact"/>
        <w:ind w:firstLine="643" w:firstLineChars="200"/>
        <w:textAlignment w:val="auto"/>
        <w:rPr>
          <w:rStyle w:val="53"/>
          <w:rFonts w:hint="eastAsia" w:ascii="Times New Roman" w:hAnsi="Times New Roman" w:eastAsia="仿宋_GB2312" w:cs="Times New Roman"/>
          <w:b/>
          <w:bCs/>
          <w:color w:val="auto"/>
          <w:highlight w:val="none"/>
          <w:lang w:eastAsia="zh-CN"/>
        </w:rPr>
      </w:pPr>
      <w:r>
        <w:rPr>
          <w:rStyle w:val="53"/>
          <w:rFonts w:ascii="Times New Roman" w:hAnsi="Times New Roman" w:cs="Times New Roman"/>
          <w:b/>
          <w:bCs/>
          <w:color w:val="auto"/>
          <w:highlight w:val="none"/>
        </w:rPr>
        <w:t>质量指标方面：</w:t>
      </w:r>
    </w:p>
    <w:p>
      <w:pPr>
        <w:pStyle w:val="19"/>
        <w:pageBreakBefore w:val="0"/>
        <w:numPr>
          <w:ilvl w:val="0"/>
          <w:numId w:val="0"/>
        </w:numPr>
        <w:kinsoku/>
        <w:wordWrap/>
        <w:overflowPunct/>
        <w:topLinePunct w:val="0"/>
        <w:bidi w:val="0"/>
        <w:snapToGrid/>
        <w:spacing w:line="560" w:lineRule="exact"/>
        <w:ind w:firstLine="640" w:firstLineChars="200"/>
        <w:jc w:val="left"/>
        <w:textAlignment w:val="auto"/>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1.保种场（保护区、基因库)的保种建设任务完成率指标，指标值为≥80%，实际完成90%，完成率112.5%，偏差率12.5%，偏差原因是项目确定的14家保种场（保护区、基因库）积极推进工作，任务完成略高于预期。</w:t>
      </w:r>
    </w:p>
    <w:p>
      <w:pPr>
        <w:pStyle w:val="19"/>
        <w:pageBreakBefore w:val="0"/>
        <w:numPr>
          <w:ilvl w:val="0"/>
          <w:numId w:val="0"/>
        </w:numPr>
        <w:kinsoku/>
        <w:wordWrap/>
        <w:overflowPunct/>
        <w:topLinePunct w:val="0"/>
        <w:bidi w:val="0"/>
        <w:snapToGrid/>
        <w:spacing w:line="560" w:lineRule="exact"/>
        <w:ind w:firstLine="640" w:firstLineChars="200"/>
        <w:jc w:val="left"/>
        <w:textAlignment w:val="auto"/>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2.畜产品质量监测结果准确率指标，指标值为≥98%，实际完成100%，完成率102.04%，偏差率2.04%，偏差原因是本年度未出现复核样品。</w:t>
      </w:r>
    </w:p>
    <w:p>
      <w:pPr>
        <w:pStyle w:val="19"/>
        <w:pageBreakBefore w:val="0"/>
        <w:numPr>
          <w:ilvl w:val="0"/>
          <w:numId w:val="0"/>
        </w:numPr>
        <w:kinsoku/>
        <w:wordWrap/>
        <w:overflowPunct/>
        <w:topLinePunct w:val="0"/>
        <w:bidi w:val="0"/>
        <w:snapToGrid/>
        <w:spacing w:line="560" w:lineRule="exact"/>
        <w:ind w:firstLine="640" w:firstLineChars="200"/>
        <w:jc w:val="left"/>
        <w:textAlignment w:val="auto"/>
        <w:rPr>
          <w:rFonts w:ascii="Times New Roman" w:hAnsi="Times New Roman"/>
          <w:color w:val="auto"/>
          <w:highlight w:val="none"/>
        </w:rPr>
      </w:pPr>
      <w:r>
        <w:rPr>
          <w:rFonts w:hint="eastAsia" w:ascii="仿宋_GB2312" w:hAnsi="仿宋_GB2312" w:eastAsia="仿宋_GB2312" w:cs="仿宋_GB2312"/>
          <w:b w:val="0"/>
          <w:bCs w:val="0"/>
          <w:color w:val="auto"/>
          <w:kern w:val="2"/>
          <w:sz w:val="32"/>
          <w:szCs w:val="32"/>
          <w:highlight w:val="none"/>
          <w:lang w:val="en-US" w:eastAsia="zh-CN" w:bidi="ar-SA"/>
        </w:rPr>
        <w:t>3.畜禽产品定量检测全年合格率指标，指标值为≥96%，实际完成100%，完成率104.17%，偏差率4.17%，偏差原因是全年未检出不合格产品。</w:t>
      </w:r>
    </w:p>
    <w:p>
      <w:pPr>
        <w:pStyle w:val="19"/>
        <w:pageBreakBefore w:val="0"/>
        <w:kinsoku/>
        <w:wordWrap/>
        <w:overflowPunct/>
        <w:topLinePunct w:val="0"/>
        <w:bidi w:val="0"/>
        <w:snapToGrid/>
        <w:spacing w:before="0" w:after="0" w:line="560" w:lineRule="exact"/>
        <w:ind w:firstLine="643" w:firstLineChars="200"/>
        <w:jc w:val="both"/>
        <w:textAlignment w:val="auto"/>
        <w:rPr>
          <w:color w:val="auto"/>
          <w:highlight w:val="none"/>
        </w:rPr>
      </w:pPr>
      <w:r>
        <w:rPr>
          <w:rStyle w:val="53"/>
          <w:rFonts w:ascii="Times New Roman" w:hAnsi="Times New Roman" w:cs="Times New Roman"/>
          <w:b/>
          <w:bCs/>
          <w:color w:val="auto"/>
          <w:highlight w:val="none"/>
        </w:rPr>
        <w:t>成本指标方面：</w:t>
      </w:r>
    </w:p>
    <w:p>
      <w:pPr>
        <w:keepNext w:val="0"/>
        <w:keepLines w:val="0"/>
        <w:pageBreakBefore w:val="0"/>
        <w:kinsoku/>
        <w:wordWrap/>
        <w:overflowPunct/>
        <w:topLinePunct w:val="0"/>
        <w:autoSpaceDE/>
        <w:autoSpaceDN/>
        <w:bidi w:val="0"/>
        <w:adjustRightInd/>
        <w:snapToGrid/>
        <w:spacing w:line="560" w:lineRule="exact"/>
        <w:ind w:firstLine="640"/>
        <w:textAlignment w:val="auto"/>
        <w:rPr>
          <w:rFonts w:hint="default" w:ascii="Times New Roman" w:hAnsi="Times New Roman" w:eastAsia="仿宋_GB2312" w:cs="Times New Roman"/>
          <w:color w:val="auto"/>
          <w:spacing w:val="-4"/>
          <w:w w:val="100"/>
          <w:sz w:val="32"/>
          <w:szCs w:val="32"/>
          <w:highlight w:val="none"/>
          <w:lang w:val="en-US" w:eastAsia="zh-CN"/>
        </w:rPr>
      </w:pPr>
      <w:r>
        <w:rPr>
          <w:rFonts w:hint="eastAsia" w:ascii="仿宋_GB2312" w:hAnsi="仿宋_GB2312" w:eastAsia="仿宋_GB2312" w:cs="仿宋_GB2312"/>
          <w:b w:val="0"/>
          <w:bCs w:val="0"/>
          <w:color w:val="auto"/>
          <w:kern w:val="2"/>
          <w:sz w:val="32"/>
          <w:szCs w:val="32"/>
          <w:highlight w:val="none"/>
          <w:lang w:val="en-US" w:eastAsia="zh-CN" w:bidi="ar-SA"/>
        </w:rPr>
        <w:t>1.种业提升及产业技术体系成本指标，指标值为≤3496万元，实际完成3172.89万元，完成率90.76%，偏差率9.24%，偏差原因是受到疫情影响，部分县市兑付资金困难。</w:t>
      </w:r>
    </w:p>
    <w:p>
      <w:pPr>
        <w:pStyle w:val="19"/>
        <w:pageBreakBefore w:val="0"/>
        <w:numPr>
          <w:ilvl w:val="0"/>
          <w:numId w:val="0"/>
        </w:numPr>
        <w:kinsoku/>
        <w:wordWrap/>
        <w:overflowPunct/>
        <w:topLinePunct w:val="0"/>
        <w:bidi w:val="0"/>
        <w:snapToGrid/>
        <w:spacing w:line="560" w:lineRule="exact"/>
        <w:ind w:firstLine="640" w:firstLineChars="200"/>
        <w:jc w:val="left"/>
        <w:textAlignment w:val="auto"/>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2.奶业生产发展成本指标，指标值为≤1000万元，实际完成1000万元，完成率100%，偏差率0%。</w:t>
      </w:r>
    </w:p>
    <w:p>
      <w:pPr>
        <w:pStyle w:val="19"/>
        <w:pageBreakBefore w:val="0"/>
        <w:numPr>
          <w:ilvl w:val="0"/>
          <w:numId w:val="0"/>
        </w:numPr>
        <w:shd w:val="clear"/>
        <w:kinsoku/>
        <w:wordWrap/>
        <w:overflowPunct/>
        <w:topLinePunct w:val="0"/>
        <w:bidi w:val="0"/>
        <w:snapToGrid/>
        <w:spacing w:line="560" w:lineRule="exact"/>
        <w:ind w:firstLine="640" w:firstLineChars="200"/>
        <w:jc w:val="left"/>
        <w:textAlignment w:val="auto"/>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3.优质饲草料产业发展成本指标，指标值为≤1000万元，实际完成943.57万元，完成率94.36%，偏差率5.64%，偏差原因是喀什和阿勒泰地区因财政资金原因暂未拨付。</w:t>
      </w:r>
    </w:p>
    <w:p>
      <w:pPr>
        <w:pStyle w:val="19"/>
        <w:pageBreakBefore w:val="0"/>
        <w:numPr>
          <w:ilvl w:val="0"/>
          <w:numId w:val="0"/>
        </w:numPr>
        <w:shd w:val="clear"/>
        <w:kinsoku/>
        <w:wordWrap/>
        <w:overflowPunct/>
        <w:topLinePunct w:val="0"/>
        <w:bidi w:val="0"/>
        <w:snapToGrid/>
        <w:spacing w:line="560" w:lineRule="exact"/>
        <w:ind w:firstLine="640" w:firstLineChars="200"/>
        <w:jc w:val="left"/>
        <w:textAlignment w:val="auto"/>
        <w:rPr>
          <w:rFonts w:hint="eastAsia"/>
          <w:color w:val="auto"/>
          <w:highlight w:val="none"/>
          <w:lang w:val="en-US" w:eastAsia="zh-CN"/>
        </w:rPr>
      </w:pPr>
      <w:r>
        <w:rPr>
          <w:rFonts w:hint="eastAsia" w:ascii="仿宋_GB2312" w:hAnsi="仿宋_GB2312" w:eastAsia="仿宋_GB2312" w:cs="仿宋_GB2312"/>
          <w:b w:val="0"/>
          <w:bCs w:val="0"/>
          <w:color w:val="auto"/>
          <w:kern w:val="2"/>
          <w:sz w:val="32"/>
          <w:szCs w:val="32"/>
          <w:highlight w:val="none"/>
          <w:lang w:val="en-US" w:eastAsia="zh-CN" w:bidi="ar-SA"/>
        </w:rPr>
        <w:t>4.畜禽遗传保护成本指标，指标值为≤300万元，实际完成297.28万元，完成率99.09%，偏差率0.91%，偏差原因是偏差原因：受2022年冠肺炎疫情影响，阿勒泰地区计划开展的阿勒泰白头牛保种技术培训尚未全部完成，剩余2.72万元资金未完全支出。</w:t>
      </w:r>
    </w:p>
    <w:p>
      <w:pPr>
        <w:pStyle w:val="19"/>
        <w:pageBreakBefore w:val="0"/>
        <w:numPr>
          <w:ilvl w:val="0"/>
          <w:numId w:val="0"/>
        </w:numPr>
        <w:kinsoku/>
        <w:wordWrap/>
        <w:overflowPunct/>
        <w:topLinePunct w:val="0"/>
        <w:bidi w:val="0"/>
        <w:snapToGrid/>
        <w:spacing w:line="560" w:lineRule="exact"/>
        <w:ind w:firstLine="640" w:firstLineChars="200"/>
        <w:jc w:val="left"/>
        <w:textAlignment w:val="auto"/>
        <w:rPr>
          <w:rFonts w:hint="eastAsia"/>
          <w:color w:val="auto"/>
          <w:highlight w:val="none"/>
          <w:lang w:val="en-US" w:eastAsia="zh-CN"/>
        </w:rPr>
      </w:pPr>
      <w:r>
        <w:rPr>
          <w:rFonts w:hint="eastAsia" w:ascii="仿宋_GB2312" w:hAnsi="仿宋_GB2312" w:eastAsia="仿宋_GB2312" w:cs="仿宋_GB2312"/>
          <w:b w:val="0"/>
          <w:bCs w:val="0"/>
          <w:color w:val="auto"/>
          <w:kern w:val="2"/>
          <w:sz w:val="32"/>
          <w:szCs w:val="32"/>
          <w:highlight w:val="none"/>
          <w:lang w:val="en-US" w:eastAsia="zh-CN" w:bidi="ar-SA"/>
        </w:rPr>
        <w:t>5.畜产品质量安全监测成本指标，指标值为≤600万元，实际完成600万元，完成率100%，偏差率0%。</w:t>
      </w:r>
    </w:p>
    <w:p>
      <w:pPr>
        <w:pageBreakBefore w:val="0"/>
        <w:kinsoku/>
        <w:wordWrap/>
        <w:overflowPunct/>
        <w:topLinePunct w:val="0"/>
        <w:bidi w:val="0"/>
        <w:snapToGrid/>
        <w:spacing w:line="560" w:lineRule="exact"/>
        <w:ind w:firstLine="640" w:firstLineChars="200"/>
        <w:textAlignment w:val="auto"/>
        <w:rPr>
          <w:color w:val="auto"/>
          <w:highlight w:val="none"/>
        </w:rPr>
      </w:pPr>
      <w:r>
        <w:rPr>
          <w:rFonts w:hint="eastAsia" w:ascii="仿宋_GB2312" w:hAnsi="仿宋_GB2312" w:eastAsia="仿宋_GB2312" w:cs="仿宋_GB2312"/>
          <w:b w:val="0"/>
          <w:bCs w:val="0"/>
          <w:color w:val="auto"/>
          <w:kern w:val="2"/>
          <w:sz w:val="32"/>
          <w:szCs w:val="32"/>
          <w:highlight w:val="none"/>
          <w:lang w:val="en-US" w:eastAsia="zh-CN" w:bidi="ar-SA"/>
        </w:rPr>
        <w:t>6.畜牧产业新型经营主体指标，指标值为≤280万元，实际完成280万元，完成率100%，偏差率0%。</w:t>
      </w:r>
    </w:p>
    <w:p>
      <w:pPr>
        <w:pageBreakBefore w:val="0"/>
        <w:kinsoku/>
        <w:wordWrap/>
        <w:overflowPunct/>
        <w:topLinePunct w:val="0"/>
        <w:bidi w:val="0"/>
        <w:snapToGrid/>
        <w:spacing w:line="560" w:lineRule="exact"/>
        <w:ind w:firstLine="643" w:firstLineChars="200"/>
        <w:textAlignment w:val="auto"/>
        <w:rPr>
          <w:rStyle w:val="53"/>
          <w:rFonts w:ascii="Times New Roman" w:hAnsi="Times New Roman" w:cs="Times New Roman"/>
          <w:b/>
          <w:bCs/>
          <w:color w:val="auto"/>
          <w:highlight w:val="none"/>
        </w:rPr>
      </w:pPr>
      <w:r>
        <w:rPr>
          <w:rStyle w:val="53"/>
          <w:rFonts w:ascii="Times New Roman" w:hAnsi="Times New Roman" w:cs="Times New Roman"/>
          <w:b/>
          <w:bCs/>
          <w:color w:val="auto"/>
          <w:highlight w:val="none"/>
        </w:rPr>
        <w:t>时效指标方面：</w:t>
      </w:r>
    </w:p>
    <w:p>
      <w:pPr>
        <w:pStyle w:val="19"/>
        <w:pageBreakBefore w:val="0"/>
        <w:numPr>
          <w:ilvl w:val="0"/>
          <w:numId w:val="0"/>
        </w:numPr>
        <w:kinsoku/>
        <w:wordWrap/>
        <w:overflowPunct/>
        <w:topLinePunct w:val="0"/>
        <w:bidi w:val="0"/>
        <w:snapToGrid/>
        <w:spacing w:line="560" w:lineRule="exact"/>
        <w:ind w:firstLine="640" w:firstLineChars="200"/>
        <w:jc w:val="left"/>
        <w:textAlignment w:val="auto"/>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1.产品质量安全监测及时率指标，指标值为100%，实际完成100%，完成率100%，偏差率0%。</w:t>
      </w:r>
    </w:p>
    <w:p>
      <w:pPr>
        <w:pStyle w:val="19"/>
        <w:pageBreakBefore w:val="0"/>
        <w:numPr>
          <w:ilvl w:val="0"/>
          <w:numId w:val="0"/>
        </w:numPr>
        <w:kinsoku/>
        <w:wordWrap/>
        <w:overflowPunct/>
        <w:topLinePunct w:val="0"/>
        <w:bidi w:val="0"/>
        <w:snapToGrid/>
        <w:spacing w:line="560" w:lineRule="exact"/>
        <w:ind w:firstLine="640" w:firstLineChars="200"/>
        <w:jc w:val="left"/>
        <w:textAlignment w:val="auto"/>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2.优质饲草栽培按期完成率指标，指标值为100%，实际完成100%，完成率100%，偏差率0%。</w:t>
      </w:r>
    </w:p>
    <w:p>
      <w:pPr>
        <w:pStyle w:val="19"/>
        <w:pageBreakBefore w:val="0"/>
        <w:numPr>
          <w:ilvl w:val="0"/>
          <w:numId w:val="0"/>
        </w:numPr>
        <w:shd w:val="clear"/>
        <w:kinsoku/>
        <w:wordWrap/>
        <w:overflowPunct/>
        <w:topLinePunct w:val="0"/>
        <w:bidi w:val="0"/>
        <w:snapToGrid/>
        <w:spacing w:line="560" w:lineRule="exact"/>
        <w:ind w:firstLine="640" w:firstLineChars="200"/>
        <w:jc w:val="left"/>
        <w:textAlignment w:val="auto"/>
        <w:rPr>
          <w:rFonts w:ascii="Times New Roman" w:hAnsi="Times New Roman"/>
          <w:color w:val="auto"/>
          <w:highlight w:val="none"/>
        </w:rPr>
      </w:pPr>
      <w:r>
        <w:rPr>
          <w:rFonts w:hint="eastAsia" w:ascii="仿宋_GB2312" w:hAnsi="仿宋_GB2312" w:eastAsia="仿宋_GB2312" w:cs="仿宋_GB2312"/>
          <w:b w:val="0"/>
          <w:bCs w:val="0"/>
          <w:color w:val="auto"/>
          <w:kern w:val="2"/>
          <w:sz w:val="32"/>
          <w:szCs w:val="32"/>
          <w:highlight w:val="none"/>
          <w:lang w:val="en-US" w:eastAsia="zh-CN" w:bidi="ar-SA"/>
        </w:rPr>
        <w:t>3.建立产业技术体系按期完成率指标，指标值为100%，实际完成100%，完成率100%，偏差率0%。</w:t>
      </w:r>
    </w:p>
    <w:p>
      <w:pPr>
        <w:pStyle w:val="19"/>
        <w:pageBreakBefore w:val="0"/>
        <w:kinsoku/>
        <w:wordWrap/>
        <w:overflowPunct/>
        <w:topLinePunct w:val="0"/>
        <w:bidi w:val="0"/>
        <w:snapToGrid/>
        <w:spacing w:line="560" w:lineRule="exact"/>
        <w:ind w:firstLine="321" w:firstLineChars="100"/>
        <w:jc w:val="both"/>
        <w:textAlignment w:val="auto"/>
        <w:rPr>
          <w:rFonts w:ascii="Times New Roman" w:hAnsi="Times New Roman"/>
          <w:color w:val="auto"/>
          <w:highlight w:val="none"/>
        </w:rPr>
      </w:pPr>
      <w:r>
        <w:rPr>
          <w:rFonts w:hint="eastAsia" w:ascii="Times New Roman" w:hAnsi="Times New Roman" w:eastAsia="楷体_GB2312"/>
          <w:color w:val="auto"/>
          <w:highlight w:val="none"/>
        </w:rPr>
        <w:t>（四）</w:t>
      </w:r>
      <w:r>
        <w:rPr>
          <w:rFonts w:ascii="Times New Roman" w:hAnsi="Times New Roman" w:eastAsia="楷体_GB2312"/>
          <w:color w:val="auto"/>
          <w:highlight w:val="none"/>
        </w:rPr>
        <w:t>效益情况</w:t>
      </w:r>
    </w:p>
    <w:p>
      <w:pPr>
        <w:pageBreakBefore w:val="0"/>
        <w:kinsoku/>
        <w:wordWrap/>
        <w:overflowPunct/>
        <w:topLinePunct w:val="0"/>
        <w:bidi w:val="0"/>
        <w:snapToGrid/>
        <w:spacing w:line="560" w:lineRule="exact"/>
        <w:ind w:firstLine="643" w:firstLineChars="200"/>
        <w:textAlignment w:val="auto"/>
        <w:rPr>
          <w:rStyle w:val="53"/>
          <w:rFonts w:ascii="Times New Roman" w:hAnsi="Times New Roman" w:cs="Times New Roman"/>
          <w:b/>
          <w:bCs/>
          <w:color w:val="auto"/>
          <w:highlight w:val="none"/>
        </w:rPr>
      </w:pPr>
      <w:r>
        <w:rPr>
          <w:rStyle w:val="53"/>
          <w:rFonts w:ascii="Times New Roman" w:hAnsi="Times New Roman" w:cs="Times New Roman"/>
          <w:b/>
          <w:bCs/>
          <w:color w:val="auto"/>
          <w:highlight w:val="none"/>
        </w:rPr>
        <w:t>社会效益指标方面：</w:t>
      </w:r>
    </w:p>
    <w:p>
      <w:pPr>
        <w:pStyle w:val="19"/>
        <w:pageBreakBefore w:val="0"/>
        <w:numPr>
          <w:ilvl w:val="0"/>
          <w:numId w:val="0"/>
        </w:numPr>
        <w:kinsoku/>
        <w:wordWrap/>
        <w:overflowPunct/>
        <w:topLinePunct w:val="0"/>
        <w:bidi w:val="0"/>
        <w:snapToGrid/>
        <w:spacing w:line="560" w:lineRule="exact"/>
        <w:ind w:firstLine="640" w:firstLineChars="200"/>
        <w:jc w:val="left"/>
        <w:textAlignment w:val="auto"/>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1.提升畜牧业综合生产能力指标，指标值为有效提升，实际完成有效提升，完成率100%，偏差率0%。</w:t>
      </w:r>
    </w:p>
    <w:p>
      <w:pPr>
        <w:pStyle w:val="19"/>
        <w:pageBreakBefore w:val="0"/>
        <w:numPr>
          <w:ilvl w:val="0"/>
          <w:numId w:val="0"/>
        </w:numPr>
        <w:kinsoku/>
        <w:wordWrap/>
        <w:overflowPunct/>
        <w:topLinePunct w:val="0"/>
        <w:bidi w:val="0"/>
        <w:snapToGrid/>
        <w:spacing w:line="560" w:lineRule="exact"/>
        <w:ind w:firstLine="640" w:firstLineChars="200"/>
        <w:jc w:val="left"/>
        <w:textAlignment w:val="auto"/>
        <w:rPr>
          <w:rFonts w:ascii="Times New Roman" w:hAnsi="Times New Roman"/>
          <w:color w:val="auto"/>
          <w:highlight w:val="none"/>
        </w:rPr>
      </w:pPr>
      <w:r>
        <w:rPr>
          <w:rFonts w:hint="eastAsia" w:ascii="仿宋_GB2312" w:hAnsi="仿宋_GB2312" w:eastAsia="仿宋_GB2312" w:cs="仿宋_GB2312"/>
          <w:b w:val="0"/>
          <w:bCs w:val="0"/>
          <w:color w:val="auto"/>
          <w:kern w:val="2"/>
          <w:sz w:val="32"/>
          <w:szCs w:val="32"/>
          <w:highlight w:val="none"/>
          <w:lang w:val="en-US" w:eastAsia="zh-CN" w:bidi="ar-SA"/>
        </w:rPr>
        <w:t>2.畜牧产业提升农牧民经济收入水平指标，指标值为有效提升，实际完成有效提升，完成率100%，偏差率0%。</w:t>
      </w:r>
    </w:p>
    <w:p>
      <w:pPr>
        <w:pageBreakBefore w:val="0"/>
        <w:kinsoku/>
        <w:wordWrap/>
        <w:overflowPunct/>
        <w:topLinePunct w:val="0"/>
        <w:bidi w:val="0"/>
        <w:snapToGrid/>
        <w:spacing w:line="560" w:lineRule="exact"/>
        <w:ind w:firstLine="643" w:firstLineChars="200"/>
        <w:textAlignment w:val="auto"/>
        <w:rPr>
          <w:rStyle w:val="53"/>
          <w:rFonts w:ascii="Times New Roman" w:hAnsi="Times New Roman" w:cs="Times New Roman"/>
          <w:b/>
          <w:bCs/>
          <w:color w:val="auto"/>
          <w:highlight w:val="none"/>
        </w:rPr>
      </w:pPr>
      <w:r>
        <w:rPr>
          <w:rStyle w:val="53"/>
          <w:rFonts w:hint="eastAsia" w:eastAsia="仿宋_GB2312" w:cs="Times New Roman"/>
          <w:b/>
          <w:bCs/>
          <w:color w:val="auto"/>
          <w:highlight w:val="none"/>
          <w:lang w:eastAsia="zh-CN"/>
        </w:rPr>
        <w:t>生态效益</w:t>
      </w:r>
      <w:r>
        <w:rPr>
          <w:rStyle w:val="53"/>
          <w:rFonts w:ascii="Times New Roman" w:hAnsi="Times New Roman" w:cs="Times New Roman"/>
          <w:b/>
          <w:bCs/>
          <w:color w:val="auto"/>
          <w:highlight w:val="none"/>
        </w:rPr>
        <w:t>指标方面：</w:t>
      </w:r>
    </w:p>
    <w:p>
      <w:pPr>
        <w:pStyle w:val="19"/>
        <w:pageBreakBefore w:val="0"/>
        <w:numPr>
          <w:ilvl w:val="0"/>
          <w:numId w:val="0"/>
        </w:numPr>
        <w:kinsoku/>
        <w:wordWrap/>
        <w:overflowPunct/>
        <w:topLinePunct w:val="0"/>
        <w:bidi w:val="0"/>
        <w:snapToGrid/>
        <w:spacing w:line="560" w:lineRule="exact"/>
        <w:ind w:firstLine="640" w:firstLineChars="200"/>
        <w:jc w:val="left"/>
        <w:textAlignment w:val="auto"/>
        <w:rPr>
          <w:rFonts w:ascii="Times New Roman" w:hAnsi="Times New Roman"/>
          <w:color w:val="auto"/>
          <w:highlight w:val="none"/>
        </w:rPr>
      </w:pPr>
      <w:r>
        <w:rPr>
          <w:rFonts w:hint="eastAsia" w:ascii="仿宋_GB2312" w:hAnsi="仿宋_GB2312" w:eastAsia="仿宋_GB2312" w:cs="仿宋_GB2312"/>
          <w:b w:val="0"/>
          <w:bCs w:val="0"/>
          <w:color w:val="auto"/>
          <w:kern w:val="2"/>
          <w:sz w:val="32"/>
          <w:szCs w:val="32"/>
          <w:highlight w:val="none"/>
          <w:lang w:val="en-US" w:eastAsia="zh-CN" w:bidi="ar-SA"/>
        </w:rPr>
        <w:t>规模养殖场粪污处理对当地环境影响减少指标，指标值为有效减少，实际完成有效减少，完成率100%，偏差率0%。</w:t>
      </w:r>
    </w:p>
    <w:p>
      <w:pPr>
        <w:pageBreakBefore w:val="0"/>
        <w:kinsoku/>
        <w:wordWrap/>
        <w:overflowPunct/>
        <w:topLinePunct w:val="0"/>
        <w:bidi w:val="0"/>
        <w:snapToGrid/>
        <w:spacing w:line="560" w:lineRule="exact"/>
        <w:ind w:firstLine="643" w:firstLineChars="200"/>
        <w:textAlignment w:val="auto"/>
        <w:rPr>
          <w:rStyle w:val="53"/>
          <w:rFonts w:ascii="Times New Roman" w:hAnsi="Times New Roman" w:cs="Times New Roman"/>
          <w:b/>
          <w:bCs/>
          <w:color w:val="auto"/>
          <w:highlight w:val="none"/>
        </w:rPr>
      </w:pPr>
      <w:r>
        <w:rPr>
          <w:rStyle w:val="53"/>
          <w:rFonts w:ascii="Times New Roman" w:hAnsi="Times New Roman" w:cs="Times New Roman"/>
          <w:b/>
          <w:bCs/>
          <w:color w:val="auto"/>
          <w:highlight w:val="none"/>
        </w:rPr>
        <w:t>满意度指标方面：</w:t>
      </w:r>
    </w:p>
    <w:p>
      <w:pPr>
        <w:pStyle w:val="19"/>
        <w:pageBreakBefore w:val="0"/>
        <w:numPr>
          <w:ilvl w:val="0"/>
          <w:numId w:val="0"/>
        </w:numPr>
        <w:kinsoku/>
        <w:wordWrap/>
        <w:overflowPunct/>
        <w:topLinePunct w:val="0"/>
        <w:bidi w:val="0"/>
        <w:snapToGrid/>
        <w:spacing w:line="560" w:lineRule="exact"/>
        <w:ind w:firstLine="640" w:firstLineChars="200"/>
        <w:jc w:val="left"/>
        <w:textAlignment w:val="auto"/>
        <w:rPr>
          <w:color w:val="auto"/>
          <w:highlight w:val="none"/>
        </w:rPr>
      </w:pPr>
      <w:r>
        <w:rPr>
          <w:rFonts w:hint="eastAsia" w:ascii="仿宋_GB2312" w:hAnsi="仿宋_GB2312" w:eastAsia="仿宋_GB2312" w:cs="仿宋_GB2312"/>
          <w:b w:val="0"/>
          <w:bCs w:val="0"/>
          <w:color w:val="auto"/>
          <w:kern w:val="2"/>
          <w:sz w:val="32"/>
          <w:szCs w:val="32"/>
          <w:highlight w:val="none"/>
          <w:lang w:val="en-US" w:eastAsia="zh-CN" w:bidi="ar-SA"/>
        </w:rPr>
        <w:t>农牧民满意度指标，指标值为≥85%，实际完成85%，完成率100%，偏差率0%。</w:t>
      </w:r>
    </w:p>
    <w:p>
      <w:pPr>
        <w:pageBreakBefore w:val="0"/>
        <w:kinsoku/>
        <w:wordWrap/>
        <w:overflowPunct/>
        <w:topLinePunct w:val="0"/>
        <w:bidi w:val="0"/>
        <w:snapToGrid/>
        <w:spacing w:line="560" w:lineRule="exact"/>
        <w:ind w:firstLine="640" w:firstLineChars="200"/>
        <w:textAlignment w:val="auto"/>
        <w:rPr>
          <w:rStyle w:val="53"/>
          <w:rFonts w:ascii="Times New Roman" w:hAnsi="Times New Roman" w:cs="Times New Roman"/>
          <w:color w:val="auto"/>
          <w:highlight w:val="none"/>
        </w:rPr>
      </w:pPr>
      <w:r>
        <w:rPr>
          <w:rFonts w:eastAsia="黑体"/>
          <w:color w:val="auto"/>
          <w:sz w:val="32"/>
          <w:szCs w:val="32"/>
          <w:highlight w:val="none"/>
        </w:rPr>
        <w:t>五、主要经验及做法、存在的问题及原因分析</w:t>
      </w:r>
    </w:p>
    <w:p>
      <w:pPr>
        <w:pageBreakBefore w:val="0"/>
        <w:kinsoku/>
        <w:wordWrap/>
        <w:overflowPunct/>
        <w:topLinePunct w:val="0"/>
        <w:bidi w:val="0"/>
        <w:snapToGrid/>
        <w:spacing w:line="560" w:lineRule="exact"/>
        <w:ind w:firstLine="627" w:firstLineChars="200"/>
        <w:textAlignment w:val="auto"/>
        <w:rPr>
          <w:rFonts w:eastAsia="楷体"/>
          <w:b/>
          <w:color w:val="auto"/>
          <w:spacing w:val="-4"/>
          <w:sz w:val="32"/>
          <w:szCs w:val="32"/>
          <w:highlight w:val="none"/>
        </w:rPr>
      </w:pPr>
      <w:r>
        <w:rPr>
          <w:rFonts w:eastAsia="楷体"/>
          <w:b/>
          <w:color w:val="auto"/>
          <w:spacing w:val="-4"/>
          <w:sz w:val="32"/>
          <w:szCs w:val="32"/>
          <w:highlight w:val="none"/>
        </w:rPr>
        <w:t>（一）主要经验及做法</w:t>
      </w:r>
    </w:p>
    <w:p>
      <w:pPr>
        <w:pageBreakBefore w:val="0"/>
        <w:kinsoku/>
        <w:wordWrap/>
        <w:overflowPunct/>
        <w:topLinePunct w:val="0"/>
        <w:bidi w:val="0"/>
        <w:snapToGrid/>
        <w:spacing w:line="560" w:lineRule="exact"/>
        <w:ind w:firstLine="640" w:firstLineChars="200"/>
        <w:textAlignment w:val="auto"/>
        <w:rPr>
          <w:rFonts w:eastAsia="仿宋_GB2312"/>
          <w:color w:val="auto"/>
          <w:sz w:val="32"/>
          <w:szCs w:val="32"/>
          <w:highlight w:val="none"/>
        </w:rPr>
      </w:pPr>
      <w:r>
        <w:rPr>
          <w:rFonts w:eastAsia="仿宋_GB2312"/>
          <w:color w:val="auto"/>
          <w:sz w:val="32"/>
          <w:szCs w:val="32"/>
          <w:highlight w:val="none"/>
        </w:rPr>
        <w:t>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受益群众民意调查及项目防范工作。</w:t>
      </w:r>
    </w:p>
    <w:p>
      <w:pPr>
        <w:pStyle w:val="19"/>
        <w:pageBreakBefore w:val="0"/>
        <w:kinsoku/>
        <w:wordWrap/>
        <w:overflowPunct/>
        <w:topLinePunct w:val="0"/>
        <w:bidi w:val="0"/>
        <w:snapToGrid/>
        <w:spacing w:before="0" w:after="0" w:line="560" w:lineRule="exact"/>
        <w:ind w:firstLine="640" w:firstLineChars="200"/>
        <w:jc w:val="both"/>
        <w:textAlignment w:val="auto"/>
        <w:rPr>
          <w:rFonts w:ascii="Times New Roman" w:hAnsi="Times New Roman" w:eastAsia="仿宋_GB2312"/>
          <w:b w:val="0"/>
          <w:bCs w:val="0"/>
          <w:color w:val="auto"/>
          <w:kern w:val="2"/>
          <w:highlight w:val="none"/>
        </w:rPr>
      </w:pPr>
      <w:r>
        <w:rPr>
          <w:rFonts w:ascii="Times New Roman" w:hAnsi="Times New Roman" w:eastAsia="仿宋_GB2312"/>
          <w:b w:val="0"/>
          <w:bCs w:val="0"/>
          <w:color w:val="auto"/>
          <w:kern w:val="2"/>
          <w:highlight w:val="none"/>
        </w:rPr>
        <w:t>严格坚持先做事、后验收、再拨付的原则，基本杜绝了资金被挤占和挪用现象的发生，跟踪检查到位。财政、纪检、监察等职能部门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w:t>
      </w:r>
    </w:p>
    <w:p>
      <w:pPr>
        <w:keepNext/>
        <w:keepLines/>
        <w:pageBreakBefore w:val="0"/>
        <w:numPr>
          <w:ilvl w:val="0"/>
          <w:numId w:val="7"/>
        </w:numPr>
        <w:kinsoku/>
        <w:wordWrap/>
        <w:overflowPunct/>
        <w:topLinePunct w:val="0"/>
        <w:bidi w:val="0"/>
        <w:snapToGrid/>
        <w:spacing w:line="560" w:lineRule="exact"/>
        <w:ind w:firstLine="643" w:firstLineChars="200"/>
        <w:textAlignment w:val="auto"/>
        <w:rPr>
          <w:rFonts w:eastAsia="楷体_GB2312"/>
          <w:b/>
          <w:bCs/>
          <w:color w:val="auto"/>
          <w:sz w:val="32"/>
          <w:szCs w:val="32"/>
          <w:highlight w:val="none"/>
        </w:rPr>
      </w:pPr>
      <w:r>
        <w:rPr>
          <w:rFonts w:eastAsia="楷体_GB2312"/>
          <w:b/>
          <w:bCs/>
          <w:color w:val="auto"/>
          <w:sz w:val="32"/>
          <w:szCs w:val="32"/>
          <w:highlight w:val="none"/>
        </w:rPr>
        <w:t>存在的问题及原因分析</w:t>
      </w:r>
    </w:p>
    <w:p>
      <w:pPr>
        <w:pageBreakBefore w:val="0"/>
        <w:numPr>
          <w:ilvl w:val="0"/>
          <w:numId w:val="0"/>
        </w:numPr>
        <w:kinsoku/>
        <w:wordWrap/>
        <w:overflowPunct/>
        <w:topLinePunct w:val="0"/>
        <w:bidi w:val="0"/>
        <w:snapToGrid/>
        <w:spacing w:line="560" w:lineRule="exact"/>
        <w:ind w:firstLine="640" w:firstLineChars="200"/>
        <w:textAlignment w:val="auto"/>
        <w:rPr>
          <w:rFonts w:hint="eastAsia" w:eastAsia="仿宋_GB2312" w:cs="Times New Roman"/>
          <w:b w:val="0"/>
          <w:bCs w:val="0"/>
          <w:color w:val="auto"/>
          <w:kern w:val="2"/>
          <w:sz w:val="32"/>
          <w:szCs w:val="32"/>
          <w:highlight w:val="none"/>
          <w:lang w:val="en-US" w:eastAsia="zh-CN" w:bidi="ar-SA"/>
        </w:rPr>
      </w:pPr>
      <w:r>
        <w:rPr>
          <w:rFonts w:hint="eastAsia" w:eastAsia="仿宋_GB2312" w:cs="Times New Roman"/>
          <w:b w:val="0"/>
          <w:bCs w:val="0"/>
          <w:color w:val="auto"/>
          <w:kern w:val="2"/>
          <w:sz w:val="32"/>
          <w:szCs w:val="32"/>
          <w:highlight w:val="none"/>
          <w:lang w:val="en-US" w:eastAsia="zh-CN" w:bidi="ar-SA"/>
        </w:rPr>
        <w:t>1.项目管理和项目执行水平有待进一步加强，项目实施单位与科研院所技术体系交流、合作力度仍然不够。</w:t>
      </w:r>
    </w:p>
    <w:p>
      <w:pPr>
        <w:pageBreakBefore w:val="0"/>
        <w:numPr>
          <w:ilvl w:val="0"/>
          <w:numId w:val="0"/>
        </w:numPr>
        <w:kinsoku/>
        <w:wordWrap/>
        <w:overflowPunct/>
        <w:topLinePunct w:val="0"/>
        <w:bidi w:val="0"/>
        <w:snapToGrid/>
        <w:spacing w:line="560" w:lineRule="exact"/>
        <w:ind w:firstLine="640" w:firstLineChars="200"/>
        <w:textAlignment w:val="auto"/>
        <w:rPr>
          <w:rFonts w:eastAsia="仿宋_GB2312"/>
          <w:color w:val="auto"/>
          <w:spacing w:val="-4"/>
          <w:sz w:val="32"/>
          <w:szCs w:val="32"/>
          <w:highlight w:val="none"/>
        </w:rPr>
      </w:pPr>
      <w:r>
        <w:rPr>
          <w:rFonts w:hint="eastAsia" w:eastAsia="仿宋_GB2312" w:cs="Times New Roman"/>
          <w:b w:val="0"/>
          <w:bCs w:val="0"/>
          <w:color w:val="auto"/>
          <w:kern w:val="2"/>
          <w:sz w:val="32"/>
          <w:szCs w:val="32"/>
          <w:highlight w:val="none"/>
          <w:lang w:val="en-US" w:eastAsia="zh-CN" w:bidi="ar-SA"/>
        </w:rPr>
        <w:t>2.</w:t>
      </w:r>
      <w:r>
        <w:rPr>
          <w:rFonts w:ascii="Times New Roman" w:hAnsi="Times New Roman" w:eastAsia="仿宋_GB2312" w:cs="Times New Roman"/>
          <w:b w:val="0"/>
          <w:bCs w:val="0"/>
          <w:color w:val="auto"/>
          <w:kern w:val="2"/>
          <w:sz w:val="32"/>
          <w:szCs w:val="32"/>
          <w:highlight w:val="none"/>
          <w:lang w:val="en-US" w:eastAsia="zh-CN" w:bidi="ar-SA"/>
        </w:rPr>
        <w:t>当前</w:t>
      </w:r>
      <w:r>
        <w:rPr>
          <w:rFonts w:eastAsia="仿宋_GB2312"/>
          <w:color w:val="auto"/>
          <w:spacing w:val="-4"/>
          <w:sz w:val="32"/>
          <w:szCs w:val="32"/>
          <w:highlight w:val="none"/>
        </w:rPr>
        <w:t>我区饲草产业发展整体上还处于起步阶段，发展基础不稳固。</w:t>
      </w:r>
      <w:r>
        <w:rPr>
          <w:rFonts w:hint="eastAsia" w:eastAsia="仿宋_GB2312"/>
          <w:color w:val="auto"/>
          <w:spacing w:val="-4"/>
          <w:sz w:val="32"/>
          <w:szCs w:val="32"/>
          <w:highlight w:val="none"/>
        </w:rPr>
        <w:t>全区</w:t>
      </w:r>
      <w:r>
        <w:rPr>
          <w:rFonts w:eastAsia="仿宋_GB2312"/>
          <w:color w:val="auto"/>
          <w:spacing w:val="-4"/>
          <w:sz w:val="32"/>
          <w:szCs w:val="32"/>
          <w:highlight w:val="none"/>
        </w:rPr>
        <w:t>优质饲草占比低；南北疆饲草供给区域间不平衡，北草南调成本高；饲草品种主要以国外为主，本地饲草品种应用转化率低；饲草产业相关配套技术仍不完善，机械设备短缺不配套；饲草产品的加工转化率和商品率不高；饲草产业的专业化</w:t>
      </w:r>
      <w:r>
        <w:rPr>
          <w:rFonts w:hint="eastAsia" w:eastAsia="仿宋_GB2312"/>
          <w:color w:val="auto"/>
          <w:spacing w:val="-4"/>
          <w:sz w:val="32"/>
          <w:szCs w:val="32"/>
          <w:highlight w:val="none"/>
        </w:rPr>
        <w:t>、</w:t>
      </w:r>
      <w:r>
        <w:rPr>
          <w:rFonts w:eastAsia="仿宋_GB2312"/>
          <w:color w:val="auto"/>
          <w:spacing w:val="-4"/>
          <w:sz w:val="32"/>
          <w:szCs w:val="32"/>
          <w:highlight w:val="none"/>
        </w:rPr>
        <w:t>产业化程度仍然较低。</w:t>
      </w:r>
    </w:p>
    <w:p>
      <w:pPr>
        <w:pageBreakBefore w:val="0"/>
        <w:numPr>
          <w:ilvl w:val="0"/>
          <w:numId w:val="0"/>
        </w:numPr>
        <w:kinsoku/>
        <w:wordWrap/>
        <w:overflowPunct/>
        <w:topLinePunct w:val="0"/>
        <w:bidi w:val="0"/>
        <w:snapToGrid/>
        <w:spacing w:line="560" w:lineRule="exact"/>
        <w:ind w:firstLine="640" w:firstLineChars="200"/>
        <w:textAlignment w:val="auto"/>
        <w:rPr>
          <w:rFonts w:hint="default" w:ascii="Times New Roman" w:hAnsi="Times New Roman" w:eastAsia="仿宋_GB2312" w:cs="Times New Roman"/>
          <w:b w:val="0"/>
          <w:bCs w:val="0"/>
          <w:color w:val="auto"/>
          <w:sz w:val="32"/>
          <w:szCs w:val="32"/>
          <w:highlight w:val="none"/>
        </w:rPr>
      </w:pPr>
      <w:r>
        <w:rPr>
          <w:rFonts w:hint="eastAsia" w:eastAsia="仿宋_GB2312" w:cs="Times New Roman"/>
          <w:b w:val="0"/>
          <w:bCs w:val="0"/>
          <w:color w:val="auto"/>
          <w:kern w:val="2"/>
          <w:sz w:val="32"/>
          <w:szCs w:val="32"/>
          <w:highlight w:val="none"/>
          <w:lang w:val="en-US" w:eastAsia="zh-CN" w:bidi="ar-SA"/>
        </w:rPr>
        <w:t>3</w:t>
      </w:r>
      <w:r>
        <w:rPr>
          <w:rFonts w:hint="eastAsia" w:ascii="Times New Roman" w:hAnsi="Times New Roman" w:eastAsia="仿宋_GB2312" w:cs="Times New Roman"/>
          <w:b w:val="0"/>
          <w:bCs w:val="0"/>
          <w:color w:val="auto"/>
          <w:kern w:val="2"/>
          <w:sz w:val="32"/>
          <w:szCs w:val="32"/>
          <w:highlight w:val="none"/>
          <w:lang w:val="en-US" w:eastAsia="zh-CN" w:bidi="ar-SA"/>
        </w:rPr>
        <w:t>.</w:t>
      </w:r>
      <w:r>
        <w:rPr>
          <w:rFonts w:hint="default" w:ascii="Times New Roman" w:hAnsi="Times New Roman" w:eastAsia="仿宋_GB2312" w:cs="Times New Roman"/>
          <w:b w:val="0"/>
          <w:bCs w:val="0"/>
          <w:color w:val="auto"/>
          <w:kern w:val="2"/>
          <w:sz w:val="32"/>
          <w:szCs w:val="32"/>
          <w:highlight w:val="none"/>
          <w:lang w:val="en-US" w:eastAsia="zh-CN" w:bidi="ar-SA"/>
        </w:rPr>
        <w:t>大部分</w:t>
      </w:r>
      <w:r>
        <w:rPr>
          <w:rFonts w:hint="default" w:ascii="Times New Roman" w:hAnsi="Times New Roman" w:eastAsia="仿宋_GB2312" w:cs="Times New Roman"/>
          <w:color w:val="auto"/>
          <w:sz w:val="32"/>
          <w:szCs w:val="32"/>
          <w:highlight w:val="none"/>
        </w:rPr>
        <w:t>保种场（区）技术人才</w:t>
      </w:r>
      <w:r>
        <w:rPr>
          <w:rFonts w:hint="eastAsia" w:ascii="Times New Roman" w:hAnsi="Times New Roman" w:eastAsia="仿宋_GB2312" w:cs="Times New Roman"/>
          <w:color w:val="auto"/>
          <w:sz w:val="32"/>
          <w:szCs w:val="32"/>
          <w:highlight w:val="none"/>
          <w:lang w:val="en-US" w:eastAsia="zh-CN"/>
        </w:rPr>
        <w:t>队伍</w:t>
      </w:r>
      <w:r>
        <w:rPr>
          <w:rFonts w:hint="default" w:ascii="Times New Roman" w:hAnsi="Times New Roman" w:eastAsia="仿宋_GB2312" w:cs="Times New Roman"/>
          <w:color w:val="auto"/>
          <w:sz w:val="32"/>
          <w:szCs w:val="32"/>
          <w:highlight w:val="none"/>
        </w:rPr>
        <w:t>不稳定，专业技术</w:t>
      </w:r>
      <w:r>
        <w:rPr>
          <w:rFonts w:hint="default" w:ascii="Times New Roman" w:hAnsi="Times New Roman" w:eastAsia="仿宋_GB2312" w:cs="Times New Roman"/>
          <w:color w:val="auto"/>
          <w:spacing w:val="-4"/>
          <w:sz w:val="32"/>
          <w:szCs w:val="32"/>
          <w:highlight w:val="none"/>
        </w:rPr>
        <w:t>人员</w:t>
      </w:r>
      <w:r>
        <w:rPr>
          <w:rFonts w:hint="default" w:ascii="Times New Roman" w:hAnsi="Times New Roman" w:eastAsia="仿宋_GB2312" w:cs="Times New Roman"/>
          <w:color w:val="auto"/>
          <w:sz w:val="32"/>
          <w:szCs w:val="32"/>
          <w:highlight w:val="none"/>
        </w:rPr>
        <w:t>培养力度不足</w:t>
      </w:r>
      <w:r>
        <w:rPr>
          <w:rFonts w:hint="eastAsia" w:ascii="Times New Roman" w:hAnsi="Times New Roman" w:eastAsia="仿宋_GB2312" w:cs="Times New Roman"/>
          <w:color w:val="auto"/>
          <w:sz w:val="32"/>
          <w:szCs w:val="32"/>
          <w:highlight w:val="none"/>
          <w:lang w:eastAsia="zh-CN"/>
        </w:rPr>
        <w:t>，</w:t>
      </w:r>
      <w:r>
        <w:rPr>
          <w:rFonts w:hint="eastAsia" w:ascii="Times New Roman" w:hAnsi="Times New Roman" w:eastAsia="仿宋_GB2312" w:cs="Times New Roman"/>
          <w:color w:val="auto"/>
          <w:sz w:val="32"/>
          <w:szCs w:val="32"/>
          <w:highlight w:val="none"/>
          <w:lang w:val="en-US" w:eastAsia="zh-CN"/>
        </w:rPr>
        <w:t>撰写的</w:t>
      </w:r>
      <w:r>
        <w:rPr>
          <w:rFonts w:hint="default" w:ascii="Times New Roman" w:hAnsi="Times New Roman" w:eastAsia="仿宋_GB2312" w:cs="Times New Roman"/>
          <w:color w:val="auto"/>
          <w:sz w:val="32"/>
          <w:szCs w:val="32"/>
          <w:highlight w:val="none"/>
        </w:rPr>
        <w:t>年度保种工作方案、年度工作总结</w:t>
      </w:r>
      <w:r>
        <w:rPr>
          <w:rFonts w:hint="eastAsia" w:ascii="Times New Roman" w:hAnsi="Times New Roman" w:eastAsia="仿宋_GB2312" w:cs="Times New Roman"/>
          <w:color w:val="auto"/>
          <w:sz w:val="32"/>
          <w:szCs w:val="32"/>
          <w:highlight w:val="none"/>
          <w:lang w:val="en-US" w:eastAsia="zh-CN"/>
        </w:rPr>
        <w:t>质</w:t>
      </w:r>
      <w:r>
        <w:rPr>
          <w:rFonts w:hint="eastAsia" w:ascii="Times New Roman" w:hAnsi="Times New Roman" w:eastAsia="仿宋_GB2312" w:cs="Times New Roman"/>
          <w:b w:val="0"/>
          <w:bCs w:val="0"/>
          <w:color w:val="auto"/>
          <w:sz w:val="32"/>
          <w:szCs w:val="32"/>
          <w:highlight w:val="none"/>
          <w:lang w:val="en-US" w:eastAsia="zh-CN"/>
        </w:rPr>
        <w:t>量不高</w:t>
      </w:r>
      <w:r>
        <w:rPr>
          <w:rFonts w:hint="default" w:ascii="Times New Roman" w:hAnsi="Times New Roman" w:eastAsia="仿宋_GB2312" w:cs="Times New Roman"/>
          <w:b w:val="0"/>
          <w:bCs w:val="0"/>
          <w:color w:val="auto"/>
          <w:sz w:val="32"/>
          <w:szCs w:val="32"/>
          <w:highlight w:val="none"/>
        </w:rPr>
        <w:t>。部分保种场（区）保种档案资料不完善，缺乏有效的保种档案管理制度。</w:t>
      </w:r>
    </w:p>
    <w:p>
      <w:pPr>
        <w:pageBreakBefore w:val="0"/>
        <w:kinsoku/>
        <w:wordWrap/>
        <w:overflowPunct/>
        <w:topLinePunct w:val="0"/>
        <w:autoSpaceDE/>
        <w:autoSpaceDN/>
        <w:bidi w:val="0"/>
        <w:adjustRightInd/>
        <w:snapToGrid/>
        <w:spacing w:line="560" w:lineRule="exact"/>
        <w:ind w:firstLine="640" w:firstLineChars="200"/>
        <w:textAlignment w:val="auto"/>
        <w:rPr>
          <w:rFonts w:hint="eastAsia" w:eastAsia="仿宋_GB2312"/>
          <w:b w:val="0"/>
          <w:bCs w:val="0"/>
          <w:color w:val="auto"/>
          <w:kern w:val="0"/>
          <w:sz w:val="32"/>
          <w:szCs w:val="32"/>
          <w:highlight w:val="none"/>
          <w:lang w:eastAsia="zh-CN"/>
        </w:rPr>
      </w:pPr>
      <w:r>
        <w:rPr>
          <w:rFonts w:hint="eastAsia" w:eastAsia="仿宋_GB2312"/>
          <w:b w:val="0"/>
          <w:bCs w:val="0"/>
          <w:color w:val="auto"/>
          <w:kern w:val="0"/>
          <w:sz w:val="32"/>
          <w:szCs w:val="32"/>
          <w:highlight w:val="none"/>
          <w:lang w:val="en-US" w:eastAsia="zh-CN"/>
        </w:rPr>
        <w:t>4</w:t>
      </w:r>
      <w:r>
        <w:rPr>
          <w:rFonts w:hint="eastAsia" w:eastAsia="仿宋_GB2312"/>
          <w:b w:val="0"/>
          <w:bCs w:val="0"/>
          <w:color w:val="auto"/>
          <w:kern w:val="0"/>
          <w:sz w:val="32"/>
          <w:szCs w:val="32"/>
          <w:highlight w:val="none"/>
        </w:rPr>
        <w:t>.</w:t>
      </w:r>
      <w:r>
        <w:rPr>
          <w:rFonts w:hint="eastAsia" w:eastAsia="仿宋_GB2312"/>
          <w:b w:val="0"/>
          <w:bCs w:val="0"/>
          <w:color w:val="auto"/>
          <w:kern w:val="0"/>
          <w:sz w:val="32"/>
          <w:szCs w:val="32"/>
          <w:highlight w:val="none"/>
          <w:lang w:val="en-US" w:eastAsia="zh-CN"/>
        </w:rPr>
        <w:t>核心群</w:t>
      </w:r>
      <w:r>
        <w:rPr>
          <w:rFonts w:eastAsia="仿宋_GB2312"/>
          <w:b w:val="0"/>
          <w:bCs w:val="0"/>
          <w:color w:val="auto"/>
          <w:kern w:val="0"/>
          <w:sz w:val="32"/>
          <w:szCs w:val="32"/>
          <w:highlight w:val="none"/>
        </w:rPr>
        <w:t>系谱档案不全</w:t>
      </w:r>
      <w:r>
        <w:rPr>
          <w:rFonts w:hint="eastAsia" w:eastAsia="仿宋_GB2312"/>
          <w:b w:val="0"/>
          <w:bCs w:val="0"/>
          <w:color w:val="auto"/>
          <w:kern w:val="0"/>
          <w:sz w:val="32"/>
          <w:szCs w:val="32"/>
          <w:highlight w:val="none"/>
        </w:rPr>
        <w:t>。</w:t>
      </w:r>
      <w:r>
        <w:rPr>
          <w:rFonts w:eastAsia="仿宋_GB2312"/>
          <w:b w:val="0"/>
          <w:bCs w:val="0"/>
          <w:color w:val="auto"/>
          <w:kern w:val="0"/>
          <w:sz w:val="32"/>
          <w:szCs w:val="32"/>
          <w:highlight w:val="none"/>
        </w:rPr>
        <w:t>生长发育记录（体尺、体重）、</w:t>
      </w:r>
      <w:r>
        <w:rPr>
          <w:rFonts w:hint="eastAsia" w:eastAsia="仿宋_GB2312"/>
          <w:b w:val="0"/>
          <w:bCs w:val="0"/>
          <w:color w:val="auto"/>
          <w:kern w:val="0"/>
          <w:sz w:val="32"/>
          <w:szCs w:val="32"/>
          <w:highlight w:val="none"/>
          <w:lang w:val="en-US" w:eastAsia="zh-CN"/>
        </w:rPr>
        <w:t>生产性能鉴定</w:t>
      </w:r>
      <w:r>
        <w:rPr>
          <w:rFonts w:eastAsia="仿宋_GB2312"/>
          <w:b w:val="0"/>
          <w:bCs w:val="0"/>
          <w:color w:val="auto"/>
          <w:kern w:val="0"/>
          <w:sz w:val="32"/>
          <w:szCs w:val="32"/>
          <w:highlight w:val="none"/>
        </w:rPr>
        <w:t>记录不完善，利用效率低下，缺乏相应的设备、技术、专业技术人才，严重阻碍了新疆</w:t>
      </w:r>
      <w:r>
        <w:rPr>
          <w:rFonts w:hint="eastAsia" w:eastAsia="仿宋_GB2312"/>
          <w:b w:val="0"/>
          <w:bCs w:val="0"/>
          <w:color w:val="auto"/>
          <w:kern w:val="0"/>
          <w:sz w:val="32"/>
          <w:szCs w:val="32"/>
          <w:highlight w:val="none"/>
          <w:lang w:val="en-US" w:eastAsia="zh-CN"/>
        </w:rPr>
        <w:t>肉毛兼用绒毛用羊</w:t>
      </w:r>
      <w:r>
        <w:rPr>
          <w:rFonts w:eastAsia="仿宋_GB2312"/>
          <w:b w:val="0"/>
          <w:bCs w:val="0"/>
          <w:color w:val="auto"/>
          <w:kern w:val="0"/>
          <w:sz w:val="32"/>
          <w:szCs w:val="32"/>
          <w:highlight w:val="none"/>
        </w:rPr>
        <w:t>育种工作的开展。</w:t>
      </w:r>
      <w:r>
        <w:rPr>
          <w:rFonts w:hint="eastAsia" w:eastAsia="仿宋_GB2312"/>
          <w:b w:val="0"/>
          <w:bCs w:val="0"/>
          <w:color w:val="auto"/>
          <w:kern w:val="0"/>
          <w:sz w:val="32"/>
          <w:szCs w:val="32"/>
          <w:highlight w:val="none"/>
          <w:lang w:eastAsia="zh-CN"/>
        </w:rPr>
        <w:t>原因是因为对育种没有足够的重视，对育种目标不明确。</w:t>
      </w:r>
    </w:p>
    <w:p>
      <w:pPr>
        <w:pageBreakBefore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仿宋_GB2312" w:cs="Times New Roman"/>
          <w:b w:val="0"/>
          <w:bCs w:val="0"/>
          <w:color w:val="auto"/>
          <w:kern w:val="0"/>
          <w:sz w:val="32"/>
          <w:szCs w:val="32"/>
          <w:highlight w:val="none"/>
          <w:lang w:val="en-US" w:eastAsia="zh-CN" w:bidi="ar-SA"/>
        </w:rPr>
      </w:pPr>
      <w:r>
        <w:rPr>
          <w:rFonts w:hint="eastAsia" w:eastAsia="仿宋_GB2312"/>
          <w:b w:val="0"/>
          <w:bCs w:val="0"/>
          <w:color w:val="auto"/>
          <w:kern w:val="0"/>
          <w:sz w:val="32"/>
          <w:szCs w:val="32"/>
          <w:highlight w:val="none"/>
          <w:lang w:val="en-US" w:eastAsia="zh-CN"/>
        </w:rPr>
        <w:t>5.</w:t>
      </w:r>
      <w:r>
        <w:rPr>
          <w:rFonts w:hint="eastAsia" w:eastAsia="仿宋_GB2312"/>
          <w:b w:val="0"/>
          <w:bCs w:val="0"/>
          <w:color w:val="auto"/>
          <w:kern w:val="0"/>
          <w:sz w:val="32"/>
          <w:szCs w:val="32"/>
          <w:highlight w:val="none"/>
        </w:rPr>
        <w:t>营养调控不精准。</w:t>
      </w:r>
      <w:r>
        <w:rPr>
          <w:rFonts w:hint="eastAsia" w:ascii="Times New Roman" w:hAnsi="Times New Roman" w:eastAsia="仿宋_GB2312" w:cs="Times New Roman"/>
          <w:b w:val="0"/>
          <w:bCs w:val="0"/>
          <w:color w:val="auto"/>
          <w:kern w:val="0"/>
          <w:sz w:val="32"/>
          <w:szCs w:val="32"/>
          <w:highlight w:val="none"/>
          <w:lang w:val="en-US" w:eastAsia="zh-CN" w:bidi="ar-SA"/>
        </w:rPr>
        <w:t>一是部分生产区饲草浪费严重、饲料加工调制水平低，饲料利用效率不高；二是部分舍饲羊分群管理不到位，饲料原料单一、日粮配方不合理，未成能满足绵羊生产的营养需要，体况较差；三是放牧区营养补饲方案不完善，不统一，生产力未得到充分发挥。</w:t>
      </w:r>
    </w:p>
    <w:p>
      <w:pPr>
        <w:pageBreakBefore w:val="0"/>
        <w:kinsoku/>
        <w:wordWrap/>
        <w:overflowPunct/>
        <w:topLinePunct w:val="0"/>
        <w:autoSpaceDE/>
        <w:autoSpaceDN/>
        <w:bidi w:val="0"/>
        <w:adjustRightInd/>
        <w:snapToGrid/>
        <w:spacing w:line="560" w:lineRule="exact"/>
        <w:ind w:firstLine="640" w:firstLineChars="200"/>
        <w:textAlignment w:val="auto"/>
        <w:rPr>
          <w:b w:val="0"/>
          <w:bCs w:val="0"/>
          <w:color w:val="auto"/>
          <w:highlight w:val="none"/>
        </w:rPr>
      </w:pPr>
      <w:r>
        <w:rPr>
          <w:rFonts w:hint="eastAsia" w:eastAsia="仿宋_GB2312"/>
          <w:b w:val="0"/>
          <w:bCs w:val="0"/>
          <w:color w:val="auto"/>
          <w:kern w:val="0"/>
          <w:sz w:val="32"/>
          <w:szCs w:val="32"/>
          <w:highlight w:val="none"/>
          <w:lang w:val="en-US" w:eastAsia="zh-CN"/>
        </w:rPr>
        <w:t>6</w:t>
      </w:r>
      <w:r>
        <w:rPr>
          <w:rFonts w:hint="eastAsia" w:eastAsia="仿宋_GB2312"/>
          <w:b w:val="0"/>
          <w:bCs w:val="0"/>
          <w:color w:val="auto"/>
          <w:kern w:val="0"/>
          <w:sz w:val="32"/>
          <w:szCs w:val="32"/>
          <w:highlight w:val="none"/>
        </w:rPr>
        <w:t>.</w:t>
      </w:r>
      <w:r>
        <w:rPr>
          <w:rFonts w:eastAsia="仿宋_GB2312"/>
          <w:b w:val="0"/>
          <w:bCs w:val="0"/>
          <w:color w:val="auto"/>
          <w:kern w:val="0"/>
          <w:sz w:val="32"/>
          <w:szCs w:val="32"/>
          <w:highlight w:val="none"/>
        </w:rPr>
        <w:t>对</w:t>
      </w:r>
      <w:r>
        <w:rPr>
          <w:rFonts w:hint="eastAsia" w:eastAsia="仿宋_GB2312"/>
          <w:b w:val="0"/>
          <w:bCs w:val="0"/>
          <w:color w:val="auto"/>
          <w:kern w:val="0"/>
          <w:sz w:val="32"/>
          <w:szCs w:val="32"/>
          <w:highlight w:val="none"/>
          <w:lang w:eastAsia="zh-CN"/>
        </w:rPr>
        <w:t>肉毛兼用羊</w:t>
      </w:r>
      <w:r>
        <w:rPr>
          <w:rFonts w:eastAsia="仿宋_GB2312"/>
          <w:b w:val="0"/>
          <w:bCs w:val="0"/>
          <w:color w:val="auto"/>
          <w:kern w:val="0"/>
          <w:sz w:val="32"/>
          <w:szCs w:val="32"/>
          <w:highlight w:val="none"/>
        </w:rPr>
        <w:t>育种工作认识不到位</w:t>
      </w:r>
      <w:r>
        <w:rPr>
          <w:rFonts w:hint="eastAsia" w:eastAsia="仿宋_GB2312"/>
          <w:b w:val="0"/>
          <w:bCs w:val="0"/>
          <w:color w:val="auto"/>
          <w:kern w:val="0"/>
          <w:sz w:val="32"/>
          <w:szCs w:val="32"/>
          <w:highlight w:val="none"/>
        </w:rPr>
        <w:t>。</w:t>
      </w:r>
      <w:r>
        <w:rPr>
          <w:rFonts w:eastAsia="仿宋_GB2312"/>
          <w:b w:val="0"/>
          <w:bCs w:val="0"/>
          <w:color w:val="auto"/>
          <w:sz w:val="32"/>
          <w:szCs w:val="32"/>
          <w:highlight w:val="none"/>
        </w:rPr>
        <w:t>场内技术人员对新疆</w:t>
      </w:r>
      <w:r>
        <w:rPr>
          <w:rFonts w:hint="eastAsia" w:eastAsia="仿宋_GB2312"/>
          <w:b w:val="0"/>
          <w:bCs w:val="0"/>
          <w:color w:val="auto"/>
          <w:sz w:val="32"/>
          <w:szCs w:val="32"/>
          <w:highlight w:val="none"/>
          <w:lang w:val="en-US" w:eastAsia="zh-CN"/>
        </w:rPr>
        <w:t>绒毛兼用绒毛用羊</w:t>
      </w:r>
      <w:r>
        <w:rPr>
          <w:rFonts w:eastAsia="仿宋_GB2312"/>
          <w:b w:val="0"/>
          <w:bCs w:val="0"/>
          <w:color w:val="auto"/>
          <w:sz w:val="32"/>
          <w:szCs w:val="32"/>
          <w:highlight w:val="none"/>
        </w:rPr>
        <w:t>的选育和改良工作在一定程度上缺乏有效的规划与指导，育种思路不清晰。</w:t>
      </w:r>
    </w:p>
    <w:p>
      <w:pPr>
        <w:keepNext w:val="0"/>
        <w:keepLines w:val="0"/>
        <w:pageBreakBefore w:val="0"/>
        <w:kinsoku/>
        <w:wordWrap/>
        <w:overflowPunct/>
        <w:topLinePunct w:val="0"/>
        <w:autoSpaceDE/>
        <w:autoSpaceDN/>
        <w:bidi w:val="0"/>
        <w:adjustRightInd/>
        <w:snapToGrid/>
        <w:spacing w:line="560" w:lineRule="exact"/>
        <w:ind w:left="0" w:leftChars="0" w:firstLine="640" w:firstLineChars="200"/>
        <w:jc w:val="both"/>
        <w:textAlignment w:val="auto"/>
        <w:rPr>
          <w:color w:val="auto"/>
          <w:highlight w:val="none"/>
        </w:rPr>
      </w:pPr>
      <w:r>
        <w:rPr>
          <w:rFonts w:hint="eastAsia" w:eastAsia="仿宋_GB2312" w:cs="Times New Roman"/>
          <w:b w:val="0"/>
          <w:bCs w:val="0"/>
          <w:color w:val="auto"/>
          <w:kern w:val="2"/>
          <w:sz w:val="32"/>
          <w:szCs w:val="32"/>
          <w:highlight w:val="none"/>
          <w:lang w:val="en-US" w:eastAsia="zh-CN" w:bidi="ar-SA"/>
        </w:rPr>
        <w:t>7</w:t>
      </w:r>
      <w:r>
        <w:rPr>
          <w:rFonts w:hint="eastAsia" w:ascii="Times New Roman" w:hAnsi="Times New Roman" w:eastAsia="仿宋_GB2312" w:cs="Times New Roman"/>
          <w:b w:val="0"/>
          <w:bCs w:val="0"/>
          <w:color w:val="auto"/>
          <w:kern w:val="2"/>
          <w:sz w:val="32"/>
          <w:szCs w:val="32"/>
          <w:highlight w:val="none"/>
          <w:lang w:val="en-US" w:eastAsia="zh-CN" w:bidi="ar-SA"/>
        </w:rPr>
        <w:t>.畜产品</w:t>
      </w:r>
      <w:r>
        <w:rPr>
          <w:rFonts w:hint="eastAsia" w:ascii="仿宋_GB2312" w:hAnsi="仿宋_GB2312" w:eastAsia="仿宋_GB2312" w:cs="仿宋_GB2312"/>
          <w:b w:val="0"/>
          <w:bCs w:val="0"/>
          <w:color w:val="auto"/>
          <w:sz w:val="32"/>
          <w:szCs w:val="32"/>
          <w:highlight w:val="none"/>
        </w:rPr>
        <w:t>检测机构数量不足，</w:t>
      </w:r>
      <w:r>
        <w:rPr>
          <w:rFonts w:hint="eastAsia" w:ascii="仿宋_GB2312" w:hAnsi="仿宋_GB2312" w:eastAsia="仿宋_GB2312" w:cs="仿宋_GB2312"/>
          <w:b w:val="0"/>
          <w:bCs w:val="0"/>
          <w:color w:val="auto"/>
          <w:sz w:val="32"/>
          <w:szCs w:val="32"/>
          <w:highlight w:val="none"/>
          <w:lang w:val="en-US" w:eastAsia="zh-CN"/>
        </w:rPr>
        <w:t>缺少专业监测人员。目前承接畜产品质量安全监测任务的地州级机</w:t>
      </w:r>
      <w:r>
        <w:rPr>
          <w:rFonts w:hint="eastAsia" w:ascii="仿宋_GB2312" w:hAnsi="仿宋_GB2312" w:eastAsia="仿宋_GB2312" w:cs="仿宋_GB2312"/>
          <w:bCs/>
          <w:color w:val="auto"/>
          <w:sz w:val="32"/>
          <w:szCs w:val="32"/>
          <w:highlight w:val="none"/>
          <w:lang w:val="en-US" w:eastAsia="zh-CN"/>
        </w:rPr>
        <w:t>构</w:t>
      </w:r>
      <w:r>
        <w:rPr>
          <w:rFonts w:hint="eastAsia" w:ascii="仿宋_GB2312" w:hAnsi="仿宋_GB2312" w:eastAsia="仿宋_GB2312" w:cs="仿宋_GB2312"/>
          <w:bCs/>
          <w:color w:val="auto"/>
          <w:sz w:val="32"/>
          <w:szCs w:val="32"/>
          <w:highlight w:val="none"/>
        </w:rPr>
        <w:t>只有乌鲁木齐市、昌吉州具备自检功能，其他地州不具备自检能力，也没有专业检测人员。机构改革后，部分县市撤销了动物卫生监督机构，屠宰企业检疫及监督人员不足，部分屠宰企业监管缺失，对肉品质量安全造成隐患。</w:t>
      </w:r>
    </w:p>
    <w:p>
      <w:pPr>
        <w:pageBreakBefore w:val="0"/>
        <w:numPr>
          <w:ilvl w:val="0"/>
          <w:numId w:val="8"/>
        </w:numPr>
        <w:kinsoku/>
        <w:wordWrap/>
        <w:overflowPunct/>
        <w:topLinePunct w:val="0"/>
        <w:bidi w:val="0"/>
        <w:snapToGrid/>
        <w:spacing w:line="560" w:lineRule="exact"/>
        <w:ind w:firstLine="640" w:firstLineChars="200"/>
        <w:textAlignment w:val="auto"/>
        <w:rPr>
          <w:rFonts w:eastAsia="黑体"/>
          <w:color w:val="auto"/>
          <w:sz w:val="32"/>
          <w:szCs w:val="32"/>
          <w:highlight w:val="none"/>
        </w:rPr>
      </w:pPr>
      <w:r>
        <w:rPr>
          <w:rFonts w:eastAsia="黑体"/>
          <w:color w:val="auto"/>
          <w:sz w:val="32"/>
          <w:szCs w:val="32"/>
          <w:highlight w:val="none"/>
        </w:rPr>
        <w:t>有关建议</w:t>
      </w:r>
    </w:p>
    <w:p>
      <w:pPr>
        <w:keepNext w:val="0"/>
        <w:keepLines w:val="0"/>
        <w:pageBreakBefore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_GB2312" w:hAnsi="仿宋_GB2312" w:eastAsia="仿宋_GB2312" w:cs="仿宋_GB2312"/>
          <w:bCs/>
          <w:color w:val="auto"/>
          <w:sz w:val="32"/>
          <w:szCs w:val="32"/>
          <w:highlight w:val="none"/>
          <w:lang w:val="en-US" w:eastAsia="zh-CN"/>
        </w:rPr>
      </w:pPr>
      <w:r>
        <w:rPr>
          <w:rFonts w:hint="eastAsia" w:ascii="仿宋_GB2312" w:hAnsi="仿宋_GB2312" w:eastAsia="仿宋_GB2312" w:cs="仿宋_GB2312"/>
          <w:bCs/>
          <w:color w:val="auto"/>
          <w:sz w:val="32"/>
          <w:szCs w:val="32"/>
          <w:highlight w:val="none"/>
          <w:lang w:val="en-US" w:eastAsia="zh-CN"/>
        </w:rPr>
        <w:t>1</w:t>
      </w:r>
      <w:r>
        <w:rPr>
          <w:rFonts w:hint="eastAsia" w:ascii="仿宋_GB2312" w:hAnsi="仿宋_GB2312" w:eastAsia="仿宋_GB2312" w:cs="仿宋_GB2312"/>
          <w:bCs/>
          <w:color w:val="auto"/>
          <w:kern w:val="2"/>
          <w:sz w:val="32"/>
          <w:szCs w:val="32"/>
          <w:highlight w:val="none"/>
          <w:lang w:val="en-US" w:eastAsia="zh-CN" w:bidi="ar-SA"/>
        </w:rPr>
        <w:t>.</w:t>
      </w:r>
      <w:r>
        <w:rPr>
          <w:rFonts w:hint="default" w:ascii="仿宋_GB2312" w:hAnsi="仿宋_GB2312" w:eastAsia="仿宋_GB2312" w:cs="仿宋_GB2312"/>
          <w:bCs/>
          <w:color w:val="auto"/>
          <w:kern w:val="2"/>
          <w:sz w:val="32"/>
          <w:szCs w:val="32"/>
          <w:highlight w:val="none"/>
          <w:lang w:val="en-US" w:eastAsia="zh-CN" w:bidi="ar-SA"/>
        </w:rPr>
        <w:t>加大对项目管理人员、基层专业技术人员的培训，通过邀请专家对项目</w:t>
      </w:r>
      <w:r>
        <w:rPr>
          <w:rFonts w:hint="eastAsia" w:ascii="仿宋_GB2312" w:hAnsi="仿宋_GB2312" w:eastAsia="仿宋_GB2312" w:cs="仿宋_GB2312"/>
          <w:bCs/>
          <w:color w:val="auto"/>
          <w:kern w:val="2"/>
          <w:sz w:val="32"/>
          <w:szCs w:val="32"/>
          <w:highlight w:val="none"/>
          <w:lang w:val="en-US" w:eastAsia="zh-CN" w:bidi="ar-SA"/>
        </w:rPr>
        <w:t>管理</w:t>
      </w:r>
      <w:r>
        <w:rPr>
          <w:rFonts w:hint="default" w:ascii="仿宋_GB2312" w:hAnsi="仿宋_GB2312" w:eastAsia="仿宋_GB2312" w:cs="仿宋_GB2312"/>
          <w:bCs/>
          <w:color w:val="auto"/>
          <w:kern w:val="2"/>
          <w:sz w:val="32"/>
          <w:szCs w:val="32"/>
          <w:highlight w:val="none"/>
          <w:lang w:val="en-US" w:eastAsia="zh-CN" w:bidi="ar-SA"/>
        </w:rPr>
        <w:t>人员</w:t>
      </w:r>
      <w:r>
        <w:rPr>
          <w:rFonts w:hint="eastAsia" w:ascii="仿宋_GB2312" w:hAnsi="仿宋_GB2312" w:eastAsia="仿宋_GB2312" w:cs="仿宋_GB2312"/>
          <w:bCs/>
          <w:color w:val="auto"/>
          <w:kern w:val="2"/>
          <w:sz w:val="32"/>
          <w:szCs w:val="32"/>
          <w:highlight w:val="none"/>
          <w:lang w:val="en-US" w:eastAsia="zh-CN" w:bidi="ar-SA"/>
        </w:rPr>
        <w:t>和保种场技术人员</w:t>
      </w:r>
      <w:r>
        <w:rPr>
          <w:rFonts w:hint="default" w:ascii="仿宋_GB2312" w:hAnsi="仿宋_GB2312" w:eastAsia="仿宋_GB2312" w:cs="仿宋_GB2312"/>
          <w:bCs/>
          <w:color w:val="auto"/>
          <w:kern w:val="2"/>
          <w:sz w:val="32"/>
          <w:szCs w:val="32"/>
          <w:highlight w:val="none"/>
          <w:lang w:val="en-US" w:eastAsia="zh-CN" w:bidi="ar-SA"/>
        </w:rPr>
        <w:t>培训，进一步提高</w:t>
      </w:r>
      <w:r>
        <w:rPr>
          <w:rFonts w:hint="eastAsia" w:ascii="仿宋_GB2312" w:hAnsi="仿宋_GB2312" w:eastAsia="仿宋_GB2312" w:cs="仿宋_GB2312"/>
          <w:bCs/>
          <w:color w:val="auto"/>
          <w:kern w:val="2"/>
          <w:sz w:val="32"/>
          <w:szCs w:val="32"/>
          <w:highlight w:val="none"/>
          <w:lang w:val="en-US" w:eastAsia="zh-CN" w:bidi="ar-SA"/>
        </w:rPr>
        <w:t>项目管理和</w:t>
      </w:r>
      <w:r>
        <w:rPr>
          <w:rFonts w:hint="eastAsia" w:ascii="仿宋_GB2312" w:hAnsi="仿宋_GB2312" w:eastAsia="仿宋_GB2312" w:cs="仿宋_GB2312"/>
          <w:bCs/>
          <w:color w:val="auto"/>
          <w:sz w:val="32"/>
          <w:szCs w:val="32"/>
          <w:highlight w:val="none"/>
          <w:lang w:val="en-US" w:eastAsia="zh-CN"/>
        </w:rPr>
        <w:t>项目执行</w:t>
      </w:r>
      <w:r>
        <w:rPr>
          <w:rFonts w:hint="default" w:ascii="仿宋_GB2312" w:hAnsi="仿宋_GB2312" w:eastAsia="仿宋_GB2312" w:cs="仿宋_GB2312"/>
          <w:bCs/>
          <w:color w:val="auto"/>
          <w:sz w:val="32"/>
          <w:szCs w:val="32"/>
          <w:highlight w:val="none"/>
          <w:lang w:val="en-US" w:eastAsia="zh-CN"/>
        </w:rPr>
        <w:t>水平。</w:t>
      </w:r>
    </w:p>
    <w:p>
      <w:pPr>
        <w:keepNext w:val="0"/>
        <w:keepLines w:val="0"/>
        <w:pageBreakBefore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_GB2312" w:hAnsi="仿宋_GB2312" w:eastAsia="仿宋_GB2312" w:cs="仿宋_GB2312"/>
          <w:bCs/>
          <w:color w:val="auto"/>
          <w:sz w:val="32"/>
          <w:szCs w:val="32"/>
          <w:highlight w:val="none"/>
          <w:lang w:val="en-US" w:eastAsia="zh-CN"/>
        </w:rPr>
      </w:pPr>
      <w:r>
        <w:rPr>
          <w:rFonts w:hint="eastAsia" w:ascii="仿宋_GB2312" w:hAnsi="仿宋_GB2312" w:eastAsia="仿宋_GB2312" w:cs="仿宋_GB2312"/>
          <w:bCs/>
          <w:color w:val="auto"/>
          <w:sz w:val="32"/>
          <w:szCs w:val="32"/>
          <w:highlight w:val="none"/>
          <w:lang w:val="en-US" w:eastAsia="zh-CN"/>
        </w:rPr>
        <w:t>2.加强监测和屠宰、兽药和饲料行业管理工作。全面开展好畜产品及其投入品监督监测工作，深</w:t>
      </w:r>
      <w:r>
        <w:rPr>
          <w:rFonts w:hint="eastAsia" w:ascii="仿宋_GB2312" w:hAnsi="仿宋_GB2312" w:eastAsia="仿宋_GB2312" w:cs="仿宋_GB2312"/>
          <w:bCs/>
          <w:color w:val="auto"/>
          <w:kern w:val="2"/>
          <w:sz w:val="32"/>
          <w:szCs w:val="32"/>
          <w:highlight w:val="none"/>
          <w:lang w:val="en-US" w:eastAsia="zh-CN" w:bidi="ar-SA"/>
        </w:rPr>
        <w:t>入实施兽用抗菌药使用减量化行动，加强兽药、饲料生产、经营和</w:t>
      </w:r>
      <w:r>
        <w:rPr>
          <w:rFonts w:hint="eastAsia" w:ascii="仿宋_GB2312" w:hAnsi="仿宋_GB2312" w:eastAsia="仿宋_GB2312" w:cs="仿宋_GB2312"/>
          <w:bCs/>
          <w:color w:val="auto"/>
          <w:sz w:val="32"/>
          <w:szCs w:val="32"/>
          <w:highlight w:val="none"/>
        </w:rPr>
        <w:t>使用环节监督检查，做好养殖、屠宰环节肉品质量安全监管工作</w:t>
      </w:r>
      <w:r>
        <w:rPr>
          <w:rFonts w:hint="eastAsia" w:ascii="仿宋_GB2312" w:hAnsi="仿宋_GB2312" w:eastAsia="仿宋_GB2312" w:cs="仿宋_GB2312"/>
          <w:bCs/>
          <w:color w:val="auto"/>
          <w:sz w:val="32"/>
          <w:szCs w:val="32"/>
          <w:highlight w:val="none"/>
          <w:lang w:eastAsia="zh-CN"/>
        </w:rPr>
        <w:t>，</w:t>
      </w:r>
      <w:r>
        <w:rPr>
          <w:rFonts w:hint="eastAsia" w:ascii="仿宋_GB2312" w:hAnsi="仿宋_GB2312" w:eastAsia="仿宋_GB2312" w:cs="仿宋_GB2312"/>
          <w:bCs/>
          <w:color w:val="auto"/>
          <w:sz w:val="32"/>
          <w:szCs w:val="32"/>
          <w:highlight w:val="none"/>
          <w:lang w:val="en-US" w:eastAsia="zh-CN"/>
        </w:rPr>
        <w:t>加强养殖生产环节兽药使用的宣传指导工作，落实好养殖生产者的主体责任，切实保障畜产品质量安全。</w:t>
      </w:r>
    </w:p>
    <w:p>
      <w:pPr>
        <w:pageBreakBefore w:val="0"/>
        <w:kinsoku/>
        <w:wordWrap/>
        <w:overflowPunct/>
        <w:topLinePunct w:val="0"/>
        <w:bidi w:val="0"/>
        <w:snapToGrid/>
        <w:spacing w:line="560" w:lineRule="exact"/>
        <w:ind w:firstLine="640" w:firstLineChars="200"/>
        <w:textAlignment w:val="auto"/>
        <w:rPr>
          <w:color w:val="auto"/>
          <w:highlight w:val="none"/>
        </w:rPr>
      </w:pPr>
      <w:r>
        <w:rPr>
          <w:rFonts w:hint="eastAsia" w:ascii="仿宋_GB2312" w:hAnsi="仿宋_GB2312" w:eastAsia="仿宋_GB2312" w:cs="仿宋_GB2312"/>
          <w:color w:val="auto"/>
          <w:sz w:val="32"/>
          <w:szCs w:val="28"/>
          <w:highlight w:val="none"/>
          <w:lang w:val="en-US" w:eastAsia="zh-CN"/>
        </w:rPr>
        <w:t>3.</w:t>
      </w:r>
      <w:r>
        <w:rPr>
          <w:rFonts w:hint="eastAsia" w:ascii="仿宋_GB2312" w:hAnsi="仿宋_GB2312" w:eastAsia="仿宋_GB2312" w:cs="仿宋_GB2312"/>
          <w:color w:val="auto"/>
          <w:sz w:val="32"/>
          <w:szCs w:val="28"/>
          <w:highlight w:val="none"/>
        </w:rPr>
        <w:t>进一步加强对绩效管理工作的组织领导，提高对预算绩效管理工作重要性的认识，总结经验查找问题，抓紧研究制定更全面更完善的绩效评价管理办法。结合食品安全考核建立绩效工作考核制度，加大全局对全面实施预算绩效管理和绩效管理工作的学习力度，让“花钱必问效，无效必问责”的理念深入工作每个环节。</w:t>
      </w:r>
    </w:p>
    <w:p>
      <w:pPr>
        <w:pageBreakBefore w:val="0"/>
        <w:numPr>
          <w:ilvl w:val="0"/>
          <w:numId w:val="8"/>
        </w:numPr>
        <w:kinsoku/>
        <w:wordWrap/>
        <w:overflowPunct/>
        <w:topLinePunct w:val="0"/>
        <w:bidi w:val="0"/>
        <w:snapToGrid/>
        <w:spacing w:line="560" w:lineRule="exact"/>
        <w:ind w:firstLine="640" w:firstLineChars="200"/>
        <w:textAlignment w:val="auto"/>
        <w:rPr>
          <w:rFonts w:eastAsia="黑体"/>
          <w:color w:val="auto"/>
          <w:sz w:val="32"/>
          <w:szCs w:val="32"/>
          <w:highlight w:val="none"/>
        </w:rPr>
      </w:pPr>
      <w:r>
        <w:rPr>
          <w:rFonts w:eastAsia="黑体"/>
          <w:color w:val="auto"/>
          <w:sz w:val="32"/>
          <w:szCs w:val="32"/>
          <w:highlight w:val="none"/>
        </w:rPr>
        <w:t>其他需要说</w:t>
      </w:r>
      <w:bookmarkStart w:id="5" w:name="page8"/>
      <w:bookmarkEnd w:id="5"/>
      <w:r>
        <w:rPr>
          <w:rFonts w:eastAsia="黑体"/>
          <w:color w:val="auto"/>
          <w:sz w:val="32"/>
          <w:szCs w:val="32"/>
          <w:highlight w:val="none"/>
        </w:rPr>
        <w:t>明的问题</w:t>
      </w:r>
    </w:p>
    <w:p>
      <w:pPr>
        <w:pStyle w:val="21"/>
        <w:pageBreakBefore w:val="0"/>
        <w:kinsoku/>
        <w:wordWrap/>
        <w:overflowPunct/>
        <w:topLinePunct w:val="0"/>
        <w:bidi w:val="0"/>
        <w:snapToGrid/>
        <w:spacing w:line="560" w:lineRule="exact"/>
        <w:ind w:firstLine="320" w:firstLineChars="100"/>
        <w:textAlignment w:val="auto"/>
        <w:rPr>
          <w:rFonts w:ascii="Times New Roman" w:hAnsi="Times New Roman" w:eastAsia="方正小标宋简体"/>
          <w:b/>
          <w:color w:val="auto"/>
          <w:kern w:val="0"/>
          <w:sz w:val="32"/>
          <w:szCs w:val="32"/>
          <w:highlight w:val="none"/>
          <w:lang w:bidi="ar"/>
        </w:rPr>
        <w:sectPr>
          <w:footerReference r:id="rId3" w:type="default"/>
          <w:pgSz w:w="11906" w:h="16838"/>
          <w:pgMar w:top="1440" w:right="1558" w:bottom="1440" w:left="1800" w:header="851" w:footer="992" w:gutter="0"/>
          <w:cols w:space="425" w:num="1"/>
          <w:docGrid w:type="lines" w:linePitch="312" w:charSpace="0"/>
        </w:sectPr>
      </w:pPr>
      <w:r>
        <w:rPr>
          <w:rFonts w:hint="eastAsia" w:ascii="仿宋_GB2312" w:hAnsi="仿宋_GB2312" w:eastAsia="仿宋_GB2312" w:cs="仿宋_GB2312"/>
          <w:color w:val="auto"/>
          <w:sz w:val="32"/>
          <w:szCs w:val="32"/>
          <w:highlight w:val="none"/>
        </w:rPr>
        <w:t>无</w:t>
      </w:r>
      <w:r>
        <w:rPr>
          <w:rFonts w:hint="eastAsia" w:ascii="仿宋_GB2312" w:hAnsi="仿宋_GB2312" w:eastAsia="仿宋_GB2312" w:cs="仿宋_GB2312"/>
          <w:color w:val="auto"/>
          <w:sz w:val="32"/>
          <w:szCs w:val="32"/>
          <w:highlight w:val="none"/>
          <w:lang w:val="en-US" w:eastAsia="zh-Hans"/>
        </w:rPr>
        <w:t>其他需要说明的问题</w:t>
      </w:r>
      <w:r>
        <w:rPr>
          <w:rFonts w:hint="eastAsia" w:ascii="仿宋_GB2312" w:hAnsi="仿宋_GB2312" w:eastAsia="仿宋_GB2312" w:cs="仿宋_GB2312"/>
          <w:color w:val="auto"/>
          <w:sz w:val="32"/>
          <w:szCs w:val="32"/>
          <w:highlight w:val="none"/>
        </w:rPr>
        <w:t>。</w:t>
      </w:r>
    </w:p>
    <w:tbl>
      <w:tblPr>
        <w:tblStyle w:val="22"/>
        <w:tblW w:w="8522" w:type="dxa"/>
        <w:jc w:val="center"/>
        <w:tblInd w:w="0" w:type="dxa"/>
        <w:tblLayout w:type="fixed"/>
        <w:tblCellMar>
          <w:top w:w="0" w:type="dxa"/>
          <w:left w:w="108" w:type="dxa"/>
          <w:bottom w:w="0" w:type="dxa"/>
          <w:right w:w="108" w:type="dxa"/>
        </w:tblCellMar>
      </w:tblPr>
      <w:tblGrid>
        <w:gridCol w:w="396"/>
        <w:gridCol w:w="458"/>
        <w:gridCol w:w="883"/>
        <w:gridCol w:w="1722"/>
        <w:gridCol w:w="855"/>
        <w:gridCol w:w="885"/>
        <w:gridCol w:w="555"/>
        <w:gridCol w:w="825"/>
        <w:gridCol w:w="1943"/>
      </w:tblGrid>
      <w:tr>
        <w:tblPrEx>
          <w:tblLayout w:type="fixed"/>
          <w:tblCellMar>
            <w:top w:w="0" w:type="dxa"/>
            <w:left w:w="108" w:type="dxa"/>
            <w:bottom w:w="0" w:type="dxa"/>
            <w:right w:w="108" w:type="dxa"/>
          </w:tblCellMar>
        </w:tblPrEx>
        <w:trPr>
          <w:trHeight w:val="454" w:hRule="exact"/>
          <w:jc w:val="center"/>
        </w:trPr>
        <w:tc>
          <w:tcPr>
            <w:tcW w:w="8522" w:type="dxa"/>
            <w:gridSpan w:val="9"/>
            <w:tcBorders>
              <w:top w:val="nil"/>
              <w:left w:val="nil"/>
              <w:bottom w:val="nil"/>
              <w:right w:val="nil"/>
            </w:tcBorders>
            <w:vAlign w:val="center"/>
          </w:tcPr>
          <w:p>
            <w:pPr>
              <w:widowControl/>
              <w:spacing w:line="320" w:lineRule="exact"/>
              <w:jc w:val="left"/>
              <w:rPr>
                <w:rFonts w:hint="eastAsia" w:ascii="宋体" w:hAnsi="宋体" w:eastAsia="宋体" w:cs="宋体"/>
                <w:b/>
                <w:bCs/>
                <w:color w:val="auto"/>
                <w:kern w:val="0"/>
                <w:sz w:val="32"/>
                <w:szCs w:val="32"/>
                <w:highlight w:val="none"/>
                <w:lang w:val="en-US" w:eastAsia="zh-CN"/>
              </w:rPr>
            </w:pPr>
            <w:r>
              <w:rPr>
                <w:rFonts w:hint="eastAsia" w:ascii="宋体" w:hAnsi="宋体" w:eastAsia="宋体" w:cs="宋体"/>
                <w:b w:val="0"/>
                <w:bCs w:val="0"/>
                <w:color w:val="auto"/>
                <w:kern w:val="0"/>
                <w:sz w:val="24"/>
                <w:szCs w:val="24"/>
                <w:highlight w:val="none"/>
                <w:lang w:eastAsia="zh-CN"/>
              </w:rPr>
              <w:t>附件</w:t>
            </w:r>
            <w:r>
              <w:rPr>
                <w:rFonts w:hint="eastAsia" w:ascii="宋体" w:hAnsi="宋体" w:eastAsia="宋体" w:cs="宋体"/>
                <w:b w:val="0"/>
                <w:bCs w:val="0"/>
                <w:color w:val="auto"/>
                <w:kern w:val="0"/>
                <w:sz w:val="24"/>
                <w:szCs w:val="24"/>
                <w:highlight w:val="none"/>
                <w:lang w:val="en-US" w:eastAsia="zh-CN"/>
              </w:rPr>
              <w:t>5：</w:t>
            </w:r>
          </w:p>
        </w:tc>
      </w:tr>
      <w:tr>
        <w:tblPrEx>
          <w:tblLayout w:type="fixed"/>
          <w:tblCellMar>
            <w:top w:w="0" w:type="dxa"/>
            <w:left w:w="108" w:type="dxa"/>
            <w:bottom w:w="0" w:type="dxa"/>
            <w:right w:w="108" w:type="dxa"/>
          </w:tblCellMar>
        </w:tblPrEx>
        <w:trPr>
          <w:trHeight w:val="454" w:hRule="exact"/>
          <w:jc w:val="center"/>
        </w:trPr>
        <w:tc>
          <w:tcPr>
            <w:tcW w:w="8522" w:type="dxa"/>
            <w:gridSpan w:val="9"/>
            <w:tcBorders>
              <w:top w:val="nil"/>
              <w:left w:val="nil"/>
              <w:bottom w:val="nil"/>
              <w:right w:val="nil"/>
            </w:tcBorders>
            <w:vAlign w:val="center"/>
          </w:tcPr>
          <w:p>
            <w:pPr>
              <w:widowControl/>
              <w:spacing w:line="320" w:lineRule="exact"/>
              <w:jc w:val="center"/>
              <w:rPr>
                <w:rFonts w:hint="eastAsia" w:ascii="宋体" w:hAnsi="宋体" w:eastAsia="宋体" w:cs="宋体"/>
                <w:b/>
                <w:bCs/>
                <w:color w:val="auto"/>
                <w:kern w:val="0"/>
                <w:sz w:val="32"/>
                <w:szCs w:val="32"/>
                <w:highlight w:val="none"/>
              </w:rPr>
            </w:pPr>
            <w:r>
              <w:rPr>
                <w:rFonts w:hint="eastAsia" w:ascii="宋体" w:hAnsi="宋体" w:eastAsia="宋体" w:cs="宋体"/>
                <w:b/>
                <w:bCs/>
                <w:color w:val="auto"/>
                <w:kern w:val="0"/>
                <w:sz w:val="32"/>
                <w:szCs w:val="32"/>
                <w:highlight w:val="none"/>
              </w:rPr>
              <w:t>项目支出绩效自评表</w:t>
            </w:r>
          </w:p>
        </w:tc>
      </w:tr>
      <w:tr>
        <w:tblPrEx>
          <w:tblLayout w:type="fixed"/>
          <w:tblCellMar>
            <w:top w:w="0" w:type="dxa"/>
            <w:left w:w="108" w:type="dxa"/>
            <w:bottom w:w="0" w:type="dxa"/>
            <w:right w:w="108" w:type="dxa"/>
          </w:tblCellMar>
        </w:tblPrEx>
        <w:trPr>
          <w:trHeight w:val="201" w:hRule="atLeast"/>
          <w:jc w:val="center"/>
        </w:trPr>
        <w:tc>
          <w:tcPr>
            <w:tcW w:w="8522" w:type="dxa"/>
            <w:gridSpan w:val="9"/>
            <w:tcBorders>
              <w:top w:val="nil"/>
              <w:left w:val="nil"/>
              <w:bottom w:val="nil"/>
              <w:right w:val="nil"/>
            </w:tcBorders>
          </w:tcPr>
          <w:p>
            <w:pPr>
              <w:widowControl/>
              <w:jc w:val="center"/>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w:t>
            </w:r>
            <w:r>
              <w:rPr>
                <w:rFonts w:hint="eastAsia" w:ascii="宋体" w:hAnsi="宋体" w:eastAsia="宋体" w:cs="宋体"/>
                <w:color w:val="auto"/>
                <w:kern w:val="0"/>
                <w:sz w:val="22"/>
                <w:szCs w:val="22"/>
                <w:highlight w:val="none"/>
                <w:lang w:val="en-US" w:eastAsia="zh-CN"/>
              </w:rPr>
              <w:t>2022</w:t>
            </w:r>
            <w:r>
              <w:rPr>
                <w:rFonts w:hint="eastAsia" w:ascii="宋体" w:hAnsi="宋体" w:eastAsia="宋体" w:cs="宋体"/>
                <w:color w:val="auto"/>
                <w:kern w:val="0"/>
                <w:sz w:val="22"/>
                <w:szCs w:val="22"/>
                <w:highlight w:val="none"/>
              </w:rPr>
              <w:t>年度）</w:t>
            </w:r>
          </w:p>
        </w:tc>
      </w:tr>
      <w:tr>
        <w:tblPrEx>
          <w:tblLayout w:type="fixed"/>
          <w:tblCellMar>
            <w:top w:w="0" w:type="dxa"/>
            <w:left w:w="108" w:type="dxa"/>
            <w:bottom w:w="0" w:type="dxa"/>
            <w:right w:w="108" w:type="dxa"/>
          </w:tblCellMar>
        </w:tblPrEx>
        <w:trPr>
          <w:trHeight w:val="300" w:hRule="exact"/>
          <w:jc w:val="center"/>
        </w:trPr>
        <w:tc>
          <w:tcPr>
            <w:tcW w:w="854"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项目名称</w:t>
            </w:r>
          </w:p>
        </w:tc>
        <w:tc>
          <w:tcPr>
            <w:tcW w:w="7668" w:type="dxa"/>
            <w:gridSpan w:val="7"/>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color w:val="auto"/>
                <w:kern w:val="0"/>
                <w:sz w:val="18"/>
                <w:szCs w:val="18"/>
                <w:highlight w:val="none"/>
                <w:lang w:eastAsia="zh-CN"/>
              </w:rPr>
            </w:pPr>
            <w:r>
              <w:rPr>
                <w:rFonts w:hint="eastAsia" w:ascii="宋体" w:hAnsi="宋体" w:eastAsia="宋体" w:cs="宋体"/>
                <w:color w:val="auto"/>
                <w:kern w:val="0"/>
                <w:sz w:val="18"/>
                <w:szCs w:val="18"/>
                <w:highlight w:val="none"/>
                <w:lang w:eastAsia="zh-CN"/>
              </w:rPr>
              <w:t>自治区畜牧业生产发展资金</w:t>
            </w:r>
          </w:p>
        </w:tc>
      </w:tr>
      <w:tr>
        <w:tblPrEx>
          <w:tblLayout w:type="fixed"/>
          <w:tblCellMar>
            <w:top w:w="0" w:type="dxa"/>
            <w:left w:w="108" w:type="dxa"/>
            <w:bottom w:w="0" w:type="dxa"/>
            <w:right w:w="108" w:type="dxa"/>
          </w:tblCellMar>
        </w:tblPrEx>
        <w:trPr>
          <w:trHeight w:val="565" w:hRule="exact"/>
          <w:jc w:val="center"/>
        </w:trPr>
        <w:tc>
          <w:tcPr>
            <w:tcW w:w="854"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主管部门</w:t>
            </w:r>
          </w:p>
        </w:tc>
        <w:tc>
          <w:tcPr>
            <w:tcW w:w="3460" w:type="dxa"/>
            <w:gridSpan w:val="3"/>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color w:val="auto"/>
                <w:kern w:val="0"/>
                <w:sz w:val="18"/>
                <w:szCs w:val="18"/>
                <w:highlight w:val="none"/>
                <w:lang w:eastAsia="zh-CN"/>
              </w:rPr>
            </w:pPr>
            <w:r>
              <w:rPr>
                <w:rFonts w:hint="eastAsia" w:ascii="宋体" w:hAnsi="宋体" w:eastAsia="宋体" w:cs="宋体"/>
                <w:color w:val="auto"/>
                <w:kern w:val="0"/>
                <w:sz w:val="18"/>
                <w:szCs w:val="18"/>
                <w:highlight w:val="none"/>
                <w:lang w:eastAsia="zh-CN"/>
              </w:rPr>
              <w:t>自治区农业农村厅（畜牧兽医局）</w:t>
            </w:r>
          </w:p>
        </w:tc>
        <w:tc>
          <w:tcPr>
            <w:tcW w:w="885" w:type="dxa"/>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实施单位</w:t>
            </w:r>
          </w:p>
        </w:tc>
        <w:tc>
          <w:tcPr>
            <w:tcW w:w="3323" w:type="dxa"/>
            <w:gridSpan w:val="3"/>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color w:val="auto"/>
                <w:kern w:val="0"/>
                <w:sz w:val="18"/>
                <w:szCs w:val="18"/>
                <w:highlight w:val="none"/>
                <w:lang w:eastAsia="zh-CN"/>
              </w:rPr>
            </w:pPr>
            <w:r>
              <w:rPr>
                <w:rFonts w:hint="eastAsia" w:ascii="宋体" w:hAnsi="宋体" w:eastAsia="宋体" w:cs="宋体"/>
                <w:color w:val="auto"/>
                <w:kern w:val="0"/>
                <w:sz w:val="18"/>
                <w:szCs w:val="18"/>
                <w:highlight w:val="none"/>
                <w:lang w:eastAsia="zh-CN"/>
              </w:rPr>
              <w:t>各地（州、市）畜牧兽医主管部门</w:t>
            </w:r>
          </w:p>
        </w:tc>
      </w:tr>
      <w:tr>
        <w:tblPrEx>
          <w:tblLayout w:type="fixed"/>
          <w:tblCellMar>
            <w:top w:w="0" w:type="dxa"/>
            <w:left w:w="108" w:type="dxa"/>
            <w:bottom w:w="0" w:type="dxa"/>
            <w:right w:w="108" w:type="dxa"/>
          </w:tblCellMar>
        </w:tblPrEx>
        <w:trPr>
          <w:trHeight w:val="490" w:hRule="exact"/>
          <w:jc w:val="center"/>
        </w:trPr>
        <w:tc>
          <w:tcPr>
            <w:tcW w:w="854" w:type="dxa"/>
            <w:gridSpan w:val="2"/>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项目资金</w:t>
            </w:r>
            <w:r>
              <w:rPr>
                <w:rFonts w:hint="eastAsia" w:ascii="宋体" w:hAnsi="宋体" w:eastAsia="宋体" w:cs="宋体"/>
                <w:color w:val="auto"/>
                <w:kern w:val="0"/>
                <w:sz w:val="18"/>
                <w:szCs w:val="18"/>
                <w:highlight w:val="none"/>
              </w:rPr>
              <w:br w:type="textWrapping"/>
            </w:r>
            <w:r>
              <w:rPr>
                <w:rFonts w:hint="eastAsia" w:ascii="宋体" w:hAnsi="宋体" w:eastAsia="宋体" w:cs="宋体"/>
                <w:color w:val="auto"/>
                <w:kern w:val="0"/>
                <w:sz w:val="18"/>
                <w:szCs w:val="18"/>
                <w:highlight w:val="none"/>
              </w:rPr>
              <w:t>（万元）</w:t>
            </w:r>
          </w:p>
        </w:tc>
        <w:tc>
          <w:tcPr>
            <w:tcW w:w="883"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color w:val="auto"/>
                <w:kern w:val="0"/>
                <w:sz w:val="18"/>
                <w:szCs w:val="18"/>
                <w:highlight w:val="none"/>
              </w:rPr>
            </w:pPr>
          </w:p>
        </w:tc>
        <w:tc>
          <w:tcPr>
            <w:tcW w:w="1722" w:type="dxa"/>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年初预算数</w:t>
            </w:r>
          </w:p>
        </w:tc>
        <w:tc>
          <w:tcPr>
            <w:tcW w:w="855" w:type="dxa"/>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全年预算数</w:t>
            </w:r>
          </w:p>
        </w:tc>
        <w:tc>
          <w:tcPr>
            <w:tcW w:w="885" w:type="dxa"/>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全年执行数</w:t>
            </w:r>
          </w:p>
        </w:tc>
        <w:tc>
          <w:tcPr>
            <w:tcW w:w="555" w:type="dxa"/>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分值</w:t>
            </w:r>
          </w:p>
        </w:tc>
        <w:tc>
          <w:tcPr>
            <w:tcW w:w="825"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执行率</w:t>
            </w:r>
          </w:p>
        </w:tc>
        <w:tc>
          <w:tcPr>
            <w:tcW w:w="1943" w:type="dxa"/>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得分</w:t>
            </w:r>
          </w:p>
        </w:tc>
      </w:tr>
      <w:tr>
        <w:tblPrEx>
          <w:tblLayout w:type="fixed"/>
          <w:tblCellMar>
            <w:top w:w="0" w:type="dxa"/>
            <w:left w:w="108" w:type="dxa"/>
            <w:bottom w:w="0" w:type="dxa"/>
            <w:right w:w="108" w:type="dxa"/>
          </w:tblCellMar>
        </w:tblPrEx>
        <w:trPr>
          <w:trHeight w:val="520" w:hRule="exact"/>
          <w:jc w:val="center"/>
        </w:trPr>
        <w:tc>
          <w:tcPr>
            <w:tcW w:w="854"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eastAsia="宋体" w:cs="宋体"/>
                <w:color w:val="auto"/>
                <w:kern w:val="0"/>
                <w:sz w:val="18"/>
                <w:szCs w:val="18"/>
                <w:highlight w:val="none"/>
              </w:rPr>
            </w:pPr>
          </w:p>
        </w:tc>
        <w:tc>
          <w:tcPr>
            <w:tcW w:w="883" w:type="dxa"/>
            <w:tcBorders>
              <w:top w:val="single" w:color="auto" w:sz="4" w:space="0"/>
              <w:left w:val="nil"/>
              <w:bottom w:val="single" w:color="auto" w:sz="4" w:space="0"/>
              <w:right w:val="single" w:color="auto" w:sz="4" w:space="0"/>
            </w:tcBorders>
            <w:vAlign w:val="center"/>
          </w:tcPr>
          <w:p>
            <w:pPr>
              <w:widowControl/>
              <w:spacing w:line="240" w:lineRule="exact"/>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年度资金总额</w:t>
            </w:r>
          </w:p>
        </w:tc>
        <w:tc>
          <w:tcPr>
            <w:tcW w:w="1722" w:type="dxa"/>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color w:val="auto"/>
                <w:kern w:val="0"/>
                <w:sz w:val="18"/>
                <w:szCs w:val="18"/>
                <w:highlight w:val="none"/>
                <w:lang w:eastAsia="zh-CN"/>
              </w:rPr>
            </w:pPr>
            <w:r>
              <w:rPr>
                <w:rFonts w:hint="eastAsia" w:ascii="宋体" w:hAnsi="宋体" w:eastAsia="宋体" w:cs="宋体"/>
                <w:color w:val="auto"/>
                <w:kern w:val="0"/>
                <w:sz w:val="18"/>
                <w:szCs w:val="18"/>
                <w:highlight w:val="none"/>
                <w:lang w:eastAsia="zh-CN"/>
              </w:rPr>
              <w:t>10014</w:t>
            </w:r>
          </w:p>
        </w:tc>
        <w:tc>
          <w:tcPr>
            <w:tcW w:w="855" w:type="dxa"/>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lang w:val="en-US" w:eastAsia="zh-CN"/>
              </w:rPr>
              <w:t>10014</w:t>
            </w:r>
          </w:p>
        </w:tc>
        <w:tc>
          <w:tcPr>
            <w:tcW w:w="885" w:type="dxa"/>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color w:val="auto"/>
                <w:kern w:val="0"/>
                <w:sz w:val="18"/>
                <w:szCs w:val="18"/>
                <w:highlight w:val="none"/>
                <w:lang w:val="en-US" w:eastAsia="zh-CN"/>
              </w:rPr>
            </w:pPr>
            <w:r>
              <w:rPr>
                <w:rFonts w:hint="eastAsia" w:ascii="宋体" w:hAnsi="宋体" w:eastAsia="宋体" w:cs="宋体"/>
                <w:color w:val="auto"/>
                <w:kern w:val="0"/>
                <w:sz w:val="18"/>
                <w:szCs w:val="18"/>
                <w:highlight w:val="none"/>
                <w:lang w:val="en-US" w:eastAsia="zh-CN"/>
              </w:rPr>
              <w:t>9631.74</w:t>
            </w:r>
          </w:p>
        </w:tc>
        <w:tc>
          <w:tcPr>
            <w:tcW w:w="555" w:type="dxa"/>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10</w:t>
            </w:r>
          </w:p>
        </w:tc>
        <w:tc>
          <w:tcPr>
            <w:tcW w:w="825"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color w:val="auto"/>
                <w:kern w:val="0"/>
                <w:sz w:val="18"/>
                <w:szCs w:val="18"/>
                <w:highlight w:val="none"/>
                <w:lang w:val="en-US" w:eastAsia="zh-CN"/>
              </w:rPr>
            </w:pPr>
            <w:r>
              <w:rPr>
                <w:rFonts w:hint="eastAsia" w:ascii="宋体" w:hAnsi="宋体" w:eastAsia="宋体" w:cs="宋体"/>
                <w:color w:val="auto"/>
                <w:kern w:val="0"/>
                <w:sz w:val="18"/>
                <w:szCs w:val="18"/>
                <w:highlight w:val="none"/>
                <w:lang w:val="en-US" w:eastAsia="zh-CN"/>
              </w:rPr>
              <w:t>96.18%</w:t>
            </w:r>
          </w:p>
        </w:tc>
        <w:tc>
          <w:tcPr>
            <w:tcW w:w="1943" w:type="dxa"/>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color w:val="auto"/>
                <w:kern w:val="0"/>
                <w:sz w:val="18"/>
                <w:szCs w:val="18"/>
                <w:highlight w:val="none"/>
                <w:lang w:val="en-US" w:eastAsia="zh-CN"/>
              </w:rPr>
            </w:pPr>
            <w:r>
              <w:rPr>
                <w:rFonts w:hint="eastAsia" w:ascii="宋体" w:hAnsi="宋体" w:eastAsia="宋体" w:cs="宋体"/>
                <w:color w:val="auto"/>
                <w:kern w:val="0"/>
                <w:sz w:val="18"/>
                <w:szCs w:val="18"/>
                <w:highlight w:val="none"/>
                <w:lang w:val="en-US" w:eastAsia="zh-CN"/>
              </w:rPr>
              <w:t>9.62</w:t>
            </w:r>
          </w:p>
        </w:tc>
      </w:tr>
      <w:tr>
        <w:tblPrEx>
          <w:tblLayout w:type="fixed"/>
          <w:tblCellMar>
            <w:top w:w="0" w:type="dxa"/>
            <w:left w:w="108" w:type="dxa"/>
            <w:bottom w:w="0" w:type="dxa"/>
            <w:right w:w="108" w:type="dxa"/>
          </w:tblCellMar>
        </w:tblPrEx>
        <w:trPr>
          <w:trHeight w:val="810" w:hRule="exact"/>
          <w:jc w:val="center"/>
        </w:trPr>
        <w:tc>
          <w:tcPr>
            <w:tcW w:w="854"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eastAsia="宋体" w:cs="宋体"/>
                <w:color w:val="auto"/>
                <w:kern w:val="0"/>
                <w:sz w:val="18"/>
                <w:szCs w:val="18"/>
                <w:highlight w:val="none"/>
              </w:rPr>
            </w:pPr>
          </w:p>
        </w:tc>
        <w:tc>
          <w:tcPr>
            <w:tcW w:w="883"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其中：当年财政拨款</w:t>
            </w:r>
          </w:p>
        </w:tc>
        <w:tc>
          <w:tcPr>
            <w:tcW w:w="1722" w:type="dxa"/>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color w:val="auto"/>
                <w:kern w:val="0"/>
                <w:sz w:val="18"/>
                <w:szCs w:val="18"/>
                <w:highlight w:val="none"/>
                <w:lang w:eastAsia="zh-CN"/>
              </w:rPr>
            </w:pPr>
            <w:r>
              <w:rPr>
                <w:rFonts w:hint="eastAsia" w:ascii="宋体" w:hAnsi="宋体" w:eastAsia="宋体" w:cs="宋体"/>
                <w:color w:val="auto"/>
                <w:kern w:val="0"/>
                <w:sz w:val="18"/>
                <w:szCs w:val="18"/>
                <w:highlight w:val="none"/>
                <w:lang w:eastAsia="zh-CN"/>
              </w:rPr>
              <w:t>10014</w:t>
            </w:r>
          </w:p>
        </w:tc>
        <w:tc>
          <w:tcPr>
            <w:tcW w:w="855" w:type="dxa"/>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lang w:val="en-US" w:eastAsia="zh-CN"/>
              </w:rPr>
              <w:t>10014</w:t>
            </w:r>
          </w:p>
        </w:tc>
        <w:tc>
          <w:tcPr>
            <w:tcW w:w="885" w:type="dxa"/>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lang w:val="en-US" w:eastAsia="zh-CN"/>
              </w:rPr>
              <w:t>9631.74</w:t>
            </w:r>
          </w:p>
        </w:tc>
        <w:tc>
          <w:tcPr>
            <w:tcW w:w="555" w:type="dxa"/>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w:t>
            </w:r>
          </w:p>
        </w:tc>
        <w:tc>
          <w:tcPr>
            <w:tcW w:w="825"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lang w:val="en-US" w:eastAsia="zh-CN"/>
              </w:rPr>
              <w:t>96.18%</w:t>
            </w:r>
          </w:p>
        </w:tc>
        <w:tc>
          <w:tcPr>
            <w:tcW w:w="1943" w:type="dxa"/>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w:t>
            </w:r>
          </w:p>
        </w:tc>
      </w:tr>
      <w:tr>
        <w:tblPrEx>
          <w:tblLayout w:type="fixed"/>
          <w:tblCellMar>
            <w:top w:w="0" w:type="dxa"/>
            <w:left w:w="108" w:type="dxa"/>
            <w:bottom w:w="0" w:type="dxa"/>
            <w:right w:w="108" w:type="dxa"/>
          </w:tblCellMar>
        </w:tblPrEx>
        <w:trPr>
          <w:trHeight w:val="550" w:hRule="exact"/>
          <w:jc w:val="center"/>
        </w:trPr>
        <w:tc>
          <w:tcPr>
            <w:tcW w:w="854"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eastAsia="宋体" w:cs="宋体"/>
                <w:color w:val="auto"/>
                <w:kern w:val="0"/>
                <w:sz w:val="18"/>
                <w:szCs w:val="18"/>
                <w:highlight w:val="none"/>
              </w:rPr>
            </w:pPr>
          </w:p>
        </w:tc>
        <w:tc>
          <w:tcPr>
            <w:tcW w:w="883" w:type="dxa"/>
            <w:tcBorders>
              <w:top w:val="single" w:color="auto" w:sz="4" w:space="0"/>
              <w:left w:val="nil"/>
              <w:bottom w:val="single" w:color="auto" w:sz="4" w:space="0"/>
              <w:right w:val="single" w:color="auto" w:sz="4" w:space="0"/>
            </w:tcBorders>
            <w:vAlign w:val="center"/>
          </w:tcPr>
          <w:p>
            <w:pPr>
              <w:widowControl/>
              <w:spacing w:line="240" w:lineRule="exact"/>
              <w:jc w:val="both"/>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上年结转资金</w:t>
            </w:r>
          </w:p>
        </w:tc>
        <w:tc>
          <w:tcPr>
            <w:tcW w:w="1722" w:type="dxa"/>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color w:val="auto"/>
                <w:kern w:val="0"/>
                <w:sz w:val="18"/>
                <w:szCs w:val="18"/>
                <w:highlight w:val="none"/>
              </w:rPr>
            </w:pPr>
          </w:p>
        </w:tc>
        <w:tc>
          <w:tcPr>
            <w:tcW w:w="855" w:type="dxa"/>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color w:val="auto"/>
                <w:kern w:val="0"/>
                <w:sz w:val="18"/>
                <w:szCs w:val="18"/>
                <w:highlight w:val="none"/>
              </w:rPr>
            </w:pPr>
          </w:p>
        </w:tc>
        <w:tc>
          <w:tcPr>
            <w:tcW w:w="885" w:type="dxa"/>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color w:val="auto"/>
                <w:kern w:val="0"/>
                <w:sz w:val="18"/>
                <w:szCs w:val="18"/>
                <w:highlight w:val="none"/>
              </w:rPr>
            </w:pPr>
          </w:p>
        </w:tc>
        <w:tc>
          <w:tcPr>
            <w:tcW w:w="555" w:type="dxa"/>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w:t>
            </w:r>
          </w:p>
        </w:tc>
        <w:tc>
          <w:tcPr>
            <w:tcW w:w="825"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color w:val="auto"/>
                <w:kern w:val="0"/>
                <w:sz w:val="18"/>
                <w:szCs w:val="18"/>
                <w:highlight w:val="none"/>
              </w:rPr>
            </w:pPr>
          </w:p>
        </w:tc>
        <w:tc>
          <w:tcPr>
            <w:tcW w:w="1943" w:type="dxa"/>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w:t>
            </w:r>
          </w:p>
        </w:tc>
      </w:tr>
      <w:tr>
        <w:tblPrEx>
          <w:tblLayout w:type="fixed"/>
          <w:tblCellMar>
            <w:top w:w="0" w:type="dxa"/>
            <w:left w:w="108" w:type="dxa"/>
            <w:bottom w:w="0" w:type="dxa"/>
            <w:right w:w="108" w:type="dxa"/>
          </w:tblCellMar>
        </w:tblPrEx>
        <w:trPr>
          <w:trHeight w:val="565" w:hRule="exact"/>
          <w:jc w:val="center"/>
        </w:trPr>
        <w:tc>
          <w:tcPr>
            <w:tcW w:w="854"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eastAsia="宋体" w:cs="宋体"/>
                <w:color w:val="auto"/>
                <w:kern w:val="0"/>
                <w:sz w:val="18"/>
                <w:szCs w:val="18"/>
                <w:highlight w:val="none"/>
              </w:rPr>
            </w:pPr>
          </w:p>
        </w:tc>
        <w:tc>
          <w:tcPr>
            <w:tcW w:w="883" w:type="dxa"/>
            <w:tcBorders>
              <w:top w:val="single" w:color="auto" w:sz="4" w:space="0"/>
              <w:left w:val="nil"/>
              <w:bottom w:val="single" w:color="auto" w:sz="4" w:space="0"/>
              <w:right w:val="single" w:color="auto" w:sz="4" w:space="0"/>
            </w:tcBorders>
            <w:vAlign w:val="center"/>
          </w:tcPr>
          <w:p>
            <w:pPr>
              <w:widowControl/>
              <w:spacing w:line="240" w:lineRule="exact"/>
              <w:jc w:val="left"/>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其他资金</w:t>
            </w:r>
          </w:p>
        </w:tc>
        <w:tc>
          <w:tcPr>
            <w:tcW w:w="1722" w:type="dxa"/>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color w:val="auto"/>
                <w:kern w:val="0"/>
                <w:sz w:val="18"/>
                <w:szCs w:val="18"/>
                <w:highlight w:val="none"/>
              </w:rPr>
            </w:pPr>
          </w:p>
        </w:tc>
        <w:tc>
          <w:tcPr>
            <w:tcW w:w="855" w:type="dxa"/>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color w:val="auto"/>
                <w:kern w:val="0"/>
                <w:sz w:val="18"/>
                <w:szCs w:val="18"/>
                <w:highlight w:val="none"/>
              </w:rPr>
            </w:pPr>
          </w:p>
        </w:tc>
        <w:tc>
          <w:tcPr>
            <w:tcW w:w="885" w:type="dxa"/>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color w:val="auto"/>
                <w:kern w:val="0"/>
                <w:sz w:val="18"/>
                <w:szCs w:val="18"/>
                <w:highlight w:val="none"/>
              </w:rPr>
            </w:pPr>
          </w:p>
        </w:tc>
        <w:tc>
          <w:tcPr>
            <w:tcW w:w="555" w:type="dxa"/>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w:t>
            </w:r>
          </w:p>
        </w:tc>
        <w:tc>
          <w:tcPr>
            <w:tcW w:w="825"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color w:val="auto"/>
                <w:kern w:val="0"/>
                <w:sz w:val="18"/>
                <w:szCs w:val="18"/>
                <w:highlight w:val="none"/>
              </w:rPr>
            </w:pPr>
          </w:p>
        </w:tc>
        <w:tc>
          <w:tcPr>
            <w:tcW w:w="1943" w:type="dxa"/>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w:t>
            </w:r>
          </w:p>
        </w:tc>
      </w:tr>
      <w:tr>
        <w:tblPrEx>
          <w:tblLayout w:type="fixed"/>
          <w:tblCellMar>
            <w:top w:w="0" w:type="dxa"/>
            <w:left w:w="108" w:type="dxa"/>
            <w:bottom w:w="0" w:type="dxa"/>
            <w:right w:w="108" w:type="dxa"/>
          </w:tblCellMar>
        </w:tblPrEx>
        <w:trPr>
          <w:trHeight w:val="300" w:hRule="exact"/>
          <w:jc w:val="center"/>
        </w:trPr>
        <w:tc>
          <w:tcPr>
            <w:tcW w:w="396"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年度总体目标</w:t>
            </w:r>
          </w:p>
        </w:tc>
        <w:tc>
          <w:tcPr>
            <w:tcW w:w="3918" w:type="dxa"/>
            <w:gridSpan w:val="4"/>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预期目标</w:t>
            </w:r>
          </w:p>
        </w:tc>
        <w:tc>
          <w:tcPr>
            <w:tcW w:w="4208" w:type="dxa"/>
            <w:gridSpan w:val="4"/>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实际完成情况</w:t>
            </w:r>
          </w:p>
        </w:tc>
      </w:tr>
      <w:tr>
        <w:tblPrEx>
          <w:tblLayout w:type="fixed"/>
          <w:tblCellMar>
            <w:top w:w="0" w:type="dxa"/>
            <w:left w:w="108" w:type="dxa"/>
            <w:bottom w:w="0" w:type="dxa"/>
            <w:right w:w="108" w:type="dxa"/>
          </w:tblCellMar>
        </w:tblPrEx>
        <w:trPr>
          <w:trHeight w:val="2407" w:hRule="exact"/>
          <w:jc w:val="center"/>
        </w:trPr>
        <w:tc>
          <w:tcPr>
            <w:tcW w:w="396"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eastAsia="宋体" w:cs="宋体"/>
                <w:color w:val="auto"/>
                <w:kern w:val="0"/>
                <w:sz w:val="18"/>
                <w:szCs w:val="18"/>
                <w:highlight w:val="none"/>
              </w:rPr>
            </w:pPr>
          </w:p>
        </w:tc>
        <w:tc>
          <w:tcPr>
            <w:tcW w:w="3918" w:type="dxa"/>
            <w:gridSpan w:val="4"/>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color w:val="auto"/>
                <w:kern w:val="0"/>
                <w:sz w:val="18"/>
                <w:szCs w:val="18"/>
                <w:highlight w:val="none"/>
                <w:lang w:eastAsia="zh-CN"/>
              </w:rPr>
            </w:pPr>
            <w:r>
              <w:rPr>
                <w:rFonts w:hint="eastAsia" w:ascii="宋体" w:hAnsi="宋体" w:eastAsia="宋体" w:cs="宋体"/>
                <w:color w:val="auto"/>
                <w:kern w:val="0"/>
                <w:sz w:val="18"/>
                <w:szCs w:val="18"/>
                <w:highlight w:val="none"/>
                <w:lang w:eastAsia="zh-CN"/>
              </w:rPr>
              <w:t>奶业生产发展，优质饲草产业发展，现代畜禽种业提升，畜禽遗传资源保护，新型经营主体培育，畜产品质量安全监测，涉农资金统筹整合部分集中用于脱贫攻坚</w:t>
            </w:r>
          </w:p>
        </w:tc>
        <w:tc>
          <w:tcPr>
            <w:tcW w:w="4208" w:type="dxa"/>
            <w:gridSpan w:val="4"/>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color w:val="auto"/>
                <w:kern w:val="0"/>
                <w:sz w:val="18"/>
                <w:szCs w:val="18"/>
                <w:highlight w:val="none"/>
                <w:lang w:val="en-US"/>
              </w:rPr>
            </w:pPr>
            <w:r>
              <w:rPr>
                <w:rFonts w:hint="eastAsia" w:ascii="宋体" w:hAnsi="宋体" w:eastAsia="宋体" w:cs="宋体"/>
                <w:color w:val="auto"/>
                <w:kern w:val="0"/>
                <w:sz w:val="18"/>
                <w:szCs w:val="18"/>
                <w:highlight w:val="none"/>
              </w:rPr>
              <w:t>建设不同优质饲草品种生产评比田4</w:t>
            </w:r>
            <w:r>
              <w:rPr>
                <w:rFonts w:hint="eastAsia" w:ascii="宋体" w:hAnsi="宋体" w:eastAsia="宋体" w:cs="宋体"/>
                <w:color w:val="auto"/>
                <w:kern w:val="0"/>
                <w:sz w:val="18"/>
                <w:szCs w:val="18"/>
                <w:highlight w:val="none"/>
                <w:lang w:val="en-US" w:eastAsia="zh-CN"/>
              </w:rPr>
              <w:t>1</w:t>
            </w:r>
            <w:r>
              <w:rPr>
                <w:rFonts w:hint="eastAsia" w:ascii="宋体" w:hAnsi="宋体" w:eastAsia="宋体" w:cs="宋体"/>
                <w:color w:val="auto"/>
                <w:kern w:val="0"/>
                <w:sz w:val="18"/>
                <w:szCs w:val="18"/>
                <w:highlight w:val="none"/>
              </w:rPr>
              <w:t>00</w:t>
            </w:r>
            <w:r>
              <w:rPr>
                <w:rFonts w:hint="default" w:ascii="宋体" w:hAnsi="宋体" w:eastAsia="宋体" w:cs="宋体"/>
                <w:color w:val="auto"/>
                <w:kern w:val="0"/>
                <w:sz w:val="18"/>
                <w:szCs w:val="18"/>
                <w:highlight w:val="none"/>
              </w:rPr>
              <w:t>.93</w:t>
            </w:r>
            <w:r>
              <w:rPr>
                <w:rFonts w:hint="eastAsia" w:ascii="宋体" w:hAnsi="宋体" w:eastAsia="宋体" w:cs="宋体"/>
                <w:color w:val="auto"/>
                <w:kern w:val="0"/>
                <w:sz w:val="18"/>
                <w:szCs w:val="18"/>
                <w:highlight w:val="none"/>
              </w:rPr>
              <w:t>亩，选择推荐适合全区种植的优质饲草品种</w:t>
            </w:r>
            <w:r>
              <w:rPr>
                <w:rFonts w:hint="default" w:ascii="宋体" w:hAnsi="宋体" w:eastAsia="宋体" w:cs="宋体"/>
                <w:color w:val="auto"/>
                <w:kern w:val="0"/>
                <w:sz w:val="18"/>
                <w:szCs w:val="18"/>
                <w:highlight w:val="none"/>
              </w:rPr>
              <w:t>30</w:t>
            </w:r>
            <w:r>
              <w:rPr>
                <w:rFonts w:hint="eastAsia" w:ascii="宋体" w:hAnsi="宋体" w:eastAsia="宋体" w:cs="宋体"/>
                <w:color w:val="auto"/>
                <w:kern w:val="0"/>
                <w:sz w:val="18"/>
                <w:szCs w:val="18"/>
                <w:highlight w:val="none"/>
              </w:rPr>
              <w:t>种；建设优质饲草高产栽培示范田10</w:t>
            </w:r>
            <w:r>
              <w:rPr>
                <w:rFonts w:hint="default" w:ascii="宋体" w:hAnsi="宋体" w:eastAsia="宋体" w:cs="宋体"/>
                <w:color w:val="auto"/>
                <w:kern w:val="0"/>
                <w:sz w:val="18"/>
                <w:szCs w:val="18"/>
                <w:highlight w:val="none"/>
              </w:rPr>
              <w:t>850</w:t>
            </w:r>
            <w:r>
              <w:rPr>
                <w:rFonts w:hint="eastAsia" w:ascii="宋体" w:hAnsi="宋体" w:eastAsia="宋体" w:cs="宋体"/>
                <w:color w:val="auto"/>
                <w:kern w:val="0"/>
                <w:sz w:val="18"/>
                <w:szCs w:val="18"/>
                <w:highlight w:val="none"/>
              </w:rPr>
              <w:t>亩，亩均单产提高5%。</w:t>
            </w:r>
            <w:r>
              <w:rPr>
                <w:rFonts w:hint="eastAsia" w:ascii="宋体" w:hAnsi="宋体" w:eastAsia="宋体" w:cs="宋体"/>
                <w:color w:val="auto"/>
                <w:kern w:val="0"/>
                <w:sz w:val="18"/>
                <w:szCs w:val="18"/>
                <w:highlight w:val="none"/>
                <w:lang w:val="en-US" w:eastAsia="zh-CN"/>
              </w:rPr>
              <w:t>全年完成畜产品质量安全定量监测3000批次，快速监测1000批次。对区内14个保种场（保护区、基因库）依法开展畜禽遗传资源保护，并对自治区畜禽遗传资源基</w:t>
            </w:r>
            <w:r>
              <w:rPr>
                <w:rFonts w:hint="eastAsia" w:ascii="宋体" w:hAnsi="宋体" w:eastAsia="宋体" w:cs="宋体"/>
                <w:color w:val="auto"/>
                <w:kern w:val="0"/>
                <w:sz w:val="18"/>
                <w:szCs w:val="18"/>
                <w:highlight w:val="none"/>
                <w:shd w:val="clear"/>
                <w:lang w:val="en-US" w:eastAsia="zh-CN"/>
              </w:rPr>
              <w:t>因库进行补助。</w:t>
            </w:r>
            <w:r>
              <w:rPr>
                <w:rFonts w:hint="eastAsia" w:eastAsia="宋体" w:cs="Times New Roman"/>
                <w:color w:val="auto"/>
                <w:w w:val="100"/>
                <w:kern w:val="0"/>
                <w:sz w:val="20"/>
                <w:szCs w:val="20"/>
                <w:highlight w:val="none"/>
                <w:shd w:val="clear"/>
                <w:lang w:val="en-US" w:eastAsia="zh-CN"/>
              </w:rPr>
              <w:t>完成畜禽遗传资源性能测定5个，</w:t>
            </w:r>
            <w:r>
              <w:rPr>
                <w:rFonts w:hint="default" w:ascii="Times New Roman" w:hAnsi="Times New Roman" w:eastAsia="宋体" w:cs="Times New Roman"/>
                <w:color w:val="auto"/>
                <w:w w:val="100"/>
                <w:sz w:val="20"/>
                <w:szCs w:val="20"/>
                <w:highlight w:val="none"/>
                <w:shd w:val="clear"/>
                <w:lang w:eastAsia="en-US"/>
              </w:rPr>
              <w:t>肉类增长比例</w:t>
            </w:r>
            <w:r>
              <w:rPr>
                <w:rFonts w:hint="eastAsia" w:eastAsia="宋体" w:cs="Times New Roman"/>
                <w:color w:val="auto"/>
                <w:w w:val="100"/>
                <w:sz w:val="20"/>
                <w:szCs w:val="20"/>
                <w:highlight w:val="none"/>
                <w:shd w:val="clear"/>
                <w:lang w:eastAsia="zh-CN"/>
              </w:rPr>
              <w:t>达到</w:t>
            </w:r>
            <w:r>
              <w:rPr>
                <w:rFonts w:hint="eastAsia" w:eastAsia="宋体" w:cs="Times New Roman"/>
                <w:color w:val="auto"/>
                <w:w w:val="100"/>
                <w:sz w:val="20"/>
                <w:szCs w:val="20"/>
                <w:highlight w:val="none"/>
                <w:shd w:val="clear"/>
                <w:lang w:val="en-US" w:eastAsia="zh-CN"/>
              </w:rPr>
              <w:t>4.3%</w:t>
            </w:r>
            <w:r>
              <w:rPr>
                <w:rFonts w:hint="default" w:ascii="Times New Roman" w:hAnsi="Times New Roman" w:eastAsia="宋体" w:cs="Times New Roman"/>
                <w:color w:val="auto"/>
                <w:w w:val="100"/>
                <w:kern w:val="0"/>
                <w:sz w:val="20"/>
                <w:szCs w:val="20"/>
                <w:highlight w:val="none"/>
                <w:shd w:val="clear"/>
                <w:lang w:val="en-US" w:eastAsia="zh-CN"/>
              </w:rPr>
              <w:t>。</w:t>
            </w:r>
            <w:r>
              <w:rPr>
                <w:rFonts w:hint="eastAsia" w:ascii="宋体" w:hAnsi="宋体" w:eastAsia="宋体" w:cs="宋体"/>
                <w:color w:val="auto"/>
                <w:kern w:val="0"/>
                <w:sz w:val="20"/>
                <w:szCs w:val="20"/>
                <w:highlight w:val="none"/>
                <w:shd w:val="clear"/>
                <w:lang w:eastAsia="zh-CN" w:bidi="ar"/>
              </w:rPr>
              <w:t>支持</w:t>
            </w:r>
            <w:r>
              <w:rPr>
                <w:rFonts w:hint="eastAsia" w:ascii="宋体" w:hAnsi="宋体" w:eastAsia="宋体" w:cs="宋体"/>
                <w:color w:val="auto"/>
                <w:kern w:val="0"/>
                <w:sz w:val="20"/>
                <w:szCs w:val="20"/>
                <w:highlight w:val="none"/>
                <w:shd w:val="clear"/>
                <w:lang w:val="en-US" w:eastAsia="zh-CN" w:bidi="ar"/>
              </w:rPr>
              <w:t>5家示范企业。实现新增荷斯坦母牛存栏4200头，新增奶产量1万吨。</w:t>
            </w:r>
          </w:p>
        </w:tc>
      </w:tr>
      <w:tr>
        <w:tblPrEx>
          <w:tblLayout w:type="fixed"/>
          <w:tblCellMar>
            <w:top w:w="0" w:type="dxa"/>
            <w:left w:w="108" w:type="dxa"/>
            <w:bottom w:w="0" w:type="dxa"/>
            <w:right w:w="108" w:type="dxa"/>
          </w:tblCellMar>
        </w:tblPrEx>
        <w:trPr>
          <w:trHeight w:val="533" w:hRule="exact"/>
          <w:jc w:val="center"/>
        </w:trPr>
        <w:tc>
          <w:tcPr>
            <w:tcW w:w="396" w:type="dxa"/>
            <w:vMerge w:val="restart"/>
            <w:tcBorders>
              <w:top w:val="nil"/>
              <w:left w:val="single" w:color="auto" w:sz="4" w:space="0"/>
              <w:right w:val="single" w:color="auto" w:sz="4" w:space="0"/>
            </w:tcBorders>
            <w:vAlign w:val="center"/>
          </w:tcPr>
          <w:p>
            <w:pPr>
              <w:widowControl/>
              <w:spacing w:line="240" w:lineRule="exact"/>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绩</w:t>
            </w:r>
            <w:r>
              <w:rPr>
                <w:rFonts w:hint="eastAsia" w:ascii="宋体" w:hAnsi="宋体" w:eastAsia="宋体" w:cs="宋体"/>
                <w:color w:val="auto"/>
                <w:kern w:val="0"/>
                <w:sz w:val="18"/>
                <w:szCs w:val="18"/>
                <w:highlight w:val="none"/>
              </w:rPr>
              <w:br w:type="textWrapping"/>
            </w:r>
            <w:r>
              <w:rPr>
                <w:rFonts w:hint="eastAsia" w:ascii="宋体" w:hAnsi="宋体" w:eastAsia="宋体" w:cs="宋体"/>
                <w:color w:val="auto"/>
                <w:kern w:val="0"/>
                <w:sz w:val="18"/>
                <w:szCs w:val="18"/>
                <w:highlight w:val="none"/>
              </w:rPr>
              <w:t>效</w:t>
            </w:r>
            <w:r>
              <w:rPr>
                <w:rFonts w:hint="eastAsia" w:ascii="宋体" w:hAnsi="宋体" w:eastAsia="宋体" w:cs="宋体"/>
                <w:color w:val="auto"/>
                <w:kern w:val="0"/>
                <w:sz w:val="18"/>
                <w:szCs w:val="18"/>
                <w:highlight w:val="none"/>
              </w:rPr>
              <w:br w:type="textWrapping"/>
            </w:r>
            <w:r>
              <w:rPr>
                <w:rFonts w:hint="eastAsia" w:ascii="宋体" w:hAnsi="宋体" w:eastAsia="宋体" w:cs="宋体"/>
                <w:color w:val="auto"/>
                <w:kern w:val="0"/>
                <w:sz w:val="18"/>
                <w:szCs w:val="18"/>
                <w:highlight w:val="none"/>
              </w:rPr>
              <w:t>指</w:t>
            </w:r>
            <w:r>
              <w:rPr>
                <w:rFonts w:hint="eastAsia" w:ascii="宋体" w:hAnsi="宋体" w:eastAsia="宋体" w:cs="宋体"/>
                <w:color w:val="auto"/>
                <w:kern w:val="0"/>
                <w:sz w:val="18"/>
                <w:szCs w:val="18"/>
                <w:highlight w:val="none"/>
              </w:rPr>
              <w:br w:type="textWrapping"/>
            </w:r>
            <w:r>
              <w:rPr>
                <w:rFonts w:hint="eastAsia" w:ascii="宋体" w:hAnsi="宋体" w:eastAsia="宋体" w:cs="宋体"/>
                <w:color w:val="auto"/>
                <w:kern w:val="0"/>
                <w:sz w:val="18"/>
                <w:szCs w:val="18"/>
                <w:highlight w:val="none"/>
              </w:rPr>
              <w:t>标</w:t>
            </w:r>
          </w:p>
        </w:tc>
        <w:tc>
          <w:tcPr>
            <w:tcW w:w="458" w:type="dxa"/>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一级指标</w:t>
            </w:r>
          </w:p>
        </w:tc>
        <w:tc>
          <w:tcPr>
            <w:tcW w:w="883" w:type="dxa"/>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二级指标</w:t>
            </w:r>
          </w:p>
        </w:tc>
        <w:tc>
          <w:tcPr>
            <w:tcW w:w="1722"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三级指标</w:t>
            </w:r>
          </w:p>
        </w:tc>
        <w:tc>
          <w:tcPr>
            <w:tcW w:w="855" w:type="dxa"/>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年度</w:t>
            </w:r>
          </w:p>
          <w:p>
            <w:pPr>
              <w:widowControl/>
              <w:spacing w:line="240" w:lineRule="exact"/>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指标值</w:t>
            </w:r>
          </w:p>
        </w:tc>
        <w:tc>
          <w:tcPr>
            <w:tcW w:w="885" w:type="dxa"/>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实际</w:t>
            </w:r>
          </w:p>
          <w:p>
            <w:pPr>
              <w:widowControl/>
              <w:spacing w:line="240" w:lineRule="exact"/>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完成值</w:t>
            </w:r>
          </w:p>
        </w:tc>
        <w:tc>
          <w:tcPr>
            <w:tcW w:w="555" w:type="dxa"/>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分值</w:t>
            </w:r>
          </w:p>
        </w:tc>
        <w:tc>
          <w:tcPr>
            <w:tcW w:w="825" w:type="dxa"/>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得分</w:t>
            </w:r>
          </w:p>
        </w:tc>
        <w:tc>
          <w:tcPr>
            <w:tcW w:w="1943"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偏差原因分析及改进措施</w:t>
            </w:r>
          </w:p>
        </w:tc>
      </w:tr>
      <w:tr>
        <w:tblPrEx>
          <w:tblLayout w:type="fixed"/>
          <w:tblCellMar>
            <w:top w:w="0" w:type="dxa"/>
            <w:left w:w="108" w:type="dxa"/>
            <w:bottom w:w="0" w:type="dxa"/>
            <w:right w:w="108" w:type="dxa"/>
          </w:tblCellMar>
        </w:tblPrEx>
        <w:trPr>
          <w:trHeight w:val="1692" w:hRule="exact"/>
          <w:jc w:val="center"/>
        </w:trPr>
        <w:tc>
          <w:tcPr>
            <w:tcW w:w="396" w:type="dxa"/>
            <w:vMerge w:val="continue"/>
            <w:tcBorders>
              <w:left w:val="single" w:color="auto" w:sz="4" w:space="0"/>
              <w:right w:val="single" w:color="auto" w:sz="4" w:space="0"/>
            </w:tcBorders>
            <w:vAlign w:val="center"/>
          </w:tcPr>
          <w:p>
            <w:pPr>
              <w:widowControl/>
              <w:spacing w:line="240" w:lineRule="exact"/>
              <w:jc w:val="center"/>
              <w:rPr>
                <w:rFonts w:hint="eastAsia" w:ascii="宋体" w:hAnsi="宋体" w:eastAsia="宋体" w:cs="宋体"/>
                <w:color w:val="auto"/>
                <w:kern w:val="0"/>
                <w:sz w:val="18"/>
                <w:szCs w:val="18"/>
                <w:highlight w:val="none"/>
              </w:rPr>
            </w:pPr>
          </w:p>
        </w:tc>
        <w:tc>
          <w:tcPr>
            <w:tcW w:w="458" w:type="dxa"/>
            <w:vMerge w:val="restart"/>
            <w:tcBorders>
              <w:top w:val="nil"/>
              <w:left w:val="single" w:color="auto" w:sz="4" w:space="0"/>
              <w:right w:val="single" w:color="auto" w:sz="4" w:space="0"/>
            </w:tcBorders>
            <w:vAlign w:val="center"/>
          </w:tcPr>
          <w:p>
            <w:pPr>
              <w:widowControl/>
              <w:spacing w:line="240" w:lineRule="exact"/>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产出指标</w:t>
            </w:r>
          </w:p>
        </w:tc>
        <w:tc>
          <w:tcPr>
            <w:tcW w:w="883" w:type="dxa"/>
            <w:vMerge w:val="restart"/>
            <w:tcBorders>
              <w:top w:val="nil"/>
              <w:left w:val="single" w:color="auto" w:sz="4" w:space="0"/>
              <w:right w:val="single" w:color="auto" w:sz="4" w:space="0"/>
            </w:tcBorders>
            <w:shd w:val="clear" w:color="auto" w:fill="auto"/>
            <w:vAlign w:val="center"/>
          </w:tcPr>
          <w:p>
            <w:pPr>
              <w:widowControl/>
              <w:spacing w:line="240" w:lineRule="exact"/>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数量指标</w:t>
            </w:r>
          </w:p>
        </w:tc>
        <w:tc>
          <w:tcPr>
            <w:tcW w:w="1722"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color w:val="auto"/>
                <w:kern w:val="0"/>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建设不同优质饲划品种生产评比田面积</w:t>
            </w:r>
          </w:p>
        </w:tc>
        <w:tc>
          <w:tcPr>
            <w:tcW w:w="855"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color w:val="auto"/>
                <w:kern w:val="0"/>
                <w:sz w:val="18"/>
                <w:szCs w:val="18"/>
                <w:highlight w:val="none"/>
              </w:rPr>
            </w:pPr>
            <w:r>
              <w:rPr>
                <w:rStyle w:val="54"/>
                <w:rFonts w:hint="eastAsia" w:ascii="宋体" w:hAnsi="宋体" w:eastAsia="宋体" w:cs="宋体"/>
                <w:color w:val="auto"/>
                <w:sz w:val="18"/>
                <w:szCs w:val="18"/>
                <w:highlight w:val="none"/>
                <w:lang w:val="en-US" w:eastAsia="zh-CN" w:bidi="ar"/>
              </w:rPr>
              <w:t>≥</w:t>
            </w:r>
            <w:r>
              <w:rPr>
                <w:rStyle w:val="55"/>
                <w:rFonts w:hint="eastAsia" w:ascii="宋体" w:hAnsi="宋体" w:eastAsia="宋体" w:cs="宋体"/>
                <w:color w:val="auto"/>
                <w:sz w:val="18"/>
                <w:szCs w:val="18"/>
                <w:highlight w:val="none"/>
                <w:lang w:val="en-US" w:eastAsia="zh-CN" w:bidi="ar"/>
              </w:rPr>
              <w:t>4000亩</w:t>
            </w:r>
          </w:p>
        </w:tc>
        <w:tc>
          <w:tcPr>
            <w:tcW w:w="885" w:type="dxa"/>
            <w:tcBorders>
              <w:top w:val="nil"/>
              <w:left w:val="nil"/>
              <w:bottom w:val="single" w:color="auto" w:sz="4" w:space="0"/>
              <w:right w:val="single" w:color="auto" w:sz="4" w:space="0"/>
            </w:tcBorders>
            <w:shd w:val="clear" w:color="auto" w:fill="auto"/>
            <w:vAlign w:val="center"/>
          </w:tcPr>
          <w:p>
            <w:pPr>
              <w:widowControl/>
              <w:jc w:val="center"/>
              <w:textAlignment w:val="center"/>
              <w:rPr>
                <w:rFonts w:hint="eastAsia" w:ascii="宋体" w:hAnsi="宋体" w:eastAsia="宋体" w:cs="宋体"/>
                <w:color w:val="auto"/>
                <w:kern w:val="2"/>
                <w:sz w:val="18"/>
                <w:szCs w:val="18"/>
                <w:highlight w:val="none"/>
                <w:lang w:val="en-US" w:eastAsia="zh-CN" w:bidi="ar-SA"/>
              </w:rPr>
            </w:pPr>
            <w:r>
              <w:rPr>
                <w:rFonts w:hint="eastAsia" w:ascii="宋体" w:hAnsi="宋体" w:eastAsia="宋体" w:cs="宋体"/>
                <w:color w:val="auto"/>
                <w:kern w:val="2"/>
                <w:sz w:val="18"/>
                <w:szCs w:val="18"/>
                <w:highlight w:val="none"/>
                <w:lang w:val="en-US" w:eastAsia="zh-CN" w:bidi="ar-SA"/>
              </w:rPr>
              <w:t>4100.93亩</w:t>
            </w:r>
          </w:p>
        </w:tc>
        <w:tc>
          <w:tcPr>
            <w:tcW w:w="555" w:type="dxa"/>
            <w:tcBorders>
              <w:top w:val="nil"/>
              <w:left w:val="nil"/>
              <w:bottom w:val="single" w:color="auto" w:sz="4" w:space="0"/>
              <w:right w:val="single" w:color="auto" w:sz="4" w:space="0"/>
            </w:tcBorders>
            <w:shd w:val="clear" w:color="auto" w:fill="auto"/>
            <w:vAlign w:val="center"/>
          </w:tcPr>
          <w:p>
            <w:pPr>
              <w:jc w:val="center"/>
              <w:rPr>
                <w:rFonts w:hint="default" w:ascii="宋体" w:hAnsi="宋体" w:eastAsia="宋体" w:cs="宋体"/>
                <w:color w:val="auto"/>
                <w:kern w:val="2"/>
                <w:sz w:val="18"/>
                <w:szCs w:val="18"/>
                <w:highlight w:val="none"/>
                <w:lang w:val="en-US" w:eastAsia="zh-CN" w:bidi="ar-SA"/>
              </w:rPr>
            </w:pPr>
            <w:r>
              <w:rPr>
                <w:rFonts w:hint="eastAsia" w:ascii="宋体" w:hAnsi="宋体" w:eastAsia="宋体" w:cs="宋体"/>
                <w:color w:val="auto"/>
                <w:kern w:val="2"/>
                <w:sz w:val="18"/>
                <w:szCs w:val="18"/>
                <w:highlight w:val="none"/>
                <w:lang w:val="en-US" w:eastAsia="zh-CN" w:bidi="ar-SA"/>
              </w:rPr>
              <w:t>2.3</w:t>
            </w:r>
          </w:p>
        </w:tc>
        <w:tc>
          <w:tcPr>
            <w:tcW w:w="825"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hint="default" w:ascii="宋体" w:hAnsi="宋体" w:eastAsia="宋体" w:cs="宋体"/>
                <w:color w:val="auto"/>
                <w:kern w:val="0"/>
                <w:sz w:val="18"/>
                <w:szCs w:val="18"/>
                <w:highlight w:val="none"/>
                <w:lang w:val="en-US" w:eastAsia="zh-CN"/>
              </w:rPr>
            </w:pPr>
            <w:r>
              <w:rPr>
                <w:rFonts w:hint="eastAsia" w:ascii="宋体" w:hAnsi="宋体" w:eastAsia="宋体" w:cs="宋体"/>
                <w:color w:val="auto"/>
                <w:kern w:val="0"/>
                <w:sz w:val="18"/>
                <w:szCs w:val="18"/>
                <w:highlight w:val="none"/>
                <w:lang w:val="en-US" w:eastAsia="zh-CN"/>
              </w:rPr>
              <w:t>2.3</w:t>
            </w:r>
          </w:p>
        </w:tc>
        <w:tc>
          <w:tcPr>
            <w:tcW w:w="1943"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center"/>
              <w:rPr>
                <w:rFonts w:hint="default" w:ascii="宋体" w:hAnsi="宋体" w:eastAsia="宋体" w:cs="宋体"/>
                <w:color w:val="auto"/>
                <w:kern w:val="0"/>
                <w:sz w:val="18"/>
                <w:szCs w:val="18"/>
                <w:highlight w:val="none"/>
                <w:lang w:val="en-US" w:eastAsia="zh-Hans"/>
              </w:rPr>
            </w:pPr>
            <w:r>
              <w:rPr>
                <w:rFonts w:hint="eastAsia" w:ascii="宋体" w:hAnsi="宋体" w:eastAsia="宋体" w:cs="宋体"/>
                <w:color w:val="auto"/>
                <w:kern w:val="0"/>
                <w:sz w:val="18"/>
                <w:szCs w:val="18"/>
                <w:highlight w:val="none"/>
                <w:lang w:val="en-US" w:eastAsia="zh-Hans"/>
              </w:rPr>
              <w:t>偏差原因：</w:t>
            </w:r>
            <w:r>
              <w:rPr>
                <w:rFonts w:hint="eastAsia" w:ascii="宋体" w:hAnsi="宋体" w:eastAsia="宋体" w:cs="宋体"/>
                <w:color w:val="auto"/>
                <w:kern w:val="0"/>
                <w:sz w:val="18"/>
                <w:szCs w:val="18"/>
                <w:highlight w:val="none"/>
              </w:rPr>
              <w:t>克州超额完成种植任务</w:t>
            </w:r>
            <w:r>
              <w:rPr>
                <w:rFonts w:hint="eastAsia" w:ascii="宋体" w:hAnsi="宋体" w:eastAsia="宋体" w:cs="宋体"/>
                <w:color w:val="auto"/>
                <w:kern w:val="0"/>
                <w:sz w:val="18"/>
                <w:szCs w:val="18"/>
                <w:highlight w:val="none"/>
                <w:lang w:eastAsia="zh-CN"/>
              </w:rPr>
              <w:t>。</w:t>
            </w:r>
            <w:r>
              <w:rPr>
                <w:rFonts w:hint="eastAsia" w:ascii="宋体" w:hAnsi="宋体" w:eastAsia="宋体" w:cs="宋体"/>
                <w:color w:val="auto"/>
                <w:kern w:val="0"/>
                <w:sz w:val="18"/>
                <w:szCs w:val="18"/>
                <w:highlight w:val="none"/>
                <w:lang w:val="en-US" w:eastAsia="zh-Hans"/>
              </w:rPr>
              <w:t>改进措施：对近三年的数据进行测算，在下一年更加严谨设置年度指标值。</w:t>
            </w:r>
          </w:p>
        </w:tc>
      </w:tr>
      <w:tr>
        <w:tblPrEx>
          <w:tblLayout w:type="fixed"/>
          <w:tblCellMar>
            <w:top w:w="0" w:type="dxa"/>
            <w:left w:w="108" w:type="dxa"/>
            <w:bottom w:w="0" w:type="dxa"/>
            <w:right w:w="108" w:type="dxa"/>
          </w:tblCellMar>
        </w:tblPrEx>
        <w:trPr>
          <w:trHeight w:val="1566" w:hRule="exact"/>
          <w:jc w:val="center"/>
        </w:trPr>
        <w:tc>
          <w:tcPr>
            <w:tcW w:w="396" w:type="dxa"/>
            <w:vMerge w:val="continue"/>
            <w:tcBorders>
              <w:left w:val="single" w:color="auto" w:sz="4" w:space="0"/>
              <w:right w:val="single" w:color="auto" w:sz="4" w:space="0"/>
            </w:tcBorders>
            <w:vAlign w:val="center"/>
          </w:tcPr>
          <w:p>
            <w:pPr>
              <w:widowControl/>
              <w:spacing w:line="240" w:lineRule="exact"/>
              <w:jc w:val="center"/>
              <w:rPr>
                <w:rFonts w:hint="eastAsia" w:ascii="宋体" w:hAnsi="宋体" w:eastAsia="宋体" w:cs="宋体"/>
                <w:color w:val="auto"/>
                <w:kern w:val="0"/>
                <w:sz w:val="18"/>
                <w:szCs w:val="18"/>
                <w:highlight w:val="none"/>
              </w:rPr>
            </w:pPr>
          </w:p>
        </w:tc>
        <w:tc>
          <w:tcPr>
            <w:tcW w:w="458" w:type="dxa"/>
            <w:vMerge w:val="continue"/>
            <w:tcBorders>
              <w:left w:val="single" w:color="auto" w:sz="4" w:space="0"/>
              <w:right w:val="single" w:color="auto" w:sz="4" w:space="0"/>
            </w:tcBorders>
            <w:vAlign w:val="center"/>
          </w:tcPr>
          <w:p>
            <w:pPr>
              <w:widowControl/>
              <w:spacing w:line="240" w:lineRule="exact"/>
              <w:jc w:val="center"/>
              <w:rPr>
                <w:rFonts w:hint="eastAsia" w:ascii="宋体" w:hAnsi="宋体" w:eastAsia="宋体" w:cs="宋体"/>
                <w:color w:val="auto"/>
                <w:kern w:val="0"/>
                <w:sz w:val="18"/>
                <w:szCs w:val="18"/>
                <w:highlight w:val="none"/>
              </w:rPr>
            </w:pPr>
          </w:p>
        </w:tc>
        <w:tc>
          <w:tcPr>
            <w:tcW w:w="883" w:type="dxa"/>
            <w:vMerge w:val="continue"/>
            <w:tcBorders>
              <w:left w:val="single" w:color="auto" w:sz="4" w:space="0"/>
              <w:right w:val="single" w:color="auto" w:sz="4" w:space="0"/>
            </w:tcBorders>
            <w:shd w:val="clear" w:color="auto" w:fill="auto"/>
            <w:vAlign w:val="center"/>
          </w:tcPr>
          <w:p>
            <w:pPr>
              <w:widowControl/>
              <w:spacing w:line="240" w:lineRule="exact"/>
              <w:jc w:val="center"/>
              <w:rPr>
                <w:rFonts w:hint="eastAsia" w:ascii="宋体" w:hAnsi="宋体" w:eastAsia="宋体" w:cs="宋体"/>
                <w:color w:val="auto"/>
                <w:kern w:val="0"/>
                <w:sz w:val="18"/>
                <w:szCs w:val="18"/>
                <w:highlight w:val="none"/>
              </w:rPr>
            </w:pPr>
          </w:p>
        </w:tc>
        <w:tc>
          <w:tcPr>
            <w:tcW w:w="1722"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color w:val="auto"/>
                <w:kern w:val="0"/>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建设优质饲划高产栽培示范田面积</w:t>
            </w:r>
          </w:p>
        </w:tc>
        <w:tc>
          <w:tcPr>
            <w:tcW w:w="855"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color w:val="auto"/>
                <w:kern w:val="0"/>
                <w:sz w:val="18"/>
                <w:szCs w:val="18"/>
                <w:highlight w:val="none"/>
              </w:rPr>
            </w:pPr>
            <w:r>
              <w:rPr>
                <w:rStyle w:val="54"/>
                <w:rFonts w:hint="eastAsia" w:ascii="宋体" w:hAnsi="宋体" w:eastAsia="宋体" w:cs="宋体"/>
                <w:color w:val="auto"/>
                <w:sz w:val="18"/>
                <w:szCs w:val="18"/>
                <w:highlight w:val="none"/>
                <w:lang w:val="en-US" w:eastAsia="zh-CN" w:bidi="ar"/>
              </w:rPr>
              <w:t>≥10000</w:t>
            </w:r>
            <w:r>
              <w:rPr>
                <w:rStyle w:val="55"/>
                <w:rFonts w:hint="eastAsia" w:ascii="宋体" w:hAnsi="宋体" w:eastAsia="宋体" w:cs="宋体"/>
                <w:color w:val="auto"/>
                <w:sz w:val="18"/>
                <w:szCs w:val="18"/>
                <w:highlight w:val="none"/>
                <w:lang w:val="en-US" w:eastAsia="zh-CN" w:bidi="ar"/>
              </w:rPr>
              <w:t>亩</w:t>
            </w:r>
          </w:p>
        </w:tc>
        <w:tc>
          <w:tcPr>
            <w:tcW w:w="885" w:type="dxa"/>
            <w:tcBorders>
              <w:top w:val="nil"/>
              <w:left w:val="nil"/>
              <w:bottom w:val="single" w:color="auto" w:sz="4" w:space="0"/>
              <w:right w:val="single" w:color="auto" w:sz="4" w:space="0"/>
            </w:tcBorders>
            <w:shd w:val="clear" w:color="auto" w:fill="auto"/>
            <w:vAlign w:val="center"/>
          </w:tcPr>
          <w:p>
            <w:pPr>
              <w:jc w:val="center"/>
              <w:rPr>
                <w:rFonts w:hint="eastAsia" w:ascii="宋体" w:hAnsi="宋体" w:eastAsia="宋体" w:cs="宋体"/>
                <w:color w:val="auto"/>
                <w:kern w:val="2"/>
                <w:sz w:val="18"/>
                <w:szCs w:val="18"/>
                <w:highlight w:val="none"/>
                <w:lang w:val="en-US" w:eastAsia="zh-CN" w:bidi="ar-SA"/>
              </w:rPr>
            </w:pPr>
            <w:r>
              <w:rPr>
                <w:rFonts w:hint="eastAsia" w:ascii="宋体" w:hAnsi="宋体" w:eastAsia="宋体" w:cs="宋体"/>
                <w:color w:val="auto"/>
                <w:kern w:val="2"/>
                <w:sz w:val="18"/>
                <w:szCs w:val="18"/>
                <w:highlight w:val="none"/>
                <w:lang w:val="en-US" w:eastAsia="zh-CN" w:bidi="ar-SA"/>
              </w:rPr>
              <w:t>10850亩</w:t>
            </w:r>
          </w:p>
        </w:tc>
        <w:tc>
          <w:tcPr>
            <w:tcW w:w="555" w:type="dxa"/>
            <w:tcBorders>
              <w:top w:val="nil"/>
              <w:left w:val="nil"/>
              <w:bottom w:val="single" w:color="auto" w:sz="4" w:space="0"/>
              <w:right w:val="single" w:color="auto" w:sz="4" w:space="0"/>
            </w:tcBorders>
            <w:shd w:val="clear" w:color="auto" w:fill="auto"/>
            <w:vAlign w:val="center"/>
          </w:tcPr>
          <w:p>
            <w:pPr>
              <w:jc w:val="center"/>
              <w:rPr>
                <w:rFonts w:hint="default" w:ascii="宋体" w:hAnsi="宋体" w:eastAsia="宋体" w:cs="宋体"/>
                <w:color w:val="auto"/>
                <w:kern w:val="2"/>
                <w:sz w:val="18"/>
                <w:szCs w:val="18"/>
                <w:highlight w:val="none"/>
                <w:lang w:val="en-US" w:eastAsia="zh-CN" w:bidi="ar-SA"/>
              </w:rPr>
            </w:pPr>
            <w:r>
              <w:rPr>
                <w:rFonts w:hint="eastAsia" w:ascii="宋体" w:hAnsi="宋体" w:eastAsia="宋体" w:cs="宋体"/>
                <w:color w:val="auto"/>
                <w:kern w:val="2"/>
                <w:sz w:val="18"/>
                <w:szCs w:val="18"/>
                <w:highlight w:val="none"/>
                <w:lang w:val="en-US" w:eastAsia="zh-CN" w:bidi="ar-SA"/>
              </w:rPr>
              <w:t>2.3</w:t>
            </w:r>
          </w:p>
        </w:tc>
        <w:tc>
          <w:tcPr>
            <w:tcW w:w="825"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hint="default" w:ascii="宋体" w:hAnsi="宋体" w:eastAsia="宋体" w:cs="宋体"/>
                <w:color w:val="auto"/>
                <w:kern w:val="0"/>
                <w:sz w:val="18"/>
                <w:szCs w:val="18"/>
                <w:highlight w:val="none"/>
                <w:lang w:val="en-US" w:eastAsia="zh-CN"/>
              </w:rPr>
            </w:pPr>
            <w:r>
              <w:rPr>
                <w:rFonts w:hint="eastAsia" w:ascii="宋体" w:hAnsi="宋体" w:eastAsia="宋体" w:cs="宋体"/>
                <w:color w:val="auto"/>
                <w:kern w:val="0"/>
                <w:sz w:val="18"/>
                <w:szCs w:val="18"/>
                <w:highlight w:val="none"/>
                <w:lang w:val="en-US" w:eastAsia="zh-CN"/>
              </w:rPr>
              <w:t>2.3</w:t>
            </w:r>
          </w:p>
        </w:tc>
        <w:tc>
          <w:tcPr>
            <w:tcW w:w="1943"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center"/>
              <w:rPr>
                <w:rFonts w:hint="eastAsia" w:ascii="宋体" w:hAnsi="宋体" w:eastAsia="宋体" w:cs="宋体"/>
                <w:color w:val="auto"/>
                <w:kern w:val="0"/>
                <w:sz w:val="18"/>
                <w:szCs w:val="18"/>
                <w:highlight w:val="none"/>
                <w:lang w:eastAsia="zh-CN"/>
              </w:rPr>
            </w:pPr>
            <w:r>
              <w:rPr>
                <w:rFonts w:hint="eastAsia" w:ascii="宋体" w:hAnsi="宋体" w:eastAsia="宋体" w:cs="宋体"/>
                <w:color w:val="auto"/>
                <w:kern w:val="0"/>
                <w:sz w:val="18"/>
                <w:szCs w:val="18"/>
                <w:highlight w:val="none"/>
                <w:lang w:val="en-US" w:eastAsia="zh-Hans"/>
              </w:rPr>
              <w:t>偏差原因：</w:t>
            </w:r>
            <w:r>
              <w:rPr>
                <w:rFonts w:hint="eastAsia" w:ascii="宋体" w:hAnsi="宋体" w:eastAsia="宋体" w:cs="宋体"/>
                <w:color w:val="auto"/>
                <w:kern w:val="0"/>
                <w:sz w:val="18"/>
                <w:szCs w:val="18"/>
                <w:highlight w:val="none"/>
              </w:rPr>
              <w:t>巴州超额完成种植面积</w:t>
            </w:r>
            <w:r>
              <w:rPr>
                <w:rFonts w:hint="eastAsia" w:ascii="宋体" w:hAnsi="宋体" w:eastAsia="宋体" w:cs="宋体"/>
                <w:color w:val="auto"/>
                <w:kern w:val="0"/>
                <w:sz w:val="18"/>
                <w:szCs w:val="18"/>
                <w:highlight w:val="none"/>
                <w:lang w:eastAsia="zh-CN"/>
              </w:rPr>
              <w:t>。</w:t>
            </w:r>
            <w:r>
              <w:rPr>
                <w:rFonts w:hint="eastAsia" w:ascii="宋体" w:hAnsi="宋体" w:eastAsia="宋体" w:cs="宋体"/>
                <w:color w:val="auto"/>
                <w:kern w:val="0"/>
                <w:sz w:val="18"/>
                <w:szCs w:val="18"/>
                <w:highlight w:val="none"/>
                <w:lang w:val="en-US" w:eastAsia="zh-Hans"/>
              </w:rPr>
              <w:t>改进措施：对近三年的数据进行测算，在下一年更加严谨设置年度指标值。</w:t>
            </w:r>
          </w:p>
        </w:tc>
      </w:tr>
      <w:tr>
        <w:tblPrEx>
          <w:tblLayout w:type="fixed"/>
          <w:tblCellMar>
            <w:top w:w="0" w:type="dxa"/>
            <w:left w:w="108" w:type="dxa"/>
            <w:bottom w:w="0" w:type="dxa"/>
            <w:right w:w="108" w:type="dxa"/>
          </w:tblCellMar>
        </w:tblPrEx>
        <w:trPr>
          <w:trHeight w:val="600" w:hRule="exact"/>
          <w:jc w:val="center"/>
        </w:trPr>
        <w:tc>
          <w:tcPr>
            <w:tcW w:w="396" w:type="dxa"/>
            <w:vMerge w:val="continue"/>
            <w:tcBorders>
              <w:left w:val="single" w:color="auto" w:sz="4" w:space="0"/>
              <w:right w:val="single" w:color="auto" w:sz="4" w:space="0"/>
            </w:tcBorders>
            <w:vAlign w:val="center"/>
          </w:tcPr>
          <w:p>
            <w:pPr>
              <w:widowControl/>
              <w:spacing w:line="240" w:lineRule="exact"/>
              <w:jc w:val="center"/>
              <w:rPr>
                <w:rFonts w:hint="eastAsia" w:ascii="宋体" w:hAnsi="宋体" w:eastAsia="宋体" w:cs="宋体"/>
                <w:color w:val="auto"/>
                <w:kern w:val="0"/>
                <w:sz w:val="18"/>
                <w:szCs w:val="18"/>
                <w:highlight w:val="none"/>
              </w:rPr>
            </w:pPr>
          </w:p>
        </w:tc>
        <w:tc>
          <w:tcPr>
            <w:tcW w:w="458" w:type="dxa"/>
            <w:vMerge w:val="continue"/>
            <w:tcBorders>
              <w:left w:val="single" w:color="auto" w:sz="4" w:space="0"/>
              <w:right w:val="single" w:color="auto" w:sz="4" w:space="0"/>
            </w:tcBorders>
            <w:vAlign w:val="center"/>
          </w:tcPr>
          <w:p>
            <w:pPr>
              <w:widowControl/>
              <w:spacing w:line="240" w:lineRule="exact"/>
              <w:jc w:val="center"/>
              <w:rPr>
                <w:rFonts w:hint="eastAsia" w:ascii="宋体" w:hAnsi="宋体" w:eastAsia="宋体" w:cs="宋体"/>
                <w:color w:val="auto"/>
                <w:kern w:val="0"/>
                <w:sz w:val="18"/>
                <w:szCs w:val="18"/>
                <w:highlight w:val="none"/>
              </w:rPr>
            </w:pPr>
          </w:p>
        </w:tc>
        <w:tc>
          <w:tcPr>
            <w:tcW w:w="883" w:type="dxa"/>
            <w:vMerge w:val="continue"/>
            <w:tcBorders>
              <w:left w:val="single" w:color="auto" w:sz="4" w:space="0"/>
              <w:right w:val="single" w:color="auto" w:sz="4" w:space="0"/>
            </w:tcBorders>
            <w:shd w:val="clear" w:color="auto" w:fill="auto"/>
            <w:vAlign w:val="center"/>
          </w:tcPr>
          <w:p>
            <w:pPr>
              <w:widowControl/>
              <w:spacing w:line="240" w:lineRule="exact"/>
              <w:jc w:val="center"/>
              <w:rPr>
                <w:rFonts w:hint="eastAsia" w:ascii="宋体" w:hAnsi="宋体" w:eastAsia="宋体" w:cs="宋体"/>
                <w:color w:val="auto"/>
                <w:kern w:val="0"/>
                <w:sz w:val="18"/>
                <w:szCs w:val="18"/>
                <w:highlight w:val="none"/>
              </w:rPr>
            </w:pPr>
          </w:p>
        </w:tc>
        <w:tc>
          <w:tcPr>
            <w:tcW w:w="1722"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color w:val="auto"/>
                <w:kern w:val="0"/>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完成畜禽遗传资源性能测定数量</w:t>
            </w:r>
          </w:p>
        </w:tc>
        <w:tc>
          <w:tcPr>
            <w:tcW w:w="855"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color w:val="auto"/>
                <w:kern w:val="0"/>
                <w:sz w:val="18"/>
                <w:szCs w:val="18"/>
                <w:highlight w:val="none"/>
              </w:rPr>
            </w:pPr>
            <w:r>
              <w:rPr>
                <w:rStyle w:val="54"/>
                <w:rFonts w:hint="eastAsia" w:ascii="宋体" w:hAnsi="宋体" w:eastAsia="宋体" w:cs="宋体"/>
                <w:color w:val="auto"/>
                <w:sz w:val="18"/>
                <w:szCs w:val="18"/>
                <w:highlight w:val="none"/>
                <w:lang w:val="en-US" w:eastAsia="zh-CN" w:bidi="ar"/>
              </w:rPr>
              <w:t>≥5</w:t>
            </w:r>
            <w:r>
              <w:rPr>
                <w:rStyle w:val="55"/>
                <w:rFonts w:hint="eastAsia" w:ascii="宋体" w:hAnsi="宋体" w:eastAsia="宋体" w:cs="宋体"/>
                <w:color w:val="auto"/>
                <w:sz w:val="18"/>
                <w:szCs w:val="18"/>
                <w:highlight w:val="none"/>
                <w:lang w:val="en-US" w:eastAsia="zh-CN" w:bidi="ar"/>
              </w:rPr>
              <w:t>个</w:t>
            </w:r>
          </w:p>
        </w:tc>
        <w:tc>
          <w:tcPr>
            <w:tcW w:w="885" w:type="dxa"/>
            <w:tcBorders>
              <w:top w:val="nil"/>
              <w:left w:val="nil"/>
              <w:bottom w:val="single" w:color="auto" w:sz="4" w:space="0"/>
              <w:right w:val="single" w:color="auto" w:sz="4" w:space="0"/>
            </w:tcBorders>
            <w:shd w:val="clear" w:color="auto" w:fill="auto"/>
            <w:vAlign w:val="center"/>
          </w:tcPr>
          <w:p>
            <w:pPr>
              <w:jc w:val="center"/>
              <w:rPr>
                <w:rFonts w:hint="eastAsia" w:ascii="宋体" w:hAnsi="宋体" w:eastAsia="宋体" w:cs="宋体"/>
                <w:color w:val="auto"/>
                <w:kern w:val="2"/>
                <w:sz w:val="18"/>
                <w:szCs w:val="18"/>
                <w:highlight w:val="none"/>
                <w:lang w:val="en-US" w:eastAsia="zh-CN" w:bidi="ar-SA"/>
              </w:rPr>
            </w:pPr>
            <w:r>
              <w:rPr>
                <w:rFonts w:hint="eastAsia" w:ascii="宋体" w:hAnsi="宋体" w:eastAsia="宋体" w:cs="宋体"/>
                <w:color w:val="auto"/>
                <w:kern w:val="2"/>
                <w:sz w:val="18"/>
                <w:szCs w:val="18"/>
                <w:highlight w:val="none"/>
                <w:lang w:val="en-US" w:eastAsia="zh-CN" w:bidi="ar-SA"/>
              </w:rPr>
              <w:t>5个</w:t>
            </w:r>
          </w:p>
        </w:tc>
        <w:tc>
          <w:tcPr>
            <w:tcW w:w="555" w:type="dxa"/>
            <w:tcBorders>
              <w:top w:val="nil"/>
              <w:left w:val="nil"/>
              <w:bottom w:val="single" w:color="auto" w:sz="4" w:space="0"/>
              <w:right w:val="single" w:color="auto" w:sz="4" w:space="0"/>
            </w:tcBorders>
            <w:shd w:val="clear" w:color="auto" w:fill="auto"/>
            <w:vAlign w:val="center"/>
          </w:tcPr>
          <w:p>
            <w:pPr>
              <w:jc w:val="center"/>
              <w:rPr>
                <w:rFonts w:hint="default" w:ascii="宋体" w:hAnsi="宋体" w:eastAsia="宋体" w:cs="宋体"/>
                <w:color w:val="auto"/>
                <w:kern w:val="2"/>
                <w:sz w:val="18"/>
                <w:szCs w:val="18"/>
                <w:highlight w:val="none"/>
                <w:lang w:val="en-US" w:eastAsia="zh-CN" w:bidi="ar-SA"/>
              </w:rPr>
            </w:pPr>
            <w:r>
              <w:rPr>
                <w:rFonts w:hint="eastAsia" w:ascii="宋体" w:hAnsi="宋体" w:eastAsia="宋体" w:cs="宋体"/>
                <w:color w:val="auto"/>
                <w:kern w:val="2"/>
                <w:sz w:val="18"/>
                <w:szCs w:val="18"/>
                <w:highlight w:val="none"/>
                <w:lang w:val="en-US" w:eastAsia="zh-CN" w:bidi="ar-SA"/>
              </w:rPr>
              <w:t>2.3</w:t>
            </w:r>
          </w:p>
        </w:tc>
        <w:tc>
          <w:tcPr>
            <w:tcW w:w="825"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hint="default" w:ascii="宋体" w:hAnsi="宋体" w:eastAsia="宋体" w:cs="宋体"/>
                <w:color w:val="auto"/>
                <w:kern w:val="0"/>
                <w:sz w:val="18"/>
                <w:szCs w:val="18"/>
                <w:highlight w:val="none"/>
                <w:lang w:val="en-US" w:eastAsia="zh-CN"/>
              </w:rPr>
            </w:pPr>
            <w:r>
              <w:rPr>
                <w:rFonts w:hint="eastAsia" w:ascii="宋体" w:hAnsi="宋体" w:eastAsia="宋体" w:cs="宋体"/>
                <w:color w:val="auto"/>
                <w:kern w:val="0"/>
                <w:sz w:val="18"/>
                <w:szCs w:val="18"/>
                <w:highlight w:val="none"/>
                <w:lang w:val="en-US" w:eastAsia="zh-CN"/>
              </w:rPr>
              <w:t>2.3</w:t>
            </w:r>
          </w:p>
        </w:tc>
        <w:tc>
          <w:tcPr>
            <w:tcW w:w="1943"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center"/>
              <w:rPr>
                <w:rFonts w:hint="eastAsia" w:ascii="宋体" w:hAnsi="宋体" w:eastAsia="宋体" w:cs="宋体"/>
                <w:color w:val="auto"/>
                <w:kern w:val="0"/>
                <w:sz w:val="18"/>
                <w:szCs w:val="18"/>
                <w:highlight w:val="none"/>
              </w:rPr>
            </w:pPr>
          </w:p>
        </w:tc>
      </w:tr>
      <w:tr>
        <w:tblPrEx>
          <w:tblLayout w:type="fixed"/>
          <w:tblCellMar>
            <w:top w:w="0" w:type="dxa"/>
            <w:left w:w="108" w:type="dxa"/>
            <w:bottom w:w="0" w:type="dxa"/>
            <w:right w:w="108" w:type="dxa"/>
          </w:tblCellMar>
        </w:tblPrEx>
        <w:trPr>
          <w:trHeight w:val="660" w:hRule="exact"/>
          <w:jc w:val="center"/>
        </w:trPr>
        <w:tc>
          <w:tcPr>
            <w:tcW w:w="396" w:type="dxa"/>
            <w:vMerge w:val="continue"/>
            <w:tcBorders>
              <w:left w:val="single" w:color="auto" w:sz="4" w:space="0"/>
              <w:right w:val="single" w:color="auto" w:sz="4" w:space="0"/>
            </w:tcBorders>
            <w:vAlign w:val="center"/>
          </w:tcPr>
          <w:p>
            <w:pPr>
              <w:widowControl/>
              <w:spacing w:line="240" w:lineRule="exact"/>
              <w:jc w:val="center"/>
              <w:rPr>
                <w:rFonts w:hint="eastAsia" w:ascii="宋体" w:hAnsi="宋体" w:eastAsia="宋体" w:cs="宋体"/>
                <w:color w:val="auto"/>
                <w:kern w:val="0"/>
                <w:sz w:val="18"/>
                <w:szCs w:val="18"/>
                <w:highlight w:val="none"/>
              </w:rPr>
            </w:pPr>
          </w:p>
        </w:tc>
        <w:tc>
          <w:tcPr>
            <w:tcW w:w="458" w:type="dxa"/>
            <w:vMerge w:val="continue"/>
            <w:tcBorders>
              <w:left w:val="single" w:color="auto" w:sz="4" w:space="0"/>
              <w:right w:val="single" w:color="auto" w:sz="4" w:space="0"/>
            </w:tcBorders>
            <w:vAlign w:val="center"/>
          </w:tcPr>
          <w:p>
            <w:pPr>
              <w:widowControl/>
              <w:spacing w:line="240" w:lineRule="exact"/>
              <w:jc w:val="center"/>
              <w:rPr>
                <w:rFonts w:hint="eastAsia" w:ascii="宋体" w:hAnsi="宋体" w:eastAsia="宋体" w:cs="宋体"/>
                <w:color w:val="auto"/>
                <w:kern w:val="0"/>
                <w:sz w:val="18"/>
                <w:szCs w:val="18"/>
                <w:highlight w:val="none"/>
              </w:rPr>
            </w:pPr>
          </w:p>
        </w:tc>
        <w:tc>
          <w:tcPr>
            <w:tcW w:w="883" w:type="dxa"/>
            <w:vMerge w:val="continue"/>
            <w:tcBorders>
              <w:left w:val="single" w:color="auto" w:sz="4" w:space="0"/>
              <w:right w:val="single" w:color="auto" w:sz="4" w:space="0"/>
            </w:tcBorders>
            <w:shd w:val="clear" w:color="auto" w:fill="auto"/>
            <w:vAlign w:val="center"/>
          </w:tcPr>
          <w:p>
            <w:pPr>
              <w:widowControl/>
              <w:spacing w:line="240" w:lineRule="exact"/>
              <w:jc w:val="center"/>
              <w:rPr>
                <w:rFonts w:hint="eastAsia" w:ascii="宋体" w:hAnsi="宋体" w:eastAsia="宋体" w:cs="宋体"/>
                <w:color w:val="auto"/>
                <w:kern w:val="0"/>
                <w:sz w:val="18"/>
                <w:szCs w:val="18"/>
                <w:highlight w:val="none"/>
              </w:rPr>
            </w:pPr>
          </w:p>
        </w:tc>
        <w:tc>
          <w:tcPr>
            <w:tcW w:w="1722"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color w:val="auto"/>
                <w:kern w:val="0"/>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新增荷斯坦能繁母牛数量</w:t>
            </w:r>
          </w:p>
        </w:tc>
        <w:tc>
          <w:tcPr>
            <w:tcW w:w="855"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color w:val="auto"/>
                <w:kern w:val="0"/>
                <w:sz w:val="18"/>
                <w:szCs w:val="18"/>
                <w:highlight w:val="none"/>
              </w:rPr>
            </w:pPr>
            <w:r>
              <w:rPr>
                <w:rStyle w:val="54"/>
                <w:rFonts w:hint="eastAsia" w:ascii="宋体" w:hAnsi="宋体" w:eastAsia="宋体" w:cs="宋体"/>
                <w:color w:val="auto"/>
                <w:sz w:val="18"/>
                <w:szCs w:val="18"/>
                <w:highlight w:val="none"/>
                <w:lang w:val="en-US" w:eastAsia="zh-CN" w:bidi="ar"/>
              </w:rPr>
              <w:t>≥4200</w:t>
            </w:r>
            <w:r>
              <w:rPr>
                <w:rStyle w:val="55"/>
                <w:rFonts w:hint="eastAsia" w:ascii="宋体" w:hAnsi="宋体" w:eastAsia="宋体" w:cs="宋体"/>
                <w:color w:val="auto"/>
                <w:sz w:val="18"/>
                <w:szCs w:val="18"/>
                <w:highlight w:val="none"/>
                <w:lang w:val="en-US" w:eastAsia="zh-CN" w:bidi="ar"/>
              </w:rPr>
              <w:t>头</w:t>
            </w:r>
          </w:p>
        </w:tc>
        <w:tc>
          <w:tcPr>
            <w:tcW w:w="885" w:type="dxa"/>
            <w:tcBorders>
              <w:top w:val="nil"/>
              <w:left w:val="nil"/>
              <w:bottom w:val="single" w:color="auto" w:sz="4" w:space="0"/>
              <w:right w:val="single" w:color="auto" w:sz="4" w:space="0"/>
            </w:tcBorders>
            <w:shd w:val="clear" w:color="auto" w:fill="auto"/>
            <w:vAlign w:val="center"/>
          </w:tcPr>
          <w:p>
            <w:pPr>
              <w:jc w:val="center"/>
              <w:rPr>
                <w:rFonts w:hint="default" w:ascii="宋体" w:hAnsi="宋体" w:eastAsia="宋体" w:cs="宋体"/>
                <w:color w:val="auto"/>
                <w:kern w:val="2"/>
                <w:sz w:val="18"/>
                <w:szCs w:val="18"/>
                <w:highlight w:val="none"/>
                <w:lang w:val="en-US" w:eastAsia="zh-CN" w:bidi="ar-SA"/>
              </w:rPr>
            </w:pPr>
            <w:r>
              <w:rPr>
                <w:rFonts w:hint="eastAsia" w:ascii="宋体" w:hAnsi="宋体" w:eastAsia="宋体" w:cs="宋体"/>
                <w:color w:val="auto"/>
                <w:kern w:val="2"/>
                <w:sz w:val="18"/>
                <w:szCs w:val="18"/>
                <w:highlight w:val="none"/>
                <w:lang w:val="en-US" w:eastAsia="zh-CN" w:bidi="ar-SA"/>
              </w:rPr>
              <w:t>4200头</w:t>
            </w:r>
          </w:p>
        </w:tc>
        <w:tc>
          <w:tcPr>
            <w:tcW w:w="555" w:type="dxa"/>
            <w:tcBorders>
              <w:top w:val="nil"/>
              <w:left w:val="nil"/>
              <w:bottom w:val="single" w:color="auto" w:sz="4" w:space="0"/>
              <w:right w:val="single" w:color="auto" w:sz="4" w:space="0"/>
            </w:tcBorders>
            <w:shd w:val="clear" w:color="auto" w:fill="auto"/>
            <w:vAlign w:val="center"/>
          </w:tcPr>
          <w:p>
            <w:pPr>
              <w:jc w:val="center"/>
              <w:rPr>
                <w:rFonts w:hint="default" w:ascii="宋体" w:hAnsi="宋体" w:eastAsia="宋体" w:cs="宋体"/>
                <w:color w:val="auto"/>
                <w:kern w:val="2"/>
                <w:sz w:val="18"/>
                <w:szCs w:val="18"/>
                <w:highlight w:val="none"/>
                <w:lang w:val="en-US" w:eastAsia="zh-CN" w:bidi="ar-SA"/>
              </w:rPr>
            </w:pPr>
            <w:r>
              <w:rPr>
                <w:rFonts w:hint="eastAsia" w:ascii="宋体" w:hAnsi="宋体" w:eastAsia="宋体" w:cs="宋体"/>
                <w:color w:val="auto"/>
                <w:kern w:val="2"/>
                <w:sz w:val="18"/>
                <w:szCs w:val="18"/>
                <w:highlight w:val="none"/>
                <w:lang w:val="en-US" w:eastAsia="zh-CN" w:bidi="ar-SA"/>
              </w:rPr>
              <w:t>2.3</w:t>
            </w:r>
          </w:p>
        </w:tc>
        <w:tc>
          <w:tcPr>
            <w:tcW w:w="825"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hint="default" w:ascii="宋体" w:hAnsi="宋体" w:eastAsia="宋体" w:cs="宋体"/>
                <w:color w:val="auto"/>
                <w:kern w:val="0"/>
                <w:sz w:val="18"/>
                <w:szCs w:val="18"/>
                <w:highlight w:val="none"/>
                <w:lang w:val="en-US" w:eastAsia="zh-CN"/>
              </w:rPr>
            </w:pPr>
            <w:r>
              <w:rPr>
                <w:rFonts w:hint="eastAsia" w:ascii="宋体" w:hAnsi="宋体" w:eastAsia="宋体" w:cs="宋体"/>
                <w:color w:val="auto"/>
                <w:kern w:val="0"/>
                <w:sz w:val="18"/>
                <w:szCs w:val="18"/>
                <w:highlight w:val="none"/>
                <w:lang w:val="en-US" w:eastAsia="zh-CN"/>
              </w:rPr>
              <w:t>2.3</w:t>
            </w:r>
          </w:p>
        </w:tc>
        <w:tc>
          <w:tcPr>
            <w:tcW w:w="1943"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center"/>
              <w:rPr>
                <w:rFonts w:hint="eastAsia" w:ascii="宋体" w:hAnsi="宋体" w:eastAsia="宋体" w:cs="宋体"/>
                <w:color w:val="auto"/>
                <w:kern w:val="0"/>
                <w:sz w:val="18"/>
                <w:szCs w:val="18"/>
                <w:highlight w:val="none"/>
              </w:rPr>
            </w:pPr>
          </w:p>
        </w:tc>
      </w:tr>
      <w:tr>
        <w:tblPrEx>
          <w:tblLayout w:type="fixed"/>
          <w:tblCellMar>
            <w:top w:w="0" w:type="dxa"/>
            <w:left w:w="108" w:type="dxa"/>
            <w:bottom w:w="0" w:type="dxa"/>
            <w:right w:w="108" w:type="dxa"/>
          </w:tblCellMar>
        </w:tblPrEx>
        <w:trPr>
          <w:trHeight w:val="615" w:hRule="exact"/>
          <w:jc w:val="center"/>
        </w:trPr>
        <w:tc>
          <w:tcPr>
            <w:tcW w:w="396" w:type="dxa"/>
            <w:vMerge w:val="continue"/>
            <w:tcBorders>
              <w:left w:val="single" w:color="auto" w:sz="4" w:space="0"/>
              <w:right w:val="single" w:color="auto" w:sz="4" w:space="0"/>
            </w:tcBorders>
            <w:vAlign w:val="center"/>
          </w:tcPr>
          <w:p>
            <w:pPr>
              <w:widowControl/>
              <w:spacing w:line="240" w:lineRule="exact"/>
              <w:jc w:val="center"/>
              <w:rPr>
                <w:rFonts w:hint="eastAsia" w:ascii="宋体" w:hAnsi="宋体" w:eastAsia="宋体" w:cs="宋体"/>
                <w:color w:val="auto"/>
                <w:kern w:val="0"/>
                <w:sz w:val="18"/>
                <w:szCs w:val="18"/>
                <w:highlight w:val="none"/>
              </w:rPr>
            </w:pPr>
          </w:p>
        </w:tc>
        <w:tc>
          <w:tcPr>
            <w:tcW w:w="458" w:type="dxa"/>
            <w:vMerge w:val="continue"/>
            <w:tcBorders>
              <w:left w:val="single" w:color="auto" w:sz="4" w:space="0"/>
              <w:right w:val="single" w:color="auto" w:sz="4" w:space="0"/>
            </w:tcBorders>
            <w:vAlign w:val="center"/>
          </w:tcPr>
          <w:p>
            <w:pPr>
              <w:widowControl/>
              <w:spacing w:line="240" w:lineRule="exact"/>
              <w:jc w:val="center"/>
              <w:rPr>
                <w:rFonts w:hint="eastAsia" w:ascii="宋体" w:hAnsi="宋体" w:eastAsia="宋体" w:cs="宋体"/>
                <w:color w:val="auto"/>
                <w:kern w:val="0"/>
                <w:sz w:val="18"/>
                <w:szCs w:val="18"/>
                <w:highlight w:val="none"/>
              </w:rPr>
            </w:pPr>
          </w:p>
        </w:tc>
        <w:tc>
          <w:tcPr>
            <w:tcW w:w="883" w:type="dxa"/>
            <w:vMerge w:val="continue"/>
            <w:tcBorders>
              <w:left w:val="single" w:color="auto" w:sz="4" w:space="0"/>
              <w:right w:val="single" w:color="auto" w:sz="4" w:space="0"/>
            </w:tcBorders>
            <w:shd w:val="clear" w:color="auto" w:fill="auto"/>
            <w:vAlign w:val="center"/>
          </w:tcPr>
          <w:p>
            <w:pPr>
              <w:widowControl/>
              <w:spacing w:line="240" w:lineRule="exact"/>
              <w:jc w:val="center"/>
              <w:rPr>
                <w:rFonts w:hint="eastAsia" w:ascii="宋体" w:hAnsi="宋体" w:eastAsia="宋体" w:cs="宋体"/>
                <w:color w:val="auto"/>
                <w:kern w:val="0"/>
                <w:sz w:val="18"/>
                <w:szCs w:val="18"/>
                <w:highlight w:val="none"/>
              </w:rPr>
            </w:pPr>
          </w:p>
        </w:tc>
        <w:tc>
          <w:tcPr>
            <w:tcW w:w="1722"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color w:val="auto"/>
                <w:kern w:val="0"/>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畜产品质量安全监测批次</w:t>
            </w:r>
          </w:p>
        </w:tc>
        <w:tc>
          <w:tcPr>
            <w:tcW w:w="855"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color w:val="auto"/>
                <w:kern w:val="0"/>
                <w:sz w:val="18"/>
                <w:szCs w:val="18"/>
                <w:highlight w:val="none"/>
              </w:rPr>
            </w:pPr>
            <w:r>
              <w:rPr>
                <w:rStyle w:val="54"/>
                <w:rFonts w:hint="eastAsia" w:ascii="宋体" w:hAnsi="宋体" w:eastAsia="宋体" w:cs="宋体"/>
                <w:color w:val="auto"/>
                <w:sz w:val="18"/>
                <w:szCs w:val="18"/>
                <w:highlight w:val="none"/>
                <w:lang w:val="en-US" w:eastAsia="zh-CN" w:bidi="ar"/>
              </w:rPr>
              <w:t>≥3000</w:t>
            </w:r>
            <w:r>
              <w:rPr>
                <w:rStyle w:val="55"/>
                <w:rFonts w:hint="eastAsia" w:ascii="宋体" w:hAnsi="宋体" w:eastAsia="宋体" w:cs="宋体"/>
                <w:color w:val="auto"/>
                <w:sz w:val="18"/>
                <w:szCs w:val="18"/>
                <w:highlight w:val="none"/>
                <w:lang w:val="en-US" w:eastAsia="zh-CN" w:bidi="ar"/>
              </w:rPr>
              <w:t>批次</w:t>
            </w:r>
          </w:p>
        </w:tc>
        <w:tc>
          <w:tcPr>
            <w:tcW w:w="885" w:type="dxa"/>
            <w:tcBorders>
              <w:top w:val="nil"/>
              <w:left w:val="nil"/>
              <w:bottom w:val="single" w:color="auto" w:sz="4" w:space="0"/>
              <w:right w:val="single" w:color="auto" w:sz="4" w:space="0"/>
            </w:tcBorders>
            <w:shd w:val="clear" w:color="auto" w:fill="auto"/>
            <w:vAlign w:val="center"/>
          </w:tcPr>
          <w:p>
            <w:pPr>
              <w:jc w:val="center"/>
              <w:rPr>
                <w:rFonts w:hint="eastAsia" w:ascii="宋体" w:hAnsi="宋体" w:eastAsia="宋体" w:cs="宋体"/>
                <w:color w:val="auto"/>
                <w:kern w:val="2"/>
                <w:sz w:val="18"/>
                <w:szCs w:val="18"/>
                <w:highlight w:val="none"/>
                <w:lang w:val="en-US" w:eastAsia="zh-CN" w:bidi="ar-SA"/>
              </w:rPr>
            </w:pPr>
            <w:r>
              <w:rPr>
                <w:rFonts w:hint="eastAsia" w:ascii="宋体" w:hAnsi="宋体" w:eastAsia="宋体" w:cs="宋体"/>
                <w:color w:val="auto"/>
                <w:kern w:val="0"/>
                <w:sz w:val="18"/>
                <w:szCs w:val="18"/>
                <w:highlight w:val="none"/>
                <w:lang w:val="en-US" w:eastAsia="zh-CN" w:bidi="ar"/>
              </w:rPr>
              <w:t>3000批次</w:t>
            </w:r>
          </w:p>
        </w:tc>
        <w:tc>
          <w:tcPr>
            <w:tcW w:w="555" w:type="dxa"/>
            <w:tcBorders>
              <w:top w:val="nil"/>
              <w:left w:val="nil"/>
              <w:bottom w:val="single" w:color="auto" w:sz="4" w:space="0"/>
              <w:right w:val="single" w:color="auto" w:sz="4" w:space="0"/>
            </w:tcBorders>
            <w:shd w:val="clear" w:color="auto" w:fill="auto"/>
            <w:vAlign w:val="center"/>
          </w:tcPr>
          <w:p>
            <w:pPr>
              <w:jc w:val="center"/>
              <w:rPr>
                <w:rFonts w:hint="default" w:ascii="宋体" w:hAnsi="宋体" w:eastAsia="宋体" w:cs="宋体"/>
                <w:color w:val="auto"/>
                <w:kern w:val="2"/>
                <w:sz w:val="18"/>
                <w:szCs w:val="18"/>
                <w:highlight w:val="none"/>
                <w:lang w:val="en-US" w:eastAsia="zh-CN" w:bidi="ar-SA"/>
              </w:rPr>
            </w:pPr>
            <w:r>
              <w:rPr>
                <w:rFonts w:hint="eastAsia" w:ascii="宋体" w:hAnsi="宋体" w:eastAsia="宋体" w:cs="宋体"/>
                <w:color w:val="auto"/>
                <w:kern w:val="2"/>
                <w:sz w:val="18"/>
                <w:szCs w:val="18"/>
                <w:highlight w:val="none"/>
                <w:lang w:val="en-US" w:eastAsia="zh-CN" w:bidi="ar-SA"/>
              </w:rPr>
              <w:t>2.3</w:t>
            </w:r>
          </w:p>
        </w:tc>
        <w:tc>
          <w:tcPr>
            <w:tcW w:w="825"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hint="default" w:ascii="宋体" w:hAnsi="宋体" w:eastAsia="宋体" w:cs="宋体"/>
                <w:color w:val="auto"/>
                <w:kern w:val="0"/>
                <w:sz w:val="18"/>
                <w:szCs w:val="18"/>
                <w:highlight w:val="none"/>
                <w:lang w:val="en-US" w:eastAsia="zh-CN"/>
              </w:rPr>
            </w:pPr>
            <w:r>
              <w:rPr>
                <w:rFonts w:hint="eastAsia" w:ascii="宋体" w:hAnsi="宋体" w:eastAsia="宋体" w:cs="宋体"/>
                <w:color w:val="auto"/>
                <w:kern w:val="0"/>
                <w:sz w:val="18"/>
                <w:szCs w:val="18"/>
                <w:highlight w:val="none"/>
                <w:lang w:val="en-US" w:eastAsia="zh-CN"/>
              </w:rPr>
              <w:t>2.3</w:t>
            </w:r>
          </w:p>
        </w:tc>
        <w:tc>
          <w:tcPr>
            <w:tcW w:w="1943"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center"/>
              <w:rPr>
                <w:rFonts w:hint="eastAsia" w:ascii="宋体" w:hAnsi="宋体" w:eastAsia="宋体" w:cs="宋体"/>
                <w:color w:val="auto"/>
                <w:kern w:val="0"/>
                <w:sz w:val="18"/>
                <w:szCs w:val="18"/>
                <w:highlight w:val="none"/>
              </w:rPr>
            </w:pPr>
          </w:p>
        </w:tc>
      </w:tr>
      <w:tr>
        <w:tblPrEx>
          <w:tblLayout w:type="fixed"/>
          <w:tblCellMar>
            <w:top w:w="0" w:type="dxa"/>
            <w:left w:w="108" w:type="dxa"/>
            <w:bottom w:w="0" w:type="dxa"/>
            <w:right w:w="108" w:type="dxa"/>
          </w:tblCellMar>
        </w:tblPrEx>
        <w:trPr>
          <w:trHeight w:val="600" w:hRule="exact"/>
          <w:jc w:val="center"/>
        </w:trPr>
        <w:tc>
          <w:tcPr>
            <w:tcW w:w="396" w:type="dxa"/>
            <w:vMerge w:val="continue"/>
            <w:tcBorders>
              <w:left w:val="single" w:color="auto" w:sz="4" w:space="0"/>
              <w:right w:val="single" w:color="auto" w:sz="4" w:space="0"/>
            </w:tcBorders>
            <w:vAlign w:val="center"/>
          </w:tcPr>
          <w:p>
            <w:pPr>
              <w:widowControl/>
              <w:spacing w:line="240" w:lineRule="exact"/>
              <w:jc w:val="center"/>
              <w:rPr>
                <w:rFonts w:hint="eastAsia" w:ascii="宋体" w:hAnsi="宋体" w:eastAsia="宋体" w:cs="宋体"/>
                <w:color w:val="auto"/>
                <w:kern w:val="0"/>
                <w:sz w:val="18"/>
                <w:szCs w:val="18"/>
                <w:highlight w:val="none"/>
              </w:rPr>
            </w:pPr>
          </w:p>
        </w:tc>
        <w:tc>
          <w:tcPr>
            <w:tcW w:w="458" w:type="dxa"/>
            <w:vMerge w:val="continue"/>
            <w:tcBorders>
              <w:left w:val="single" w:color="auto" w:sz="4" w:space="0"/>
              <w:right w:val="single" w:color="auto" w:sz="4" w:space="0"/>
            </w:tcBorders>
            <w:vAlign w:val="center"/>
          </w:tcPr>
          <w:p>
            <w:pPr>
              <w:widowControl/>
              <w:spacing w:line="240" w:lineRule="exact"/>
              <w:jc w:val="center"/>
              <w:rPr>
                <w:rFonts w:hint="eastAsia" w:ascii="宋体" w:hAnsi="宋体" w:eastAsia="宋体" w:cs="宋体"/>
                <w:color w:val="auto"/>
                <w:kern w:val="0"/>
                <w:sz w:val="18"/>
                <w:szCs w:val="18"/>
                <w:highlight w:val="none"/>
              </w:rPr>
            </w:pPr>
          </w:p>
        </w:tc>
        <w:tc>
          <w:tcPr>
            <w:tcW w:w="883" w:type="dxa"/>
            <w:vMerge w:val="continue"/>
            <w:tcBorders>
              <w:left w:val="single" w:color="auto" w:sz="4" w:space="0"/>
              <w:right w:val="single" w:color="auto" w:sz="4" w:space="0"/>
            </w:tcBorders>
            <w:shd w:val="clear" w:color="auto" w:fill="auto"/>
            <w:vAlign w:val="center"/>
          </w:tcPr>
          <w:p>
            <w:pPr>
              <w:widowControl/>
              <w:spacing w:line="240" w:lineRule="exact"/>
              <w:jc w:val="center"/>
              <w:rPr>
                <w:rFonts w:hint="eastAsia" w:ascii="宋体" w:hAnsi="宋体" w:eastAsia="宋体" w:cs="宋体"/>
                <w:color w:val="auto"/>
                <w:kern w:val="0"/>
                <w:sz w:val="18"/>
                <w:szCs w:val="18"/>
                <w:highlight w:val="none"/>
              </w:rPr>
            </w:pPr>
          </w:p>
        </w:tc>
        <w:tc>
          <w:tcPr>
            <w:tcW w:w="1722"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color w:val="auto"/>
                <w:kern w:val="0"/>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新增奶产量</w:t>
            </w:r>
          </w:p>
        </w:tc>
        <w:tc>
          <w:tcPr>
            <w:tcW w:w="855"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color w:val="auto"/>
                <w:kern w:val="0"/>
                <w:sz w:val="18"/>
                <w:szCs w:val="18"/>
                <w:highlight w:val="none"/>
              </w:rPr>
            </w:pPr>
            <w:r>
              <w:rPr>
                <w:rStyle w:val="54"/>
                <w:rFonts w:hint="eastAsia" w:ascii="宋体" w:hAnsi="宋体" w:eastAsia="宋体" w:cs="宋体"/>
                <w:color w:val="auto"/>
                <w:sz w:val="18"/>
                <w:szCs w:val="18"/>
                <w:highlight w:val="none"/>
                <w:lang w:val="en-US" w:eastAsia="zh-CN" w:bidi="ar"/>
              </w:rPr>
              <w:t>≥10000</w:t>
            </w:r>
            <w:r>
              <w:rPr>
                <w:rStyle w:val="55"/>
                <w:rFonts w:hint="eastAsia" w:ascii="宋体" w:hAnsi="宋体" w:eastAsia="宋体" w:cs="宋体"/>
                <w:color w:val="auto"/>
                <w:sz w:val="18"/>
                <w:szCs w:val="18"/>
                <w:highlight w:val="none"/>
                <w:lang w:val="en-US" w:eastAsia="zh-CN" w:bidi="ar"/>
              </w:rPr>
              <w:t>吨</w:t>
            </w:r>
          </w:p>
        </w:tc>
        <w:tc>
          <w:tcPr>
            <w:tcW w:w="885" w:type="dxa"/>
            <w:tcBorders>
              <w:top w:val="nil"/>
              <w:left w:val="nil"/>
              <w:bottom w:val="single" w:color="auto" w:sz="4" w:space="0"/>
              <w:right w:val="single" w:color="auto" w:sz="4" w:space="0"/>
            </w:tcBorders>
            <w:shd w:val="clear" w:color="auto" w:fill="auto"/>
            <w:vAlign w:val="center"/>
          </w:tcPr>
          <w:p>
            <w:pPr>
              <w:jc w:val="center"/>
              <w:rPr>
                <w:rFonts w:hint="default" w:ascii="宋体" w:hAnsi="宋体" w:eastAsia="宋体" w:cs="宋体"/>
                <w:color w:val="auto"/>
                <w:kern w:val="2"/>
                <w:sz w:val="18"/>
                <w:szCs w:val="18"/>
                <w:highlight w:val="none"/>
                <w:lang w:val="en-US" w:eastAsia="zh-CN" w:bidi="ar-SA"/>
              </w:rPr>
            </w:pPr>
            <w:r>
              <w:rPr>
                <w:rFonts w:hint="eastAsia" w:ascii="宋体" w:hAnsi="宋体" w:eastAsia="宋体" w:cs="宋体"/>
                <w:color w:val="auto"/>
                <w:kern w:val="2"/>
                <w:sz w:val="18"/>
                <w:szCs w:val="18"/>
                <w:highlight w:val="none"/>
                <w:lang w:val="en-US" w:eastAsia="zh-CN" w:bidi="ar-SA"/>
              </w:rPr>
              <w:t>10000吨</w:t>
            </w:r>
          </w:p>
        </w:tc>
        <w:tc>
          <w:tcPr>
            <w:tcW w:w="555" w:type="dxa"/>
            <w:tcBorders>
              <w:top w:val="nil"/>
              <w:left w:val="nil"/>
              <w:bottom w:val="single" w:color="auto" w:sz="4" w:space="0"/>
              <w:right w:val="single" w:color="auto" w:sz="4" w:space="0"/>
            </w:tcBorders>
            <w:shd w:val="clear" w:color="auto" w:fill="auto"/>
            <w:vAlign w:val="center"/>
          </w:tcPr>
          <w:p>
            <w:pPr>
              <w:jc w:val="center"/>
              <w:rPr>
                <w:rFonts w:hint="default" w:ascii="宋体" w:hAnsi="宋体" w:eastAsia="宋体" w:cs="宋体"/>
                <w:color w:val="auto"/>
                <w:kern w:val="2"/>
                <w:sz w:val="18"/>
                <w:szCs w:val="18"/>
                <w:highlight w:val="none"/>
                <w:lang w:val="en-US" w:eastAsia="zh-CN" w:bidi="ar-SA"/>
              </w:rPr>
            </w:pPr>
            <w:r>
              <w:rPr>
                <w:rFonts w:hint="eastAsia" w:ascii="宋体" w:hAnsi="宋体" w:eastAsia="宋体" w:cs="宋体"/>
                <w:color w:val="auto"/>
                <w:kern w:val="2"/>
                <w:sz w:val="18"/>
                <w:szCs w:val="18"/>
                <w:highlight w:val="none"/>
                <w:lang w:val="en-US" w:eastAsia="zh-CN" w:bidi="ar-SA"/>
              </w:rPr>
              <w:t>2.3</w:t>
            </w:r>
          </w:p>
        </w:tc>
        <w:tc>
          <w:tcPr>
            <w:tcW w:w="825"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hint="default" w:ascii="宋体" w:hAnsi="宋体" w:eastAsia="宋体" w:cs="宋体"/>
                <w:color w:val="auto"/>
                <w:kern w:val="0"/>
                <w:sz w:val="18"/>
                <w:szCs w:val="18"/>
                <w:highlight w:val="none"/>
                <w:lang w:val="en-US" w:eastAsia="zh-CN"/>
              </w:rPr>
            </w:pPr>
            <w:r>
              <w:rPr>
                <w:rFonts w:hint="eastAsia" w:ascii="宋体" w:hAnsi="宋体" w:eastAsia="宋体" w:cs="宋体"/>
                <w:color w:val="auto"/>
                <w:kern w:val="0"/>
                <w:sz w:val="18"/>
                <w:szCs w:val="18"/>
                <w:highlight w:val="none"/>
                <w:lang w:val="en-US" w:eastAsia="zh-CN"/>
              </w:rPr>
              <w:t>2.3</w:t>
            </w:r>
          </w:p>
        </w:tc>
        <w:tc>
          <w:tcPr>
            <w:tcW w:w="1943"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center"/>
              <w:rPr>
                <w:rFonts w:hint="eastAsia" w:ascii="宋体" w:hAnsi="宋体" w:eastAsia="宋体" w:cs="宋体"/>
                <w:color w:val="auto"/>
                <w:kern w:val="0"/>
                <w:sz w:val="18"/>
                <w:szCs w:val="18"/>
                <w:highlight w:val="none"/>
              </w:rPr>
            </w:pPr>
          </w:p>
        </w:tc>
      </w:tr>
      <w:tr>
        <w:tblPrEx>
          <w:tblLayout w:type="fixed"/>
          <w:tblCellMar>
            <w:top w:w="0" w:type="dxa"/>
            <w:left w:w="108" w:type="dxa"/>
            <w:bottom w:w="0" w:type="dxa"/>
            <w:right w:w="108" w:type="dxa"/>
          </w:tblCellMar>
        </w:tblPrEx>
        <w:trPr>
          <w:trHeight w:val="1260" w:hRule="exact"/>
          <w:jc w:val="center"/>
        </w:trPr>
        <w:tc>
          <w:tcPr>
            <w:tcW w:w="396" w:type="dxa"/>
            <w:vMerge w:val="continue"/>
            <w:tcBorders>
              <w:left w:val="single" w:color="auto" w:sz="4" w:space="0"/>
              <w:right w:val="single" w:color="auto" w:sz="4" w:space="0"/>
            </w:tcBorders>
            <w:vAlign w:val="center"/>
          </w:tcPr>
          <w:p>
            <w:pPr>
              <w:widowControl/>
              <w:spacing w:line="240" w:lineRule="exact"/>
              <w:jc w:val="center"/>
              <w:rPr>
                <w:rFonts w:hint="eastAsia" w:ascii="宋体" w:hAnsi="宋体" w:eastAsia="宋体" w:cs="宋体"/>
                <w:color w:val="auto"/>
                <w:kern w:val="0"/>
                <w:sz w:val="18"/>
                <w:szCs w:val="18"/>
                <w:highlight w:val="none"/>
              </w:rPr>
            </w:pPr>
          </w:p>
        </w:tc>
        <w:tc>
          <w:tcPr>
            <w:tcW w:w="458" w:type="dxa"/>
            <w:vMerge w:val="continue"/>
            <w:tcBorders>
              <w:left w:val="single" w:color="auto" w:sz="4" w:space="0"/>
              <w:right w:val="single" w:color="auto" w:sz="4" w:space="0"/>
            </w:tcBorders>
            <w:vAlign w:val="center"/>
          </w:tcPr>
          <w:p>
            <w:pPr>
              <w:widowControl/>
              <w:spacing w:line="240" w:lineRule="exact"/>
              <w:jc w:val="center"/>
              <w:rPr>
                <w:rFonts w:hint="eastAsia" w:ascii="宋体" w:hAnsi="宋体" w:eastAsia="宋体" w:cs="宋体"/>
                <w:color w:val="auto"/>
                <w:kern w:val="0"/>
                <w:sz w:val="18"/>
                <w:szCs w:val="18"/>
                <w:highlight w:val="none"/>
              </w:rPr>
            </w:pPr>
          </w:p>
        </w:tc>
        <w:tc>
          <w:tcPr>
            <w:tcW w:w="883" w:type="dxa"/>
            <w:vMerge w:val="continue"/>
            <w:tcBorders>
              <w:left w:val="single" w:color="auto" w:sz="4" w:space="0"/>
              <w:right w:val="single" w:color="auto" w:sz="4" w:space="0"/>
            </w:tcBorders>
            <w:vAlign w:val="center"/>
          </w:tcPr>
          <w:p>
            <w:pPr>
              <w:widowControl/>
              <w:spacing w:line="240" w:lineRule="exact"/>
              <w:jc w:val="center"/>
              <w:rPr>
                <w:rFonts w:hint="eastAsia" w:ascii="宋体" w:hAnsi="宋体" w:eastAsia="宋体" w:cs="宋体"/>
                <w:color w:val="auto"/>
                <w:kern w:val="0"/>
                <w:sz w:val="18"/>
                <w:szCs w:val="18"/>
                <w:highlight w:val="none"/>
              </w:rPr>
            </w:pPr>
          </w:p>
        </w:tc>
        <w:tc>
          <w:tcPr>
            <w:tcW w:w="1722" w:type="dxa"/>
            <w:tcBorders>
              <w:top w:val="single" w:color="auto" w:sz="4" w:space="0"/>
              <w:left w:val="nil"/>
              <w:bottom w:val="single" w:color="auto" w:sz="4" w:space="0"/>
              <w:right w:val="single" w:color="auto" w:sz="4" w:space="0"/>
            </w:tcBorders>
            <w:vAlign w:val="center"/>
          </w:tcPr>
          <w:p>
            <w:pPr>
              <w:keepNext w:val="0"/>
              <w:keepLines w:val="0"/>
              <w:widowControl/>
              <w:suppressLineNumbers w:val="0"/>
              <w:jc w:val="left"/>
              <w:textAlignment w:val="center"/>
              <w:rPr>
                <w:rFonts w:hint="eastAsia" w:ascii="宋体" w:hAnsi="宋体" w:eastAsia="宋体" w:cs="宋体"/>
                <w:color w:val="auto"/>
                <w:kern w:val="0"/>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支持建设畜禽遗传资源保种场（保护区、基因库)建设数量</w:t>
            </w:r>
          </w:p>
        </w:tc>
        <w:tc>
          <w:tcPr>
            <w:tcW w:w="855" w:type="dxa"/>
            <w:tcBorders>
              <w:top w:val="nil"/>
              <w:left w:val="nil"/>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color w:val="auto"/>
                <w:kern w:val="0"/>
                <w:sz w:val="18"/>
                <w:szCs w:val="18"/>
                <w:highlight w:val="none"/>
              </w:rPr>
            </w:pPr>
            <w:r>
              <w:rPr>
                <w:rStyle w:val="54"/>
                <w:rFonts w:hint="eastAsia" w:ascii="宋体" w:hAnsi="宋体" w:eastAsia="宋体" w:cs="宋体"/>
                <w:color w:val="auto"/>
                <w:sz w:val="18"/>
                <w:szCs w:val="18"/>
                <w:highlight w:val="none"/>
                <w:lang w:val="en-US" w:eastAsia="zh-CN" w:bidi="ar"/>
              </w:rPr>
              <w:t>≥14</w:t>
            </w:r>
            <w:r>
              <w:rPr>
                <w:rStyle w:val="55"/>
                <w:rFonts w:hint="eastAsia" w:ascii="宋体" w:hAnsi="宋体" w:eastAsia="宋体" w:cs="宋体"/>
                <w:color w:val="auto"/>
                <w:sz w:val="18"/>
                <w:szCs w:val="18"/>
                <w:highlight w:val="none"/>
                <w:lang w:val="en-US" w:eastAsia="zh-CN" w:bidi="ar"/>
              </w:rPr>
              <w:t>个</w:t>
            </w:r>
          </w:p>
        </w:tc>
        <w:tc>
          <w:tcPr>
            <w:tcW w:w="885" w:type="dxa"/>
            <w:tcBorders>
              <w:top w:val="nil"/>
              <w:left w:val="nil"/>
              <w:bottom w:val="single" w:color="auto" w:sz="4" w:space="0"/>
              <w:right w:val="single" w:color="auto" w:sz="4" w:space="0"/>
            </w:tcBorders>
            <w:vAlign w:val="center"/>
          </w:tcPr>
          <w:p>
            <w:pPr>
              <w:jc w:val="center"/>
              <w:rPr>
                <w:rFonts w:hint="eastAsia" w:ascii="宋体" w:hAnsi="宋体" w:eastAsia="宋体" w:cs="宋体"/>
                <w:color w:val="auto"/>
                <w:kern w:val="2"/>
                <w:sz w:val="18"/>
                <w:szCs w:val="18"/>
                <w:highlight w:val="none"/>
                <w:lang w:val="en-US" w:eastAsia="zh-CN" w:bidi="ar-SA"/>
              </w:rPr>
            </w:pPr>
            <w:r>
              <w:rPr>
                <w:rStyle w:val="54"/>
                <w:rFonts w:hint="eastAsia" w:ascii="宋体" w:hAnsi="宋体" w:eastAsia="宋体" w:cs="宋体"/>
                <w:color w:val="auto"/>
                <w:sz w:val="18"/>
                <w:szCs w:val="18"/>
                <w:highlight w:val="none"/>
                <w:lang w:val="en-US" w:eastAsia="zh-CN" w:bidi="ar"/>
              </w:rPr>
              <w:t>14</w:t>
            </w:r>
            <w:r>
              <w:rPr>
                <w:rStyle w:val="55"/>
                <w:rFonts w:hint="eastAsia" w:ascii="宋体" w:hAnsi="宋体" w:eastAsia="宋体" w:cs="宋体"/>
                <w:color w:val="auto"/>
                <w:sz w:val="18"/>
                <w:szCs w:val="18"/>
                <w:highlight w:val="none"/>
                <w:lang w:val="en-US" w:eastAsia="zh-CN" w:bidi="ar"/>
              </w:rPr>
              <w:t>个</w:t>
            </w:r>
          </w:p>
        </w:tc>
        <w:tc>
          <w:tcPr>
            <w:tcW w:w="555" w:type="dxa"/>
            <w:tcBorders>
              <w:top w:val="nil"/>
              <w:left w:val="nil"/>
              <w:bottom w:val="single" w:color="auto" w:sz="4" w:space="0"/>
              <w:right w:val="single" w:color="auto" w:sz="4" w:space="0"/>
            </w:tcBorders>
            <w:vAlign w:val="center"/>
          </w:tcPr>
          <w:p>
            <w:pPr>
              <w:jc w:val="center"/>
              <w:rPr>
                <w:rFonts w:hint="default" w:ascii="宋体" w:hAnsi="宋体" w:eastAsia="宋体" w:cs="宋体"/>
                <w:color w:val="auto"/>
                <w:kern w:val="2"/>
                <w:sz w:val="18"/>
                <w:szCs w:val="18"/>
                <w:highlight w:val="none"/>
                <w:lang w:val="en-US" w:eastAsia="zh-CN" w:bidi="ar-SA"/>
              </w:rPr>
            </w:pPr>
            <w:r>
              <w:rPr>
                <w:rFonts w:hint="eastAsia" w:ascii="宋体" w:hAnsi="宋体" w:eastAsia="宋体" w:cs="宋体"/>
                <w:color w:val="auto"/>
                <w:kern w:val="2"/>
                <w:sz w:val="18"/>
                <w:szCs w:val="18"/>
                <w:highlight w:val="none"/>
                <w:lang w:val="en-US" w:eastAsia="zh-CN" w:bidi="ar-SA"/>
              </w:rPr>
              <w:t>2.3</w:t>
            </w:r>
          </w:p>
        </w:tc>
        <w:tc>
          <w:tcPr>
            <w:tcW w:w="825" w:type="dxa"/>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2"/>
                <w:sz w:val="18"/>
                <w:szCs w:val="18"/>
                <w:highlight w:val="none"/>
                <w:lang w:val="en-US" w:eastAsia="zh-CN" w:bidi="ar-SA"/>
              </w:rPr>
              <w:t>2.3</w:t>
            </w:r>
          </w:p>
        </w:tc>
        <w:tc>
          <w:tcPr>
            <w:tcW w:w="1943"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color w:val="auto"/>
                <w:kern w:val="0"/>
                <w:sz w:val="18"/>
                <w:szCs w:val="18"/>
                <w:highlight w:val="none"/>
              </w:rPr>
            </w:pPr>
          </w:p>
        </w:tc>
      </w:tr>
      <w:tr>
        <w:tblPrEx>
          <w:tblLayout w:type="fixed"/>
          <w:tblCellMar>
            <w:top w:w="0" w:type="dxa"/>
            <w:left w:w="108" w:type="dxa"/>
            <w:bottom w:w="0" w:type="dxa"/>
            <w:right w:w="108" w:type="dxa"/>
          </w:tblCellMar>
        </w:tblPrEx>
        <w:trPr>
          <w:trHeight w:val="4283" w:hRule="exact"/>
          <w:jc w:val="center"/>
        </w:trPr>
        <w:tc>
          <w:tcPr>
            <w:tcW w:w="396" w:type="dxa"/>
            <w:vMerge w:val="continue"/>
            <w:tcBorders>
              <w:left w:val="single" w:color="auto" w:sz="4" w:space="0"/>
              <w:right w:val="single" w:color="auto" w:sz="4" w:space="0"/>
            </w:tcBorders>
            <w:vAlign w:val="center"/>
          </w:tcPr>
          <w:p>
            <w:pPr>
              <w:widowControl/>
              <w:spacing w:line="240" w:lineRule="exact"/>
              <w:jc w:val="center"/>
              <w:rPr>
                <w:rFonts w:hint="eastAsia" w:ascii="宋体" w:hAnsi="宋体" w:eastAsia="宋体" w:cs="宋体"/>
                <w:color w:val="auto"/>
                <w:kern w:val="0"/>
                <w:sz w:val="18"/>
                <w:szCs w:val="18"/>
                <w:highlight w:val="none"/>
              </w:rPr>
            </w:pPr>
          </w:p>
        </w:tc>
        <w:tc>
          <w:tcPr>
            <w:tcW w:w="458" w:type="dxa"/>
            <w:vMerge w:val="continue"/>
            <w:tcBorders>
              <w:left w:val="single" w:color="auto" w:sz="4" w:space="0"/>
              <w:right w:val="single" w:color="auto" w:sz="4" w:space="0"/>
            </w:tcBorders>
            <w:vAlign w:val="center"/>
          </w:tcPr>
          <w:p>
            <w:pPr>
              <w:widowControl/>
              <w:spacing w:line="240" w:lineRule="exact"/>
              <w:jc w:val="center"/>
              <w:rPr>
                <w:rFonts w:hint="eastAsia" w:ascii="宋体" w:hAnsi="宋体" w:eastAsia="宋体" w:cs="宋体"/>
                <w:color w:val="auto"/>
                <w:kern w:val="0"/>
                <w:sz w:val="18"/>
                <w:szCs w:val="18"/>
                <w:highlight w:val="none"/>
              </w:rPr>
            </w:pPr>
          </w:p>
        </w:tc>
        <w:tc>
          <w:tcPr>
            <w:tcW w:w="883" w:type="dxa"/>
            <w:vMerge w:val="continue"/>
            <w:tcBorders>
              <w:left w:val="single" w:color="auto" w:sz="4" w:space="0"/>
              <w:right w:val="single" w:color="auto" w:sz="4" w:space="0"/>
            </w:tcBorders>
            <w:vAlign w:val="center"/>
          </w:tcPr>
          <w:p>
            <w:pPr>
              <w:widowControl/>
              <w:spacing w:line="240" w:lineRule="exact"/>
              <w:jc w:val="center"/>
              <w:rPr>
                <w:rFonts w:hint="eastAsia" w:ascii="宋体" w:hAnsi="宋体" w:eastAsia="宋体" w:cs="宋体"/>
                <w:color w:val="auto"/>
                <w:kern w:val="0"/>
                <w:sz w:val="18"/>
                <w:szCs w:val="18"/>
                <w:highlight w:val="none"/>
              </w:rPr>
            </w:pPr>
          </w:p>
        </w:tc>
        <w:tc>
          <w:tcPr>
            <w:tcW w:w="1722" w:type="dxa"/>
            <w:tcBorders>
              <w:top w:val="single" w:color="auto" w:sz="4" w:space="0"/>
              <w:left w:val="nil"/>
              <w:bottom w:val="single" w:color="auto" w:sz="4" w:space="0"/>
              <w:right w:val="single" w:color="auto" w:sz="4" w:space="0"/>
            </w:tcBorders>
            <w:vAlign w:val="center"/>
          </w:tcPr>
          <w:p>
            <w:pPr>
              <w:keepNext w:val="0"/>
              <w:keepLines w:val="0"/>
              <w:widowControl/>
              <w:suppressLineNumbers w:val="0"/>
              <w:jc w:val="left"/>
              <w:textAlignment w:val="center"/>
              <w:rPr>
                <w:rFonts w:hint="eastAsia" w:ascii="宋体" w:hAnsi="宋体" w:eastAsia="宋体" w:cs="宋体"/>
                <w:color w:val="auto"/>
                <w:kern w:val="0"/>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肉类增长比例</w:t>
            </w:r>
          </w:p>
        </w:tc>
        <w:tc>
          <w:tcPr>
            <w:tcW w:w="855" w:type="dxa"/>
            <w:tcBorders>
              <w:top w:val="nil"/>
              <w:left w:val="nil"/>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color w:val="auto"/>
                <w:kern w:val="0"/>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≥5%</w:t>
            </w:r>
          </w:p>
        </w:tc>
        <w:tc>
          <w:tcPr>
            <w:tcW w:w="885" w:type="dxa"/>
            <w:tcBorders>
              <w:top w:val="nil"/>
              <w:left w:val="nil"/>
              <w:bottom w:val="single" w:color="auto" w:sz="4" w:space="0"/>
              <w:right w:val="single" w:color="auto" w:sz="4" w:space="0"/>
            </w:tcBorders>
            <w:vAlign w:val="center"/>
          </w:tcPr>
          <w:p>
            <w:pPr>
              <w:jc w:val="center"/>
              <w:rPr>
                <w:rFonts w:hint="eastAsia" w:ascii="宋体" w:hAnsi="宋体" w:eastAsia="宋体" w:cs="宋体"/>
                <w:color w:val="auto"/>
                <w:kern w:val="2"/>
                <w:sz w:val="18"/>
                <w:szCs w:val="18"/>
                <w:highlight w:val="none"/>
                <w:lang w:val="en-US" w:eastAsia="zh-CN" w:bidi="ar-SA"/>
              </w:rPr>
            </w:pPr>
            <w:r>
              <w:rPr>
                <w:rFonts w:hint="eastAsia" w:ascii="宋体" w:hAnsi="宋体" w:eastAsia="宋体" w:cs="宋体"/>
                <w:color w:val="auto"/>
                <w:kern w:val="2"/>
                <w:sz w:val="18"/>
                <w:szCs w:val="18"/>
                <w:highlight w:val="none"/>
                <w:lang w:val="en-US" w:eastAsia="zh-CN" w:bidi="ar-SA"/>
              </w:rPr>
              <w:t>4.3%</w:t>
            </w:r>
          </w:p>
        </w:tc>
        <w:tc>
          <w:tcPr>
            <w:tcW w:w="555" w:type="dxa"/>
            <w:tcBorders>
              <w:top w:val="nil"/>
              <w:left w:val="nil"/>
              <w:bottom w:val="single" w:color="auto" w:sz="4" w:space="0"/>
              <w:right w:val="single" w:color="auto" w:sz="4" w:space="0"/>
            </w:tcBorders>
            <w:vAlign w:val="center"/>
          </w:tcPr>
          <w:p>
            <w:pPr>
              <w:jc w:val="center"/>
              <w:rPr>
                <w:rFonts w:hint="default" w:ascii="宋体" w:hAnsi="宋体" w:eastAsia="宋体" w:cs="宋体"/>
                <w:color w:val="auto"/>
                <w:kern w:val="2"/>
                <w:sz w:val="18"/>
                <w:szCs w:val="18"/>
                <w:highlight w:val="none"/>
                <w:lang w:val="en-US" w:eastAsia="zh-CN" w:bidi="ar-SA"/>
              </w:rPr>
            </w:pPr>
            <w:r>
              <w:rPr>
                <w:rFonts w:hint="eastAsia" w:ascii="宋体" w:hAnsi="宋体" w:eastAsia="宋体" w:cs="宋体"/>
                <w:color w:val="auto"/>
                <w:kern w:val="2"/>
                <w:sz w:val="18"/>
                <w:szCs w:val="18"/>
                <w:highlight w:val="none"/>
                <w:lang w:val="en-US" w:eastAsia="zh-CN" w:bidi="ar-SA"/>
              </w:rPr>
              <w:t>2.3</w:t>
            </w:r>
          </w:p>
        </w:tc>
        <w:tc>
          <w:tcPr>
            <w:tcW w:w="825" w:type="dxa"/>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color w:val="auto"/>
                <w:kern w:val="0"/>
                <w:sz w:val="18"/>
                <w:szCs w:val="18"/>
                <w:highlight w:val="none"/>
                <w:lang w:val="en-US" w:eastAsia="zh-CN"/>
              </w:rPr>
            </w:pPr>
            <w:r>
              <w:rPr>
                <w:rFonts w:hint="eastAsia" w:ascii="宋体" w:hAnsi="宋体" w:eastAsia="宋体" w:cs="宋体"/>
                <w:color w:val="auto"/>
                <w:kern w:val="0"/>
                <w:sz w:val="18"/>
                <w:szCs w:val="18"/>
                <w:highlight w:val="none"/>
                <w:lang w:val="en-US" w:eastAsia="zh-CN"/>
              </w:rPr>
              <w:t>1.98</w:t>
            </w:r>
          </w:p>
        </w:tc>
        <w:tc>
          <w:tcPr>
            <w:tcW w:w="1943"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lang w:val="en-US" w:eastAsia="zh-Hans"/>
              </w:rPr>
              <w:t>偏差原因：</w:t>
            </w:r>
            <w:r>
              <w:rPr>
                <w:rFonts w:hint="eastAsia" w:ascii="宋体" w:hAnsi="宋体" w:eastAsia="宋体" w:cs="宋体"/>
                <w:color w:val="auto"/>
                <w:kern w:val="0"/>
                <w:sz w:val="18"/>
                <w:szCs w:val="18"/>
                <w:highlight w:val="none"/>
              </w:rPr>
              <w:t>受2022年7月—12月突发新冠疫情影响，全疆长期处于静态管理状态，对饲草料调运、畜产品交易、畜牧业生产影响较大，特别是秋季为牧区牲畜传统出栏旺季，加之畜牧业生产流通不畅，虽然解封后压栏情况有所缓解，但依然影响了肉蛋产量，导致没有完成预期目标。改进措施：下年度做好应对措施，实施备选方案，以防此类情况出现。</w:t>
            </w:r>
          </w:p>
        </w:tc>
      </w:tr>
      <w:tr>
        <w:tblPrEx>
          <w:tblLayout w:type="fixed"/>
          <w:tblCellMar>
            <w:top w:w="0" w:type="dxa"/>
            <w:left w:w="108" w:type="dxa"/>
            <w:bottom w:w="0" w:type="dxa"/>
            <w:right w:w="108" w:type="dxa"/>
          </w:tblCellMar>
        </w:tblPrEx>
        <w:trPr>
          <w:trHeight w:val="600" w:hRule="exact"/>
          <w:jc w:val="center"/>
        </w:trPr>
        <w:tc>
          <w:tcPr>
            <w:tcW w:w="396" w:type="dxa"/>
            <w:vMerge w:val="continue"/>
            <w:tcBorders>
              <w:left w:val="single" w:color="auto" w:sz="4" w:space="0"/>
              <w:right w:val="single" w:color="auto" w:sz="4" w:space="0"/>
            </w:tcBorders>
            <w:vAlign w:val="center"/>
          </w:tcPr>
          <w:p>
            <w:pPr>
              <w:widowControl/>
              <w:spacing w:line="240" w:lineRule="exact"/>
              <w:jc w:val="center"/>
              <w:rPr>
                <w:rFonts w:hint="eastAsia" w:ascii="宋体" w:hAnsi="宋体" w:eastAsia="宋体" w:cs="宋体"/>
                <w:color w:val="auto"/>
                <w:kern w:val="0"/>
                <w:sz w:val="18"/>
                <w:szCs w:val="18"/>
                <w:highlight w:val="none"/>
              </w:rPr>
            </w:pPr>
          </w:p>
        </w:tc>
        <w:tc>
          <w:tcPr>
            <w:tcW w:w="458" w:type="dxa"/>
            <w:vMerge w:val="continue"/>
            <w:tcBorders>
              <w:left w:val="single" w:color="auto" w:sz="4" w:space="0"/>
              <w:right w:val="single" w:color="auto" w:sz="4" w:space="0"/>
            </w:tcBorders>
            <w:vAlign w:val="center"/>
          </w:tcPr>
          <w:p>
            <w:pPr>
              <w:widowControl/>
              <w:spacing w:line="240" w:lineRule="exact"/>
              <w:jc w:val="center"/>
              <w:rPr>
                <w:rFonts w:hint="eastAsia" w:ascii="宋体" w:hAnsi="宋体" w:eastAsia="宋体" w:cs="宋体"/>
                <w:color w:val="auto"/>
                <w:kern w:val="0"/>
                <w:sz w:val="18"/>
                <w:szCs w:val="18"/>
                <w:highlight w:val="none"/>
              </w:rPr>
            </w:pPr>
          </w:p>
        </w:tc>
        <w:tc>
          <w:tcPr>
            <w:tcW w:w="883" w:type="dxa"/>
            <w:vMerge w:val="continue"/>
            <w:tcBorders>
              <w:left w:val="single" w:color="auto" w:sz="4" w:space="0"/>
              <w:right w:val="single" w:color="auto" w:sz="4" w:space="0"/>
            </w:tcBorders>
            <w:vAlign w:val="center"/>
          </w:tcPr>
          <w:p>
            <w:pPr>
              <w:widowControl/>
              <w:spacing w:line="240" w:lineRule="exact"/>
              <w:jc w:val="center"/>
              <w:rPr>
                <w:rFonts w:hint="eastAsia" w:ascii="宋体" w:hAnsi="宋体" w:eastAsia="宋体" w:cs="宋体"/>
                <w:color w:val="auto"/>
                <w:kern w:val="0"/>
                <w:sz w:val="18"/>
                <w:szCs w:val="18"/>
                <w:highlight w:val="none"/>
              </w:rPr>
            </w:pPr>
          </w:p>
        </w:tc>
        <w:tc>
          <w:tcPr>
            <w:tcW w:w="1722"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color w:val="auto"/>
                <w:kern w:val="0"/>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支持绒毛羊示范企业</w:t>
            </w:r>
          </w:p>
        </w:tc>
        <w:tc>
          <w:tcPr>
            <w:tcW w:w="855"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color w:val="auto"/>
                <w:kern w:val="0"/>
                <w:sz w:val="18"/>
                <w:szCs w:val="18"/>
                <w:highlight w:val="none"/>
              </w:rPr>
            </w:pPr>
            <w:r>
              <w:rPr>
                <w:rStyle w:val="54"/>
                <w:rFonts w:hint="eastAsia" w:ascii="宋体" w:hAnsi="宋体" w:eastAsia="宋体" w:cs="宋体"/>
                <w:color w:val="auto"/>
                <w:sz w:val="18"/>
                <w:szCs w:val="18"/>
                <w:highlight w:val="none"/>
                <w:lang w:val="en-US" w:eastAsia="zh-CN" w:bidi="ar"/>
              </w:rPr>
              <w:t>≥5</w:t>
            </w:r>
            <w:r>
              <w:rPr>
                <w:rStyle w:val="55"/>
                <w:rFonts w:hint="eastAsia" w:ascii="宋体" w:hAnsi="宋体" w:eastAsia="宋体" w:cs="宋体"/>
                <w:color w:val="auto"/>
                <w:sz w:val="18"/>
                <w:szCs w:val="18"/>
                <w:highlight w:val="none"/>
                <w:lang w:val="en-US" w:eastAsia="zh-CN" w:bidi="ar"/>
              </w:rPr>
              <w:t>个</w:t>
            </w:r>
          </w:p>
        </w:tc>
        <w:tc>
          <w:tcPr>
            <w:tcW w:w="885" w:type="dxa"/>
            <w:tcBorders>
              <w:top w:val="nil"/>
              <w:left w:val="nil"/>
              <w:bottom w:val="single" w:color="auto" w:sz="4" w:space="0"/>
              <w:right w:val="single" w:color="auto" w:sz="4" w:space="0"/>
            </w:tcBorders>
            <w:shd w:val="clear" w:color="auto" w:fill="auto"/>
            <w:vAlign w:val="center"/>
          </w:tcPr>
          <w:p>
            <w:pPr>
              <w:jc w:val="center"/>
              <w:rPr>
                <w:rFonts w:hint="default" w:ascii="宋体" w:hAnsi="宋体" w:eastAsia="宋体" w:cs="宋体"/>
                <w:color w:val="auto"/>
                <w:kern w:val="2"/>
                <w:sz w:val="18"/>
                <w:szCs w:val="18"/>
                <w:highlight w:val="none"/>
                <w:lang w:val="en-US" w:eastAsia="zh-CN" w:bidi="ar-SA"/>
              </w:rPr>
            </w:pPr>
            <w:r>
              <w:rPr>
                <w:rFonts w:hint="eastAsia" w:ascii="宋体" w:hAnsi="宋体" w:eastAsia="宋体" w:cs="宋体"/>
                <w:color w:val="auto"/>
                <w:kern w:val="2"/>
                <w:sz w:val="18"/>
                <w:szCs w:val="18"/>
                <w:highlight w:val="none"/>
                <w:lang w:val="en-US" w:eastAsia="zh-CN" w:bidi="ar-SA"/>
              </w:rPr>
              <w:t>5个</w:t>
            </w:r>
          </w:p>
        </w:tc>
        <w:tc>
          <w:tcPr>
            <w:tcW w:w="555" w:type="dxa"/>
            <w:tcBorders>
              <w:top w:val="nil"/>
              <w:left w:val="nil"/>
              <w:bottom w:val="single" w:color="auto" w:sz="4" w:space="0"/>
              <w:right w:val="single" w:color="auto" w:sz="4" w:space="0"/>
            </w:tcBorders>
            <w:shd w:val="clear" w:color="auto" w:fill="auto"/>
            <w:vAlign w:val="center"/>
          </w:tcPr>
          <w:p>
            <w:pPr>
              <w:jc w:val="center"/>
              <w:rPr>
                <w:rFonts w:hint="default" w:ascii="宋体" w:hAnsi="宋体" w:eastAsia="宋体" w:cs="宋体"/>
                <w:color w:val="auto"/>
                <w:kern w:val="2"/>
                <w:sz w:val="18"/>
                <w:szCs w:val="18"/>
                <w:highlight w:val="none"/>
                <w:lang w:val="en-US" w:eastAsia="zh-CN" w:bidi="ar-SA"/>
              </w:rPr>
            </w:pPr>
            <w:r>
              <w:rPr>
                <w:rFonts w:hint="eastAsia" w:ascii="宋体" w:hAnsi="宋体" w:eastAsia="宋体" w:cs="宋体"/>
                <w:color w:val="auto"/>
                <w:kern w:val="2"/>
                <w:sz w:val="18"/>
                <w:szCs w:val="18"/>
                <w:highlight w:val="none"/>
                <w:lang w:val="en-US" w:eastAsia="zh-CN" w:bidi="ar-SA"/>
              </w:rPr>
              <w:t>2.3</w:t>
            </w:r>
          </w:p>
        </w:tc>
        <w:tc>
          <w:tcPr>
            <w:tcW w:w="825"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hint="default" w:ascii="宋体" w:hAnsi="宋体" w:eastAsia="宋体" w:cs="宋体"/>
                <w:color w:val="auto"/>
                <w:kern w:val="0"/>
                <w:sz w:val="18"/>
                <w:szCs w:val="18"/>
                <w:highlight w:val="none"/>
                <w:lang w:val="en-US" w:eastAsia="zh-CN"/>
              </w:rPr>
            </w:pPr>
            <w:r>
              <w:rPr>
                <w:rFonts w:hint="eastAsia" w:ascii="宋体" w:hAnsi="宋体" w:eastAsia="宋体" w:cs="宋体"/>
                <w:color w:val="auto"/>
                <w:kern w:val="0"/>
                <w:sz w:val="18"/>
                <w:szCs w:val="18"/>
                <w:highlight w:val="none"/>
                <w:lang w:val="en-US" w:eastAsia="zh-CN"/>
              </w:rPr>
              <w:t>2.3</w:t>
            </w:r>
          </w:p>
        </w:tc>
        <w:tc>
          <w:tcPr>
            <w:tcW w:w="1943"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center"/>
              <w:rPr>
                <w:rFonts w:hint="eastAsia" w:ascii="宋体" w:hAnsi="宋体" w:eastAsia="宋体" w:cs="宋体"/>
                <w:color w:val="auto"/>
                <w:kern w:val="0"/>
                <w:sz w:val="18"/>
                <w:szCs w:val="18"/>
                <w:highlight w:val="none"/>
              </w:rPr>
            </w:pPr>
          </w:p>
        </w:tc>
      </w:tr>
      <w:tr>
        <w:tblPrEx>
          <w:tblLayout w:type="fixed"/>
          <w:tblCellMar>
            <w:top w:w="0" w:type="dxa"/>
            <w:left w:w="108" w:type="dxa"/>
            <w:bottom w:w="0" w:type="dxa"/>
            <w:right w:w="108" w:type="dxa"/>
          </w:tblCellMar>
        </w:tblPrEx>
        <w:trPr>
          <w:trHeight w:val="600" w:hRule="exact"/>
          <w:jc w:val="center"/>
        </w:trPr>
        <w:tc>
          <w:tcPr>
            <w:tcW w:w="396" w:type="dxa"/>
            <w:vMerge w:val="continue"/>
            <w:tcBorders>
              <w:left w:val="single" w:color="auto" w:sz="4" w:space="0"/>
              <w:right w:val="single" w:color="auto" w:sz="4" w:space="0"/>
            </w:tcBorders>
            <w:vAlign w:val="center"/>
          </w:tcPr>
          <w:p>
            <w:pPr>
              <w:widowControl/>
              <w:spacing w:line="240" w:lineRule="exact"/>
              <w:jc w:val="center"/>
              <w:rPr>
                <w:rFonts w:hint="eastAsia" w:ascii="宋体" w:hAnsi="宋体" w:eastAsia="宋体" w:cs="宋体"/>
                <w:color w:val="auto"/>
                <w:kern w:val="0"/>
                <w:sz w:val="18"/>
                <w:szCs w:val="18"/>
                <w:highlight w:val="none"/>
              </w:rPr>
            </w:pPr>
          </w:p>
        </w:tc>
        <w:tc>
          <w:tcPr>
            <w:tcW w:w="458" w:type="dxa"/>
            <w:vMerge w:val="continue"/>
            <w:tcBorders>
              <w:left w:val="single" w:color="auto" w:sz="4" w:space="0"/>
              <w:right w:val="single" w:color="auto" w:sz="4" w:space="0"/>
            </w:tcBorders>
            <w:vAlign w:val="center"/>
          </w:tcPr>
          <w:p>
            <w:pPr>
              <w:widowControl/>
              <w:spacing w:line="240" w:lineRule="exact"/>
              <w:jc w:val="center"/>
              <w:rPr>
                <w:rFonts w:hint="eastAsia" w:ascii="宋体" w:hAnsi="宋体" w:eastAsia="宋体" w:cs="宋体"/>
                <w:color w:val="auto"/>
                <w:kern w:val="0"/>
                <w:sz w:val="18"/>
                <w:szCs w:val="18"/>
                <w:highlight w:val="none"/>
              </w:rPr>
            </w:pPr>
          </w:p>
        </w:tc>
        <w:tc>
          <w:tcPr>
            <w:tcW w:w="883" w:type="dxa"/>
            <w:vMerge w:val="continue"/>
            <w:tcBorders>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eastAsia="宋体" w:cs="宋体"/>
                <w:color w:val="auto"/>
                <w:kern w:val="0"/>
                <w:sz w:val="18"/>
                <w:szCs w:val="18"/>
                <w:highlight w:val="none"/>
              </w:rPr>
            </w:pPr>
          </w:p>
        </w:tc>
        <w:tc>
          <w:tcPr>
            <w:tcW w:w="1722" w:type="dxa"/>
            <w:tcBorders>
              <w:top w:val="single" w:color="auto" w:sz="4" w:space="0"/>
              <w:left w:val="nil"/>
              <w:bottom w:val="single" w:color="auto" w:sz="4" w:space="0"/>
              <w:right w:val="single" w:color="auto" w:sz="4" w:space="0"/>
            </w:tcBorders>
            <w:vAlign w:val="center"/>
          </w:tcPr>
          <w:p>
            <w:pPr>
              <w:keepNext w:val="0"/>
              <w:keepLines w:val="0"/>
              <w:widowControl/>
              <w:suppressLineNumbers w:val="0"/>
              <w:jc w:val="left"/>
              <w:textAlignment w:val="center"/>
              <w:rPr>
                <w:rFonts w:hint="eastAsia" w:ascii="宋体" w:hAnsi="宋体" w:eastAsia="宋体" w:cs="宋体"/>
                <w:color w:val="auto"/>
                <w:kern w:val="0"/>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动物检疫电子出证系统出证覆盖率</w:t>
            </w:r>
          </w:p>
        </w:tc>
        <w:tc>
          <w:tcPr>
            <w:tcW w:w="855" w:type="dxa"/>
            <w:tcBorders>
              <w:top w:val="nil"/>
              <w:left w:val="nil"/>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color w:val="auto"/>
                <w:kern w:val="0"/>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100%</w:t>
            </w:r>
          </w:p>
        </w:tc>
        <w:tc>
          <w:tcPr>
            <w:tcW w:w="885" w:type="dxa"/>
            <w:tcBorders>
              <w:top w:val="nil"/>
              <w:left w:val="nil"/>
              <w:bottom w:val="single" w:color="auto" w:sz="4" w:space="0"/>
              <w:right w:val="single" w:color="auto" w:sz="4" w:space="0"/>
            </w:tcBorders>
            <w:vAlign w:val="center"/>
          </w:tcPr>
          <w:p>
            <w:pPr>
              <w:jc w:val="center"/>
              <w:rPr>
                <w:rFonts w:hint="default" w:ascii="宋体" w:hAnsi="宋体" w:eastAsia="宋体" w:cs="宋体"/>
                <w:color w:val="auto"/>
                <w:kern w:val="2"/>
                <w:sz w:val="18"/>
                <w:szCs w:val="18"/>
                <w:highlight w:val="none"/>
                <w:lang w:val="en-US" w:eastAsia="zh-CN" w:bidi="ar-SA"/>
              </w:rPr>
            </w:pPr>
            <w:r>
              <w:rPr>
                <w:rFonts w:hint="eastAsia" w:ascii="宋体" w:hAnsi="宋体" w:eastAsia="宋体" w:cs="宋体"/>
                <w:color w:val="auto"/>
                <w:kern w:val="2"/>
                <w:sz w:val="18"/>
                <w:szCs w:val="18"/>
                <w:highlight w:val="none"/>
                <w:lang w:val="en-US" w:eastAsia="zh-CN" w:bidi="ar-SA"/>
              </w:rPr>
              <w:t>100%</w:t>
            </w:r>
          </w:p>
        </w:tc>
        <w:tc>
          <w:tcPr>
            <w:tcW w:w="555" w:type="dxa"/>
            <w:tcBorders>
              <w:top w:val="nil"/>
              <w:left w:val="nil"/>
              <w:bottom w:val="single" w:color="auto" w:sz="4" w:space="0"/>
              <w:right w:val="single" w:color="auto" w:sz="4" w:space="0"/>
            </w:tcBorders>
            <w:vAlign w:val="center"/>
          </w:tcPr>
          <w:p>
            <w:pPr>
              <w:jc w:val="center"/>
              <w:rPr>
                <w:rFonts w:hint="default" w:ascii="宋体" w:hAnsi="宋体" w:eastAsia="宋体" w:cs="宋体"/>
                <w:color w:val="auto"/>
                <w:kern w:val="2"/>
                <w:sz w:val="18"/>
                <w:szCs w:val="18"/>
                <w:highlight w:val="none"/>
                <w:lang w:val="en-US" w:eastAsia="zh-CN" w:bidi="ar-SA"/>
              </w:rPr>
            </w:pPr>
            <w:r>
              <w:rPr>
                <w:rFonts w:hint="eastAsia" w:ascii="宋体" w:hAnsi="宋体" w:eastAsia="宋体" w:cs="宋体"/>
                <w:color w:val="auto"/>
                <w:kern w:val="2"/>
                <w:sz w:val="18"/>
                <w:szCs w:val="18"/>
                <w:highlight w:val="none"/>
                <w:lang w:val="en-US" w:eastAsia="zh-CN" w:bidi="ar-SA"/>
              </w:rPr>
              <w:t>2.3</w:t>
            </w:r>
          </w:p>
        </w:tc>
        <w:tc>
          <w:tcPr>
            <w:tcW w:w="825" w:type="dxa"/>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color w:val="auto"/>
                <w:kern w:val="0"/>
                <w:sz w:val="18"/>
                <w:szCs w:val="18"/>
                <w:highlight w:val="none"/>
                <w:lang w:val="en-US" w:eastAsia="zh-CN"/>
              </w:rPr>
            </w:pPr>
            <w:r>
              <w:rPr>
                <w:rFonts w:hint="eastAsia" w:ascii="宋体" w:hAnsi="宋体" w:eastAsia="宋体" w:cs="宋体"/>
                <w:color w:val="auto"/>
                <w:kern w:val="0"/>
                <w:sz w:val="18"/>
                <w:szCs w:val="18"/>
                <w:highlight w:val="none"/>
                <w:lang w:val="en-US" w:eastAsia="zh-CN"/>
              </w:rPr>
              <w:t>2.3</w:t>
            </w:r>
          </w:p>
        </w:tc>
        <w:tc>
          <w:tcPr>
            <w:tcW w:w="1943"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color w:val="auto"/>
                <w:kern w:val="0"/>
                <w:sz w:val="18"/>
                <w:szCs w:val="18"/>
                <w:highlight w:val="none"/>
              </w:rPr>
            </w:pPr>
          </w:p>
        </w:tc>
      </w:tr>
      <w:tr>
        <w:tblPrEx>
          <w:tblLayout w:type="fixed"/>
          <w:tblCellMar>
            <w:top w:w="0" w:type="dxa"/>
            <w:left w:w="108" w:type="dxa"/>
            <w:bottom w:w="0" w:type="dxa"/>
            <w:right w:w="108" w:type="dxa"/>
          </w:tblCellMar>
        </w:tblPrEx>
        <w:trPr>
          <w:trHeight w:val="1951" w:hRule="exact"/>
          <w:jc w:val="center"/>
        </w:trPr>
        <w:tc>
          <w:tcPr>
            <w:tcW w:w="396" w:type="dxa"/>
            <w:vMerge w:val="continue"/>
            <w:tcBorders>
              <w:left w:val="single" w:color="auto" w:sz="4" w:space="0"/>
              <w:right w:val="single" w:color="auto" w:sz="4" w:space="0"/>
            </w:tcBorders>
            <w:vAlign w:val="center"/>
          </w:tcPr>
          <w:p>
            <w:pPr>
              <w:widowControl/>
              <w:spacing w:line="240" w:lineRule="exact"/>
              <w:jc w:val="center"/>
              <w:rPr>
                <w:rFonts w:hint="eastAsia" w:ascii="宋体" w:hAnsi="宋体" w:eastAsia="宋体" w:cs="宋体"/>
                <w:color w:val="auto"/>
                <w:kern w:val="0"/>
                <w:sz w:val="18"/>
                <w:szCs w:val="18"/>
                <w:highlight w:val="none"/>
              </w:rPr>
            </w:pPr>
          </w:p>
        </w:tc>
        <w:tc>
          <w:tcPr>
            <w:tcW w:w="458" w:type="dxa"/>
            <w:vMerge w:val="continue"/>
            <w:tcBorders>
              <w:left w:val="single" w:color="auto" w:sz="4" w:space="0"/>
              <w:right w:val="single" w:color="auto" w:sz="4" w:space="0"/>
            </w:tcBorders>
            <w:vAlign w:val="center"/>
          </w:tcPr>
          <w:p>
            <w:pPr>
              <w:widowControl/>
              <w:spacing w:line="240" w:lineRule="exact"/>
              <w:jc w:val="center"/>
              <w:rPr>
                <w:rFonts w:hint="eastAsia" w:ascii="宋体" w:hAnsi="宋体" w:eastAsia="宋体" w:cs="宋体"/>
                <w:color w:val="auto"/>
                <w:kern w:val="0"/>
                <w:sz w:val="18"/>
                <w:szCs w:val="18"/>
                <w:highlight w:val="none"/>
              </w:rPr>
            </w:pPr>
          </w:p>
        </w:tc>
        <w:tc>
          <w:tcPr>
            <w:tcW w:w="883"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质量指标</w:t>
            </w:r>
          </w:p>
        </w:tc>
        <w:tc>
          <w:tcPr>
            <w:tcW w:w="1722" w:type="dxa"/>
            <w:tcBorders>
              <w:top w:val="single" w:color="auto" w:sz="4" w:space="0"/>
              <w:left w:val="nil"/>
              <w:bottom w:val="single" w:color="auto" w:sz="4" w:space="0"/>
              <w:right w:val="single" w:color="auto" w:sz="4" w:space="0"/>
            </w:tcBorders>
            <w:vAlign w:val="center"/>
          </w:tcPr>
          <w:p>
            <w:pPr>
              <w:keepNext w:val="0"/>
              <w:keepLines w:val="0"/>
              <w:widowControl/>
              <w:suppressLineNumbers w:val="0"/>
              <w:jc w:val="left"/>
              <w:textAlignment w:val="center"/>
              <w:rPr>
                <w:rFonts w:hint="eastAsia" w:ascii="宋体" w:hAnsi="宋体" w:eastAsia="宋体" w:cs="宋体"/>
                <w:color w:val="auto"/>
                <w:kern w:val="0"/>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保种场（保护区、基因库)的保种建设任务完成率</w:t>
            </w:r>
          </w:p>
        </w:tc>
        <w:tc>
          <w:tcPr>
            <w:tcW w:w="855" w:type="dxa"/>
            <w:tcBorders>
              <w:top w:val="nil"/>
              <w:left w:val="nil"/>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color w:val="auto"/>
                <w:kern w:val="0"/>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≥80%</w:t>
            </w:r>
          </w:p>
        </w:tc>
        <w:tc>
          <w:tcPr>
            <w:tcW w:w="885" w:type="dxa"/>
            <w:tcBorders>
              <w:top w:val="nil"/>
              <w:left w:val="nil"/>
              <w:bottom w:val="single" w:color="auto" w:sz="4" w:space="0"/>
              <w:right w:val="single" w:color="auto" w:sz="4" w:space="0"/>
            </w:tcBorders>
            <w:vAlign w:val="center"/>
          </w:tcPr>
          <w:p>
            <w:pPr>
              <w:widowControl/>
              <w:jc w:val="center"/>
              <w:textAlignment w:val="center"/>
              <w:rPr>
                <w:rFonts w:hint="default" w:ascii="宋体" w:hAnsi="宋体" w:eastAsia="宋体" w:cs="宋体"/>
                <w:color w:val="auto"/>
                <w:kern w:val="2"/>
                <w:sz w:val="18"/>
                <w:szCs w:val="18"/>
                <w:highlight w:val="none"/>
                <w:lang w:val="en-US" w:eastAsia="zh-CN" w:bidi="ar-SA"/>
              </w:rPr>
            </w:pPr>
            <w:r>
              <w:rPr>
                <w:rFonts w:hint="eastAsia" w:ascii="宋体" w:hAnsi="宋体" w:eastAsia="宋体" w:cs="宋体"/>
                <w:color w:val="auto"/>
                <w:kern w:val="2"/>
                <w:sz w:val="18"/>
                <w:szCs w:val="18"/>
                <w:highlight w:val="none"/>
                <w:lang w:val="en-US" w:eastAsia="zh-CN" w:bidi="ar-SA"/>
              </w:rPr>
              <w:t>90%</w:t>
            </w:r>
          </w:p>
        </w:tc>
        <w:tc>
          <w:tcPr>
            <w:tcW w:w="555" w:type="dxa"/>
            <w:tcBorders>
              <w:top w:val="nil"/>
              <w:left w:val="nil"/>
              <w:bottom w:val="single" w:color="auto" w:sz="4" w:space="0"/>
              <w:right w:val="single" w:color="auto" w:sz="4" w:space="0"/>
            </w:tcBorders>
            <w:vAlign w:val="center"/>
          </w:tcPr>
          <w:p>
            <w:pPr>
              <w:jc w:val="center"/>
              <w:rPr>
                <w:rFonts w:hint="default" w:ascii="宋体" w:hAnsi="宋体" w:eastAsia="宋体" w:cs="宋体"/>
                <w:color w:val="auto"/>
                <w:kern w:val="2"/>
                <w:sz w:val="18"/>
                <w:szCs w:val="18"/>
                <w:highlight w:val="none"/>
                <w:lang w:val="en-US" w:eastAsia="zh-CN" w:bidi="ar-SA"/>
              </w:rPr>
            </w:pPr>
            <w:r>
              <w:rPr>
                <w:rFonts w:hint="eastAsia" w:ascii="宋体" w:hAnsi="宋体" w:eastAsia="宋体" w:cs="宋体"/>
                <w:color w:val="auto"/>
                <w:kern w:val="2"/>
                <w:sz w:val="18"/>
                <w:szCs w:val="18"/>
                <w:highlight w:val="none"/>
                <w:lang w:val="en-US" w:eastAsia="zh-CN" w:bidi="ar-SA"/>
              </w:rPr>
              <w:t>2.3</w:t>
            </w:r>
          </w:p>
        </w:tc>
        <w:tc>
          <w:tcPr>
            <w:tcW w:w="825" w:type="dxa"/>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color w:val="auto"/>
                <w:kern w:val="0"/>
                <w:sz w:val="18"/>
                <w:szCs w:val="18"/>
                <w:highlight w:val="none"/>
                <w:lang w:val="en-US" w:eastAsia="zh-CN"/>
              </w:rPr>
            </w:pPr>
            <w:r>
              <w:rPr>
                <w:rFonts w:hint="eastAsia" w:ascii="宋体" w:hAnsi="宋体" w:eastAsia="宋体" w:cs="宋体"/>
                <w:color w:val="auto"/>
                <w:kern w:val="0"/>
                <w:sz w:val="18"/>
                <w:szCs w:val="18"/>
                <w:highlight w:val="none"/>
                <w:lang w:val="en-US" w:eastAsia="zh-CN"/>
              </w:rPr>
              <w:t>2.3</w:t>
            </w:r>
          </w:p>
        </w:tc>
        <w:tc>
          <w:tcPr>
            <w:tcW w:w="1943"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color w:val="auto"/>
                <w:kern w:val="0"/>
                <w:sz w:val="18"/>
                <w:szCs w:val="18"/>
                <w:highlight w:val="none"/>
                <w:lang w:eastAsia="zh-CN"/>
              </w:rPr>
            </w:pPr>
            <w:r>
              <w:rPr>
                <w:rFonts w:hint="eastAsia" w:ascii="宋体" w:hAnsi="宋体" w:eastAsia="宋体" w:cs="宋体"/>
                <w:color w:val="auto"/>
                <w:kern w:val="0"/>
                <w:sz w:val="18"/>
                <w:szCs w:val="18"/>
                <w:highlight w:val="none"/>
                <w:lang w:val="en-US" w:eastAsia="zh-Hans"/>
              </w:rPr>
              <w:t>偏差原因：</w:t>
            </w:r>
            <w:r>
              <w:rPr>
                <w:rFonts w:hint="eastAsia" w:ascii="宋体" w:hAnsi="宋体" w:eastAsia="宋体" w:cs="宋体"/>
                <w:color w:val="auto"/>
                <w:kern w:val="0"/>
                <w:sz w:val="18"/>
                <w:szCs w:val="18"/>
                <w:highlight w:val="none"/>
                <w:lang w:eastAsia="zh-CN"/>
              </w:rPr>
              <w:t>项目确定的14家保种场（保护区、基因库）积极推进工作，任务完成略高于预期。</w:t>
            </w:r>
            <w:r>
              <w:rPr>
                <w:rFonts w:hint="eastAsia" w:ascii="宋体" w:hAnsi="宋体" w:eastAsia="宋体" w:cs="宋体"/>
                <w:color w:val="auto"/>
                <w:kern w:val="0"/>
                <w:sz w:val="18"/>
                <w:szCs w:val="18"/>
                <w:highlight w:val="none"/>
                <w:lang w:val="en-US" w:eastAsia="zh-Hans"/>
              </w:rPr>
              <w:t>改进措施：</w:t>
            </w:r>
            <w:r>
              <w:rPr>
                <w:rFonts w:hint="eastAsia" w:ascii="宋体" w:hAnsi="宋体" w:eastAsia="宋体" w:cs="宋体"/>
                <w:color w:val="auto"/>
                <w:kern w:val="0"/>
                <w:sz w:val="18"/>
                <w:szCs w:val="18"/>
                <w:highlight w:val="none"/>
                <w:lang w:eastAsia="zh-CN"/>
              </w:rPr>
              <w:t>后期设置绩效目标值会结合往年数据，更加精确设置。</w:t>
            </w:r>
          </w:p>
        </w:tc>
      </w:tr>
      <w:tr>
        <w:tblPrEx>
          <w:tblLayout w:type="fixed"/>
          <w:tblCellMar>
            <w:top w:w="0" w:type="dxa"/>
            <w:left w:w="108" w:type="dxa"/>
            <w:bottom w:w="0" w:type="dxa"/>
            <w:right w:w="108" w:type="dxa"/>
          </w:tblCellMar>
        </w:tblPrEx>
        <w:trPr>
          <w:trHeight w:val="586" w:hRule="exact"/>
          <w:jc w:val="center"/>
        </w:trPr>
        <w:tc>
          <w:tcPr>
            <w:tcW w:w="396" w:type="dxa"/>
            <w:vMerge w:val="continue"/>
            <w:tcBorders>
              <w:left w:val="single" w:color="auto" w:sz="4" w:space="0"/>
              <w:right w:val="single" w:color="auto" w:sz="4" w:space="0"/>
            </w:tcBorders>
            <w:vAlign w:val="center"/>
          </w:tcPr>
          <w:p>
            <w:pPr>
              <w:widowControl/>
              <w:spacing w:line="240" w:lineRule="exact"/>
              <w:jc w:val="center"/>
              <w:rPr>
                <w:rFonts w:hint="eastAsia" w:ascii="宋体" w:hAnsi="宋体" w:eastAsia="宋体" w:cs="宋体"/>
                <w:color w:val="auto"/>
                <w:kern w:val="0"/>
                <w:sz w:val="18"/>
                <w:szCs w:val="18"/>
                <w:highlight w:val="none"/>
              </w:rPr>
            </w:pPr>
          </w:p>
        </w:tc>
        <w:tc>
          <w:tcPr>
            <w:tcW w:w="458" w:type="dxa"/>
            <w:vMerge w:val="continue"/>
            <w:tcBorders>
              <w:left w:val="single" w:color="auto" w:sz="4" w:space="0"/>
              <w:right w:val="single" w:color="auto" w:sz="4" w:space="0"/>
            </w:tcBorders>
            <w:vAlign w:val="center"/>
          </w:tcPr>
          <w:p>
            <w:pPr>
              <w:widowControl/>
              <w:spacing w:line="240" w:lineRule="exact"/>
              <w:jc w:val="center"/>
              <w:rPr>
                <w:rFonts w:hint="eastAsia" w:ascii="宋体" w:hAnsi="宋体" w:eastAsia="宋体" w:cs="宋体"/>
                <w:color w:val="auto"/>
                <w:kern w:val="0"/>
                <w:sz w:val="18"/>
                <w:szCs w:val="18"/>
                <w:highlight w:val="none"/>
              </w:rPr>
            </w:pPr>
          </w:p>
        </w:tc>
        <w:tc>
          <w:tcPr>
            <w:tcW w:w="88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eastAsia="宋体" w:cs="宋体"/>
                <w:color w:val="auto"/>
                <w:kern w:val="0"/>
                <w:sz w:val="18"/>
                <w:szCs w:val="18"/>
                <w:highlight w:val="none"/>
              </w:rPr>
            </w:pPr>
          </w:p>
        </w:tc>
        <w:tc>
          <w:tcPr>
            <w:tcW w:w="1722" w:type="dxa"/>
            <w:tcBorders>
              <w:top w:val="single" w:color="auto" w:sz="4" w:space="0"/>
              <w:left w:val="nil"/>
              <w:bottom w:val="single" w:color="auto" w:sz="4" w:space="0"/>
              <w:right w:val="single" w:color="auto" w:sz="4" w:space="0"/>
            </w:tcBorders>
            <w:vAlign w:val="center"/>
          </w:tcPr>
          <w:p>
            <w:pPr>
              <w:keepNext w:val="0"/>
              <w:keepLines w:val="0"/>
              <w:widowControl/>
              <w:suppressLineNumbers w:val="0"/>
              <w:jc w:val="left"/>
              <w:textAlignment w:val="center"/>
              <w:rPr>
                <w:rFonts w:hint="eastAsia" w:ascii="宋体" w:hAnsi="宋体" w:eastAsia="宋体" w:cs="宋体"/>
                <w:color w:val="auto"/>
                <w:kern w:val="0"/>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畜产品质量监测结果准确率</w:t>
            </w:r>
          </w:p>
        </w:tc>
        <w:tc>
          <w:tcPr>
            <w:tcW w:w="855" w:type="dxa"/>
            <w:tcBorders>
              <w:top w:val="nil"/>
              <w:left w:val="nil"/>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color w:val="auto"/>
                <w:kern w:val="0"/>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≥98%</w:t>
            </w:r>
          </w:p>
        </w:tc>
        <w:tc>
          <w:tcPr>
            <w:tcW w:w="885" w:type="dxa"/>
            <w:tcBorders>
              <w:top w:val="nil"/>
              <w:left w:val="nil"/>
              <w:bottom w:val="single" w:color="auto" w:sz="4" w:space="0"/>
              <w:right w:val="single" w:color="auto" w:sz="4" w:space="0"/>
            </w:tcBorders>
            <w:vAlign w:val="center"/>
          </w:tcPr>
          <w:p>
            <w:pPr>
              <w:jc w:val="center"/>
              <w:rPr>
                <w:rFonts w:hint="eastAsia" w:ascii="宋体" w:hAnsi="宋体" w:eastAsia="宋体" w:cs="宋体"/>
                <w:color w:val="auto"/>
                <w:kern w:val="2"/>
                <w:sz w:val="18"/>
                <w:szCs w:val="18"/>
                <w:highlight w:val="none"/>
                <w:lang w:val="en-US" w:eastAsia="zh-CN" w:bidi="ar-SA"/>
              </w:rPr>
            </w:pPr>
            <w:r>
              <w:rPr>
                <w:rFonts w:hint="eastAsia" w:ascii="宋体" w:hAnsi="宋体" w:eastAsia="宋体" w:cs="宋体"/>
                <w:color w:val="auto"/>
                <w:kern w:val="0"/>
                <w:sz w:val="18"/>
                <w:szCs w:val="18"/>
                <w:highlight w:val="none"/>
                <w:lang w:val="en-US" w:eastAsia="zh-CN" w:bidi="ar"/>
              </w:rPr>
              <w:t>100%</w:t>
            </w:r>
          </w:p>
        </w:tc>
        <w:tc>
          <w:tcPr>
            <w:tcW w:w="555" w:type="dxa"/>
            <w:tcBorders>
              <w:top w:val="nil"/>
              <w:left w:val="nil"/>
              <w:bottom w:val="single" w:color="auto" w:sz="4" w:space="0"/>
              <w:right w:val="single" w:color="auto" w:sz="4" w:space="0"/>
            </w:tcBorders>
            <w:vAlign w:val="center"/>
          </w:tcPr>
          <w:p>
            <w:pPr>
              <w:jc w:val="center"/>
              <w:rPr>
                <w:rFonts w:hint="default" w:ascii="宋体" w:hAnsi="宋体" w:eastAsia="宋体" w:cs="宋体"/>
                <w:color w:val="auto"/>
                <w:kern w:val="2"/>
                <w:sz w:val="18"/>
                <w:szCs w:val="18"/>
                <w:highlight w:val="none"/>
                <w:lang w:val="en-US" w:eastAsia="zh-CN" w:bidi="ar-SA"/>
              </w:rPr>
            </w:pPr>
            <w:r>
              <w:rPr>
                <w:rFonts w:hint="eastAsia" w:ascii="宋体" w:hAnsi="宋体" w:eastAsia="宋体" w:cs="宋体"/>
                <w:color w:val="auto"/>
                <w:kern w:val="2"/>
                <w:sz w:val="18"/>
                <w:szCs w:val="18"/>
                <w:highlight w:val="none"/>
                <w:lang w:val="en-US" w:eastAsia="zh-CN" w:bidi="ar-SA"/>
              </w:rPr>
              <w:t>2.3</w:t>
            </w:r>
          </w:p>
        </w:tc>
        <w:tc>
          <w:tcPr>
            <w:tcW w:w="825" w:type="dxa"/>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color w:val="auto"/>
                <w:kern w:val="0"/>
                <w:sz w:val="18"/>
                <w:szCs w:val="18"/>
                <w:highlight w:val="none"/>
                <w:lang w:val="en-US" w:eastAsia="zh-CN"/>
              </w:rPr>
            </w:pPr>
            <w:r>
              <w:rPr>
                <w:rFonts w:hint="eastAsia" w:ascii="宋体" w:hAnsi="宋体" w:eastAsia="宋体" w:cs="宋体"/>
                <w:color w:val="auto"/>
                <w:kern w:val="0"/>
                <w:sz w:val="18"/>
                <w:szCs w:val="18"/>
                <w:highlight w:val="none"/>
                <w:lang w:val="en-US" w:eastAsia="zh-CN"/>
              </w:rPr>
              <w:t>2.3</w:t>
            </w:r>
          </w:p>
        </w:tc>
        <w:tc>
          <w:tcPr>
            <w:tcW w:w="1943" w:type="dxa"/>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color w:val="auto"/>
                <w:kern w:val="2"/>
                <w:sz w:val="18"/>
                <w:szCs w:val="18"/>
                <w:highlight w:val="none"/>
                <w:lang w:val="en-US" w:eastAsia="zh-CN" w:bidi="ar-SA"/>
              </w:rPr>
            </w:pPr>
            <w:r>
              <w:rPr>
                <w:rFonts w:hint="eastAsia" w:ascii="宋体" w:hAnsi="宋体" w:eastAsia="宋体" w:cs="宋体"/>
                <w:color w:val="auto"/>
                <w:kern w:val="0"/>
                <w:sz w:val="18"/>
                <w:szCs w:val="18"/>
                <w:highlight w:val="none"/>
                <w:lang w:val="en-US" w:eastAsia="zh-CN" w:bidi="ar"/>
              </w:rPr>
              <w:t>本年度未出现复核样品。</w:t>
            </w:r>
          </w:p>
        </w:tc>
      </w:tr>
      <w:tr>
        <w:tblPrEx>
          <w:tblLayout w:type="fixed"/>
          <w:tblCellMar>
            <w:top w:w="0" w:type="dxa"/>
            <w:left w:w="108" w:type="dxa"/>
            <w:bottom w:w="0" w:type="dxa"/>
            <w:right w:w="108" w:type="dxa"/>
          </w:tblCellMar>
        </w:tblPrEx>
        <w:trPr>
          <w:trHeight w:val="615" w:hRule="exact"/>
          <w:jc w:val="center"/>
        </w:trPr>
        <w:tc>
          <w:tcPr>
            <w:tcW w:w="396" w:type="dxa"/>
            <w:vMerge w:val="continue"/>
            <w:tcBorders>
              <w:left w:val="single" w:color="auto" w:sz="4" w:space="0"/>
              <w:right w:val="single" w:color="auto" w:sz="4" w:space="0"/>
            </w:tcBorders>
            <w:vAlign w:val="center"/>
          </w:tcPr>
          <w:p>
            <w:pPr>
              <w:widowControl/>
              <w:spacing w:line="240" w:lineRule="exact"/>
              <w:jc w:val="center"/>
              <w:rPr>
                <w:rFonts w:hint="eastAsia" w:ascii="宋体" w:hAnsi="宋体" w:eastAsia="宋体" w:cs="宋体"/>
                <w:color w:val="auto"/>
                <w:kern w:val="0"/>
                <w:sz w:val="18"/>
                <w:szCs w:val="18"/>
                <w:highlight w:val="none"/>
              </w:rPr>
            </w:pPr>
          </w:p>
        </w:tc>
        <w:tc>
          <w:tcPr>
            <w:tcW w:w="458" w:type="dxa"/>
            <w:vMerge w:val="continue"/>
            <w:tcBorders>
              <w:left w:val="single" w:color="auto" w:sz="4" w:space="0"/>
              <w:right w:val="single" w:color="auto" w:sz="4" w:space="0"/>
            </w:tcBorders>
            <w:vAlign w:val="center"/>
          </w:tcPr>
          <w:p>
            <w:pPr>
              <w:widowControl/>
              <w:spacing w:line="240" w:lineRule="exact"/>
              <w:jc w:val="center"/>
              <w:rPr>
                <w:rFonts w:hint="eastAsia" w:ascii="宋体" w:hAnsi="宋体" w:eastAsia="宋体" w:cs="宋体"/>
                <w:color w:val="auto"/>
                <w:kern w:val="0"/>
                <w:sz w:val="18"/>
                <w:szCs w:val="18"/>
                <w:highlight w:val="none"/>
              </w:rPr>
            </w:pPr>
          </w:p>
        </w:tc>
        <w:tc>
          <w:tcPr>
            <w:tcW w:w="88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eastAsia="宋体" w:cs="宋体"/>
                <w:color w:val="auto"/>
                <w:kern w:val="0"/>
                <w:sz w:val="18"/>
                <w:szCs w:val="18"/>
                <w:highlight w:val="none"/>
              </w:rPr>
            </w:pPr>
          </w:p>
        </w:tc>
        <w:tc>
          <w:tcPr>
            <w:tcW w:w="1722" w:type="dxa"/>
            <w:tcBorders>
              <w:top w:val="single" w:color="auto" w:sz="4" w:space="0"/>
              <w:left w:val="nil"/>
              <w:bottom w:val="single" w:color="auto" w:sz="4" w:space="0"/>
              <w:right w:val="single" w:color="auto" w:sz="4" w:space="0"/>
            </w:tcBorders>
            <w:vAlign w:val="center"/>
          </w:tcPr>
          <w:p>
            <w:pPr>
              <w:keepNext w:val="0"/>
              <w:keepLines w:val="0"/>
              <w:widowControl/>
              <w:suppressLineNumbers w:val="0"/>
              <w:jc w:val="left"/>
              <w:textAlignment w:val="center"/>
              <w:rPr>
                <w:rFonts w:hint="eastAsia" w:ascii="宋体" w:hAnsi="宋体" w:eastAsia="宋体" w:cs="宋体"/>
                <w:color w:val="auto"/>
                <w:kern w:val="0"/>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畜禽产品定量检测全年合格率</w:t>
            </w:r>
          </w:p>
        </w:tc>
        <w:tc>
          <w:tcPr>
            <w:tcW w:w="855" w:type="dxa"/>
            <w:tcBorders>
              <w:top w:val="nil"/>
              <w:left w:val="nil"/>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color w:val="auto"/>
                <w:kern w:val="0"/>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≥96%</w:t>
            </w:r>
          </w:p>
        </w:tc>
        <w:tc>
          <w:tcPr>
            <w:tcW w:w="885" w:type="dxa"/>
            <w:tcBorders>
              <w:top w:val="nil"/>
              <w:left w:val="nil"/>
              <w:bottom w:val="single" w:color="auto" w:sz="4" w:space="0"/>
              <w:right w:val="single" w:color="auto" w:sz="4" w:space="0"/>
            </w:tcBorders>
            <w:vAlign w:val="center"/>
          </w:tcPr>
          <w:p>
            <w:pPr>
              <w:jc w:val="center"/>
              <w:rPr>
                <w:rFonts w:hint="eastAsia" w:ascii="宋体" w:hAnsi="宋体" w:eastAsia="宋体" w:cs="宋体"/>
                <w:color w:val="auto"/>
                <w:kern w:val="2"/>
                <w:sz w:val="18"/>
                <w:szCs w:val="18"/>
                <w:highlight w:val="none"/>
                <w:lang w:val="en-US" w:eastAsia="zh-CN" w:bidi="ar-SA"/>
              </w:rPr>
            </w:pPr>
            <w:r>
              <w:rPr>
                <w:rFonts w:hint="eastAsia" w:ascii="宋体" w:hAnsi="宋体" w:eastAsia="宋体" w:cs="宋体"/>
                <w:color w:val="auto"/>
                <w:kern w:val="0"/>
                <w:sz w:val="18"/>
                <w:szCs w:val="18"/>
                <w:highlight w:val="none"/>
                <w:lang w:val="en-US" w:eastAsia="zh-CN" w:bidi="ar"/>
              </w:rPr>
              <w:t>100%</w:t>
            </w:r>
          </w:p>
        </w:tc>
        <w:tc>
          <w:tcPr>
            <w:tcW w:w="555" w:type="dxa"/>
            <w:tcBorders>
              <w:top w:val="nil"/>
              <w:left w:val="nil"/>
              <w:bottom w:val="single" w:color="auto" w:sz="4" w:space="0"/>
              <w:right w:val="single" w:color="auto" w:sz="4" w:space="0"/>
            </w:tcBorders>
            <w:vAlign w:val="center"/>
          </w:tcPr>
          <w:p>
            <w:pPr>
              <w:jc w:val="center"/>
              <w:rPr>
                <w:rFonts w:hint="default" w:ascii="宋体" w:hAnsi="宋体" w:eastAsia="宋体" w:cs="宋体"/>
                <w:color w:val="auto"/>
                <w:kern w:val="2"/>
                <w:sz w:val="18"/>
                <w:szCs w:val="18"/>
                <w:highlight w:val="none"/>
                <w:lang w:val="en-US" w:eastAsia="zh-CN" w:bidi="ar-SA"/>
              </w:rPr>
            </w:pPr>
            <w:r>
              <w:rPr>
                <w:rFonts w:hint="eastAsia" w:ascii="宋体" w:hAnsi="宋体" w:eastAsia="宋体" w:cs="宋体"/>
                <w:color w:val="auto"/>
                <w:kern w:val="2"/>
                <w:sz w:val="18"/>
                <w:szCs w:val="18"/>
                <w:highlight w:val="none"/>
                <w:lang w:val="en-US" w:eastAsia="zh-CN" w:bidi="ar-SA"/>
              </w:rPr>
              <w:t>2.3</w:t>
            </w:r>
          </w:p>
        </w:tc>
        <w:tc>
          <w:tcPr>
            <w:tcW w:w="825" w:type="dxa"/>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color w:val="auto"/>
                <w:kern w:val="0"/>
                <w:sz w:val="18"/>
                <w:szCs w:val="18"/>
                <w:highlight w:val="none"/>
                <w:lang w:val="en-US" w:eastAsia="zh-CN"/>
              </w:rPr>
            </w:pPr>
            <w:r>
              <w:rPr>
                <w:rFonts w:hint="eastAsia" w:ascii="宋体" w:hAnsi="宋体" w:eastAsia="宋体" w:cs="宋体"/>
                <w:color w:val="auto"/>
                <w:kern w:val="0"/>
                <w:sz w:val="18"/>
                <w:szCs w:val="18"/>
                <w:highlight w:val="none"/>
                <w:lang w:val="en-US" w:eastAsia="zh-CN"/>
              </w:rPr>
              <w:t>2.3</w:t>
            </w:r>
          </w:p>
        </w:tc>
        <w:tc>
          <w:tcPr>
            <w:tcW w:w="1943" w:type="dxa"/>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color w:val="auto"/>
                <w:kern w:val="2"/>
                <w:sz w:val="18"/>
                <w:szCs w:val="18"/>
                <w:highlight w:val="none"/>
                <w:lang w:val="en-US" w:eastAsia="zh-CN" w:bidi="ar-SA"/>
              </w:rPr>
            </w:pPr>
            <w:r>
              <w:rPr>
                <w:rFonts w:hint="eastAsia" w:ascii="宋体" w:hAnsi="宋体" w:eastAsia="宋体" w:cs="宋体"/>
                <w:color w:val="auto"/>
                <w:kern w:val="0"/>
                <w:sz w:val="18"/>
                <w:szCs w:val="18"/>
                <w:highlight w:val="none"/>
                <w:lang w:val="en-US" w:eastAsia="zh-CN" w:bidi="ar"/>
              </w:rPr>
              <w:t>全年未检出不合格产品。</w:t>
            </w:r>
          </w:p>
        </w:tc>
      </w:tr>
      <w:tr>
        <w:tblPrEx>
          <w:tblLayout w:type="fixed"/>
          <w:tblCellMar>
            <w:top w:w="0" w:type="dxa"/>
            <w:left w:w="108" w:type="dxa"/>
            <w:bottom w:w="0" w:type="dxa"/>
            <w:right w:w="108" w:type="dxa"/>
          </w:tblCellMar>
        </w:tblPrEx>
        <w:trPr>
          <w:trHeight w:val="615" w:hRule="exact"/>
          <w:jc w:val="center"/>
        </w:trPr>
        <w:tc>
          <w:tcPr>
            <w:tcW w:w="396" w:type="dxa"/>
            <w:vMerge w:val="continue"/>
            <w:tcBorders>
              <w:left w:val="single" w:color="auto" w:sz="4" w:space="0"/>
              <w:right w:val="single" w:color="auto" w:sz="4" w:space="0"/>
            </w:tcBorders>
            <w:vAlign w:val="center"/>
          </w:tcPr>
          <w:p>
            <w:pPr>
              <w:widowControl/>
              <w:spacing w:line="240" w:lineRule="exact"/>
              <w:jc w:val="center"/>
              <w:rPr>
                <w:rFonts w:hint="eastAsia" w:ascii="宋体" w:hAnsi="宋体" w:eastAsia="宋体" w:cs="宋体"/>
                <w:color w:val="auto"/>
                <w:kern w:val="0"/>
                <w:sz w:val="18"/>
                <w:szCs w:val="18"/>
                <w:highlight w:val="none"/>
              </w:rPr>
            </w:pPr>
          </w:p>
        </w:tc>
        <w:tc>
          <w:tcPr>
            <w:tcW w:w="458" w:type="dxa"/>
            <w:vMerge w:val="continue"/>
            <w:tcBorders>
              <w:left w:val="single" w:color="auto" w:sz="4" w:space="0"/>
              <w:right w:val="single" w:color="auto" w:sz="4" w:space="0"/>
            </w:tcBorders>
            <w:vAlign w:val="center"/>
          </w:tcPr>
          <w:p>
            <w:pPr>
              <w:widowControl/>
              <w:spacing w:line="240" w:lineRule="exact"/>
              <w:jc w:val="center"/>
              <w:rPr>
                <w:rFonts w:hint="eastAsia" w:ascii="宋体" w:hAnsi="宋体" w:eastAsia="宋体" w:cs="宋体"/>
                <w:color w:val="auto"/>
                <w:kern w:val="0"/>
                <w:sz w:val="18"/>
                <w:szCs w:val="18"/>
                <w:highlight w:val="none"/>
              </w:rPr>
            </w:pPr>
          </w:p>
        </w:tc>
        <w:tc>
          <w:tcPr>
            <w:tcW w:w="883"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时效指标</w:t>
            </w:r>
          </w:p>
        </w:tc>
        <w:tc>
          <w:tcPr>
            <w:tcW w:w="1722" w:type="dxa"/>
            <w:tcBorders>
              <w:top w:val="single" w:color="auto" w:sz="4" w:space="0"/>
              <w:left w:val="nil"/>
              <w:bottom w:val="single" w:color="auto" w:sz="4" w:space="0"/>
              <w:right w:val="single" w:color="auto" w:sz="4" w:space="0"/>
            </w:tcBorders>
            <w:vAlign w:val="center"/>
          </w:tcPr>
          <w:p>
            <w:pPr>
              <w:keepNext w:val="0"/>
              <w:keepLines w:val="0"/>
              <w:widowControl/>
              <w:suppressLineNumbers w:val="0"/>
              <w:jc w:val="left"/>
              <w:textAlignment w:val="center"/>
              <w:rPr>
                <w:rFonts w:hint="eastAsia" w:ascii="宋体" w:hAnsi="宋体" w:eastAsia="宋体" w:cs="宋体"/>
                <w:color w:val="auto"/>
                <w:kern w:val="0"/>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产品质量安全监测及时率</w:t>
            </w:r>
          </w:p>
        </w:tc>
        <w:tc>
          <w:tcPr>
            <w:tcW w:w="855" w:type="dxa"/>
            <w:tcBorders>
              <w:top w:val="nil"/>
              <w:left w:val="nil"/>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color w:val="auto"/>
                <w:kern w:val="0"/>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100%</w:t>
            </w:r>
          </w:p>
        </w:tc>
        <w:tc>
          <w:tcPr>
            <w:tcW w:w="885" w:type="dxa"/>
            <w:tcBorders>
              <w:top w:val="nil"/>
              <w:left w:val="nil"/>
              <w:bottom w:val="single" w:color="auto" w:sz="4" w:space="0"/>
              <w:right w:val="single" w:color="auto" w:sz="4" w:space="0"/>
            </w:tcBorders>
            <w:vAlign w:val="center"/>
          </w:tcPr>
          <w:p>
            <w:pPr>
              <w:widowControl/>
              <w:jc w:val="center"/>
              <w:textAlignment w:val="center"/>
              <w:rPr>
                <w:rFonts w:hint="eastAsia" w:ascii="宋体" w:hAnsi="宋体" w:eastAsia="宋体" w:cs="宋体"/>
                <w:color w:val="auto"/>
                <w:kern w:val="2"/>
                <w:sz w:val="18"/>
                <w:szCs w:val="18"/>
                <w:highlight w:val="none"/>
                <w:lang w:val="en-US" w:eastAsia="zh-CN" w:bidi="ar-SA"/>
              </w:rPr>
            </w:pPr>
            <w:r>
              <w:rPr>
                <w:rFonts w:hint="eastAsia" w:ascii="宋体" w:hAnsi="宋体" w:eastAsia="宋体" w:cs="宋体"/>
                <w:color w:val="auto"/>
                <w:kern w:val="0"/>
                <w:sz w:val="18"/>
                <w:szCs w:val="18"/>
                <w:highlight w:val="none"/>
                <w:lang w:val="en-US" w:eastAsia="zh-CN" w:bidi="ar"/>
              </w:rPr>
              <w:t>100%</w:t>
            </w:r>
          </w:p>
        </w:tc>
        <w:tc>
          <w:tcPr>
            <w:tcW w:w="555" w:type="dxa"/>
            <w:tcBorders>
              <w:top w:val="nil"/>
              <w:left w:val="nil"/>
              <w:bottom w:val="single" w:color="auto" w:sz="4" w:space="0"/>
              <w:right w:val="single" w:color="auto" w:sz="4" w:space="0"/>
            </w:tcBorders>
            <w:vAlign w:val="center"/>
          </w:tcPr>
          <w:p>
            <w:pPr>
              <w:jc w:val="center"/>
              <w:rPr>
                <w:rFonts w:hint="default" w:ascii="宋体" w:hAnsi="宋体" w:eastAsia="宋体" w:cs="宋体"/>
                <w:color w:val="auto"/>
                <w:kern w:val="2"/>
                <w:sz w:val="18"/>
                <w:szCs w:val="18"/>
                <w:highlight w:val="none"/>
                <w:lang w:val="en-US" w:eastAsia="zh-CN" w:bidi="ar-SA"/>
              </w:rPr>
            </w:pPr>
            <w:r>
              <w:rPr>
                <w:rFonts w:hint="eastAsia" w:ascii="宋体" w:hAnsi="宋体" w:eastAsia="宋体" w:cs="宋体"/>
                <w:color w:val="auto"/>
                <w:kern w:val="2"/>
                <w:sz w:val="18"/>
                <w:szCs w:val="18"/>
                <w:highlight w:val="none"/>
                <w:lang w:val="en-US" w:eastAsia="zh-CN" w:bidi="ar-SA"/>
              </w:rPr>
              <w:t>2.3</w:t>
            </w:r>
          </w:p>
        </w:tc>
        <w:tc>
          <w:tcPr>
            <w:tcW w:w="825" w:type="dxa"/>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color w:val="auto"/>
                <w:kern w:val="0"/>
                <w:sz w:val="18"/>
                <w:szCs w:val="18"/>
                <w:highlight w:val="none"/>
                <w:lang w:val="en-US" w:eastAsia="zh-CN"/>
              </w:rPr>
            </w:pPr>
            <w:r>
              <w:rPr>
                <w:rFonts w:hint="eastAsia" w:ascii="宋体" w:hAnsi="宋体" w:eastAsia="宋体" w:cs="宋体"/>
                <w:color w:val="auto"/>
                <w:kern w:val="0"/>
                <w:sz w:val="18"/>
                <w:szCs w:val="18"/>
                <w:highlight w:val="none"/>
                <w:lang w:val="en-US" w:eastAsia="zh-CN"/>
              </w:rPr>
              <w:t>2.3</w:t>
            </w:r>
          </w:p>
        </w:tc>
        <w:tc>
          <w:tcPr>
            <w:tcW w:w="1943"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color w:val="auto"/>
                <w:kern w:val="0"/>
                <w:sz w:val="18"/>
                <w:szCs w:val="18"/>
                <w:highlight w:val="none"/>
              </w:rPr>
            </w:pPr>
          </w:p>
        </w:tc>
      </w:tr>
      <w:tr>
        <w:tblPrEx>
          <w:tblLayout w:type="fixed"/>
          <w:tblCellMar>
            <w:top w:w="0" w:type="dxa"/>
            <w:left w:w="108" w:type="dxa"/>
            <w:bottom w:w="0" w:type="dxa"/>
            <w:right w:w="108" w:type="dxa"/>
          </w:tblCellMar>
        </w:tblPrEx>
        <w:trPr>
          <w:trHeight w:val="615" w:hRule="exact"/>
          <w:jc w:val="center"/>
        </w:trPr>
        <w:tc>
          <w:tcPr>
            <w:tcW w:w="396" w:type="dxa"/>
            <w:vMerge w:val="continue"/>
            <w:tcBorders>
              <w:left w:val="single" w:color="auto" w:sz="4" w:space="0"/>
              <w:right w:val="single" w:color="auto" w:sz="4" w:space="0"/>
            </w:tcBorders>
            <w:vAlign w:val="center"/>
          </w:tcPr>
          <w:p>
            <w:pPr>
              <w:widowControl/>
              <w:spacing w:line="240" w:lineRule="exact"/>
              <w:jc w:val="center"/>
              <w:rPr>
                <w:rFonts w:hint="eastAsia" w:ascii="宋体" w:hAnsi="宋体" w:eastAsia="宋体" w:cs="宋体"/>
                <w:color w:val="auto"/>
                <w:kern w:val="0"/>
                <w:sz w:val="18"/>
                <w:szCs w:val="18"/>
                <w:highlight w:val="none"/>
              </w:rPr>
            </w:pPr>
          </w:p>
        </w:tc>
        <w:tc>
          <w:tcPr>
            <w:tcW w:w="458" w:type="dxa"/>
            <w:vMerge w:val="continue"/>
            <w:tcBorders>
              <w:left w:val="single" w:color="auto" w:sz="4" w:space="0"/>
              <w:right w:val="single" w:color="auto" w:sz="4" w:space="0"/>
            </w:tcBorders>
            <w:vAlign w:val="center"/>
          </w:tcPr>
          <w:p>
            <w:pPr>
              <w:widowControl/>
              <w:spacing w:line="240" w:lineRule="exact"/>
              <w:jc w:val="center"/>
              <w:rPr>
                <w:rFonts w:hint="eastAsia" w:ascii="宋体" w:hAnsi="宋体" w:eastAsia="宋体" w:cs="宋体"/>
                <w:color w:val="auto"/>
                <w:kern w:val="0"/>
                <w:sz w:val="18"/>
                <w:szCs w:val="18"/>
                <w:highlight w:val="none"/>
              </w:rPr>
            </w:pPr>
          </w:p>
        </w:tc>
        <w:tc>
          <w:tcPr>
            <w:tcW w:w="88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eastAsia="宋体" w:cs="宋体"/>
                <w:color w:val="auto"/>
                <w:kern w:val="0"/>
                <w:sz w:val="18"/>
                <w:szCs w:val="18"/>
                <w:highlight w:val="none"/>
              </w:rPr>
            </w:pPr>
          </w:p>
        </w:tc>
        <w:tc>
          <w:tcPr>
            <w:tcW w:w="1722"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color w:val="auto"/>
                <w:kern w:val="0"/>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优质饲草栽培按期完成率</w:t>
            </w:r>
          </w:p>
        </w:tc>
        <w:tc>
          <w:tcPr>
            <w:tcW w:w="855"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color w:val="auto"/>
                <w:kern w:val="0"/>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100%</w:t>
            </w:r>
          </w:p>
        </w:tc>
        <w:tc>
          <w:tcPr>
            <w:tcW w:w="885" w:type="dxa"/>
            <w:tcBorders>
              <w:top w:val="nil"/>
              <w:left w:val="nil"/>
              <w:bottom w:val="single" w:color="auto" w:sz="4" w:space="0"/>
              <w:right w:val="single" w:color="auto" w:sz="4" w:space="0"/>
            </w:tcBorders>
            <w:shd w:val="clear" w:color="auto" w:fill="auto"/>
            <w:vAlign w:val="center"/>
          </w:tcPr>
          <w:p>
            <w:pPr>
              <w:jc w:val="center"/>
              <w:rPr>
                <w:rFonts w:hint="default" w:ascii="宋体" w:hAnsi="宋体" w:eastAsia="宋体" w:cs="宋体"/>
                <w:color w:val="auto"/>
                <w:kern w:val="2"/>
                <w:sz w:val="18"/>
                <w:szCs w:val="18"/>
                <w:highlight w:val="none"/>
                <w:lang w:val="en-US" w:eastAsia="zh-CN" w:bidi="ar-SA"/>
              </w:rPr>
            </w:pPr>
            <w:r>
              <w:rPr>
                <w:rFonts w:hint="eastAsia" w:ascii="宋体" w:hAnsi="宋体" w:eastAsia="宋体" w:cs="宋体"/>
                <w:color w:val="auto"/>
                <w:kern w:val="2"/>
                <w:sz w:val="18"/>
                <w:szCs w:val="18"/>
                <w:highlight w:val="none"/>
                <w:lang w:val="en-US" w:eastAsia="zh-CN" w:bidi="ar-SA"/>
              </w:rPr>
              <w:t>100%</w:t>
            </w:r>
          </w:p>
        </w:tc>
        <w:tc>
          <w:tcPr>
            <w:tcW w:w="555" w:type="dxa"/>
            <w:tcBorders>
              <w:top w:val="nil"/>
              <w:left w:val="nil"/>
              <w:bottom w:val="single" w:color="auto" w:sz="4" w:space="0"/>
              <w:right w:val="single" w:color="auto" w:sz="4" w:space="0"/>
            </w:tcBorders>
            <w:shd w:val="clear" w:color="auto" w:fill="auto"/>
            <w:vAlign w:val="center"/>
          </w:tcPr>
          <w:p>
            <w:pPr>
              <w:jc w:val="center"/>
              <w:rPr>
                <w:rFonts w:hint="default" w:ascii="宋体" w:hAnsi="宋体" w:eastAsia="宋体" w:cs="宋体"/>
                <w:color w:val="auto"/>
                <w:kern w:val="2"/>
                <w:sz w:val="18"/>
                <w:szCs w:val="18"/>
                <w:highlight w:val="none"/>
                <w:lang w:val="en-US" w:eastAsia="zh-CN" w:bidi="ar-SA"/>
              </w:rPr>
            </w:pPr>
            <w:r>
              <w:rPr>
                <w:rFonts w:hint="eastAsia" w:ascii="宋体" w:hAnsi="宋体" w:eastAsia="宋体" w:cs="宋体"/>
                <w:color w:val="auto"/>
                <w:kern w:val="2"/>
                <w:sz w:val="18"/>
                <w:szCs w:val="18"/>
                <w:highlight w:val="none"/>
                <w:lang w:val="en-US" w:eastAsia="zh-CN" w:bidi="ar-SA"/>
              </w:rPr>
              <w:t>2.3</w:t>
            </w:r>
          </w:p>
        </w:tc>
        <w:tc>
          <w:tcPr>
            <w:tcW w:w="825"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hint="default" w:ascii="宋体" w:hAnsi="宋体" w:eastAsia="宋体" w:cs="宋体"/>
                <w:color w:val="auto"/>
                <w:kern w:val="0"/>
                <w:sz w:val="18"/>
                <w:szCs w:val="18"/>
                <w:highlight w:val="none"/>
                <w:lang w:val="en-US" w:eastAsia="zh-CN"/>
              </w:rPr>
            </w:pPr>
            <w:r>
              <w:rPr>
                <w:rFonts w:hint="eastAsia" w:ascii="宋体" w:hAnsi="宋体" w:eastAsia="宋体" w:cs="宋体"/>
                <w:color w:val="auto"/>
                <w:kern w:val="0"/>
                <w:sz w:val="18"/>
                <w:szCs w:val="18"/>
                <w:highlight w:val="none"/>
                <w:lang w:val="en-US" w:eastAsia="zh-CN"/>
              </w:rPr>
              <w:t>2.3</w:t>
            </w:r>
          </w:p>
        </w:tc>
        <w:tc>
          <w:tcPr>
            <w:tcW w:w="1943"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center"/>
              <w:rPr>
                <w:rFonts w:hint="eastAsia" w:ascii="宋体" w:hAnsi="宋体" w:eastAsia="宋体" w:cs="宋体"/>
                <w:color w:val="auto"/>
                <w:kern w:val="0"/>
                <w:sz w:val="18"/>
                <w:szCs w:val="18"/>
                <w:highlight w:val="none"/>
              </w:rPr>
            </w:pPr>
          </w:p>
        </w:tc>
      </w:tr>
      <w:tr>
        <w:tblPrEx>
          <w:tblLayout w:type="fixed"/>
          <w:tblCellMar>
            <w:top w:w="0" w:type="dxa"/>
            <w:left w:w="108" w:type="dxa"/>
            <w:bottom w:w="0" w:type="dxa"/>
            <w:right w:w="108" w:type="dxa"/>
          </w:tblCellMar>
        </w:tblPrEx>
        <w:trPr>
          <w:trHeight w:val="615" w:hRule="exact"/>
          <w:jc w:val="center"/>
        </w:trPr>
        <w:tc>
          <w:tcPr>
            <w:tcW w:w="396" w:type="dxa"/>
            <w:vMerge w:val="continue"/>
            <w:tcBorders>
              <w:left w:val="single" w:color="auto" w:sz="4" w:space="0"/>
              <w:right w:val="single" w:color="auto" w:sz="4" w:space="0"/>
            </w:tcBorders>
            <w:vAlign w:val="center"/>
          </w:tcPr>
          <w:p>
            <w:pPr>
              <w:widowControl/>
              <w:spacing w:line="240" w:lineRule="exact"/>
              <w:jc w:val="center"/>
              <w:rPr>
                <w:rFonts w:hint="eastAsia" w:ascii="宋体" w:hAnsi="宋体" w:eastAsia="宋体" w:cs="宋体"/>
                <w:color w:val="auto"/>
                <w:kern w:val="0"/>
                <w:sz w:val="18"/>
                <w:szCs w:val="18"/>
                <w:highlight w:val="none"/>
              </w:rPr>
            </w:pPr>
          </w:p>
        </w:tc>
        <w:tc>
          <w:tcPr>
            <w:tcW w:w="458" w:type="dxa"/>
            <w:vMerge w:val="continue"/>
            <w:tcBorders>
              <w:left w:val="single" w:color="auto" w:sz="4" w:space="0"/>
              <w:right w:val="single" w:color="auto" w:sz="4" w:space="0"/>
            </w:tcBorders>
            <w:vAlign w:val="center"/>
          </w:tcPr>
          <w:p>
            <w:pPr>
              <w:widowControl/>
              <w:spacing w:line="240" w:lineRule="exact"/>
              <w:jc w:val="center"/>
              <w:rPr>
                <w:rFonts w:hint="eastAsia" w:ascii="宋体" w:hAnsi="宋体" w:eastAsia="宋体" w:cs="宋体"/>
                <w:color w:val="auto"/>
                <w:kern w:val="0"/>
                <w:sz w:val="18"/>
                <w:szCs w:val="18"/>
                <w:highlight w:val="none"/>
              </w:rPr>
            </w:pPr>
          </w:p>
        </w:tc>
        <w:tc>
          <w:tcPr>
            <w:tcW w:w="88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eastAsia="宋体" w:cs="宋体"/>
                <w:color w:val="auto"/>
                <w:kern w:val="0"/>
                <w:sz w:val="18"/>
                <w:szCs w:val="18"/>
                <w:highlight w:val="none"/>
              </w:rPr>
            </w:pPr>
          </w:p>
        </w:tc>
        <w:tc>
          <w:tcPr>
            <w:tcW w:w="1722"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color w:val="auto"/>
                <w:kern w:val="0"/>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建立产业技术体系按期完成率</w:t>
            </w:r>
          </w:p>
        </w:tc>
        <w:tc>
          <w:tcPr>
            <w:tcW w:w="855"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color w:val="auto"/>
                <w:kern w:val="0"/>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100%</w:t>
            </w:r>
          </w:p>
        </w:tc>
        <w:tc>
          <w:tcPr>
            <w:tcW w:w="885" w:type="dxa"/>
            <w:tcBorders>
              <w:top w:val="nil"/>
              <w:left w:val="nil"/>
              <w:bottom w:val="single" w:color="auto" w:sz="4" w:space="0"/>
              <w:right w:val="single" w:color="auto" w:sz="4" w:space="0"/>
            </w:tcBorders>
            <w:shd w:val="clear" w:color="auto" w:fill="auto"/>
            <w:vAlign w:val="center"/>
          </w:tcPr>
          <w:p>
            <w:pPr>
              <w:jc w:val="center"/>
              <w:rPr>
                <w:rFonts w:hint="eastAsia" w:ascii="宋体" w:hAnsi="宋体" w:eastAsia="宋体" w:cs="宋体"/>
                <w:color w:val="auto"/>
                <w:kern w:val="2"/>
                <w:sz w:val="18"/>
                <w:szCs w:val="18"/>
                <w:highlight w:val="none"/>
                <w:lang w:val="en-US" w:eastAsia="zh-CN" w:bidi="ar-SA"/>
              </w:rPr>
            </w:pPr>
            <w:r>
              <w:rPr>
                <w:rFonts w:hint="eastAsia" w:ascii="宋体" w:hAnsi="宋体" w:eastAsia="宋体" w:cs="宋体"/>
                <w:i w:val="0"/>
                <w:iCs w:val="0"/>
                <w:color w:val="auto"/>
                <w:kern w:val="0"/>
                <w:sz w:val="18"/>
                <w:szCs w:val="18"/>
                <w:highlight w:val="none"/>
                <w:u w:val="none"/>
                <w:lang w:val="en-US" w:eastAsia="zh-CN" w:bidi="ar"/>
              </w:rPr>
              <w:t>100%</w:t>
            </w:r>
          </w:p>
        </w:tc>
        <w:tc>
          <w:tcPr>
            <w:tcW w:w="555" w:type="dxa"/>
            <w:tcBorders>
              <w:top w:val="nil"/>
              <w:left w:val="nil"/>
              <w:bottom w:val="single" w:color="auto" w:sz="4" w:space="0"/>
              <w:right w:val="single" w:color="auto" w:sz="4" w:space="0"/>
            </w:tcBorders>
            <w:shd w:val="clear" w:color="auto" w:fill="auto"/>
            <w:vAlign w:val="center"/>
          </w:tcPr>
          <w:p>
            <w:pPr>
              <w:jc w:val="center"/>
              <w:rPr>
                <w:rFonts w:hint="default" w:ascii="宋体" w:hAnsi="宋体" w:eastAsia="宋体" w:cs="宋体"/>
                <w:color w:val="auto"/>
                <w:kern w:val="2"/>
                <w:sz w:val="18"/>
                <w:szCs w:val="18"/>
                <w:highlight w:val="none"/>
                <w:lang w:val="en-US" w:eastAsia="zh-CN" w:bidi="ar-SA"/>
              </w:rPr>
            </w:pPr>
            <w:r>
              <w:rPr>
                <w:rFonts w:hint="eastAsia" w:ascii="宋体" w:hAnsi="宋体" w:eastAsia="宋体" w:cs="宋体"/>
                <w:color w:val="auto"/>
                <w:kern w:val="2"/>
                <w:sz w:val="18"/>
                <w:szCs w:val="18"/>
                <w:highlight w:val="none"/>
                <w:lang w:val="en-US" w:eastAsia="zh-CN" w:bidi="ar-SA"/>
              </w:rPr>
              <w:t>2.3</w:t>
            </w:r>
          </w:p>
        </w:tc>
        <w:tc>
          <w:tcPr>
            <w:tcW w:w="825"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hint="default" w:ascii="宋体" w:hAnsi="宋体" w:eastAsia="宋体" w:cs="宋体"/>
                <w:color w:val="auto"/>
                <w:kern w:val="0"/>
                <w:sz w:val="18"/>
                <w:szCs w:val="18"/>
                <w:highlight w:val="none"/>
                <w:lang w:val="en-US" w:eastAsia="zh-CN"/>
              </w:rPr>
            </w:pPr>
            <w:r>
              <w:rPr>
                <w:rFonts w:hint="eastAsia" w:ascii="宋体" w:hAnsi="宋体" w:eastAsia="宋体" w:cs="宋体"/>
                <w:color w:val="auto"/>
                <w:kern w:val="0"/>
                <w:sz w:val="18"/>
                <w:szCs w:val="18"/>
                <w:highlight w:val="none"/>
                <w:lang w:val="en-US" w:eastAsia="zh-CN"/>
              </w:rPr>
              <w:t>2.3</w:t>
            </w:r>
          </w:p>
        </w:tc>
        <w:tc>
          <w:tcPr>
            <w:tcW w:w="1943"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center"/>
              <w:rPr>
                <w:rFonts w:hint="eastAsia" w:ascii="宋体" w:hAnsi="宋体" w:eastAsia="宋体" w:cs="宋体"/>
                <w:color w:val="auto"/>
                <w:kern w:val="0"/>
                <w:sz w:val="18"/>
                <w:szCs w:val="18"/>
                <w:highlight w:val="none"/>
              </w:rPr>
            </w:pPr>
          </w:p>
        </w:tc>
      </w:tr>
      <w:tr>
        <w:tblPrEx>
          <w:tblLayout w:type="fixed"/>
          <w:tblCellMar>
            <w:top w:w="0" w:type="dxa"/>
            <w:left w:w="108" w:type="dxa"/>
            <w:bottom w:w="0" w:type="dxa"/>
            <w:right w:w="108" w:type="dxa"/>
          </w:tblCellMar>
        </w:tblPrEx>
        <w:trPr>
          <w:trHeight w:val="1521" w:hRule="exact"/>
          <w:jc w:val="center"/>
        </w:trPr>
        <w:tc>
          <w:tcPr>
            <w:tcW w:w="396" w:type="dxa"/>
            <w:vMerge w:val="continue"/>
            <w:tcBorders>
              <w:left w:val="single" w:color="auto" w:sz="4" w:space="0"/>
              <w:right w:val="single" w:color="auto" w:sz="4" w:space="0"/>
            </w:tcBorders>
            <w:vAlign w:val="center"/>
          </w:tcPr>
          <w:p>
            <w:pPr>
              <w:widowControl/>
              <w:spacing w:line="240" w:lineRule="exact"/>
              <w:jc w:val="center"/>
              <w:rPr>
                <w:rFonts w:hint="eastAsia" w:ascii="宋体" w:hAnsi="宋体" w:eastAsia="宋体" w:cs="宋体"/>
                <w:color w:val="auto"/>
                <w:kern w:val="0"/>
                <w:sz w:val="18"/>
                <w:szCs w:val="18"/>
                <w:highlight w:val="none"/>
              </w:rPr>
            </w:pPr>
          </w:p>
        </w:tc>
        <w:tc>
          <w:tcPr>
            <w:tcW w:w="458" w:type="dxa"/>
            <w:vMerge w:val="continue"/>
            <w:tcBorders>
              <w:left w:val="single" w:color="auto" w:sz="4" w:space="0"/>
              <w:right w:val="single" w:color="auto" w:sz="4" w:space="0"/>
            </w:tcBorders>
            <w:vAlign w:val="center"/>
          </w:tcPr>
          <w:p>
            <w:pPr>
              <w:widowControl/>
              <w:spacing w:line="240" w:lineRule="exact"/>
              <w:jc w:val="center"/>
              <w:rPr>
                <w:rFonts w:hint="eastAsia" w:ascii="宋体" w:hAnsi="宋体" w:eastAsia="宋体" w:cs="宋体"/>
                <w:color w:val="auto"/>
                <w:kern w:val="0"/>
                <w:sz w:val="18"/>
                <w:szCs w:val="18"/>
                <w:highlight w:val="none"/>
              </w:rPr>
            </w:pPr>
          </w:p>
        </w:tc>
        <w:tc>
          <w:tcPr>
            <w:tcW w:w="883" w:type="dxa"/>
            <w:vMerge w:val="restart"/>
            <w:tcBorders>
              <w:top w:val="nil"/>
              <w:left w:val="single" w:color="auto" w:sz="4" w:space="0"/>
              <w:right w:val="single" w:color="auto" w:sz="4" w:space="0"/>
            </w:tcBorders>
            <w:vAlign w:val="center"/>
          </w:tcPr>
          <w:p>
            <w:pPr>
              <w:widowControl/>
              <w:spacing w:line="240" w:lineRule="exact"/>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成本指标</w:t>
            </w:r>
          </w:p>
        </w:tc>
        <w:tc>
          <w:tcPr>
            <w:tcW w:w="1722"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color w:val="auto"/>
                <w:kern w:val="0"/>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种业提升及产业技术体系成本</w:t>
            </w:r>
          </w:p>
        </w:tc>
        <w:tc>
          <w:tcPr>
            <w:tcW w:w="855"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color w:val="auto"/>
                <w:kern w:val="0"/>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w:t>
            </w:r>
            <w:r>
              <w:rPr>
                <w:rStyle w:val="56"/>
                <w:rFonts w:hint="eastAsia" w:ascii="宋体" w:hAnsi="宋体" w:eastAsia="宋体" w:cs="宋体"/>
                <w:color w:val="auto"/>
                <w:sz w:val="18"/>
                <w:szCs w:val="18"/>
                <w:highlight w:val="none"/>
                <w:lang w:val="en-US" w:eastAsia="zh-CN" w:bidi="ar"/>
              </w:rPr>
              <w:t>3496</w:t>
            </w:r>
            <w:r>
              <w:rPr>
                <w:rStyle w:val="57"/>
                <w:rFonts w:hint="eastAsia" w:ascii="宋体" w:hAnsi="宋体" w:eastAsia="宋体" w:cs="宋体"/>
                <w:color w:val="auto"/>
                <w:sz w:val="18"/>
                <w:szCs w:val="18"/>
                <w:highlight w:val="none"/>
                <w:lang w:val="en-US" w:eastAsia="zh-CN" w:bidi="ar"/>
              </w:rPr>
              <w:t>万元</w:t>
            </w:r>
          </w:p>
        </w:tc>
        <w:tc>
          <w:tcPr>
            <w:tcW w:w="885" w:type="dxa"/>
            <w:tcBorders>
              <w:top w:val="nil"/>
              <w:left w:val="nil"/>
              <w:bottom w:val="single" w:color="auto" w:sz="4" w:space="0"/>
              <w:right w:val="single" w:color="auto" w:sz="4" w:space="0"/>
            </w:tcBorders>
            <w:shd w:val="clear" w:color="auto" w:fill="auto"/>
            <w:vAlign w:val="center"/>
          </w:tcPr>
          <w:p>
            <w:pPr>
              <w:widowControl/>
              <w:jc w:val="center"/>
              <w:textAlignment w:val="center"/>
              <w:rPr>
                <w:rFonts w:hint="eastAsia" w:ascii="宋体" w:hAnsi="宋体" w:eastAsia="宋体" w:cs="宋体"/>
                <w:color w:val="auto"/>
                <w:kern w:val="2"/>
                <w:sz w:val="18"/>
                <w:szCs w:val="18"/>
                <w:highlight w:val="none"/>
                <w:lang w:val="en-US" w:eastAsia="zh-CN" w:bidi="ar-SA"/>
              </w:rPr>
            </w:pPr>
            <w:r>
              <w:rPr>
                <w:rFonts w:hint="eastAsia" w:ascii="宋体" w:hAnsi="宋体" w:eastAsia="宋体" w:cs="宋体"/>
                <w:color w:val="auto"/>
                <w:kern w:val="2"/>
                <w:sz w:val="18"/>
                <w:szCs w:val="18"/>
                <w:highlight w:val="none"/>
                <w:lang w:val="en-US" w:eastAsia="zh-CN" w:bidi="ar-SA"/>
              </w:rPr>
              <w:t>3172.89万元</w:t>
            </w:r>
          </w:p>
        </w:tc>
        <w:tc>
          <w:tcPr>
            <w:tcW w:w="555" w:type="dxa"/>
            <w:tcBorders>
              <w:top w:val="nil"/>
              <w:left w:val="nil"/>
              <w:bottom w:val="single" w:color="auto" w:sz="4" w:space="0"/>
              <w:right w:val="single" w:color="auto" w:sz="4" w:space="0"/>
            </w:tcBorders>
            <w:shd w:val="clear" w:color="auto" w:fill="auto"/>
            <w:vAlign w:val="center"/>
          </w:tcPr>
          <w:p>
            <w:pPr>
              <w:jc w:val="center"/>
              <w:rPr>
                <w:rFonts w:hint="default" w:ascii="宋体" w:hAnsi="宋体" w:eastAsia="宋体" w:cs="宋体"/>
                <w:color w:val="auto"/>
                <w:kern w:val="2"/>
                <w:sz w:val="18"/>
                <w:szCs w:val="18"/>
                <w:highlight w:val="none"/>
                <w:lang w:val="en-US" w:eastAsia="zh-CN" w:bidi="ar-SA"/>
              </w:rPr>
            </w:pPr>
            <w:r>
              <w:rPr>
                <w:rFonts w:hint="eastAsia" w:ascii="宋体" w:hAnsi="宋体" w:eastAsia="宋体" w:cs="宋体"/>
                <w:color w:val="auto"/>
                <w:kern w:val="2"/>
                <w:sz w:val="18"/>
                <w:szCs w:val="18"/>
                <w:highlight w:val="none"/>
                <w:lang w:val="en-US" w:eastAsia="zh-CN" w:bidi="ar-SA"/>
              </w:rPr>
              <w:t>2.2</w:t>
            </w:r>
          </w:p>
        </w:tc>
        <w:tc>
          <w:tcPr>
            <w:tcW w:w="825"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hint="eastAsia" w:ascii="宋体" w:hAnsi="宋体" w:eastAsia="宋体" w:cs="宋体"/>
                <w:color w:val="auto"/>
                <w:kern w:val="0"/>
                <w:sz w:val="18"/>
                <w:szCs w:val="18"/>
                <w:highlight w:val="none"/>
                <w:lang w:val="en-US" w:eastAsia="zh-CN"/>
              </w:rPr>
            </w:pPr>
            <w:r>
              <w:rPr>
                <w:rFonts w:hint="eastAsia" w:ascii="宋体" w:hAnsi="宋体" w:eastAsia="宋体" w:cs="宋体"/>
                <w:color w:val="auto"/>
                <w:kern w:val="0"/>
                <w:sz w:val="18"/>
                <w:szCs w:val="18"/>
                <w:highlight w:val="none"/>
                <w:lang w:val="en-US" w:eastAsia="zh-CN"/>
              </w:rPr>
              <w:t>2</w:t>
            </w:r>
          </w:p>
        </w:tc>
        <w:tc>
          <w:tcPr>
            <w:tcW w:w="1943"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lang w:val="en-US" w:eastAsia="zh-Hans"/>
              </w:rPr>
              <w:t>偏差原因：</w:t>
            </w:r>
            <w:r>
              <w:rPr>
                <w:rFonts w:hint="eastAsia" w:ascii="宋体" w:hAnsi="宋体" w:eastAsia="宋体" w:cs="宋体"/>
                <w:color w:val="auto"/>
                <w:kern w:val="0"/>
                <w:sz w:val="18"/>
                <w:szCs w:val="18"/>
                <w:highlight w:val="none"/>
              </w:rPr>
              <w:t>受到疫情影响，部分县市兑付资金困难。</w:t>
            </w:r>
            <w:r>
              <w:rPr>
                <w:rFonts w:hint="eastAsia" w:ascii="宋体" w:hAnsi="宋体" w:eastAsia="宋体" w:cs="宋体"/>
                <w:color w:val="auto"/>
                <w:kern w:val="0"/>
                <w:sz w:val="18"/>
                <w:szCs w:val="18"/>
                <w:highlight w:val="none"/>
                <w:lang w:val="en-US" w:eastAsia="zh-Hans"/>
              </w:rPr>
              <w:t>改进措施：</w:t>
            </w:r>
            <w:r>
              <w:rPr>
                <w:rFonts w:hint="eastAsia" w:ascii="宋体" w:hAnsi="宋体" w:eastAsia="宋体" w:cs="宋体"/>
                <w:color w:val="auto"/>
                <w:kern w:val="0"/>
                <w:sz w:val="18"/>
                <w:szCs w:val="18"/>
                <w:highlight w:val="none"/>
              </w:rPr>
              <w:t>下一步督促</w:t>
            </w:r>
            <w:r>
              <w:rPr>
                <w:rFonts w:hint="eastAsia" w:ascii="宋体" w:hAnsi="宋体" w:eastAsia="宋体" w:cs="宋体"/>
                <w:color w:val="auto"/>
                <w:kern w:val="0"/>
                <w:sz w:val="18"/>
                <w:szCs w:val="18"/>
                <w:highlight w:val="none"/>
                <w:lang w:eastAsia="zh-CN"/>
              </w:rPr>
              <w:t>相关县市</w:t>
            </w:r>
            <w:r>
              <w:rPr>
                <w:rFonts w:hint="eastAsia" w:ascii="宋体" w:hAnsi="宋体" w:eastAsia="宋体" w:cs="宋体"/>
                <w:color w:val="auto"/>
                <w:kern w:val="0"/>
                <w:sz w:val="18"/>
                <w:szCs w:val="18"/>
                <w:highlight w:val="none"/>
              </w:rPr>
              <w:t>积极与财政部门沟通，加快资金拨付进度。</w:t>
            </w:r>
          </w:p>
        </w:tc>
      </w:tr>
      <w:tr>
        <w:tblPrEx>
          <w:tblLayout w:type="fixed"/>
          <w:tblCellMar>
            <w:top w:w="0" w:type="dxa"/>
            <w:left w:w="108" w:type="dxa"/>
            <w:bottom w:w="0" w:type="dxa"/>
            <w:right w:w="108" w:type="dxa"/>
          </w:tblCellMar>
        </w:tblPrEx>
        <w:trPr>
          <w:trHeight w:val="615" w:hRule="exact"/>
          <w:jc w:val="center"/>
        </w:trPr>
        <w:tc>
          <w:tcPr>
            <w:tcW w:w="396" w:type="dxa"/>
            <w:vMerge w:val="continue"/>
            <w:tcBorders>
              <w:left w:val="single" w:color="auto" w:sz="4" w:space="0"/>
              <w:right w:val="single" w:color="auto" w:sz="4" w:space="0"/>
            </w:tcBorders>
            <w:vAlign w:val="center"/>
          </w:tcPr>
          <w:p>
            <w:pPr>
              <w:widowControl/>
              <w:spacing w:line="240" w:lineRule="exact"/>
              <w:jc w:val="center"/>
              <w:rPr>
                <w:rFonts w:hint="eastAsia" w:ascii="宋体" w:hAnsi="宋体" w:eastAsia="宋体" w:cs="宋体"/>
                <w:color w:val="auto"/>
                <w:kern w:val="0"/>
                <w:sz w:val="18"/>
                <w:szCs w:val="18"/>
                <w:highlight w:val="none"/>
              </w:rPr>
            </w:pPr>
          </w:p>
        </w:tc>
        <w:tc>
          <w:tcPr>
            <w:tcW w:w="458" w:type="dxa"/>
            <w:vMerge w:val="continue"/>
            <w:tcBorders>
              <w:left w:val="single" w:color="auto" w:sz="4" w:space="0"/>
              <w:right w:val="single" w:color="auto" w:sz="4" w:space="0"/>
            </w:tcBorders>
            <w:vAlign w:val="center"/>
          </w:tcPr>
          <w:p>
            <w:pPr>
              <w:widowControl/>
              <w:spacing w:line="240" w:lineRule="exact"/>
              <w:jc w:val="center"/>
              <w:rPr>
                <w:rFonts w:hint="eastAsia" w:ascii="宋体" w:hAnsi="宋体" w:eastAsia="宋体" w:cs="宋体"/>
                <w:color w:val="auto"/>
                <w:kern w:val="0"/>
                <w:sz w:val="18"/>
                <w:szCs w:val="18"/>
                <w:highlight w:val="none"/>
              </w:rPr>
            </w:pPr>
          </w:p>
        </w:tc>
        <w:tc>
          <w:tcPr>
            <w:tcW w:w="883" w:type="dxa"/>
            <w:vMerge w:val="continue"/>
            <w:tcBorders>
              <w:left w:val="single" w:color="auto" w:sz="4" w:space="0"/>
              <w:right w:val="single" w:color="auto" w:sz="4" w:space="0"/>
            </w:tcBorders>
            <w:vAlign w:val="center"/>
          </w:tcPr>
          <w:p>
            <w:pPr>
              <w:widowControl/>
              <w:spacing w:line="240" w:lineRule="exact"/>
              <w:jc w:val="center"/>
              <w:rPr>
                <w:rFonts w:hint="eastAsia" w:ascii="宋体" w:hAnsi="宋体" w:eastAsia="宋体" w:cs="宋体"/>
                <w:color w:val="auto"/>
                <w:kern w:val="0"/>
                <w:sz w:val="18"/>
                <w:szCs w:val="18"/>
                <w:highlight w:val="none"/>
              </w:rPr>
            </w:pPr>
          </w:p>
        </w:tc>
        <w:tc>
          <w:tcPr>
            <w:tcW w:w="1722"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color w:val="auto"/>
                <w:kern w:val="0"/>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奶业生产发展成本</w:t>
            </w:r>
          </w:p>
        </w:tc>
        <w:tc>
          <w:tcPr>
            <w:tcW w:w="855"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color w:val="auto"/>
                <w:kern w:val="0"/>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≤1000</w:t>
            </w:r>
            <w:r>
              <w:rPr>
                <w:rStyle w:val="57"/>
                <w:rFonts w:hint="eastAsia" w:ascii="宋体" w:hAnsi="宋体" w:eastAsia="宋体" w:cs="宋体"/>
                <w:color w:val="auto"/>
                <w:sz w:val="18"/>
                <w:szCs w:val="18"/>
                <w:highlight w:val="none"/>
                <w:lang w:val="en-US" w:eastAsia="zh-CN" w:bidi="ar"/>
              </w:rPr>
              <w:t>万元</w:t>
            </w:r>
          </w:p>
        </w:tc>
        <w:tc>
          <w:tcPr>
            <w:tcW w:w="885" w:type="dxa"/>
            <w:tcBorders>
              <w:top w:val="nil"/>
              <w:left w:val="nil"/>
              <w:bottom w:val="single" w:color="auto" w:sz="4" w:space="0"/>
              <w:right w:val="single" w:color="auto" w:sz="4" w:space="0"/>
            </w:tcBorders>
            <w:shd w:val="clear" w:color="auto" w:fill="auto"/>
            <w:vAlign w:val="center"/>
          </w:tcPr>
          <w:p>
            <w:pPr>
              <w:jc w:val="center"/>
              <w:rPr>
                <w:rFonts w:hint="eastAsia" w:ascii="宋体" w:hAnsi="宋体" w:eastAsia="宋体" w:cs="宋体"/>
                <w:color w:val="auto"/>
                <w:kern w:val="2"/>
                <w:sz w:val="18"/>
                <w:szCs w:val="18"/>
                <w:highlight w:val="none"/>
                <w:lang w:val="en-US" w:eastAsia="zh-CN" w:bidi="ar-SA"/>
              </w:rPr>
            </w:pPr>
            <w:r>
              <w:rPr>
                <w:rFonts w:hint="eastAsia" w:ascii="宋体" w:hAnsi="宋体" w:eastAsia="宋体" w:cs="宋体"/>
                <w:i w:val="0"/>
                <w:iCs w:val="0"/>
                <w:color w:val="auto"/>
                <w:kern w:val="0"/>
                <w:sz w:val="18"/>
                <w:szCs w:val="18"/>
                <w:highlight w:val="none"/>
                <w:u w:val="none"/>
                <w:lang w:val="en-US" w:eastAsia="zh-CN" w:bidi="ar"/>
              </w:rPr>
              <w:t>1000</w:t>
            </w:r>
            <w:r>
              <w:rPr>
                <w:rStyle w:val="57"/>
                <w:rFonts w:hint="eastAsia" w:ascii="宋体" w:hAnsi="宋体" w:eastAsia="宋体" w:cs="宋体"/>
                <w:color w:val="auto"/>
                <w:sz w:val="18"/>
                <w:szCs w:val="18"/>
                <w:highlight w:val="none"/>
                <w:lang w:val="en-US" w:eastAsia="zh-CN" w:bidi="ar"/>
              </w:rPr>
              <w:t>万元</w:t>
            </w:r>
          </w:p>
        </w:tc>
        <w:tc>
          <w:tcPr>
            <w:tcW w:w="555" w:type="dxa"/>
            <w:tcBorders>
              <w:top w:val="nil"/>
              <w:left w:val="nil"/>
              <w:bottom w:val="single" w:color="auto" w:sz="4" w:space="0"/>
              <w:right w:val="single" w:color="auto" w:sz="4" w:space="0"/>
            </w:tcBorders>
            <w:shd w:val="clear" w:color="auto" w:fill="auto"/>
            <w:vAlign w:val="center"/>
          </w:tcPr>
          <w:p>
            <w:pPr>
              <w:jc w:val="center"/>
              <w:rPr>
                <w:rFonts w:hint="default" w:ascii="宋体" w:hAnsi="宋体" w:eastAsia="宋体" w:cs="宋体"/>
                <w:color w:val="auto"/>
                <w:kern w:val="2"/>
                <w:sz w:val="18"/>
                <w:szCs w:val="18"/>
                <w:highlight w:val="none"/>
                <w:lang w:val="en-US" w:eastAsia="zh-CN" w:bidi="ar-SA"/>
              </w:rPr>
            </w:pPr>
            <w:r>
              <w:rPr>
                <w:rFonts w:hint="eastAsia" w:ascii="宋体" w:hAnsi="宋体" w:eastAsia="宋体" w:cs="宋体"/>
                <w:color w:val="auto"/>
                <w:kern w:val="2"/>
                <w:sz w:val="18"/>
                <w:szCs w:val="18"/>
                <w:highlight w:val="none"/>
                <w:lang w:val="en-US" w:eastAsia="zh-CN" w:bidi="ar-SA"/>
              </w:rPr>
              <w:t>2.2</w:t>
            </w:r>
          </w:p>
        </w:tc>
        <w:tc>
          <w:tcPr>
            <w:tcW w:w="825"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hint="default" w:ascii="宋体" w:hAnsi="宋体" w:eastAsia="宋体" w:cs="宋体"/>
                <w:color w:val="auto"/>
                <w:kern w:val="0"/>
                <w:sz w:val="18"/>
                <w:szCs w:val="18"/>
                <w:highlight w:val="none"/>
                <w:lang w:val="en-US" w:eastAsia="zh-CN"/>
              </w:rPr>
            </w:pPr>
            <w:r>
              <w:rPr>
                <w:rFonts w:hint="eastAsia" w:ascii="宋体" w:hAnsi="宋体" w:eastAsia="宋体" w:cs="宋体"/>
                <w:color w:val="auto"/>
                <w:kern w:val="0"/>
                <w:sz w:val="18"/>
                <w:szCs w:val="18"/>
                <w:highlight w:val="none"/>
                <w:lang w:val="en-US" w:eastAsia="zh-CN"/>
              </w:rPr>
              <w:t>2.2</w:t>
            </w:r>
          </w:p>
        </w:tc>
        <w:tc>
          <w:tcPr>
            <w:tcW w:w="1943"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center"/>
              <w:rPr>
                <w:rFonts w:hint="eastAsia" w:ascii="宋体" w:hAnsi="宋体" w:eastAsia="宋体" w:cs="宋体"/>
                <w:color w:val="auto"/>
                <w:kern w:val="0"/>
                <w:sz w:val="18"/>
                <w:szCs w:val="18"/>
                <w:highlight w:val="none"/>
              </w:rPr>
            </w:pPr>
          </w:p>
        </w:tc>
      </w:tr>
      <w:tr>
        <w:tblPrEx>
          <w:tblLayout w:type="fixed"/>
          <w:tblCellMar>
            <w:top w:w="0" w:type="dxa"/>
            <w:left w:w="108" w:type="dxa"/>
            <w:bottom w:w="0" w:type="dxa"/>
            <w:right w:w="108" w:type="dxa"/>
          </w:tblCellMar>
        </w:tblPrEx>
        <w:trPr>
          <w:trHeight w:val="1743" w:hRule="exact"/>
          <w:jc w:val="center"/>
        </w:trPr>
        <w:tc>
          <w:tcPr>
            <w:tcW w:w="396" w:type="dxa"/>
            <w:vMerge w:val="continue"/>
            <w:tcBorders>
              <w:left w:val="single" w:color="auto" w:sz="4" w:space="0"/>
              <w:right w:val="single" w:color="auto" w:sz="4" w:space="0"/>
            </w:tcBorders>
            <w:vAlign w:val="center"/>
          </w:tcPr>
          <w:p>
            <w:pPr>
              <w:widowControl/>
              <w:spacing w:line="240" w:lineRule="exact"/>
              <w:jc w:val="center"/>
              <w:rPr>
                <w:rFonts w:hint="eastAsia" w:ascii="宋体" w:hAnsi="宋体" w:eastAsia="宋体" w:cs="宋体"/>
                <w:color w:val="auto"/>
                <w:kern w:val="0"/>
                <w:sz w:val="18"/>
                <w:szCs w:val="18"/>
                <w:highlight w:val="none"/>
              </w:rPr>
            </w:pPr>
          </w:p>
        </w:tc>
        <w:tc>
          <w:tcPr>
            <w:tcW w:w="458" w:type="dxa"/>
            <w:vMerge w:val="continue"/>
            <w:tcBorders>
              <w:left w:val="single" w:color="auto" w:sz="4" w:space="0"/>
              <w:right w:val="single" w:color="auto" w:sz="4" w:space="0"/>
            </w:tcBorders>
            <w:vAlign w:val="center"/>
          </w:tcPr>
          <w:p>
            <w:pPr>
              <w:widowControl/>
              <w:spacing w:line="240" w:lineRule="exact"/>
              <w:jc w:val="center"/>
              <w:rPr>
                <w:rFonts w:hint="eastAsia" w:ascii="宋体" w:hAnsi="宋体" w:eastAsia="宋体" w:cs="宋体"/>
                <w:color w:val="auto"/>
                <w:kern w:val="0"/>
                <w:sz w:val="18"/>
                <w:szCs w:val="18"/>
                <w:highlight w:val="none"/>
              </w:rPr>
            </w:pPr>
          </w:p>
        </w:tc>
        <w:tc>
          <w:tcPr>
            <w:tcW w:w="883" w:type="dxa"/>
            <w:vMerge w:val="continue"/>
            <w:tcBorders>
              <w:left w:val="single" w:color="auto" w:sz="4" w:space="0"/>
              <w:right w:val="single" w:color="auto" w:sz="4" w:space="0"/>
            </w:tcBorders>
            <w:vAlign w:val="center"/>
          </w:tcPr>
          <w:p>
            <w:pPr>
              <w:widowControl/>
              <w:spacing w:line="240" w:lineRule="exact"/>
              <w:jc w:val="center"/>
              <w:rPr>
                <w:rFonts w:hint="eastAsia" w:ascii="宋体" w:hAnsi="宋体" w:eastAsia="宋体" w:cs="宋体"/>
                <w:color w:val="auto"/>
                <w:kern w:val="0"/>
                <w:sz w:val="18"/>
                <w:szCs w:val="18"/>
                <w:highlight w:val="none"/>
              </w:rPr>
            </w:pPr>
          </w:p>
        </w:tc>
        <w:tc>
          <w:tcPr>
            <w:tcW w:w="1722" w:type="dxa"/>
            <w:tcBorders>
              <w:top w:val="single" w:color="auto" w:sz="4" w:space="0"/>
              <w:left w:val="nil"/>
              <w:bottom w:val="single" w:color="auto" w:sz="4" w:space="0"/>
              <w:right w:val="single" w:color="auto" w:sz="4" w:space="0"/>
            </w:tcBorders>
            <w:vAlign w:val="center"/>
          </w:tcPr>
          <w:p>
            <w:pPr>
              <w:keepNext w:val="0"/>
              <w:keepLines w:val="0"/>
              <w:widowControl/>
              <w:suppressLineNumbers w:val="0"/>
              <w:jc w:val="left"/>
              <w:textAlignment w:val="center"/>
              <w:rPr>
                <w:rFonts w:hint="eastAsia" w:ascii="宋体" w:hAnsi="宋体" w:eastAsia="宋体" w:cs="宋体"/>
                <w:color w:val="auto"/>
                <w:kern w:val="0"/>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优质饲草料产业发展成本</w:t>
            </w:r>
          </w:p>
        </w:tc>
        <w:tc>
          <w:tcPr>
            <w:tcW w:w="855" w:type="dxa"/>
            <w:tcBorders>
              <w:top w:val="nil"/>
              <w:left w:val="nil"/>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color w:val="auto"/>
                <w:kern w:val="0"/>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≤1000</w:t>
            </w:r>
            <w:r>
              <w:rPr>
                <w:rStyle w:val="57"/>
                <w:rFonts w:hint="eastAsia" w:ascii="宋体" w:hAnsi="宋体" w:eastAsia="宋体" w:cs="宋体"/>
                <w:color w:val="auto"/>
                <w:sz w:val="18"/>
                <w:szCs w:val="18"/>
                <w:highlight w:val="none"/>
                <w:lang w:val="en-US" w:eastAsia="zh-CN" w:bidi="ar"/>
              </w:rPr>
              <w:t>万元</w:t>
            </w:r>
          </w:p>
        </w:tc>
        <w:tc>
          <w:tcPr>
            <w:tcW w:w="885" w:type="dxa"/>
            <w:tcBorders>
              <w:top w:val="nil"/>
              <w:left w:val="nil"/>
              <w:bottom w:val="single" w:color="auto" w:sz="4" w:space="0"/>
              <w:right w:val="single" w:color="auto" w:sz="4" w:space="0"/>
            </w:tcBorders>
            <w:vAlign w:val="center"/>
          </w:tcPr>
          <w:p>
            <w:pPr>
              <w:jc w:val="center"/>
              <w:rPr>
                <w:rFonts w:hint="eastAsia" w:ascii="宋体" w:hAnsi="宋体" w:eastAsia="宋体" w:cs="宋体"/>
                <w:color w:val="auto"/>
                <w:kern w:val="2"/>
                <w:sz w:val="18"/>
                <w:szCs w:val="18"/>
                <w:highlight w:val="none"/>
                <w:lang w:val="en-US" w:eastAsia="zh-CN" w:bidi="ar-SA"/>
              </w:rPr>
            </w:pPr>
            <w:r>
              <w:rPr>
                <w:rFonts w:hint="eastAsia" w:ascii="宋体" w:hAnsi="宋体" w:eastAsia="宋体" w:cs="宋体"/>
                <w:color w:val="auto"/>
                <w:kern w:val="2"/>
                <w:sz w:val="18"/>
                <w:szCs w:val="18"/>
                <w:highlight w:val="none"/>
                <w:lang w:val="en-US" w:eastAsia="zh-CN" w:bidi="ar-SA"/>
              </w:rPr>
              <w:t>943.57万元</w:t>
            </w:r>
          </w:p>
        </w:tc>
        <w:tc>
          <w:tcPr>
            <w:tcW w:w="555" w:type="dxa"/>
            <w:tcBorders>
              <w:top w:val="nil"/>
              <w:left w:val="nil"/>
              <w:bottom w:val="single" w:color="auto" w:sz="4" w:space="0"/>
              <w:right w:val="single" w:color="auto" w:sz="4" w:space="0"/>
            </w:tcBorders>
            <w:vAlign w:val="center"/>
          </w:tcPr>
          <w:p>
            <w:pPr>
              <w:jc w:val="center"/>
              <w:rPr>
                <w:rFonts w:hint="default" w:ascii="宋体" w:hAnsi="宋体" w:eastAsia="宋体" w:cs="宋体"/>
                <w:color w:val="auto"/>
                <w:kern w:val="2"/>
                <w:sz w:val="18"/>
                <w:szCs w:val="18"/>
                <w:highlight w:val="none"/>
                <w:lang w:val="en-US" w:eastAsia="zh-CN" w:bidi="ar-SA"/>
              </w:rPr>
            </w:pPr>
            <w:r>
              <w:rPr>
                <w:rFonts w:hint="eastAsia" w:ascii="宋体" w:hAnsi="宋体" w:eastAsia="宋体" w:cs="宋体"/>
                <w:color w:val="auto"/>
                <w:kern w:val="2"/>
                <w:sz w:val="18"/>
                <w:szCs w:val="18"/>
                <w:highlight w:val="none"/>
                <w:lang w:val="en-US" w:eastAsia="zh-CN" w:bidi="ar-SA"/>
              </w:rPr>
              <w:t>2.2</w:t>
            </w:r>
          </w:p>
        </w:tc>
        <w:tc>
          <w:tcPr>
            <w:tcW w:w="825" w:type="dxa"/>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color w:val="auto"/>
                <w:kern w:val="0"/>
                <w:sz w:val="18"/>
                <w:szCs w:val="18"/>
                <w:highlight w:val="none"/>
                <w:lang w:val="en-US" w:eastAsia="zh-CN"/>
              </w:rPr>
            </w:pPr>
            <w:r>
              <w:rPr>
                <w:rFonts w:hint="eastAsia" w:ascii="宋体" w:hAnsi="宋体" w:eastAsia="宋体" w:cs="宋体"/>
                <w:color w:val="auto"/>
                <w:kern w:val="0"/>
                <w:sz w:val="18"/>
                <w:szCs w:val="18"/>
                <w:highlight w:val="none"/>
                <w:lang w:val="en-US" w:eastAsia="zh-CN"/>
              </w:rPr>
              <w:t>2.08</w:t>
            </w:r>
          </w:p>
        </w:tc>
        <w:tc>
          <w:tcPr>
            <w:tcW w:w="1943"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center"/>
              <w:rPr>
                <w:rFonts w:hint="eastAsia" w:ascii="宋体" w:hAnsi="宋体" w:eastAsia="宋体" w:cs="宋体"/>
                <w:color w:val="auto"/>
                <w:kern w:val="0"/>
                <w:sz w:val="18"/>
                <w:szCs w:val="18"/>
                <w:highlight w:val="none"/>
                <w:lang w:eastAsia="zh-CN"/>
              </w:rPr>
            </w:pPr>
            <w:r>
              <w:rPr>
                <w:rFonts w:hint="eastAsia" w:ascii="宋体" w:hAnsi="宋体" w:eastAsia="宋体" w:cs="宋体"/>
                <w:color w:val="auto"/>
                <w:kern w:val="0"/>
                <w:sz w:val="18"/>
                <w:szCs w:val="18"/>
                <w:highlight w:val="none"/>
                <w:lang w:val="en-US" w:eastAsia="zh-Hans"/>
              </w:rPr>
              <w:t>偏差原因：</w:t>
            </w:r>
            <w:r>
              <w:rPr>
                <w:rFonts w:hint="eastAsia" w:ascii="宋体" w:hAnsi="宋体" w:eastAsia="宋体" w:cs="宋体"/>
                <w:color w:val="auto"/>
                <w:kern w:val="0"/>
                <w:sz w:val="18"/>
                <w:szCs w:val="18"/>
                <w:highlight w:val="none"/>
              </w:rPr>
              <w:t>喀什和阿勒泰地区因财政资金原因暂未拨付</w:t>
            </w:r>
            <w:r>
              <w:rPr>
                <w:rFonts w:hint="eastAsia" w:ascii="宋体" w:hAnsi="宋体" w:eastAsia="宋体" w:cs="宋体"/>
                <w:color w:val="auto"/>
                <w:kern w:val="0"/>
                <w:sz w:val="18"/>
                <w:szCs w:val="18"/>
                <w:highlight w:val="none"/>
                <w:lang w:eastAsia="zh-CN"/>
              </w:rPr>
              <w:t>。</w:t>
            </w:r>
            <w:r>
              <w:rPr>
                <w:rFonts w:hint="eastAsia" w:ascii="宋体" w:hAnsi="宋体" w:eastAsia="宋体" w:cs="宋体"/>
                <w:color w:val="auto"/>
                <w:kern w:val="0"/>
                <w:sz w:val="18"/>
                <w:szCs w:val="18"/>
                <w:highlight w:val="none"/>
                <w:lang w:val="en-US" w:eastAsia="zh-Hans"/>
              </w:rPr>
              <w:t>改进措施：</w:t>
            </w:r>
            <w:r>
              <w:rPr>
                <w:rFonts w:hint="eastAsia" w:ascii="宋体" w:hAnsi="宋体" w:eastAsia="宋体" w:cs="宋体"/>
                <w:color w:val="auto"/>
                <w:kern w:val="0"/>
                <w:sz w:val="18"/>
                <w:szCs w:val="18"/>
                <w:highlight w:val="none"/>
                <w:lang w:eastAsia="zh-CN"/>
              </w:rPr>
              <w:t>督促喀什和阿勒泰地区积极与财政部门沟通，加快资金拨付进度。</w:t>
            </w:r>
          </w:p>
        </w:tc>
      </w:tr>
      <w:tr>
        <w:tblPrEx>
          <w:tblLayout w:type="fixed"/>
          <w:tblCellMar>
            <w:top w:w="0" w:type="dxa"/>
            <w:left w:w="108" w:type="dxa"/>
            <w:bottom w:w="0" w:type="dxa"/>
            <w:right w:w="108" w:type="dxa"/>
          </w:tblCellMar>
        </w:tblPrEx>
        <w:trPr>
          <w:trHeight w:val="2693" w:hRule="exact"/>
          <w:jc w:val="center"/>
        </w:trPr>
        <w:tc>
          <w:tcPr>
            <w:tcW w:w="396" w:type="dxa"/>
            <w:vMerge w:val="continue"/>
            <w:tcBorders>
              <w:left w:val="single" w:color="auto" w:sz="4" w:space="0"/>
              <w:right w:val="single" w:color="auto" w:sz="4" w:space="0"/>
            </w:tcBorders>
            <w:vAlign w:val="center"/>
          </w:tcPr>
          <w:p>
            <w:pPr>
              <w:widowControl/>
              <w:spacing w:line="240" w:lineRule="exact"/>
              <w:jc w:val="center"/>
              <w:rPr>
                <w:rFonts w:hint="eastAsia" w:ascii="宋体" w:hAnsi="宋体" w:eastAsia="宋体" w:cs="宋体"/>
                <w:color w:val="auto"/>
                <w:kern w:val="0"/>
                <w:sz w:val="18"/>
                <w:szCs w:val="18"/>
                <w:highlight w:val="none"/>
              </w:rPr>
            </w:pPr>
          </w:p>
        </w:tc>
        <w:tc>
          <w:tcPr>
            <w:tcW w:w="458" w:type="dxa"/>
            <w:vMerge w:val="continue"/>
            <w:tcBorders>
              <w:left w:val="single" w:color="auto" w:sz="4" w:space="0"/>
              <w:right w:val="single" w:color="auto" w:sz="4" w:space="0"/>
            </w:tcBorders>
            <w:vAlign w:val="center"/>
          </w:tcPr>
          <w:p>
            <w:pPr>
              <w:widowControl/>
              <w:spacing w:line="240" w:lineRule="exact"/>
              <w:jc w:val="center"/>
              <w:rPr>
                <w:rFonts w:hint="eastAsia" w:ascii="宋体" w:hAnsi="宋体" w:eastAsia="宋体" w:cs="宋体"/>
                <w:color w:val="auto"/>
                <w:kern w:val="0"/>
                <w:sz w:val="18"/>
                <w:szCs w:val="18"/>
                <w:highlight w:val="none"/>
              </w:rPr>
            </w:pPr>
          </w:p>
        </w:tc>
        <w:tc>
          <w:tcPr>
            <w:tcW w:w="883" w:type="dxa"/>
            <w:vMerge w:val="continue"/>
            <w:tcBorders>
              <w:left w:val="single" w:color="auto" w:sz="4" w:space="0"/>
              <w:right w:val="single" w:color="auto" w:sz="4" w:space="0"/>
            </w:tcBorders>
            <w:vAlign w:val="center"/>
          </w:tcPr>
          <w:p>
            <w:pPr>
              <w:widowControl/>
              <w:spacing w:line="240" w:lineRule="exact"/>
              <w:jc w:val="center"/>
              <w:rPr>
                <w:rFonts w:hint="eastAsia" w:ascii="宋体" w:hAnsi="宋体" w:eastAsia="宋体" w:cs="宋体"/>
                <w:color w:val="auto"/>
                <w:kern w:val="0"/>
                <w:sz w:val="18"/>
                <w:szCs w:val="18"/>
                <w:highlight w:val="none"/>
              </w:rPr>
            </w:pPr>
          </w:p>
        </w:tc>
        <w:tc>
          <w:tcPr>
            <w:tcW w:w="1722"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color w:val="auto"/>
                <w:kern w:val="0"/>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畜禽遗传保护成本</w:t>
            </w:r>
          </w:p>
        </w:tc>
        <w:tc>
          <w:tcPr>
            <w:tcW w:w="855"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color w:val="auto"/>
                <w:kern w:val="0"/>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≤300</w:t>
            </w:r>
            <w:r>
              <w:rPr>
                <w:rStyle w:val="57"/>
                <w:rFonts w:hint="eastAsia" w:ascii="宋体" w:hAnsi="宋体" w:eastAsia="宋体" w:cs="宋体"/>
                <w:color w:val="auto"/>
                <w:sz w:val="18"/>
                <w:szCs w:val="18"/>
                <w:highlight w:val="none"/>
                <w:lang w:val="en-US" w:eastAsia="zh-CN" w:bidi="ar"/>
              </w:rPr>
              <w:t>万元</w:t>
            </w:r>
          </w:p>
        </w:tc>
        <w:tc>
          <w:tcPr>
            <w:tcW w:w="885" w:type="dxa"/>
            <w:tcBorders>
              <w:top w:val="nil"/>
              <w:left w:val="nil"/>
              <w:bottom w:val="single" w:color="auto" w:sz="4" w:space="0"/>
              <w:right w:val="single" w:color="auto" w:sz="4" w:space="0"/>
            </w:tcBorders>
            <w:shd w:val="clear" w:color="auto" w:fill="auto"/>
            <w:vAlign w:val="center"/>
          </w:tcPr>
          <w:p>
            <w:pPr>
              <w:jc w:val="center"/>
              <w:rPr>
                <w:rFonts w:hint="eastAsia" w:ascii="宋体" w:hAnsi="宋体" w:eastAsia="宋体" w:cs="宋体"/>
                <w:color w:val="auto"/>
                <w:kern w:val="2"/>
                <w:sz w:val="18"/>
                <w:szCs w:val="18"/>
                <w:highlight w:val="none"/>
                <w:lang w:val="en-US" w:eastAsia="zh-CN" w:bidi="ar-SA"/>
              </w:rPr>
            </w:pPr>
            <w:r>
              <w:rPr>
                <w:rFonts w:hint="eastAsia" w:ascii="宋体" w:hAnsi="宋体" w:eastAsia="宋体" w:cs="宋体"/>
                <w:color w:val="auto"/>
                <w:sz w:val="18"/>
                <w:szCs w:val="18"/>
                <w:highlight w:val="none"/>
              </w:rPr>
              <w:t>297.28万元</w:t>
            </w:r>
          </w:p>
        </w:tc>
        <w:tc>
          <w:tcPr>
            <w:tcW w:w="555" w:type="dxa"/>
            <w:tcBorders>
              <w:top w:val="nil"/>
              <w:left w:val="nil"/>
              <w:bottom w:val="single" w:color="auto" w:sz="4" w:space="0"/>
              <w:right w:val="single" w:color="auto" w:sz="4" w:space="0"/>
            </w:tcBorders>
            <w:shd w:val="clear" w:color="auto" w:fill="auto"/>
            <w:vAlign w:val="center"/>
          </w:tcPr>
          <w:p>
            <w:pPr>
              <w:jc w:val="center"/>
              <w:rPr>
                <w:rFonts w:hint="default" w:ascii="宋体" w:hAnsi="宋体" w:eastAsia="宋体" w:cs="宋体"/>
                <w:color w:val="auto"/>
                <w:kern w:val="2"/>
                <w:sz w:val="18"/>
                <w:szCs w:val="18"/>
                <w:highlight w:val="none"/>
                <w:lang w:val="en-US" w:eastAsia="zh-CN" w:bidi="ar-SA"/>
              </w:rPr>
            </w:pPr>
            <w:r>
              <w:rPr>
                <w:rFonts w:hint="eastAsia" w:ascii="宋体" w:hAnsi="宋体" w:eastAsia="宋体" w:cs="宋体"/>
                <w:color w:val="auto"/>
                <w:kern w:val="2"/>
                <w:sz w:val="18"/>
                <w:szCs w:val="18"/>
                <w:highlight w:val="none"/>
                <w:lang w:val="en-US" w:eastAsia="zh-CN" w:bidi="ar-SA"/>
              </w:rPr>
              <w:t>2.2</w:t>
            </w:r>
          </w:p>
        </w:tc>
        <w:tc>
          <w:tcPr>
            <w:tcW w:w="825"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hint="default" w:ascii="宋体" w:hAnsi="宋体" w:eastAsia="宋体" w:cs="宋体"/>
                <w:color w:val="auto"/>
                <w:kern w:val="0"/>
                <w:sz w:val="18"/>
                <w:szCs w:val="18"/>
                <w:highlight w:val="none"/>
                <w:lang w:val="en-US" w:eastAsia="zh-CN"/>
              </w:rPr>
            </w:pPr>
            <w:r>
              <w:rPr>
                <w:rFonts w:hint="eastAsia" w:ascii="宋体" w:hAnsi="宋体" w:eastAsia="宋体" w:cs="宋体"/>
                <w:color w:val="auto"/>
                <w:kern w:val="0"/>
                <w:sz w:val="18"/>
                <w:szCs w:val="18"/>
                <w:highlight w:val="none"/>
                <w:lang w:val="en-US" w:eastAsia="zh-CN"/>
              </w:rPr>
              <w:t>2.18</w:t>
            </w:r>
          </w:p>
        </w:tc>
        <w:tc>
          <w:tcPr>
            <w:tcW w:w="1943"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 xml:space="preserve">偏差原因：受2022年冠肺炎疫情影响，阿勒泰地区计划开展的阿勒泰白头牛保种技术培训尚未全部完成，剩余2.72万元资金未完全支出。整改措施：加强与阿勒泰地区工作对接，督促尽快按要求完成项目任务计划，完成剩余资金拨付。 </w:t>
            </w:r>
          </w:p>
        </w:tc>
      </w:tr>
      <w:tr>
        <w:tblPrEx>
          <w:tblLayout w:type="fixed"/>
          <w:tblCellMar>
            <w:top w:w="0" w:type="dxa"/>
            <w:left w:w="108" w:type="dxa"/>
            <w:bottom w:w="0" w:type="dxa"/>
            <w:right w:w="108" w:type="dxa"/>
          </w:tblCellMar>
        </w:tblPrEx>
        <w:trPr>
          <w:trHeight w:val="735" w:hRule="exact"/>
          <w:jc w:val="center"/>
        </w:trPr>
        <w:tc>
          <w:tcPr>
            <w:tcW w:w="396" w:type="dxa"/>
            <w:vMerge w:val="continue"/>
            <w:tcBorders>
              <w:left w:val="single" w:color="auto" w:sz="4" w:space="0"/>
              <w:right w:val="single" w:color="auto" w:sz="4" w:space="0"/>
            </w:tcBorders>
            <w:vAlign w:val="center"/>
          </w:tcPr>
          <w:p>
            <w:pPr>
              <w:widowControl/>
              <w:spacing w:line="240" w:lineRule="exact"/>
              <w:jc w:val="center"/>
              <w:rPr>
                <w:rFonts w:hint="eastAsia" w:ascii="宋体" w:hAnsi="宋体" w:eastAsia="宋体" w:cs="宋体"/>
                <w:color w:val="auto"/>
                <w:kern w:val="0"/>
                <w:sz w:val="18"/>
                <w:szCs w:val="18"/>
                <w:highlight w:val="none"/>
              </w:rPr>
            </w:pPr>
          </w:p>
        </w:tc>
        <w:tc>
          <w:tcPr>
            <w:tcW w:w="458" w:type="dxa"/>
            <w:vMerge w:val="continue"/>
            <w:tcBorders>
              <w:left w:val="single" w:color="auto" w:sz="4" w:space="0"/>
              <w:right w:val="single" w:color="auto" w:sz="4" w:space="0"/>
            </w:tcBorders>
            <w:vAlign w:val="center"/>
          </w:tcPr>
          <w:p>
            <w:pPr>
              <w:widowControl/>
              <w:spacing w:line="240" w:lineRule="exact"/>
              <w:jc w:val="center"/>
              <w:rPr>
                <w:rFonts w:hint="eastAsia" w:ascii="宋体" w:hAnsi="宋体" w:eastAsia="宋体" w:cs="宋体"/>
                <w:color w:val="auto"/>
                <w:kern w:val="0"/>
                <w:sz w:val="18"/>
                <w:szCs w:val="18"/>
                <w:highlight w:val="none"/>
              </w:rPr>
            </w:pPr>
          </w:p>
        </w:tc>
        <w:tc>
          <w:tcPr>
            <w:tcW w:w="883" w:type="dxa"/>
            <w:vMerge w:val="continue"/>
            <w:tcBorders>
              <w:left w:val="single" w:color="auto" w:sz="4" w:space="0"/>
              <w:right w:val="single" w:color="auto" w:sz="4" w:space="0"/>
            </w:tcBorders>
            <w:vAlign w:val="center"/>
          </w:tcPr>
          <w:p>
            <w:pPr>
              <w:widowControl/>
              <w:spacing w:line="240" w:lineRule="exact"/>
              <w:jc w:val="center"/>
              <w:rPr>
                <w:rFonts w:hint="eastAsia" w:ascii="宋体" w:hAnsi="宋体" w:eastAsia="宋体" w:cs="宋体"/>
                <w:color w:val="auto"/>
                <w:kern w:val="0"/>
                <w:sz w:val="18"/>
                <w:szCs w:val="18"/>
                <w:highlight w:val="none"/>
              </w:rPr>
            </w:pPr>
          </w:p>
        </w:tc>
        <w:tc>
          <w:tcPr>
            <w:tcW w:w="1722"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color w:val="auto"/>
                <w:kern w:val="0"/>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畜产品质量安全监测成本</w:t>
            </w:r>
          </w:p>
        </w:tc>
        <w:tc>
          <w:tcPr>
            <w:tcW w:w="855"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color w:val="auto"/>
                <w:kern w:val="0"/>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≤600</w:t>
            </w:r>
            <w:r>
              <w:rPr>
                <w:rStyle w:val="57"/>
                <w:rFonts w:hint="eastAsia" w:ascii="宋体" w:hAnsi="宋体" w:eastAsia="宋体" w:cs="宋体"/>
                <w:color w:val="auto"/>
                <w:sz w:val="18"/>
                <w:szCs w:val="18"/>
                <w:highlight w:val="none"/>
                <w:lang w:val="en-US" w:eastAsia="zh-CN" w:bidi="ar"/>
              </w:rPr>
              <w:t>万元</w:t>
            </w:r>
          </w:p>
        </w:tc>
        <w:tc>
          <w:tcPr>
            <w:tcW w:w="885" w:type="dxa"/>
            <w:tcBorders>
              <w:top w:val="nil"/>
              <w:left w:val="nil"/>
              <w:bottom w:val="single" w:color="auto" w:sz="4" w:space="0"/>
              <w:right w:val="single" w:color="auto" w:sz="4" w:space="0"/>
            </w:tcBorders>
            <w:shd w:val="clear" w:color="auto" w:fill="auto"/>
            <w:vAlign w:val="center"/>
          </w:tcPr>
          <w:p>
            <w:pPr>
              <w:jc w:val="center"/>
              <w:rPr>
                <w:rFonts w:hint="eastAsia" w:ascii="宋体" w:hAnsi="宋体" w:eastAsia="宋体" w:cs="宋体"/>
                <w:color w:val="auto"/>
                <w:kern w:val="2"/>
                <w:sz w:val="18"/>
                <w:szCs w:val="18"/>
                <w:highlight w:val="none"/>
                <w:lang w:val="en-US" w:eastAsia="zh-CN" w:bidi="ar-SA"/>
              </w:rPr>
            </w:pPr>
            <w:r>
              <w:rPr>
                <w:rFonts w:hint="eastAsia" w:ascii="宋体" w:hAnsi="宋体" w:eastAsia="宋体" w:cs="宋体"/>
                <w:color w:val="auto"/>
                <w:kern w:val="0"/>
                <w:sz w:val="18"/>
                <w:szCs w:val="18"/>
                <w:highlight w:val="none"/>
                <w:lang w:val="en-US" w:eastAsia="zh-CN"/>
              </w:rPr>
              <w:t>600万元</w:t>
            </w:r>
          </w:p>
        </w:tc>
        <w:tc>
          <w:tcPr>
            <w:tcW w:w="555" w:type="dxa"/>
            <w:tcBorders>
              <w:top w:val="nil"/>
              <w:left w:val="nil"/>
              <w:bottom w:val="single" w:color="auto" w:sz="4" w:space="0"/>
              <w:right w:val="single" w:color="auto" w:sz="4" w:space="0"/>
            </w:tcBorders>
            <w:shd w:val="clear" w:color="auto" w:fill="auto"/>
            <w:vAlign w:val="center"/>
          </w:tcPr>
          <w:p>
            <w:pPr>
              <w:jc w:val="center"/>
              <w:rPr>
                <w:rFonts w:hint="default" w:ascii="宋体" w:hAnsi="宋体" w:eastAsia="宋体" w:cs="宋体"/>
                <w:color w:val="auto"/>
                <w:kern w:val="2"/>
                <w:sz w:val="18"/>
                <w:szCs w:val="18"/>
                <w:highlight w:val="none"/>
                <w:lang w:val="en-US" w:eastAsia="zh-CN" w:bidi="ar-SA"/>
              </w:rPr>
            </w:pPr>
            <w:r>
              <w:rPr>
                <w:rFonts w:hint="eastAsia" w:ascii="宋体" w:hAnsi="宋体" w:eastAsia="宋体" w:cs="宋体"/>
                <w:color w:val="auto"/>
                <w:kern w:val="2"/>
                <w:sz w:val="18"/>
                <w:szCs w:val="18"/>
                <w:highlight w:val="none"/>
                <w:lang w:val="en-US" w:eastAsia="zh-CN" w:bidi="ar-SA"/>
              </w:rPr>
              <w:t>2.2</w:t>
            </w:r>
          </w:p>
        </w:tc>
        <w:tc>
          <w:tcPr>
            <w:tcW w:w="825"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hint="default" w:ascii="宋体" w:hAnsi="宋体" w:eastAsia="宋体" w:cs="宋体"/>
                <w:color w:val="auto"/>
                <w:kern w:val="0"/>
                <w:sz w:val="18"/>
                <w:szCs w:val="18"/>
                <w:highlight w:val="none"/>
                <w:lang w:val="en-US" w:eastAsia="zh-CN"/>
              </w:rPr>
            </w:pPr>
            <w:r>
              <w:rPr>
                <w:rFonts w:hint="eastAsia" w:ascii="宋体" w:hAnsi="宋体" w:eastAsia="宋体" w:cs="宋体"/>
                <w:color w:val="auto"/>
                <w:kern w:val="0"/>
                <w:sz w:val="18"/>
                <w:szCs w:val="18"/>
                <w:highlight w:val="none"/>
                <w:lang w:val="en-US" w:eastAsia="zh-CN"/>
              </w:rPr>
              <w:t>2.2</w:t>
            </w:r>
          </w:p>
        </w:tc>
        <w:tc>
          <w:tcPr>
            <w:tcW w:w="1943"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center"/>
              <w:rPr>
                <w:rFonts w:hint="eastAsia" w:ascii="宋体" w:hAnsi="宋体" w:eastAsia="宋体" w:cs="宋体"/>
                <w:color w:val="auto"/>
                <w:kern w:val="0"/>
                <w:sz w:val="18"/>
                <w:szCs w:val="18"/>
                <w:highlight w:val="none"/>
              </w:rPr>
            </w:pPr>
          </w:p>
        </w:tc>
      </w:tr>
      <w:tr>
        <w:tblPrEx>
          <w:tblLayout w:type="fixed"/>
          <w:tblCellMar>
            <w:top w:w="0" w:type="dxa"/>
            <w:left w:w="108" w:type="dxa"/>
            <w:bottom w:w="0" w:type="dxa"/>
            <w:right w:w="108" w:type="dxa"/>
          </w:tblCellMar>
        </w:tblPrEx>
        <w:trPr>
          <w:trHeight w:val="690" w:hRule="exact"/>
          <w:jc w:val="center"/>
        </w:trPr>
        <w:tc>
          <w:tcPr>
            <w:tcW w:w="396" w:type="dxa"/>
            <w:vMerge w:val="continue"/>
            <w:tcBorders>
              <w:left w:val="single" w:color="auto" w:sz="4" w:space="0"/>
              <w:right w:val="single" w:color="auto" w:sz="4" w:space="0"/>
            </w:tcBorders>
            <w:vAlign w:val="center"/>
          </w:tcPr>
          <w:p>
            <w:pPr>
              <w:widowControl/>
              <w:spacing w:line="240" w:lineRule="exact"/>
              <w:jc w:val="center"/>
              <w:rPr>
                <w:rFonts w:hint="eastAsia" w:ascii="宋体" w:hAnsi="宋体" w:eastAsia="宋体" w:cs="宋体"/>
                <w:color w:val="auto"/>
                <w:kern w:val="0"/>
                <w:sz w:val="18"/>
                <w:szCs w:val="18"/>
                <w:highlight w:val="none"/>
              </w:rPr>
            </w:pPr>
          </w:p>
        </w:tc>
        <w:tc>
          <w:tcPr>
            <w:tcW w:w="458" w:type="dxa"/>
            <w:vMerge w:val="continue"/>
            <w:tcBorders>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eastAsia="宋体" w:cs="宋体"/>
                <w:color w:val="auto"/>
                <w:kern w:val="0"/>
                <w:sz w:val="18"/>
                <w:szCs w:val="18"/>
                <w:highlight w:val="none"/>
              </w:rPr>
            </w:pPr>
          </w:p>
        </w:tc>
        <w:tc>
          <w:tcPr>
            <w:tcW w:w="883" w:type="dxa"/>
            <w:vMerge w:val="continue"/>
            <w:tcBorders>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eastAsia="宋体" w:cs="宋体"/>
                <w:color w:val="auto"/>
                <w:kern w:val="0"/>
                <w:sz w:val="18"/>
                <w:szCs w:val="18"/>
                <w:highlight w:val="none"/>
              </w:rPr>
            </w:pPr>
          </w:p>
        </w:tc>
        <w:tc>
          <w:tcPr>
            <w:tcW w:w="1722" w:type="dxa"/>
            <w:tcBorders>
              <w:top w:val="single" w:color="auto" w:sz="4" w:space="0"/>
              <w:left w:val="nil"/>
              <w:bottom w:val="single" w:color="auto" w:sz="4" w:space="0"/>
              <w:right w:val="single" w:color="auto" w:sz="4" w:space="0"/>
            </w:tcBorders>
            <w:vAlign w:val="center"/>
          </w:tcPr>
          <w:p>
            <w:pPr>
              <w:keepNext w:val="0"/>
              <w:keepLines w:val="0"/>
              <w:widowControl/>
              <w:suppressLineNumbers w:val="0"/>
              <w:jc w:val="left"/>
              <w:textAlignment w:val="center"/>
              <w:rPr>
                <w:rFonts w:hint="eastAsia" w:ascii="宋体" w:hAnsi="宋体" w:eastAsia="宋体" w:cs="宋体"/>
                <w:color w:val="auto"/>
                <w:kern w:val="0"/>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畜牧产业新型经营主体</w:t>
            </w:r>
          </w:p>
        </w:tc>
        <w:tc>
          <w:tcPr>
            <w:tcW w:w="855" w:type="dxa"/>
            <w:tcBorders>
              <w:top w:val="nil"/>
              <w:left w:val="nil"/>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color w:val="auto"/>
                <w:kern w:val="0"/>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≤280</w:t>
            </w:r>
            <w:r>
              <w:rPr>
                <w:rStyle w:val="57"/>
                <w:rFonts w:hint="eastAsia" w:ascii="宋体" w:hAnsi="宋体" w:eastAsia="宋体" w:cs="宋体"/>
                <w:color w:val="auto"/>
                <w:sz w:val="18"/>
                <w:szCs w:val="18"/>
                <w:highlight w:val="none"/>
                <w:lang w:val="en-US" w:eastAsia="zh-CN" w:bidi="ar"/>
              </w:rPr>
              <w:t>万元</w:t>
            </w:r>
          </w:p>
        </w:tc>
        <w:tc>
          <w:tcPr>
            <w:tcW w:w="885" w:type="dxa"/>
            <w:tcBorders>
              <w:top w:val="nil"/>
              <w:left w:val="nil"/>
              <w:bottom w:val="single" w:color="auto" w:sz="4" w:space="0"/>
              <w:right w:val="single" w:color="auto" w:sz="4" w:space="0"/>
            </w:tcBorders>
            <w:vAlign w:val="center"/>
          </w:tcPr>
          <w:p>
            <w:pPr>
              <w:jc w:val="center"/>
              <w:rPr>
                <w:rFonts w:hint="default" w:ascii="宋体" w:hAnsi="宋体" w:eastAsia="宋体" w:cs="宋体"/>
                <w:color w:val="auto"/>
                <w:kern w:val="2"/>
                <w:sz w:val="18"/>
                <w:szCs w:val="18"/>
                <w:highlight w:val="none"/>
                <w:lang w:val="en-US" w:eastAsia="zh-CN" w:bidi="ar-SA"/>
              </w:rPr>
            </w:pPr>
            <w:r>
              <w:rPr>
                <w:rFonts w:hint="eastAsia" w:ascii="宋体" w:hAnsi="宋体" w:eastAsia="宋体" w:cs="宋体"/>
                <w:color w:val="auto"/>
                <w:kern w:val="2"/>
                <w:sz w:val="18"/>
                <w:szCs w:val="18"/>
                <w:highlight w:val="none"/>
                <w:lang w:val="en-US" w:eastAsia="zh-CN" w:bidi="ar-SA"/>
              </w:rPr>
              <w:t>280万元</w:t>
            </w:r>
          </w:p>
        </w:tc>
        <w:tc>
          <w:tcPr>
            <w:tcW w:w="555" w:type="dxa"/>
            <w:tcBorders>
              <w:top w:val="nil"/>
              <w:left w:val="nil"/>
              <w:bottom w:val="single" w:color="auto" w:sz="4" w:space="0"/>
              <w:right w:val="single" w:color="auto" w:sz="4" w:space="0"/>
            </w:tcBorders>
            <w:vAlign w:val="center"/>
          </w:tcPr>
          <w:p>
            <w:pPr>
              <w:jc w:val="center"/>
              <w:rPr>
                <w:rFonts w:hint="default" w:ascii="宋体" w:hAnsi="宋体" w:eastAsia="宋体" w:cs="宋体"/>
                <w:color w:val="auto"/>
                <w:kern w:val="2"/>
                <w:sz w:val="18"/>
                <w:szCs w:val="18"/>
                <w:highlight w:val="none"/>
                <w:lang w:val="en-US" w:eastAsia="zh-CN" w:bidi="ar-SA"/>
              </w:rPr>
            </w:pPr>
            <w:r>
              <w:rPr>
                <w:rFonts w:hint="eastAsia" w:ascii="宋体" w:hAnsi="宋体" w:eastAsia="宋体" w:cs="宋体"/>
                <w:color w:val="auto"/>
                <w:kern w:val="2"/>
                <w:sz w:val="18"/>
                <w:szCs w:val="18"/>
                <w:highlight w:val="none"/>
                <w:lang w:val="en-US" w:eastAsia="zh-CN" w:bidi="ar-SA"/>
              </w:rPr>
              <w:t>2.2</w:t>
            </w:r>
          </w:p>
        </w:tc>
        <w:tc>
          <w:tcPr>
            <w:tcW w:w="825" w:type="dxa"/>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color w:val="auto"/>
                <w:kern w:val="0"/>
                <w:sz w:val="18"/>
                <w:szCs w:val="18"/>
                <w:highlight w:val="none"/>
                <w:lang w:val="en-US" w:eastAsia="zh-CN"/>
              </w:rPr>
            </w:pPr>
            <w:r>
              <w:rPr>
                <w:rFonts w:hint="eastAsia" w:ascii="宋体" w:hAnsi="宋体" w:eastAsia="宋体" w:cs="宋体"/>
                <w:color w:val="auto"/>
                <w:kern w:val="0"/>
                <w:sz w:val="18"/>
                <w:szCs w:val="18"/>
                <w:highlight w:val="none"/>
                <w:lang w:val="en-US" w:eastAsia="zh-CN"/>
              </w:rPr>
              <w:t>2.2</w:t>
            </w:r>
          </w:p>
        </w:tc>
        <w:tc>
          <w:tcPr>
            <w:tcW w:w="1943"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color w:val="auto"/>
                <w:kern w:val="0"/>
                <w:sz w:val="18"/>
                <w:szCs w:val="18"/>
                <w:highlight w:val="none"/>
              </w:rPr>
            </w:pPr>
          </w:p>
        </w:tc>
      </w:tr>
      <w:tr>
        <w:tblPrEx>
          <w:tblLayout w:type="fixed"/>
          <w:tblCellMar>
            <w:top w:w="0" w:type="dxa"/>
            <w:left w:w="108" w:type="dxa"/>
            <w:bottom w:w="0" w:type="dxa"/>
            <w:right w:w="108" w:type="dxa"/>
          </w:tblCellMar>
        </w:tblPrEx>
        <w:trPr>
          <w:trHeight w:val="585" w:hRule="exact"/>
          <w:jc w:val="center"/>
        </w:trPr>
        <w:tc>
          <w:tcPr>
            <w:tcW w:w="396" w:type="dxa"/>
            <w:vMerge w:val="continue"/>
            <w:tcBorders>
              <w:left w:val="single" w:color="auto" w:sz="4" w:space="0"/>
              <w:right w:val="single" w:color="auto" w:sz="4" w:space="0"/>
            </w:tcBorders>
            <w:vAlign w:val="center"/>
          </w:tcPr>
          <w:p>
            <w:pPr>
              <w:widowControl/>
              <w:spacing w:line="240" w:lineRule="exact"/>
              <w:jc w:val="center"/>
              <w:rPr>
                <w:rFonts w:hint="eastAsia" w:ascii="宋体" w:hAnsi="宋体" w:eastAsia="宋体" w:cs="宋体"/>
                <w:color w:val="auto"/>
                <w:kern w:val="0"/>
                <w:sz w:val="18"/>
                <w:szCs w:val="18"/>
                <w:highlight w:val="none"/>
              </w:rPr>
            </w:pPr>
          </w:p>
        </w:tc>
        <w:tc>
          <w:tcPr>
            <w:tcW w:w="458"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效益指标</w:t>
            </w:r>
          </w:p>
        </w:tc>
        <w:tc>
          <w:tcPr>
            <w:tcW w:w="883"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社会效益</w:t>
            </w:r>
          </w:p>
          <w:p>
            <w:pPr>
              <w:widowControl/>
              <w:spacing w:line="240" w:lineRule="exact"/>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指标</w:t>
            </w:r>
          </w:p>
        </w:tc>
        <w:tc>
          <w:tcPr>
            <w:tcW w:w="1722" w:type="dxa"/>
            <w:tcBorders>
              <w:top w:val="single" w:color="auto" w:sz="4" w:space="0"/>
              <w:left w:val="nil"/>
              <w:bottom w:val="single" w:color="auto" w:sz="4" w:space="0"/>
              <w:right w:val="single" w:color="auto" w:sz="4" w:space="0"/>
            </w:tcBorders>
            <w:vAlign w:val="center"/>
          </w:tcPr>
          <w:p>
            <w:pPr>
              <w:keepNext w:val="0"/>
              <w:keepLines w:val="0"/>
              <w:widowControl/>
              <w:suppressLineNumbers w:val="0"/>
              <w:jc w:val="left"/>
              <w:textAlignment w:val="center"/>
              <w:rPr>
                <w:rFonts w:hint="eastAsia" w:ascii="宋体" w:hAnsi="宋体" w:eastAsia="宋体" w:cs="宋体"/>
                <w:color w:val="auto"/>
                <w:kern w:val="0"/>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提升畜牧业综合生产能力</w:t>
            </w:r>
          </w:p>
        </w:tc>
        <w:tc>
          <w:tcPr>
            <w:tcW w:w="855" w:type="dxa"/>
            <w:tcBorders>
              <w:top w:val="nil"/>
              <w:left w:val="nil"/>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color w:val="auto"/>
                <w:kern w:val="0"/>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有效提升</w:t>
            </w:r>
          </w:p>
        </w:tc>
        <w:tc>
          <w:tcPr>
            <w:tcW w:w="885" w:type="dxa"/>
            <w:tcBorders>
              <w:top w:val="nil"/>
              <w:left w:val="nil"/>
              <w:bottom w:val="single" w:color="auto" w:sz="4" w:space="0"/>
              <w:right w:val="single" w:color="auto" w:sz="4" w:space="0"/>
            </w:tcBorders>
            <w:vAlign w:val="center"/>
          </w:tcPr>
          <w:p>
            <w:pPr>
              <w:widowControl/>
              <w:jc w:val="center"/>
              <w:textAlignment w:val="center"/>
              <w:rPr>
                <w:rFonts w:hint="eastAsia" w:ascii="宋体" w:hAnsi="宋体" w:eastAsia="宋体" w:cs="宋体"/>
                <w:color w:val="auto"/>
                <w:kern w:val="2"/>
                <w:sz w:val="18"/>
                <w:szCs w:val="18"/>
                <w:highlight w:val="none"/>
                <w:lang w:val="en-US" w:eastAsia="zh-CN" w:bidi="ar-SA"/>
              </w:rPr>
            </w:pPr>
            <w:r>
              <w:rPr>
                <w:rFonts w:hint="eastAsia" w:ascii="宋体" w:hAnsi="宋体" w:eastAsia="宋体" w:cs="宋体"/>
                <w:i w:val="0"/>
                <w:iCs w:val="0"/>
                <w:color w:val="auto"/>
                <w:kern w:val="0"/>
                <w:sz w:val="18"/>
                <w:szCs w:val="18"/>
                <w:highlight w:val="none"/>
                <w:u w:val="none"/>
                <w:lang w:val="en-US" w:eastAsia="zh-CN" w:bidi="ar"/>
              </w:rPr>
              <w:t>有效提升</w:t>
            </w:r>
          </w:p>
        </w:tc>
        <w:tc>
          <w:tcPr>
            <w:tcW w:w="555" w:type="dxa"/>
            <w:tcBorders>
              <w:top w:val="nil"/>
              <w:left w:val="nil"/>
              <w:bottom w:val="single" w:color="auto" w:sz="4" w:space="0"/>
              <w:right w:val="single" w:color="auto" w:sz="4" w:space="0"/>
            </w:tcBorders>
            <w:vAlign w:val="center"/>
          </w:tcPr>
          <w:p>
            <w:pPr>
              <w:jc w:val="center"/>
              <w:rPr>
                <w:rFonts w:hint="eastAsia" w:ascii="宋体" w:hAnsi="宋体" w:eastAsia="宋体" w:cs="宋体"/>
                <w:color w:val="auto"/>
                <w:kern w:val="2"/>
                <w:sz w:val="18"/>
                <w:szCs w:val="18"/>
                <w:highlight w:val="none"/>
                <w:lang w:val="en-US" w:eastAsia="zh-CN" w:bidi="ar-SA"/>
              </w:rPr>
            </w:pPr>
            <w:r>
              <w:rPr>
                <w:rFonts w:hint="eastAsia" w:ascii="宋体" w:hAnsi="宋体" w:eastAsia="宋体" w:cs="宋体"/>
                <w:color w:val="auto"/>
                <w:kern w:val="2"/>
                <w:sz w:val="18"/>
                <w:szCs w:val="18"/>
                <w:highlight w:val="none"/>
                <w:lang w:val="en-US" w:eastAsia="zh-CN" w:bidi="ar-SA"/>
              </w:rPr>
              <w:t>10</w:t>
            </w:r>
          </w:p>
        </w:tc>
        <w:tc>
          <w:tcPr>
            <w:tcW w:w="825" w:type="dxa"/>
            <w:tcBorders>
              <w:top w:val="nil"/>
              <w:left w:val="nil"/>
              <w:bottom w:val="single" w:color="auto" w:sz="4" w:space="0"/>
              <w:right w:val="single" w:color="auto" w:sz="4" w:space="0"/>
            </w:tcBorders>
            <w:vAlign w:val="center"/>
          </w:tcPr>
          <w:p>
            <w:pPr>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2"/>
                <w:sz w:val="18"/>
                <w:szCs w:val="18"/>
                <w:highlight w:val="none"/>
                <w:lang w:val="en-US" w:eastAsia="zh-CN" w:bidi="ar-SA"/>
              </w:rPr>
              <w:t>10</w:t>
            </w:r>
          </w:p>
        </w:tc>
        <w:tc>
          <w:tcPr>
            <w:tcW w:w="1943"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color w:val="auto"/>
                <w:kern w:val="0"/>
                <w:sz w:val="18"/>
                <w:szCs w:val="18"/>
                <w:highlight w:val="none"/>
              </w:rPr>
            </w:pPr>
          </w:p>
        </w:tc>
      </w:tr>
      <w:tr>
        <w:tblPrEx>
          <w:tblLayout w:type="fixed"/>
          <w:tblCellMar>
            <w:top w:w="0" w:type="dxa"/>
            <w:left w:w="108" w:type="dxa"/>
            <w:bottom w:w="0" w:type="dxa"/>
            <w:right w:w="108" w:type="dxa"/>
          </w:tblCellMar>
        </w:tblPrEx>
        <w:trPr>
          <w:trHeight w:val="600" w:hRule="exact"/>
          <w:jc w:val="center"/>
        </w:trPr>
        <w:tc>
          <w:tcPr>
            <w:tcW w:w="396" w:type="dxa"/>
            <w:vMerge w:val="continue"/>
            <w:tcBorders>
              <w:left w:val="single" w:color="auto" w:sz="4" w:space="0"/>
              <w:right w:val="single" w:color="auto" w:sz="4" w:space="0"/>
            </w:tcBorders>
            <w:vAlign w:val="center"/>
          </w:tcPr>
          <w:p>
            <w:pPr>
              <w:widowControl/>
              <w:spacing w:line="240" w:lineRule="exact"/>
              <w:jc w:val="center"/>
              <w:rPr>
                <w:rFonts w:hint="eastAsia" w:ascii="宋体" w:hAnsi="宋体" w:eastAsia="宋体" w:cs="宋体"/>
                <w:color w:val="auto"/>
                <w:kern w:val="0"/>
                <w:sz w:val="18"/>
                <w:szCs w:val="18"/>
                <w:highlight w:val="none"/>
              </w:rPr>
            </w:pPr>
          </w:p>
        </w:tc>
        <w:tc>
          <w:tcPr>
            <w:tcW w:w="458"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eastAsia="宋体" w:cs="宋体"/>
                <w:color w:val="auto"/>
                <w:kern w:val="0"/>
                <w:sz w:val="18"/>
                <w:szCs w:val="18"/>
                <w:highlight w:val="none"/>
              </w:rPr>
            </w:pPr>
          </w:p>
        </w:tc>
        <w:tc>
          <w:tcPr>
            <w:tcW w:w="88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eastAsia="宋体" w:cs="宋体"/>
                <w:color w:val="auto"/>
                <w:kern w:val="0"/>
                <w:sz w:val="18"/>
                <w:szCs w:val="18"/>
                <w:highlight w:val="none"/>
              </w:rPr>
            </w:pPr>
          </w:p>
        </w:tc>
        <w:tc>
          <w:tcPr>
            <w:tcW w:w="1722" w:type="dxa"/>
            <w:tcBorders>
              <w:top w:val="single" w:color="auto" w:sz="4" w:space="0"/>
              <w:left w:val="nil"/>
              <w:bottom w:val="single" w:color="auto" w:sz="4" w:space="0"/>
              <w:right w:val="single" w:color="auto" w:sz="4" w:space="0"/>
            </w:tcBorders>
            <w:vAlign w:val="center"/>
          </w:tcPr>
          <w:p>
            <w:pPr>
              <w:keepNext w:val="0"/>
              <w:keepLines w:val="0"/>
              <w:widowControl/>
              <w:suppressLineNumbers w:val="0"/>
              <w:jc w:val="left"/>
              <w:textAlignment w:val="center"/>
              <w:rPr>
                <w:rFonts w:hint="eastAsia" w:ascii="宋体" w:hAnsi="宋体" w:eastAsia="宋体" w:cs="宋体"/>
                <w:color w:val="auto"/>
                <w:kern w:val="0"/>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畜牧产业提升农牧民经济收入水平</w:t>
            </w:r>
          </w:p>
        </w:tc>
        <w:tc>
          <w:tcPr>
            <w:tcW w:w="855" w:type="dxa"/>
            <w:tcBorders>
              <w:top w:val="nil"/>
              <w:left w:val="nil"/>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color w:val="auto"/>
                <w:kern w:val="0"/>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有效提升</w:t>
            </w:r>
          </w:p>
        </w:tc>
        <w:tc>
          <w:tcPr>
            <w:tcW w:w="885" w:type="dxa"/>
            <w:tcBorders>
              <w:top w:val="nil"/>
              <w:left w:val="nil"/>
              <w:bottom w:val="single" w:color="auto" w:sz="4" w:space="0"/>
              <w:right w:val="single" w:color="auto" w:sz="4" w:space="0"/>
            </w:tcBorders>
            <w:vAlign w:val="center"/>
          </w:tcPr>
          <w:p>
            <w:pPr>
              <w:widowControl/>
              <w:jc w:val="center"/>
              <w:textAlignment w:val="center"/>
              <w:rPr>
                <w:rFonts w:hint="eastAsia" w:ascii="宋体" w:hAnsi="宋体" w:eastAsia="宋体" w:cs="宋体"/>
                <w:color w:val="auto"/>
                <w:kern w:val="2"/>
                <w:sz w:val="18"/>
                <w:szCs w:val="18"/>
                <w:highlight w:val="none"/>
                <w:lang w:val="en-US" w:eastAsia="zh-CN" w:bidi="ar-SA"/>
              </w:rPr>
            </w:pPr>
            <w:r>
              <w:rPr>
                <w:rFonts w:hint="eastAsia" w:ascii="宋体" w:hAnsi="宋体" w:eastAsia="宋体" w:cs="宋体"/>
                <w:i w:val="0"/>
                <w:iCs w:val="0"/>
                <w:color w:val="auto"/>
                <w:kern w:val="0"/>
                <w:sz w:val="18"/>
                <w:szCs w:val="18"/>
                <w:highlight w:val="none"/>
                <w:u w:val="none"/>
                <w:lang w:val="en-US" w:eastAsia="zh-CN" w:bidi="ar"/>
              </w:rPr>
              <w:t>有效提升</w:t>
            </w:r>
          </w:p>
        </w:tc>
        <w:tc>
          <w:tcPr>
            <w:tcW w:w="555" w:type="dxa"/>
            <w:tcBorders>
              <w:top w:val="nil"/>
              <w:left w:val="nil"/>
              <w:bottom w:val="single" w:color="auto" w:sz="4" w:space="0"/>
              <w:right w:val="single" w:color="auto" w:sz="4" w:space="0"/>
            </w:tcBorders>
            <w:vAlign w:val="center"/>
          </w:tcPr>
          <w:p>
            <w:pPr>
              <w:jc w:val="center"/>
              <w:rPr>
                <w:rFonts w:hint="eastAsia" w:ascii="宋体" w:hAnsi="宋体" w:eastAsia="宋体" w:cs="宋体"/>
                <w:color w:val="auto"/>
                <w:kern w:val="2"/>
                <w:sz w:val="18"/>
                <w:szCs w:val="18"/>
                <w:highlight w:val="none"/>
                <w:lang w:val="en-US" w:eastAsia="zh-CN" w:bidi="ar-SA"/>
              </w:rPr>
            </w:pPr>
            <w:r>
              <w:rPr>
                <w:rFonts w:hint="eastAsia" w:ascii="宋体" w:hAnsi="宋体" w:eastAsia="宋体" w:cs="宋体"/>
                <w:color w:val="auto"/>
                <w:kern w:val="2"/>
                <w:sz w:val="18"/>
                <w:szCs w:val="18"/>
                <w:highlight w:val="none"/>
                <w:lang w:val="en-US" w:eastAsia="zh-CN" w:bidi="ar-SA"/>
              </w:rPr>
              <w:t>10</w:t>
            </w:r>
          </w:p>
        </w:tc>
        <w:tc>
          <w:tcPr>
            <w:tcW w:w="825" w:type="dxa"/>
            <w:tcBorders>
              <w:top w:val="nil"/>
              <w:left w:val="nil"/>
              <w:bottom w:val="single" w:color="auto" w:sz="4" w:space="0"/>
              <w:right w:val="single" w:color="auto" w:sz="4" w:space="0"/>
            </w:tcBorders>
            <w:vAlign w:val="center"/>
          </w:tcPr>
          <w:p>
            <w:pPr>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2"/>
                <w:sz w:val="18"/>
                <w:szCs w:val="18"/>
                <w:highlight w:val="none"/>
                <w:lang w:val="en-US" w:eastAsia="zh-CN" w:bidi="ar-SA"/>
              </w:rPr>
              <w:t>10</w:t>
            </w:r>
          </w:p>
        </w:tc>
        <w:tc>
          <w:tcPr>
            <w:tcW w:w="1943"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color w:val="auto"/>
                <w:kern w:val="0"/>
                <w:sz w:val="18"/>
                <w:szCs w:val="18"/>
                <w:highlight w:val="none"/>
              </w:rPr>
            </w:pPr>
          </w:p>
        </w:tc>
      </w:tr>
      <w:tr>
        <w:tblPrEx>
          <w:tblLayout w:type="fixed"/>
          <w:tblCellMar>
            <w:top w:w="0" w:type="dxa"/>
            <w:left w:w="108" w:type="dxa"/>
            <w:bottom w:w="0" w:type="dxa"/>
            <w:right w:w="108" w:type="dxa"/>
          </w:tblCellMar>
        </w:tblPrEx>
        <w:trPr>
          <w:trHeight w:val="885" w:hRule="exact"/>
          <w:jc w:val="center"/>
        </w:trPr>
        <w:tc>
          <w:tcPr>
            <w:tcW w:w="396" w:type="dxa"/>
            <w:vMerge w:val="continue"/>
            <w:tcBorders>
              <w:left w:val="single" w:color="auto" w:sz="4" w:space="0"/>
              <w:right w:val="single" w:color="auto" w:sz="4" w:space="0"/>
            </w:tcBorders>
            <w:vAlign w:val="center"/>
          </w:tcPr>
          <w:p>
            <w:pPr>
              <w:widowControl/>
              <w:spacing w:line="240" w:lineRule="exact"/>
              <w:jc w:val="center"/>
              <w:rPr>
                <w:rFonts w:hint="eastAsia" w:ascii="宋体" w:hAnsi="宋体" w:eastAsia="宋体" w:cs="宋体"/>
                <w:color w:val="auto"/>
                <w:kern w:val="0"/>
                <w:sz w:val="18"/>
                <w:szCs w:val="18"/>
                <w:highlight w:val="none"/>
              </w:rPr>
            </w:pPr>
          </w:p>
        </w:tc>
        <w:tc>
          <w:tcPr>
            <w:tcW w:w="458"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eastAsia="宋体" w:cs="宋体"/>
                <w:color w:val="auto"/>
                <w:kern w:val="0"/>
                <w:sz w:val="18"/>
                <w:szCs w:val="18"/>
                <w:highlight w:val="none"/>
              </w:rPr>
            </w:pPr>
          </w:p>
        </w:tc>
        <w:tc>
          <w:tcPr>
            <w:tcW w:w="883" w:type="dxa"/>
            <w:tcBorders>
              <w:top w:val="nil"/>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生态效益</w:t>
            </w:r>
          </w:p>
          <w:p>
            <w:pPr>
              <w:widowControl/>
              <w:spacing w:line="240" w:lineRule="exact"/>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指标</w:t>
            </w:r>
          </w:p>
        </w:tc>
        <w:tc>
          <w:tcPr>
            <w:tcW w:w="1722" w:type="dxa"/>
            <w:tcBorders>
              <w:top w:val="single" w:color="auto" w:sz="4" w:space="0"/>
              <w:left w:val="nil"/>
              <w:bottom w:val="single" w:color="auto" w:sz="4" w:space="0"/>
              <w:right w:val="single" w:color="auto" w:sz="4" w:space="0"/>
            </w:tcBorders>
            <w:vAlign w:val="center"/>
          </w:tcPr>
          <w:p>
            <w:pPr>
              <w:keepNext w:val="0"/>
              <w:keepLines w:val="0"/>
              <w:widowControl/>
              <w:suppressLineNumbers w:val="0"/>
              <w:jc w:val="left"/>
              <w:textAlignment w:val="center"/>
              <w:rPr>
                <w:rFonts w:hint="eastAsia" w:ascii="宋体" w:hAnsi="宋体" w:eastAsia="宋体" w:cs="宋体"/>
                <w:color w:val="auto"/>
                <w:kern w:val="0"/>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规模养殖场粪污处理对当地环境影响减少</w:t>
            </w:r>
          </w:p>
        </w:tc>
        <w:tc>
          <w:tcPr>
            <w:tcW w:w="855" w:type="dxa"/>
            <w:tcBorders>
              <w:top w:val="nil"/>
              <w:left w:val="nil"/>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color w:val="auto"/>
                <w:kern w:val="0"/>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有效减少</w:t>
            </w:r>
          </w:p>
        </w:tc>
        <w:tc>
          <w:tcPr>
            <w:tcW w:w="885" w:type="dxa"/>
            <w:tcBorders>
              <w:top w:val="nil"/>
              <w:left w:val="nil"/>
              <w:bottom w:val="single" w:color="auto" w:sz="4" w:space="0"/>
              <w:right w:val="single" w:color="auto" w:sz="4" w:space="0"/>
            </w:tcBorders>
            <w:vAlign w:val="center"/>
          </w:tcPr>
          <w:p>
            <w:pPr>
              <w:widowControl/>
              <w:jc w:val="center"/>
              <w:textAlignment w:val="center"/>
              <w:rPr>
                <w:rFonts w:hint="eastAsia" w:ascii="宋体" w:hAnsi="宋体" w:eastAsia="宋体" w:cs="宋体"/>
                <w:color w:val="auto"/>
                <w:kern w:val="2"/>
                <w:sz w:val="18"/>
                <w:szCs w:val="18"/>
                <w:highlight w:val="none"/>
                <w:lang w:val="en-US" w:eastAsia="zh-CN" w:bidi="ar-SA"/>
              </w:rPr>
            </w:pPr>
            <w:r>
              <w:rPr>
                <w:rFonts w:hint="eastAsia" w:ascii="宋体" w:hAnsi="宋体" w:eastAsia="宋体" w:cs="宋体"/>
                <w:i w:val="0"/>
                <w:iCs w:val="0"/>
                <w:color w:val="auto"/>
                <w:kern w:val="0"/>
                <w:sz w:val="18"/>
                <w:szCs w:val="18"/>
                <w:highlight w:val="none"/>
                <w:u w:val="none"/>
                <w:lang w:val="en-US" w:eastAsia="zh-CN" w:bidi="ar"/>
              </w:rPr>
              <w:t>有效减少</w:t>
            </w:r>
          </w:p>
        </w:tc>
        <w:tc>
          <w:tcPr>
            <w:tcW w:w="555" w:type="dxa"/>
            <w:tcBorders>
              <w:top w:val="nil"/>
              <w:left w:val="nil"/>
              <w:bottom w:val="single" w:color="auto" w:sz="4" w:space="0"/>
              <w:right w:val="single" w:color="auto" w:sz="4" w:space="0"/>
            </w:tcBorders>
            <w:vAlign w:val="center"/>
          </w:tcPr>
          <w:p>
            <w:pPr>
              <w:jc w:val="center"/>
              <w:rPr>
                <w:rFonts w:hint="eastAsia" w:ascii="宋体" w:hAnsi="宋体" w:eastAsia="宋体" w:cs="宋体"/>
                <w:color w:val="auto"/>
                <w:kern w:val="2"/>
                <w:sz w:val="18"/>
                <w:szCs w:val="18"/>
                <w:highlight w:val="none"/>
                <w:lang w:val="en-US" w:eastAsia="zh-CN" w:bidi="ar-SA"/>
              </w:rPr>
            </w:pPr>
            <w:r>
              <w:rPr>
                <w:rFonts w:hint="eastAsia" w:ascii="宋体" w:hAnsi="宋体" w:eastAsia="宋体" w:cs="宋体"/>
                <w:color w:val="auto"/>
                <w:kern w:val="2"/>
                <w:sz w:val="18"/>
                <w:szCs w:val="18"/>
                <w:highlight w:val="none"/>
                <w:lang w:val="en-US" w:eastAsia="zh-CN" w:bidi="ar-SA"/>
              </w:rPr>
              <w:t>10</w:t>
            </w:r>
          </w:p>
        </w:tc>
        <w:tc>
          <w:tcPr>
            <w:tcW w:w="825" w:type="dxa"/>
            <w:tcBorders>
              <w:top w:val="nil"/>
              <w:left w:val="nil"/>
              <w:bottom w:val="single" w:color="auto" w:sz="4" w:space="0"/>
              <w:right w:val="single" w:color="auto" w:sz="4" w:space="0"/>
            </w:tcBorders>
            <w:vAlign w:val="center"/>
          </w:tcPr>
          <w:p>
            <w:pPr>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2"/>
                <w:sz w:val="18"/>
                <w:szCs w:val="18"/>
                <w:highlight w:val="none"/>
                <w:lang w:val="en-US" w:eastAsia="zh-CN" w:bidi="ar-SA"/>
              </w:rPr>
              <w:t>10</w:t>
            </w:r>
          </w:p>
        </w:tc>
        <w:tc>
          <w:tcPr>
            <w:tcW w:w="1943"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color w:val="auto"/>
                <w:kern w:val="0"/>
                <w:sz w:val="18"/>
                <w:szCs w:val="18"/>
                <w:highlight w:val="none"/>
              </w:rPr>
            </w:pPr>
          </w:p>
        </w:tc>
      </w:tr>
      <w:tr>
        <w:tblPrEx>
          <w:tblLayout w:type="fixed"/>
          <w:tblCellMar>
            <w:top w:w="0" w:type="dxa"/>
            <w:left w:w="108" w:type="dxa"/>
            <w:bottom w:w="0" w:type="dxa"/>
            <w:right w:w="108" w:type="dxa"/>
          </w:tblCellMar>
        </w:tblPrEx>
        <w:trPr>
          <w:trHeight w:val="1275" w:hRule="exact"/>
          <w:jc w:val="center"/>
        </w:trPr>
        <w:tc>
          <w:tcPr>
            <w:tcW w:w="396" w:type="dxa"/>
            <w:vMerge w:val="continue"/>
            <w:tcBorders>
              <w:left w:val="single" w:color="auto" w:sz="4" w:space="0"/>
              <w:right w:val="single" w:color="auto" w:sz="4" w:space="0"/>
            </w:tcBorders>
            <w:vAlign w:val="center"/>
          </w:tcPr>
          <w:p>
            <w:pPr>
              <w:widowControl/>
              <w:spacing w:line="240" w:lineRule="exact"/>
              <w:jc w:val="center"/>
              <w:rPr>
                <w:rFonts w:hint="eastAsia" w:ascii="宋体" w:hAnsi="宋体" w:eastAsia="宋体" w:cs="宋体"/>
                <w:color w:val="auto"/>
                <w:kern w:val="0"/>
                <w:sz w:val="18"/>
                <w:szCs w:val="18"/>
                <w:highlight w:val="none"/>
              </w:rPr>
            </w:pPr>
          </w:p>
        </w:tc>
        <w:tc>
          <w:tcPr>
            <w:tcW w:w="458" w:type="dxa"/>
            <w:tcBorders>
              <w:top w:val="nil"/>
              <w:left w:val="single" w:color="auto" w:sz="4" w:space="0"/>
              <w:right w:val="single" w:color="auto" w:sz="4" w:space="0"/>
            </w:tcBorders>
            <w:vAlign w:val="center"/>
          </w:tcPr>
          <w:p>
            <w:pPr>
              <w:widowControl/>
              <w:spacing w:line="240" w:lineRule="exact"/>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满意度</w:t>
            </w:r>
          </w:p>
          <w:p>
            <w:pPr>
              <w:widowControl/>
              <w:spacing w:line="240" w:lineRule="exact"/>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指标</w:t>
            </w:r>
          </w:p>
        </w:tc>
        <w:tc>
          <w:tcPr>
            <w:tcW w:w="883" w:type="dxa"/>
            <w:tcBorders>
              <w:top w:val="nil"/>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服务对象满意度指标</w:t>
            </w:r>
          </w:p>
        </w:tc>
        <w:tc>
          <w:tcPr>
            <w:tcW w:w="1722" w:type="dxa"/>
            <w:tcBorders>
              <w:top w:val="single" w:color="auto" w:sz="4" w:space="0"/>
              <w:left w:val="nil"/>
              <w:bottom w:val="single" w:color="auto" w:sz="4" w:space="0"/>
              <w:right w:val="single" w:color="auto" w:sz="4" w:space="0"/>
            </w:tcBorders>
            <w:vAlign w:val="center"/>
          </w:tcPr>
          <w:p>
            <w:pPr>
              <w:keepNext w:val="0"/>
              <w:keepLines w:val="0"/>
              <w:widowControl/>
              <w:suppressLineNumbers w:val="0"/>
              <w:jc w:val="left"/>
              <w:textAlignment w:val="center"/>
              <w:rPr>
                <w:rFonts w:hint="eastAsia" w:ascii="宋体" w:hAnsi="宋体" w:eastAsia="宋体" w:cs="宋体"/>
                <w:color w:val="auto"/>
                <w:kern w:val="0"/>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农牧民满意度</w:t>
            </w:r>
          </w:p>
        </w:tc>
        <w:tc>
          <w:tcPr>
            <w:tcW w:w="855" w:type="dxa"/>
            <w:tcBorders>
              <w:top w:val="nil"/>
              <w:left w:val="nil"/>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color w:val="auto"/>
                <w:kern w:val="0"/>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≥85%</w:t>
            </w:r>
          </w:p>
        </w:tc>
        <w:tc>
          <w:tcPr>
            <w:tcW w:w="885" w:type="dxa"/>
            <w:tcBorders>
              <w:top w:val="nil"/>
              <w:left w:val="nil"/>
              <w:bottom w:val="single" w:color="auto" w:sz="4" w:space="0"/>
              <w:right w:val="single" w:color="auto" w:sz="4" w:space="0"/>
            </w:tcBorders>
            <w:vAlign w:val="center"/>
          </w:tcPr>
          <w:p>
            <w:pPr>
              <w:widowControl/>
              <w:jc w:val="center"/>
              <w:textAlignment w:val="center"/>
              <w:rPr>
                <w:rFonts w:hint="eastAsia" w:ascii="宋体" w:hAnsi="宋体" w:eastAsia="宋体" w:cs="宋体"/>
                <w:color w:val="auto"/>
                <w:kern w:val="2"/>
                <w:sz w:val="18"/>
                <w:szCs w:val="18"/>
                <w:highlight w:val="none"/>
                <w:lang w:val="en-US" w:eastAsia="zh-CN" w:bidi="ar-SA"/>
              </w:rPr>
            </w:pPr>
            <w:r>
              <w:rPr>
                <w:rFonts w:hint="eastAsia" w:ascii="宋体" w:hAnsi="宋体" w:eastAsia="宋体" w:cs="宋体"/>
                <w:color w:val="auto"/>
                <w:sz w:val="18"/>
                <w:szCs w:val="18"/>
                <w:highlight w:val="none"/>
                <w:lang w:val="en-US" w:eastAsia="zh-CN"/>
              </w:rPr>
              <w:t>85%</w:t>
            </w:r>
          </w:p>
        </w:tc>
        <w:tc>
          <w:tcPr>
            <w:tcW w:w="555" w:type="dxa"/>
            <w:tcBorders>
              <w:top w:val="nil"/>
              <w:left w:val="nil"/>
              <w:bottom w:val="single" w:color="auto" w:sz="4" w:space="0"/>
              <w:right w:val="single" w:color="auto" w:sz="4" w:space="0"/>
            </w:tcBorders>
            <w:vAlign w:val="center"/>
          </w:tcPr>
          <w:p>
            <w:pPr>
              <w:jc w:val="center"/>
              <w:rPr>
                <w:rFonts w:hint="eastAsia" w:ascii="宋体" w:hAnsi="宋体" w:eastAsia="宋体" w:cs="宋体"/>
                <w:color w:val="auto"/>
                <w:kern w:val="2"/>
                <w:sz w:val="18"/>
                <w:szCs w:val="18"/>
                <w:highlight w:val="none"/>
                <w:lang w:val="en-US" w:eastAsia="zh-CN" w:bidi="ar-SA"/>
              </w:rPr>
            </w:pPr>
            <w:r>
              <w:rPr>
                <w:rFonts w:hint="eastAsia" w:ascii="宋体" w:hAnsi="宋体" w:eastAsia="宋体" w:cs="宋体"/>
                <w:color w:val="auto"/>
                <w:kern w:val="2"/>
                <w:sz w:val="18"/>
                <w:szCs w:val="18"/>
                <w:highlight w:val="none"/>
                <w:lang w:val="en-US" w:eastAsia="zh-CN" w:bidi="ar-SA"/>
              </w:rPr>
              <w:t>10</w:t>
            </w:r>
          </w:p>
        </w:tc>
        <w:tc>
          <w:tcPr>
            <w:tcW w:w="825" w:type="dxa"/>
            <w:tcBorders>
              <w:top w:val="nil"/>
              <w:left w:val="nil"/>
              <w:bottom w:val="single" w:color="auto" w:sz="4" w:space="0"/>
              <w:right w:val="single" w:color="auto" w:sz="4" w:space="0"/>
            </w:tcBorders>
            <w:vAlign w:val="center"/>
          </w:tcPr>
          <w:p>
            <w:pPr>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2"/>
                <w:sz w:val="18"/>
                <w:szCs w:val="18"/>
                <w:highlight w:val="none"/>
                <w:lang w:val="en-US" w:eastAsia="zh-CN" w:bidi="ar-SA"/>
              </w:rPr>
              <w:t>10</w:t>
            </w:r>
          </w:p>
        </w:tc>
        <w:tc>
          <w:tcPr>
            <w:tcW w:w="1943"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color w:val="auto"/>
                <w:kern w:val="0"/>
                <w:sz w:val="18"/>
                <w:szCs w:val="18"/>
                <w:highlight w:val="none"/>
              </w:rPr>
            </w:pPr>
          </w:p>
        </w:tc>
      </w:tr>
      <w:tr>
        <w:tblPrEx>
          <w:tblLayout w:type="fixed"/>
          <w:tblCellMar>
            <w:top w:w="0" w:type="dxa"/>
            <w:left w:w="108" w:type="dxa"/>
            <w:bottom w:w="0" w:type="dxa"/>
            <w:right w:w="108" w:type="dxa"/>
          </w:tblCellMar>
        </w:tblPrEx>
        <w:trPr>
          <w:trHeight w:val="300" w:hRule="exact"/>
          <w:jc w:val="center"/>
        </w:trPr>
        <w:tc>
          <w:tcPr>
            <w:tcW w:w="5199" w:type="dxa"/>
            <w:gridSpan w:val="6"/>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总分</w:t>
            </w:r>
          </w:p>
        </w:tc>
        <w:tc>
          <w:tcPr>
            <w:tcW w:w="555" w:type="dxa"/>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100</w:t>
            </w:r>
          </w:p>
        </w:tc>
        <w:tc>
          <w:tcPr>
            <w:tcW w:w="825" w:type="dxa"/>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color w:val="auto"/>
                <w:kern w:val="0"/>
                <w:sz w:val="18"/>
                <w:szCs w:val="18"/>
                <w:highlight w:val="none"/>
                <w:lang w:val="en-US" w:eastAsia="zh-CN"/>
              </w:rPr>
            </w:pPr>
            <w:r>
              <w:rPr>
                <w:rFonts w:hint="eastAsia" w:ascii="宋体" w:hAnsi="宋体" w:eastAsia="宋体" w:cs="宋体"/>
                <w:color w:val="auto"/>
                <w:kern w:val="0"/>
                <w:sz w:val="18"/>
                <w:szCs w:val="18"/>
                <w:highlight w:val="none"/>
                <w:lang w:val="en-US" w:eastAsia="zh-CN"/>
              </w:rPr>
              <w:t>98.96</w:t>
            </w:r>
          </w:p>
        </w:tc>
        <w:tc>
          <w:tcPr>
            <w:tcW w:w="1943"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color w:val="auto"/>
                <w:kern w:val="0"/>
                <w:sz w:val="18"/>
                <w:szCs w:val="18"/>
                <w:highlight w:val="none"/>
              </w:rPr>
            </w:pPr>
          </w:p>
        </w:tc>
      </w:tr>
    </w:tbl>
    <w:p>
      <w:pPr>
        <w:pStyle w:val="19"/>
        <w:jc w:val="both"/>
        <w:rPr>
          <w:rFonts w:ascii="Times New Roman" w:hAnsi="Times New Roman" w:eastAsia="黑体"/>
          <w:b w:val="0"/>
          <w:bCs w:val="0"/>
          <w:color w:val="auto"/>
          <w:highlight w:val="none"/>
        </w:rPr>
      </w:pPr>
    </w:p>
    <w:p>
      <w:pPr>
        <w:pStyle w:val="19"/>
        <w:jc w:val="both"/>
        <w:rPr>
          <w:rFonts w:ascii="Times New Roman" w:hAnsi="Times New Roman"/>
          <w:color w:val="auto"/>
          <w:highlight w:val="none"/>
        </w:rPr>
        <w:sectPr>
          <w:pgSz w:w="11906" w:h="16838"/>
          <w:pgMar w:top="1440" w:right="1558" w:bottom="1440" w:left="1800" w:header="851" w:footer="992" w:gutter="0"/>
          <w:cols w:space="425" w:num="1"/>
          <w:docGrid w:type="lines" w:linePitch="312" w:charSpace="0"/>
        </w:sectPr>
      </w:pPr>
    </w:p>
    <w:p>
      <w:pPr>
        <w:spacing w:line="600" w:lineRule="exact"/>
        <w:rPr>
          <w:bCs/>
          <w:color w:val="auto"/>
          <w:sz w:val="32"/>
          <w:szCs w:val="32"/>
          <w:highlight w:val="none"/>
        </w:rPr>
      </w:pPr>
      <w:r>
        <w:rPr>
          <w:bCs/>
          <w:color w:val="auto"/>
          <w:sz w:val="32"/>
          <w:szCs w:val="32"/>
          <w:highlight w:val="none"/>
        </w:rPr>
        <w:t>附件1</w:t>
      </w:r>
    </w:p>
    <w:tbl>
      <w:tblPr>
        <w:tblStyle w:val="22"/>
        <w:tblW w:w="12683" w:type="dxa"/>
        <w:jc w:val="center"/>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837"/>
        <w:gridCol w:w="766"/>
        <w:gridCol w:w="873"/>
        <w:gridCol w:w="2353"/>
        <w:gridCol w:w="5191"/>
        <w:gridCol w:w="1300"/>
        <w:gridCol w:w="1363"/>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692" w:hRule="atLeast"/>
          <w:tblHeader/>
          <w:jc w:val="center"/>
        </w:trPr>
        <w:tc>
          <w:tcPr>
            <w:tcW w:w="837" w:type="dxa"/>
            <w:shd w:val="clear" w:color="auto" w:fill="FFFFFF"/>
            <w:vAlign w:val="center"/>
          </w:tcPr>
          <w:p>
            <w:pPr>
              <w:widowControl/>
              <w:spacing w:line="0" w:lineRule="atLeast"/>
              <w:jc w:val="center"/>
              <w:rPr>
                <w:b/>
                <w:bCs/>
                <w:color w:val="auto"/>
                <w:kern w:val="0"/>
                <w:sz w:val="22"/>
                <w:szCs w:val="22"/>
                <w:highlight w:val="none"/>
              </w:rPr>
            </w:pPr>
            <w:r>
              <w:rPr>
                <w:b/>
                <w:bCs/>
                <w:color w:val="auto"/>
                <w:kern w:val="0"/>
                <w:sz w:val="22"/>
                <w:szCs w:val="22"/>
                <w:highlight w:val="none"/>
              </w:rPr>
              <w:t>一级指标</w:t>
            </w:r>
          </w:p>
        </w:tc>
        <w:tc>
          <w:tcPr>
            <w:tcW w:w="766" w:type="dxa"/>
            <w:shd w:val="clear" w:color="auto" w:fill="FFFFFF"/>
            <w:vAlign w:val="center"/>
          </w:tcPr>
          <w:p>
            <w:pPr>
              <w:widowControl/>
              <w:spacing w:line="0" w:lineRule="atLeast"/>
              <w:jc w:val="center"/>
              <w:rPr>
                <w:b/>
                <w:bCs/>
                <w:color w:val="auto"/>
                <w:kern w:val="0"/>
                <w:sz w:val="22"/>
                <w:szCs w:val="22"/>
                <w:highlight w:val="none"/>
              </w:rPr>
            </w:pPr>
            <w:r>
              <w:rPr>
                <w:b/>
                <w:bCs/>
                <w:color w:val="auto"/>
                <w:kern w:val="0"/>
                <w:sz w:val="22"/>
                <w:szCs w:val="22"/>
                <w:highlight w:val="none"/>
              </w:rPr>
              <w:t>二级指标</w:t>
            </w:r>
          </w:p>
        </w:tc>
        <w:tc>
          <w:tcPr>
            <w:tcW w:w="873" w:type="dxa"/>
            <w:shd w:val="clear" w:color="auto" w:fill="FFFFFF"/>
            <w:vAlign w:val="center"/>
          </w:tcPr>
          <w:p>
            <w:pPr>
              <w:widowControl/>
              <w:spacing w:line="0" w:lineRule="atLeast"/>
              <w:jc w:val="center"/>
              <w:rPr>
                <w:b/>
                <w:bCs/>
                <w:color w:val="auto"/>
                <w:kern w:val="0"/>
                <w:sz w:val="22"/>
                <w:szCs w:val="22"/>
                <w:highlight w:val="none"/>
              </w:rPr>
            </w:pPr>
            <w:r>
              <w:rPr>
                <w:b/>
                <w:bCs/>
                <w:color w:val="auto"/>
                <w:kern w:val="0"/>
                <w:sz w:val="22"/>
                <w:szCs w:val="22"/>
                <w:highlight w:val="none"/>
              </w:rPr>
              <w:t>三级指标</w:t>
            </w:r>
          </w:p>
        </w:tc>
        <w:tc>
          <w:tcPr>
            <w:tcW w:w="2353" w:type="dxa"/>
            <w:shd w:val="clear" w:color="auto" w:fill="FFFFFF"/>
            <w:vAlign w:val="center"/>
          </w:tcPr>
          <w:p>
            <w:pPr>
              <w:widowControl/>
              <w:spacing w:line="0" w:lineRule="atLeast"/>
              <w:jc w:val="center"/>
              <w:rPr>
                <w:b/>
                <w:bCs/>
                <w:color w:val="auto"/>
                <w:kern w:val="0"/>
                <w:sz w:val="22"/>
                <w:szCs w:val="22"/>
                <w:highlight w:val="none"/>
              </w:rPr>
            </w:pPr>
            <w:r>
              <w:rPr>
                <w:b/>
                <w:bCs/>
                <w:color w:val="auto"/>
                <w:kern w:val="0"/>
                <w:sz w:val="22"/>
                <w:szCs w:val="22"/>
                <w:highlight w:val="none"/>
              </w:rPr>
              <w:t>指标解释</w:t>
            </w:r>
          </w:p>
        </w:tc>
        <w:tc>
          <w:tcPr>
            <w:tcW w:w="5191" w:type="dxa"/>
            <w:shd w:val="clear" w:color="auto" w:fill="FFFFFF"/>
            <w:vAlign w:val="center"/>
          </w:tcPr>
          <w:p>
            <w:pPr>
              <w:widowControl/>
              <w:spacing w:line="0" w:lineRule="atLeast"/>
              <w:jc w:val="center"/>
              <w:rPr>
                <w:b/>
                <w:bCs/>
                <w:color w:val="auto"/>
                <w:kern w:val="0"/>
                <w:sz w:val="22"/>
                <w:szCs w:val="22"/>
                <w:highlight w:val="none"/>
              </w:rPr>
            </w:pPr>
            <w:r>
              <w:rPr>
                <w:b/>
                <w:bCs/>
                <w:color w:val="auto"/>
                <w:kern w:val="0"/>
                <w:sz w:val="22"/>
                <w:szCs w:val="22"/>
                <w:highlight w:val="none"/>
              </w:rPr>
              <w:t>指标说明</w:t>
            </w:r>
          </w:p>
        </w:tc>
        <w:tc>
          <w:tcPr>
            <w:tcW w:w="1300" w:type="dxa"/>
            <w:shd w:val="clear" w:color="auto" w:fill="FFFFFF"/>
            <w:vAlign w:val="center"/>
          </w:tcPr>
          <w:p>
            <w:pPr>
              <w:widowControl/>
              <w:spacing w:line="0" w:lineRule="atLeast"/>
              <w:jc w:val="center"/>
              <w:rPr>
                <w:b/>
                <w:bCs/>
                <w:color w:val="auto"/>
                <w:kern w:val="0"/>
                <w:sz w:val="22"/>
                <w:szCs w:val="22"/>
                <w:highlight w:val="none"/>
              </w:rPr>
            </w:pPr>
            <w:r>
              <w:rPr>
                <w:b/>
                <w:bCs/>
                <w:color w:val="auto"/>
                <w:kern w:val="0"/>
                <w:sz w:val="22"/>
                <w:szCs w:val="22"/>
                <w:highlight w:val="none"/>
              </w:rPr>
              <w:t>权重</w:t>
            </w:r>
          </w:p>
        </w:tc>
        <w:tc>
          <w:tcPr>
            <w:tcW w:w="1363" w:type="dxa"/>
            <w:shd w:val="clear" w:color="auto" w:fill="FFFFFF"/>
            <w:vAlign w:val="center"/>
          </w:tcPr>
          <w:p>
            <w:pPr>
              <w:widowControl/>
              <w:spacing w:line="0" w:lineRule="atLeast"/>
              <w:jc w:val="center"/>
              <w:rPr>
                <w:b/>
                <w:bCs/>
                <w:color w:val="auto"/>
                <w:kern w:val="0"/>
                <w:sz w:val="22"/>
                <w:szCs w:val="22"/>
                <w:highlight w:val="none"/>
              </w:rPr>
            </w:pPr>
            <w:r>
              <w:rPr>
                <w:b/>
                <w:bCs/>
                <w:color w:val="auto"/>
                <w:kern w:val="0"/>
                <w:sz w:val="22"/>
                <w:szCs w:val="22"/>
                <w:highlight w:val="none"/>
              </w:rPr>
              <w:t>得分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2318" w:hRule="atLeast"/>
          <w:jc w:val="center"/>
        </w:trPr>
        <w:tc>
          <w:tcPr>
            <w:tcW w:w="837" w:type="dxa"/>
            <w:vMerge w:val="restart"/>
            <w:shd w:val="clear" w:color="auto" w:fill="FFFFFF"/>
            <w:vAlign w:val="center"/>
          </w:tcPr>
          <w:p>
            <w:pPr>
              <w:widowControl/>
              <w:spacing w:line="0" w:lineRule="atLeast"/>
              <w:jc w:val="center"/>
              <w:rPr>
                <w:color w:val="auto"/>
                <w:kern w:val="0"/>
                <w:sz w:val="22"/>
                <w:szCs w:val="22"/>
                <w:highlight w:val="none"/>
              </w:rPr>
            </w:pPr>
            <w:r>
              <w:rPr>
                <w:color w:val="auto"/>
                <w:kern w:val="0"/>
                <w:sz w:val="22"/>
                <w:szCs w:val="22"/>
                <w:highlight w:val="none"/>
              </w:rPr>
              <w:t>决策　</w:t>
            </w:r>
          </w:p>
          <w:p>
            <w:pPr>
              <w:widowControl/>
              <w:spacing w:line="0" w:lineRule="atLeast"/>
              <w:jc w:val="center"/>
              <w:rPr>
                <w:color w:val="auto"/>
                <w:kern w:val="0"/>
                <w:sz w:val="22"/>
                <w:szCs w:val="22"/>
                <w:highlight w:val="none"/>
              </w:rPr>
            </w:pPr>
            <w:r>
              <w:rPr>
                <w:color w:val="auto"/>
                <w:kern w:val="0"/>
                <w:sz w:val="22"/>
                <w:szCs w:val="22"/>
                <w:highlight w:val="none"/>
              </w:rPr>
              <w:t>　</w:t>
            </w:r>
          </w:p>
          <w:p>
            <w:pPr>
              <w:spacing w:line="0" w:lineRule="atLeast"/>
              <w:jc w:val="center"/>
              <w:rPr>
                <w:color w:val="auto"/>
                <w:kern w:val="0"/>
                <w:sz w:val="22"/>
                <w:szCs w:val="22"/>
                <w:highlight w:val="none"/>
              </w:rPr>
            </w:pPr>
            <w:r>
              <w:rPr>
                <w:color w:val="auto"/>
                <w:kern w:val="0"/>
                <w:sz w:val="22"/>
                <w:szCs w:val="22"/>
                <w:highlight w:val="none"/>
              </w:rPr>
              <w:t>　</w:t>
            </w:r>
          </w:p>
        </w:tc>
        <w:tc>
          <w:tcPr>
            <w:tcW w:w="766" w:type="dxa"/>
            <w:vMerge w:val="restart"/>
            <w:shd w:val="clear" w:color="auto" w:fill="FFFFFF"/>
            <w:vAlign w:val="center"/>
          </w:tcPr>
          <w:p>
            <w:pPr>
              <w:widowControl/>
              <w:spacing w:line="0" w:lineRule="atLeast"/>
              <w:jc w:val="center"/>
              <w:rPr>
                <w:color w:val="auto"/>
                <w:kern w:val="0"/>
                <w:sz w:val="22"/>
                <w:szCs w:val="22"/>
                <w:highlight w:val="none"/>
              </w:rPr>
            </w:pPr>
            <w:r>
              <w:rPr>
                <w:color w:val="auto"/>
                <w:kern w:val="0"/>
                <w:sz w:val="22"/>
                <w:szCs w:val="22"/>
                <w:highlight w:val="none"/>
              </w:rPr>
              <w:t>项目立项　</w:t>
            </w:r>
          </w:p>
        </w:tc>
        <w:tc>
          <w:tcPr>
            <w:tcW w:w="873" w:type="dxa"/>
            <w:shd w:val="clear" w:color="auto" w:fill="FFFFFF"/>
            <w:vAlign w:val="center"/>
          </w:tcPr>
          <w:p>
            <w:pPr>
              <w:widowControl/>
              <w:spacing w:line="0" w:lineRule="atLeast"/>
              <w:jc w:val="center"/>
              <w:rPr>
                <w:color w:val="auto"/>
                <w:kern w:val="0"/>
                <w:sz w:val="22"/>
                <w:szCs w:val="22"/>
                <w:highlight w:val="none"/>
              </w:rPr>
            </w:pPr>
            <w:r>
              <w:rPr>
                <w:color w:val="auto"/>
                <w:kern w:val="0"/>
                <w:sz w:val="22"/>
                <w:szCs w:val="22"/>
                <w:highlight w:val="none"/>
              </w:rPr>
              <w:t>立项依据</w:t>
            </w:r>
          </w:p>
          <w:p>
            <w:pPr>
              <w:widowControl/>
              <w:spacing w:line="0" w:lineRule="atLeast"/>
              <w:jc w:val="center"/>
              <w:rPr>
                <w:color w:val="auto"/>
                <w:kern w:val="0"/>
                <w:sz w:val="22"/>
                <w:szCs w:val="22"/>
                <w:highlight w:val="none"/>
              </w:rPr>
            </w:pPr>
            <w:r>
              <w:rPr>
                <w:color w:val="auto"/>
                <w:kern w:val="0"/>
                <w:sz w:val="22"/>
                <w:szCs w:val="22"/>
                <w:highlight w:val="none"/>
              </w:rPr>
              <w:t>充分性</w:t>
            </w:r>
          </w:p>
        </w:tc>
        <w:tc>
          <w:tcPr>
            <w:tcW w:w="2353" w:type="dxa"/>
            <w:shd w:val="clear" w:color="auto" w:fill="FFFFFF"/>
            <w:vAlign w:val="center"/>
          </w:tcPr>
          <w:p>
            <w:pPr>
              <w:widowControl/>
              <w:spacing w:line="0" w:lineRule="atLeast"/>
              <w:rPr>
                <w:color w:val="auto"/>
                <w:kern w:val="0"/>
                <w:sz w:val="22"/>
                <w:szCs w:val="22"/>
                <w:highlight w:val="none"/>
              </w:rPr>
            </w:pPr>
            <w:r>
              <w:rPr>
                <w:color w:val="auto"/>
                <w:kern w:val="0"/>
                <w:sz w:val="22"/>
                <w:szCs w:val="22"/>
                <w:highlight w:val="none"/>
              </w:rPr>
              <w:t>项目立项是否符合法律法规、相关政策、发展规划以及部门职责，用以反映和考核项目立项依据情况。</w:t>
            </w:r>
          </w:p>
        </w:tc>
        <w:tc>
          <w:tcPr>
            <w:tcW w:w="5191" w:type="dxa"/>
            <w:shd w:val="clear" w:color="auto" w:fill="FFFFFF"/>
            <w:vAlign w:val="center"/>
          </w:tcPr>
          <w:p>
            <w:pPr>
              <w:widowControl/>
              <w:spacing w:line="0" w:lineRule="atLeast"/>
              <w:jc w:val="left"/>
              <w:rPr>
                <w:color w:val="auto"/>
                <w:kern w:val="0"/>
                <w:sz w:val="22"/>
                <w:szCs w:val="22"/>
                <w:highlight w:val="none"/>
              </w:rPr>
            </w:pPr>
            <w:r>
              <w:rPr>
                <w:color w:val="auto"/>
                <w:kern w:val="0"/>
                <w:sz w:val="22"/>
                <w:szCs w:val="22"/>
                <w:highlight w:val="none"/>
              </w:rPr>
              <w:t>评价要点：</w:t>
            </w:r>
            <w:r>
              <w:rPr>
                <w:color w:val="auto"/>
                <w:kern w:val="0"/>
                <w:sz w:val="22"/>
                <w:szCs w:val="22"/>
                <w:highlight w:val="none"/>
              </w:rPr>
              <w:br w:type="textWrapping"/>
            </w:r>
            <w:r>
              <w:rPr>
                <w:color w:val="auto"/>
                <w:kern w:val="0"/>
                <w:sz w:val="22"/>
                <w:szCs w:val="22"/>
                <w:highlight w:val="none"/>
              </w:rPr>
              <w:t>①项目立项是否符合国家法律法规、国民经济发展规划和相关政策；</w:t>
            </w:r>
            <w:r>
              <w:rPr>
                <w:color w:val="auto"/>
                <w:kern w:val="0"/>
                <w:sz w:val="22"/>
                <w:szCs w:val="22"/>
                <w:highlight w:val="none"/>
              </w:rPr>
              <w:br w:type="textWrapping"/>
            </w:r>
            <w:r>
              <w:rPr>
                <w:color w:val="auto"/>
                <w:kern w:val="0"/>
                <w:sz w:val="22"/>
                <w:szCs w:val="22"/>
                <w:highlight w:val="none"/>
              </w:rPr>
              <w:t>②项目立项是否符合行业发展规划和政策要求；</w:t>
            </w:r>
            <w:r>
              <w:rPr>
                <w:color w:val="auto"/>
                <w:kern w:val="0"/>
                <w:sz w:val="22"/>
                <w:szCs w:val="22"/>
                <w:highlight w:val="none"/>
              </w:rPr>
              <w:br w:type="textWrapping"/>
            </w:r>
            <w:r>
              <w:rPr>
                <w:color w:val="auto"/>
                <w:kern w:val="0"/>
                <w:sz w:val="22"/>
                <w:szCs w:val="22"/>
                <w:highlight w:val="none"/>
              </w:rPr>
              <w:t>③项目立项是否与部门职责范围相符，属于部门履职所需；</w:t>
            </w:r>
            <w:r>
              <w:rPr>
                <w:color w:val="auto"/>
                <w:kern w:val="0"/>
                <w:sz w:val="22"/>
                <w:szCs w:val="22"/>
                <w:highlight w:val="none"/>
              </w:rPr>
              <w:br w:type="textWrapping"/>
            </w:r>
            <w:r>
              <w:rPr>
                <w:color w:val="auto"/>
                <w:kern w:val="0"/>
                <w:sz w:val="22"/>
                <w:szCs w:val="22"/>
                <w:highlight w:val="none"/>
              </w:rPr>
              <w:t>④项目是否属于公共财政支持范围，是否符合中央、地方事权支出责任划分原则；</w:t>
            </w:r>
            <w:r>
              <w:rPr>
                <w:color w:val="auto"/>
                <w:kern w:val="0"/>
                <w:sz w:val="22"/>
                <w:szCs w:val="22"/>
                <w:highlight w:val="none"/>
              </w:rPr>
              <w:br w:type="textWrapping"/>
            </w:r>
            <w:r>
              <w:rPr>
                <w:color w:val="auto"/>
                <w:kern w:val="0"/>
                <w:sz w:val="22"/>
                <w:szCs w:val="22"/>
                <w:highlight w:val="none"/>
              </w:rPr>
              <w:t>⑤项目是否与相关部门同类项目或部门内部相关项目重复。</w:t>
            </w:r>
          </w:p>
        </w:tc>
        <w:tc>
          <w:tcPr>
            <w:tcW w:w="1300" w:type="dxa"/>
            <w:shd w:val="clear" w:color="auto" w:fill="FFFFFF"/>
            <w:vAlign w:val="center"/>
          </w:tcPr>
          <w:p>
            <w:pPr>
              <w:widowControl/>
              <w:spacing w:line="0" w:lineRule="atLeast"/>
              <w:jc w:val="center"/>
              <w:rPr>
                <w:b/>
                <w:bCs/>
                <w:color w:val="auto"/>
                <w:kern w:val="0"/>
                <w:sz w:val="22"/>
                <w:szCs w:val="22"/>
                <w:highlight w:val="none"/>
              </w:rPr>
            </w:pPr>
            <w:r>
              <w:rPr>
                <w:rFonts w:hint="eastAsia"/>
                <w:b/>
                <w:bCs/>
                <w:color w:val="auto"/>
                <w:kern w:val="0"/>
                <w:sz w:val="22"/>
                <w:szCs w:val="22"/>
                <w:highlight w:val="none"/>
              </w:rPr>
              <w:t>3</w:t>
            </w:r>
          </w:p>
        </w:tc>
        <w:tc>
          <w:tcPr>
            <w:tcW w:w="1363" w:type="dxa"/>
            <w:shd w:val="clear" w:color="auto" w:fill="FFFFFF"/>
            <w:vAlign w:val="center"/>
          </w:tcPr>
          <w:p>
            <w:pPr>
              <w:widowControl/>
              <w:spacing w:line="0" w:lineRule="atLeast"/>
              <w:jc w:val="center"/>
              <w:rPr>
                <w:rFonts w:ascii="Times New Roman" w:hAnsi="Times New Roman" w:eastAsia="宋体" w:cs="Times New Roman"/>
                <w:color w:val="auto"/>
                <w:kern w:val="0"/>
                <w:sz w:val="22"/>
                <w:szCs w:val="22"/>
                <w:highlight w:val="none"/>
                <w:lang w:val="en-US" w:eastAsia="zh-CN" w:bidi="ar-SA"/>
              </w:rPr>
            </w:pPr>
            <w:r>
              <w:rPr>
                <w:rFonts w:hint="eastAsia"/>
                <w:color w:val="auto"/>
                <w:kern w:val="0"/>
                <w:sz w:val="22"/>
                <w:szCs w:val="22"/>
                <w:highlight w:val="none"/>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640" w:hRule="atLeast"/>
          <w:jc w:val="center"/>
        </w:trPr>
        <w:tc>
          <w:tcPr>
            <w:tcW w:w="837" w:type="dxa"/>
            <w:vMerge w:val="continue"/>
            <w:shd w:val="clear" w:color="auto" w:fill="FFFFFF"/>
            <w:vAlign w:val="center"/>
          </w:tcPr>
          <w:p>
            <w:pPr>
              <w:spacing w:line="0" w:lineRule="atLeast"/>
              <w:jc w:val="center"/>
              <w:rPr>
                <w:color w:val="auto"/>
                <w:kern w:val="0"/>
                <w:sz w:val="22"/>
                <w:szCs w:val="22"/>
                <w:highlight w:val="none"/>
              </w:rPr>
            </w:pPr>
          </w:p>
        </w:tc>
        <w:tc>
          <w:tcPr>
            <w:tcW w:w="766" w:type="dxa"/>
            <w:vMerge w:val="continue"/>
            <w:shd w:val="clear" w:color="auto" w:fill="FFFFFF"/>
            <w:vAlign w:val="center"/>
          </w:tcPr>
          <w:p>
            <w:pPr>
              <w:widowControl/>
              <w:spacing w:line="0" w:lineRule="atLeast"/>
              <w:jc w:val="center"/>
              <w:rPr>
                <w:color w:val="auto"/>
                <w:kern w:val="0"/>
                <w:sz w:val="22"/>
                <w:szCs w:val="22"/>
                <w:highlight w:val="none"/>
              </w:rPr>
            </w:pPr>
          </w:p>
        </w:tc>
        <w:tc>
          <w:tcPr>
            <w:tcW w:w="873" w:type="dxa"/>
            <w:shd w:val="clear" w:color="auto" w:fill="FFFFFF"/>
            <w:vAlign w:val="center"/>
          </w:tcPr>
          <w:p>
            <w:pPr>
              <w:widowControl/>
              <w:spacing w:line="0" w:lineRule="atLeast"/>
              <w:jc w:val="center"/>
              <w:rPr>
                <w:color w:val="auto"/>
                <w:kern w:val="0"/>
                <w:sz w:val="22"/>
                <w:szCs w:val="22"/>
                <w:highlight w:val="none"/>
              </w:rPr>
            </w:pPr>
            <w:r>
              <w:rPr>
                <w:color w:val="auto"/>
                <w:kern w:val="0"/>
                <w:sz w:val="22"/>
                <w:szCs w:val="22"/>
                <w:highlight w:val="none"/>
              </w:rPr>
              <w:t>立项程序</w:t>
            </w:r>
          </w:p>
          <w:p>
            <w:pPr>
              <w:widowControl/>
              <w:spacing w:line="0" w:lineRule="atLeast"/>
              <w:jc w:val="center"/>
              <w:rPr>
                <w:color w:val="auto"/>
                <w:kern w:val="0"/>
                <w:sz w:val="22"/>
                <w:szCs w:val="22"/>
                <w:highlight w:val="none"/>
              </w:rPr>
            </w:pPr>
            <w:r>
              <w:rPr>
                <w:color w:val="auto"/>
                <w:kern w:val="0"/>
                <w:sz w:val="22"/>
                <w:szCs w:val="22"/>
                <w:highlight w:val="none"/>
              </w:rPr>
              <w:t>规范性</w:t>
            </w:r>
          </w:p>
        </w:tc>
        <w:tc>
          <w:tcPr>
            <w:tcW w:w="2353" w:type="dxa"/>
            <w:shd w:val="clear" w:color="auto" w:fill="FFFFFF"/>
            <w:vAlign w:val="center"/>
          </w:tcPr>
          <w:p>
            <w:pPr>
              <w:widowControl/>
              <w:spacing w:line="0" w:lineRule="atLeast"/>
              <w:rPr>
                <w:color w:val="auto"/>
                <w:kern w:val="0"/>
                <w:sz w:val="22"/>
                <w:szCs w:val="22"/>
                <w:highlight w:val="none"/>
              </w:rPr>
            </w:pPr>
            <w:r>
              <w:rPr>
                <w:color w:val="auto"/>
                <w:kern w:val="0"/>
                <w:sz w:val="22"/>
                <w:szCs w:val="22"/>
                <w:highlight w:val="none"/>
              </w:rPr>
              <w:t>项目申请、设立过程是否符合相关要求，用以反映和考核项目立项的规范情况。</w:t>
            </w:r>
          </w:p>
        </w:tc>
        <w:tc>
          <w:tcPr>
            <w:tcW w:w="5191" w:type="dxa"/>
            <w:shd w:val="clear" w:color="auto" w:fill="FFFFFF"/>
            <w:vAlign w:val="center"/>
          </w:tcPr>
          <w:p>
            <w:pPr>
              <w:widowControl/>
              <w:spacing w:line="0" w:lineRule="atLeast"/>
              <w:jc w:val="left"/>
              <w:rPr>
                <w:color w:val="auto"/>
                <w:kern w:val="0"/>
                <w:sz w:val="22"/>
                <w:szCs w:val="22"/>
                <w:highlight w:val="none"/>
              </w:rPr>
            </w:pPr>
            <w:r>
              <w:rPr>
                <w:color w:val="auto"/>
                <w:kern w:val="0"/>
                <w:sz w:val="22"/>
                <w:szCs w:val="22"/>
                <w:highlight w:val="none"/>
              </w:rPr>
              <w:t>评价要点：</w:t>
            </w:r>
            <w:r>
              <w:rPr>
                <w:color w:val="auto"/>
                <w:kern w:val="0"/>
                <w:sz w:val="22"/>
                <w:szCs w:val="22"/>
                <w:highlight w:val="none"/>
              </w:rPr>
              <w:br w:type="textWrapping"/>
            </w:r>
            <w:r>
              <w:rPr>
                <w:color w:val="auto"/>
                <w:kern w:val="0"/>
                <w:sz w:val="22"/>
                <w:szCs w:val="22"/>
                <w:highlight w:val="none"/>
              </w:rPr>
              <w:t>①项目是否按照规定的程序申请设立；</w:t>
            </w:r>
            <w:r>
              <w:rPr>
                <w:color w:val="auto"/>
                <w:kern w:val="0"/>
                <w:sz w:val="22"/>
                <w:szCs w:val="22"/>
                <w:highlight w:val="none"/>
              </w:rPr>
              <w:br w:type="textWrapping"/>
            </w:r>
            <w:r>
              <w:rPr>
                <w:color w:val="auto"/>
                <w:kern w:val="0"/>
                <w:sz w:val="22"/>
                <w:szCs w:val="22"/>
                <w:highlight w:val="none"/>
              </w:rPr>
              <w:t>②审批文件、材料是否符合相关要求；</w:t>
            </w:r>
            <w:r>
              <w:rPr>
                <w:color w:val="auto"/>
                <w:kern w:val="0"/>
                <w:sz w:val="22"/>
                <w:szCs w:val="22"/>
                <w:highlight w:val="none"/>
              </w:rPr>
              <w:br w:type="textWrapping"/>
            </w:r>
            <w:r>
              <w:rPr>
                <w:color w:val="auto"/>
                <w:kern w:val="0"/>
                <w:sz w:val="22"/>
                <w:szCs w:val="22"/>
                <w:highlight w:val="none"/>
              </w:rPr>
              <w:t>③事前是否已经过必要的可行性研究、专家论证、风险评估、绩效评估、集体决策。</w:t>
            </w:r>
          </w:p>
        </w:tc>
        <w:tc>
          <w:tcPr>
            <w:tcW w:w="1300" w:type="dxa"/>
            <w:shd w:val="clear" w:color="auto" w:fill="FFFFFF"/>
            <w:vAlign w:val="center"/>
          </w:tcPr>
          <w:p>
            <w:pPr>
              <w:widowControl/>
              <w:spacing w:line="0" w:lineRule="atLeast"/>
              <w:jc w:val="center"/>
              <w:rPr>
                <w:b/>
                <w:bCs/>
                <w:color w:val="auto"/>
                <w:kern w:val="0"/>
                <w:sz w:val="22"/>
                <w:szCs w:val="22"/>
                <w:highlight w:val="none"/>
              </w:rPr>
            </w:pPr>
            <w:r>
              <w:rPr>
                <w:rFonts w:hint="eastAsia"/>
                <w:b/>
                <w:bCs/>
                <w:color w:val="auto"/>
                <w:kern w:val="0"/>
                <w:sz w:val="22"/>
                <w:szCs w:val="22"/>
                <w:highlight w:val="none"/>
              </w:rPr>
              <w:t>3</w:t>
            </w:r>
          </w:p>
        </w:tc>
        <w:tc>
          <w:tcPr>
            <w:tcW w:w="1363" w:type="dxa"/>
            <w:shd w:val="clear" w:color="auto" w:fill="FFFFFF"/>
            <w:vAlign w:val="center"/>
          </w:tcPr>
          <w:p>
            <w:pPr>
              <w:widowControl/>
              <w:spacing w:line="0" w:lineRule="atLeast"/>
              <w:jc w:val="center"/>
              <w:rPr>
                <w:rFonts w:ascii="Times New Roman" w:hAnsi="Times New Roman" w:eastAsia="宋体" w:cs="Times New Roman"/>
                <w:color w:val="auto"/>
                <w:kern w:val="0"/>
                <w:sz w:val="22"/>
                <w:szCs w:val="22"/>
                <w:highlight w:val="none"/>
                <w:lang w:val="en-US" w:eastAsia="zh-CN" w:bidi="ar-SA"/>
              </w:rPr>
            </w:pPr>
            <w:r>
              <w:rPr>
                <w:rFonts w:hint="eastAsia"/>
                <w:color w:val="auto"/>
                <w:kern w:val="0"/>
                <w:sz w:val="22"/>
                <w:szCs w:val="22"/>
                <w:highlight w:val="none"/>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919" w:hRule="atLeast"/>
          <w:jc w:val="center"/>
        </w:trPr>
        <w:tc>
          <w:tcPr>
            <w:tcW w:w="837" w:type="dxa"/>
            <w:vMerge w:val="continue"/>
            <w:shd w:val="clear" w:color="auto" w:fill="FFFFFF"/>
            <w:vAlign w:val="center"/>
          </w:tcPr>
          <w:p>
            <w:pPr>
              <w:spacing w:line="0" w:lineRule="atLeast"/>
              <w:jc w:val="center"/>
              <w:rPr>
                <w:color w:val="auto"/>
                <w:kern w:val="0"/>
                <w:sz w:val="22"/>
                <w:szCs w:val="22"/>
                <w:highlight w:val="none"/>
              </w:rPr>
            </w:pPr>
          </w:p>
        </w:tc>
        <w:tc>
          <w:tcPr>
            <w:tcW w:w="766" w:type="dxa"/>
            <w:shd w:val="clear" w:color="auto" w:fill="FFFFFF"/>
            <w:vAlign w:val="center"/>
          </w:tcPr>
          <w:p>
            <w:pPr>
              <w:widowControl/>
              <w:spacing w:line="0" w:lineRule="atLeast"/>
              <w:jc w:val="center"/>
              <w:rPr>
                <w:color w:val="auto"/>
                <w:kern w:val="0"/>
                <w:sz w:val="22"/>
                <w:szCs w:val="22"/>
                <w:highlight w:val="none"/>
              </w:rPr>
            </w:pPr>
            <w:r>
              <w:rPr>
                <w:color w:val="auto"/>
                <w:kern w:val="0"/>
                <w:sz w:val="22"/>
                <w:szCs w:val="22"/>
                <w:highlight w:val="none"/>
              </w:rPr>
              <w:t>绩效目标　</w:t>
            </w:r>
          </w:p>
        </w:tc>
        <w:tc>
          <w:tcPr>
            <w:tcW w:w="873" w:type="dxa"/>
            <w:shd w:val="clear" w:color="auto" w:fill="FFFFFF"/>
            <w:vAlign w:val="center"/>
          </w:tcPr>
          <w:p>
            <w:pPr>
              <w:widowControl/>
              <w:spacing w:line="0" w:lineRule="atLeast"/>
              <w:jc w:val="center"/>
              <w:rPr>
                <w:color w:val="auto"/>
                <w:kern w:val="0"/>
                <w:sz w:val="22"/>
                <w:szCs w:val="22"/>
                <w:highlight w:val="none"/>
              </w:rPr>
            </w:pPr>
            <w:r>
              <w:rPr>
                <w:color w:val="auto"/>
                <w:kern w:val="0"/>
                <w:sz w:val="22"/>
                <w:szCs w:val="22"/>
                <w:highlight w:val="none"/>
              </w:rPr>
              <w:t>绩效目标</w:t>
            </w:r>
          </w:p>
          <w:p>
            <w:pPr>
              <w:widowControl/>
              <w:spacing w:line="0" w:lineRule="atLeast"/>
              <w:jc w:val="center"/>
              <w:rPr>
                <w:color w:val="auto"/>
                <w:kern w:val="0"/>
                <w:sz w:val="22"/>
                <w:szCs w:val="22"/>
                <w:highlight w:val="none"/>
              </w:rPr>
            </w:pPr>
            <w:r>
              <w:rPr>
                <w:color w:val="auto"/>
                <w:kern w:val="0"/>
                <w:sz w:val="22"/>
                <w:szCs w:val="22"/>
                <w:highlight w:val="none"/>
              </w:rPr>
              <w:t>合理性</w:t>
            </w:r>
          </w:p>
        </w:tc>
        <w:tc>
          <w:tcPr>
            <w:tcW w:w="2353" w:type="dxa"/>
            <w:shd w:val="clear" w:color="000000" w:fill="FFFFFF"/>
            <w:vAlign w:val="center"/>
          </w:tcPr>
          <w:p>
            <w:pPr>
              <w:widowControl/>
              <w:spacing w:line="0" w:lineRule="atLeast"/>
              <w:rPr>
                <w:color w:val="auto"/>
                <w:kern w:val="0"/>
                <w:sz w:val="22"/>
                <w:szCs w:val="22"/>
                <w:highlight w:val="none"/>
              </w:rPr>
            </w:pPr>
            <w:r>
              <w:rPr>
                <w:color w:val="auto"/>
                <w:kern w:val="0"/>
                <w:sz w:val="22"/>
                <w:szCs w:val="22"/>
                <w:highlight w:val="none"/>
              </w:rPr>
              <w:t>项目所设定的绩效目标是否依据充分，是否符合客观实际，用以反映和考核项目绩效目标与项目实施的相符情况。</w:t>
            </w:r>
          </w:p>
        </w:tc>
        <w:tc>
          <w:tcPr>
            <w:tcW w:w="5191" w:type="dxa"/>
            <w:shd w:val="clear" w:color="000000" w:fill="FFFFFF"/>
            <w:vAlign w:val="center"/>
          </w:tcPr>
          <w:p>
            <w:pPr>
              <w:widowControl/>
              <w:spacing w:line="0" w:lineRule="atLeast"/>
              <w:jc w:val="left"/>
              <w:rPr>
                <w:color w:val="auto"/>
                <w:kern w:val="0"/>
                <w:sz w:val="22"/>
                <w:szCs w:val="22"/>
                <w:highlight w:val="none"/>
              </w:rPr>
            </w:pPr>
            <w:r>
              <w:rPr>
                <w:color w:val="auto"/>
                <w:kern w:val="0"/>
                <w:sz w:val="22"/>
                <w:szCs w:val="22"/>
                <w:highlight w:val="none"/>
              </w:rPr>
              <w:t>评价要点：</w:t>
            </w:r>
            <w:r>
              <w:rPr>
                <w:color w:val="auto"/>
                <w:kern w:val="0"/>
                <w:sz w:val="22"/>
                <w:szCs w:val="22"/>
                <w:highlight w:val="none"/>
              </w:rPr>
              <w:br w:type="textWrapping"/>
            </w:r>
            <w:r>
              <w:rPr>
                <w:color w:val="auto"/>
                <w:kern w:val="0"/>
                <w:sz w:val="22"/>
                <w:szCs w:val="22"/>
                <w:highlight w:val="none"/>
              </w:rPr>
              <w:t>（如未设定预算绩效目标，也可考核其他工作任务目标）</w:t>
            </w:r>
            <w:r>
              <w:rPr>
                <w:color w:val="auto"/>
                <w:kern w:val="0"/>
                <w:sz w:val="22"/>
                <w:szCs w:val="22"/>
                <w:highlight w:val="none"/>
              </w:rPr>
              <w:br w:type="textWrapping"/>
            </w:r>
            <w:r>
              <w:rPr>
                <w:color w:val="auto"/>
                <w:kern w:val="0"/>
                <w:sz w:val="22"/>
                <w:szCs w:val="22"/>
                <w:highlight w:val="none"/>
              </w:rPr>
              <w:t>①项目是否有绩效目标；</w:t>
            </w:r>
            <w:r>
              <w:rPr>
                <w:color w:val="auto"/>
                <w:kern w:val="0"/>
                <w:sz w:val="22"/>
                <w:szCs w:val="22"/>
                <w:highlight w:val="none"/>
              </w:rPr>
              <w:br w:type="textWrapping"/>
            </w:r>
            <w:r>
              <w:rPr>
                <w:color w:val="auto"/>
                <w:kern w:val="0"/>
                <w:sz w:val="22"/>
                <w:szCs w:val="22"/>
                <w:highlight w:val="none"/>
              </w:rPr>
              <w:t>②项目绩效目标与实际工作内容是否具有相关性；</w:t>
            </w:r>
            <w:r>
              <w:rPr>
                <w:color w:val="auto"/>
                <w:kern w:val="0"/>
                <w:sz w:val="22"/>
                <w:szCs w:val="22"/>
                <w:highlight w:val="none"/>
              </w:rPr>
              <w:br w:type="textWrapping"/>
            </w:r>
            <w:r>
              <w:rPr>
                <w:color w:val="auto"/>
                <w:kern w:val="0"/>
                <w:sz w:val="22"/>
                <w:szCs w:val="22"/>
                <w:highlight w:val="none"/>
              </w:rPr>
              <w:t>③项目预期产出效益和效果是否符合正常的业绩水平；</w:t>
            </w:r>
          </w:p>
          <w:p>
            <w:pPr>
              <w:widowControl/>
              <w:spacing w:line="0" w:lineRule="atLeast"/>
              <w:jc w:val="left"/>
              <w:rPr>
                <w:color w:val="auto"/>
                <w:kern w:val="0"/>
                <w:sz w:val="22"/>
                <w:szCs w:val="22"/>
                <w:highlight w:val="none"/>
              </w:rPr>
            </w:pPr>
            <w:r>
              <w:rPr>
                <w:color w:val="auto"/>
                <w:kern w:val="0"/>
                <w:sz w:val="22"/>
                <w:szCs w:val="22"/>
                <w:highlight w:val="none"/>
              </w:rPr>
              <w:t>④是否与预算确定的项目投资额或资金量相匹配。</w:t>
            </w:r>
          </w:p>
        </w:tc>
        <w:tc>
          <w:tcPr>
            <w:tcW w:w="1300" w:type="dxa"/>
            <w:shd w:val="clear" w:color="000000" w:fill="FFFFFF"/>
            <w:vAlign w:val="center"/>
          </w:tcPr>
          <w:p>
            <w:pPr>
              <w:widowControl/>
              <w:spacing w:line="0" w:lineRule="atLeast"/>
              <w:jc w:val="center"/>
              <w:rPr>
                <w:b/>
                <w:bCs/>
                <w:color w:val="auto"/>
                <w:kern w:val="0"/>
                <w:sz w:val="22"/>
                <w:szCs w:val="22"/>
                <w:highlight w:val="none"/>
              </w:rPr>
            </w:pPr>
            <w:r>
              <w:rPr>
                <w:rFonts w:hint="eastAsia"/>
                <w:b/>
                <w:bCs/>
                <w:color w:val="auto"/>
                <w:kern w:val="0"/>
                <w:sz w:val="22"/>
                <w:szCs w:val="22"/>
                <w:highlight w:val="none"/>
              </w:rPr>
              <w:t>4</w:t>
            </w:r>
          </w:p>
        </w:tc>
        <w:tc>
          <w:tcPr>
            <w:tcW w:w="1363" w:type="dxa"/>
            <w:shd w:val="clear" w:color="000000" w:fill="FFFFFF"/>
            <w:vAlign w:val="center"/>
          </w:tcPr>
          <w:p>
            <w:pPr>
              <w:widowControl/>
              <w:spacing w:line="0" w:lineRule="atLeast"/>
              <w:jc w:val="center"/>
              <w:rPr>
                <w:rFonts w:ascii="Times New Roman" w:hAnsi="Times New Roman" w:eastAsia="宋体" w:cs="Times New Roman"/>
                <w:color w:val="auto"/>
                <w:kern w:val="0"/>
                <w:sz w:val="22"/>
                <w:szCs w:val="22"/>
                <w:highlight w:val="none"/>
                <w:lang w:val="en-US" w:eastAsia="zh-CN" w:bidi="ar-SA"/>
              </w:rPr>
            </w:pPr>
            <w:r>
              <w:rPr>
                <w:rFonts w:hint="eastAsia"/>
                <w:color w:val="auto"/>
                <w:kern w:val="0"/>
                <w:sz w:val="22"/>
                <w:szCs w:val="22"/>
                <w:highlight w:val="none"/>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464" w:hRule="atLeast"/>
          <w:jc w:val="center"/>
        </w:trPr>
        <w:tc>
          <w:tcPr>
            <w:tcW w:w="837" w:type="dxa"/>
            <w:vMerge w:val="restart"/>
            <w:shd w:val="clear" w:color="auto" w:fill="FFFFFF"/>
            <w:vAlign w:val="center"/>
          </w:tcPr>
          <w:p>
            <w:pPr>
              <w:widowControl/>
              <w:spacing w:line="0" w:lineRule="atLeast"/>
              <w:jc w:val="center"/>
              <w:rPr>
                <w:color w:val="auto"/>
                <w:kern w:val="0"/>
                <w:sz w:val="22"/>
                <w:szCs w:val="22"/>
                <w:highlight w:val="none"/>
              </w:rPr>
            </w:pPr>
            <w:r>
              <w:rPr>
                <w:color w:val="auto"/>
                <w:kern w:val="0"/>
                <w:sz w:val="22"/>
                <w:szCs w:val="22"/>
                <w:highlight w:val="none"/>
              </w:rPr>
              <w:t>决策　</w:t>
            </w:r>
          </w:p>
        </w:tc>
        <w:tc>
          <w:tcPr>
            <w:tcW w:w="766" w:type="dxa"/>
            <w:shd w:val="clear" w:color="auto" w:fill="FFFFFF"/>
            <w:vAlign w:val="center"/>
          </w:tcPr>
          <w:p>
            <w:pPr>
              <w:widowControl/>
              <w:spacing w:line="0" w:lineRule="atLeast"/>
              <w:jc w:val="center"/>
              <w:rPr>
                <w:color w:val="auto"/>
                <w:kern w:val="0"/>
                <w:sz w:val="22"/>
                <w:szCs w:val="22"/>
                <w:highlight w:val="none"/>
              </w:rPr>
            </w:pPr>
            <w:r>
              <w:rPr>
                <w:color w:val="auto"/>
                <w:kern w:val="0"/>
                <w:sz w:val="22"/>
                <w:szCs w:val="22"/>
                <w:highlight w:val="none"/>
              </w:rPr>
              <w:t>绩效目标</w:t>
            </w:r>
          </w:p>
        </w:tc>
        <w:tc>
          <w:tcPr>
            <w:tcW w:w="873" w:type="dxa"/>
            <w:shd w:val="clear" w:color="auto" w:fill="FFFFFF"/>
            <w:vAlign w:val="center"/>
          </w:tcPr>
          <w:p>
            <w:pPr>
              <w:widowControl/>
              <w:spacing w:line="0" w:lineRule="atLeast"/>
              <w:jc w:val="center"/>
              <w:rPr>
                <w:color w:val="auto"/>
                <w:kern w:val="0"/>
                <w:sz w:val="22"/>
                <w:szCs w:val="22"/>
                <w:highlight w:val="none"/>
              </w:rPr>
            </w:pPr>
            <w:r>
              <w:rPr>
                <w:color w:val="auto"/>
                <w:kern w:val="0"/>
                <w:sz w:val="22"/>
                <w:szCs w:val="22"/>
                <w:highlight w:val="none"/>
              </w:rPr>
              <w:t>绩效指标</w:t>
            </w:r>
          </w:p>
          <w:p>
            <w:pPr>
              <w:widowControl/>
              <w:spacing w:line="0" w:lineRule="atLeast"/>
              <w:jc w:val="center"/>
              <w:rPr>
                <w:color w:val="auto"/>
                <w:kern w:val="0"/>
                <w:sz w:val="22"/>
                <w:szCs w:val="22"/>
                <w:highlight w:val="none"/>
              </w:rPr>
            </w:pPr>
            <w:r>
              <w:rPr>
                <w:color w:val="auto"/>
                <w:kern w:val="0"/>
                <w:sz w:val="22"/>
                <w:szCs w:val="22"/>
                <w:highlight w:val="none"/>
              </w:rPr>
              <w:t>明确性</w:t>
            </w:r>
          </w:p>
        </w:tc>
        <w:tc>
          <w:tcPr>
            <w:tcW w:w="2353" w:type="dxa"/>
            <w:shd w:val="clear" w:color="000000" w:fill="FFFFFF"/>
            <w:vAlign w:val="center"/>
          </w:tcPr>
          <w:p>
            <w:pPr>
              <w:widowControl/>
              <w:spacing w:line="0" w:lineRule="atLeast"/>
              <w:rPr>
                <w:color w:val="auto"/>
                <w:kern w:val="0"/>
                <w:sz w:val="22"/>
                <w:szCs w:val="22"/>
                <w:highlight w:val="none"/>
              </w:rPr>
            </w:pPr>
            <w:r>
              <w:rPr>
                <w:color w:val="auto"/>
                <w:kern w:val="0"/>
                <w:sz w:val="22"/>
                <w:szCs w:val="22"/>
                <w:highlight w:val="none"/>
              </w:rPr>
              <w:t>依据绩效目标设定的绩效指标是否清晰、细化、可衡量等，用以反映和考核项目绩效目标的明细化情况。</w:t>
            </w:r>
          </w:p>
        </w:tc>
        <w:tc>
          <w:tcPr>
            <w:tcW w:w="5191" w:type="dxa"/>
            <w:shd w:val="clear" w:color="000000" w:fill="FFFFFF"/>
            <w:vAlign w:val="center"/>
          </w:tcPr>
          <w:p>
            <w:pPr>
              <w:widowControl/>
              <w:spacing w:line="0" w:lineRule="atLeast"/>
              <w:rPr>
                <w:color w:val="auto"/>
                <w:kern w:val="0"/>
                <w:sz w:val="22"/>
                <w:szCs w:val="22"/>
                <w:highlight w:val="none"/>
              </w:rPr>
            </w:pPr>
            <w:r>
              <w:rPr>
                <w:color w:val="auto"/>
                <w:kern w:val="0"/>
                <w:sz w:val="22"/>
                <w:szCs w:val="22"/>
                <w:highlight w:val="none"/>
              </w:rPr>
              <w:t>评价要点：</w:t>
            </w:r>
            <w:r>
              <w:rPr>
                <w:color w:val="auto"/>
                <w:kern w:val="0"/>
                <w:sz w:val="22"/>
                <w:szCs w:val="22"/>
                <w:highlight w:val="none"/>
              </w:rPr>
              <w:br w:type="textWrapping"/>
            </w:r>
            <w:r>
              <w:rPr>
                <w:color w:val="auto"/>
                <w:kern w:val="0"/>
                <w:sz w:val="22"/>
                <w:szCs w:val="22"/>
                <w:highlight w:val="none"/>
              </w:rPr>
              <w:t>①是否将项目绩效目标细化分解为具体的绩效指标；</w:t>
            </w:r>
            <w:r>
              <w:rPr>
                <w:color w:val="auto"/>
                <w:kern w:val="0"/>
                <w:sz w:val="22"/>
                <w:szCs w:val="22"/>
                <w:highlight w:val="none"/>
              </w:rPr>
              <w:br w:type="textWrapping"/>
            </w:r>
            <w:r>
              <w:rPr>
                <w:color w:val="auto"/>
                <w:kern w:val="0"/>
                <w:sz w:val="22"/>
                <w:szCs w:val="22"/>
                <w:highlight w:val="none"/>
              </w:rPr>
              <w:t>②是否通过清晰、可衡量的指标值予以体现；</w:t>
            </w:r>
            <w:r>
              <w:rPr>
                <w:color w:val="auto"/>
                <w:kern w:val="0"/>
                <w:sz w:val="22"/>
                <w:szCs w:val="22"/>
                <w:highlight w:val="none"/>
              </w:rPr>
              <w:br w:type="textWrapping"/>
            </w:r>
            <w:r>
              <w:rPr>
                <w:color w:val="auto"/>
                <w:kern w:val="0"/>
                <w:sz w:val="22"/>
                <w:szCs w:val="22"/>
                <w:highlight w:val="none"/>
              </w:rPr>
              <w:t>③是否与项目目标任务数或计划数相对应。</w:t>
            </w:r>
            <w:r>
              <w:rPr>
                <w:color w:val="auto"/>
                <w:kern w:val="0"/>
                <w:sz w:val="22"/>
                <w:szCs w:val="22"/>
                <w:highlight w:val="none"/>
              </w:rPr>
              <w:br w:type="textWrapping"/>
            </w:r>
          </w:p>
        </w:tc>
        <w:tc>
          <w:tcPr>
            <w:tcW w:w="1300" w:type="dxa"/>
            <w:shd w:val="clear" w:color="000000" w:fill="FFFFFF"/>
            <w:vAlign w:val="center"/>
          </w:tcPr>
          <w:p>
            <w:pPr>
              <w:widowControl/>
              <w:spacing w:line="0" w:lineRule="atLeast"/>
              <w:jc w:val="center"/>
              <w:rPr>
                <w:b/>
                <w:bCs/>
                <w:color w:val="auto"/>
                <w:kern w:val="0"/>
                <w:sz w:val="22"/>
                <w:szCs w:val="22"/>
                <w:highlight w:val="none"/>
              </w:rPr>
            </w:pPr>
            <w:r>
              <w:rPr>
                <w:rFonts w:hint="eastAsia"/>
                <w:b/>
                <w:bCs/>
                <w:color w:val="auto"/>
                <w:kern w:val="0"/>
                <w:sz w:val="22"/>
                <w:szCs w:val="22"/>
                <w:highlight w:val="none"/>
              </w:rPr>
              <w:t>3</w:t>
            </w:r>
          </w:p>
        </w:tc>
        <w:tc>
          <w:tcPr>
            <w:tcW w:w="1363" w:type="dxa"/>
            <w:shd w:val="clear" w:color="000000" w:fill="FFFFFF"/>
            <w:vAlign w:val="center"/>
          </w:tcPr>
          <w:p>
            <w:pPr>
              <w:widowControl/>
              <w:spacing w:line="0" w:lineRule="atLeast"/>
              <w:jc w:val="center"/>
              <w:rPr>
                <w:rFonts w:ascii="Times New Roman" w:hAnsi="Times New Roman" w:eastAsia="宋体" w:cs="Times New Roman"/>
                <w:color w:val="auto"/>
                <w:kern w:val="0"/>
                <w:sz w:val="22"/>
                <w:szCs w:val="22"/>
                <w:highlight w:val="none"/>
                <w:lang w:val="en-US" w:eastAsia="zh-CN" w:bidi="ar-SA"/>
              </w:rPr>
            </w:pPr>
            <w:r>
              <w:rPr>
                <w:rFonts w:hint="eastAsia"/>
                <w:color w:val="auto"/>
                <w:kern w:val="0"/>
                <w:sz w:val="22"/>
                <w:szCs w:val="22"/>
                <w:highlight w:val="none"/>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942" w:hRule="atLeast"/>
          <w:jc w:val="center"/>
        </w:trPr>
        <w:tc>
          <w:tcPr>
            <w:tcW w:w="837" w:type="dxa"/>
            <w:vMerge w:val="continue"/>
            <w:shd w:val="clear" w:color="auto" w:fill="FFFFFF"/>
            <w:vAlign w:val="center"/>
          </w:tcPr>
          <w:p>
            <w:pPr>
              <w:spacing w:line="0" w:lineRule="atLeast"/>
              <w:jc w:val="center"/>
              <w:rPr>
                <w:color w:val="auto"/>
                <w:kern w:val="0"/>
                <w:sz w:val="22"/>
                <w:szCs w:val="22"/>
                <w:highlight w:val="none"/>
              </w:rPr>
            </w:pPr>
          </w:p>
        </w:tc>
        <w:tc>
          <w:tcPr>
            <w:tcW w:w="766" w:type="dxa"/>
            <w:vMerge w:val="restart"/>
            <w:shd w:val="clear" w:color="auto" w:fill="FFFFFF"/>
            <w:vAlign w:val="center"/>
          </w:tcPr>
          <w:p>
            <w:pPr>
              <w:widowControl/>
              <w:spacing w:line="0" w:lineRule="atLeast"/>
              <w:jc w:val="center"/>
              <w:rPr>
                <w:color w:val="auto"/>
                <w:kern w:val="0"/>
                <w:sz w:val="22"/>
                <w:szCs w:val="22"/>
                <w:highlight w:val="none"/>
              </w:rPr>
            </w:pPr>
            <w:r>
              <w:rPr>
                <w:color w:val="auto"/>
                <w:kern w:val="0"/>
                <w:sz w:val="22"/>
                <w:szCs w:val="22"/>
                <w:highlight w:val="none"/>
              </w:rPr>
              <w:t>资金投入</w:t>
            </w:r>
          </w:p>
          <w:p>
            <w:pPr>
              <w:spacing w:line="0" w:lineRule="atLeast"/>
              <w:jc w:val="center"/>
              <w:rPr>
                <w:color w:val="auto"/>
                <w:kern w:val="0"/>
                <w:sz w:val="22"/>
                <w:szCs w:val="22"/>
                <w:highlight w:val="none"/>
              </w:rPr>
            </w:pPr>
            <w:r>
              <w:rPr>
                <w:color w:val="auto"/>
                <w:kern w:val="0"/>
                <w:sz w:val="22"/>
                <w:szCs w:val="22"/>
                <w:highlight w:val="none"/>
              </w:rPr>
              <w:t>　</w:t>
            </w:r>
          </w:p>
        </w:tc>
        <w:tc>
          <w:tcPr>
            <w:tcW w:w="873" w:type="dxa"/>
            <w:shd w:val="clear" w:color="auto" w:fill="FFFFFF"/>
            <w:vAlign w:val="center"/>
          </w:tcPr>
          <w:p>
            <w:pPr>
              <w:widowControl/>
              <w:spacing w:line="0" w:lineRule="atLeast"/>
              <w:jc w:val="center"/>
              <w:rPr>
                <w:color w:val="auto"/>
                <w:kern w:val="0"/>
                <w:sz w:val="22"/>
                <w:szCs w:val="22"/>
                <w:highlight w:val="none"/>
              </w:rPr>
            </w:pPr>
            <w:r>
              <w:rPr>
                <w:color w:val="auto"/>
                <w:kern w:val="0"/>
                <w:sz w:val="22"/>
                <w:szCs w:val="22"/>
                <w:highlight w:val="none"/>
              </w:rPr>
              <w:t>预算编制</w:t>
            </w:r>
          </w:p>
          <w:p>
            <w:pPr>
              <w:widowControl/>
              <w:spacing w:line="0" w:lineRule="atLeast"/>
              <w:jc w:val="center"/>
              <w:rPr>
                <w:color w:val="auto"/>
                <w:kern w:val="0"/>
                <w:sz w:val="22"/>
                <w:szCs w:val="22"/>
                <w:highlight w:val="none"/>
              </w:rPr>
            </w:pPr>
            <w:r>
              <w:rPr>
                <w:color w:val="auto"/>
                <w:kern w:val="0"/>
                <w:sz w:val="22"/>
                <w:szCs w:val="22"/>
                <w:highlight w:val="none"/>
              </w:rPr>
              <w:t>科学性</w:t>
            </w:r>
          </w:p>
        </w:tc>
        <w:tc>
          <w:tcPr>
            <w:tcW w:w="2353" w:type="dxa"/>
            <w:shd w:val="clear" w:color="auto" w:fill="FFFFFF"/>
            <w:vAlign w:val="center"/>
          </w:tcPr>
          <w:p>
            <w:pPr>
              <w:widowControl/>
              <w:spacing w:line="0" w:lineRule="atLeast"/>
              <w:rPr>
                <w:color w:val="auto"/>
                <w:kern w:val="0"/>
                <w:sz w:val="22"/>
                <w:szCs w:val="22"/>
                <w:highlight w:val="none"/>
              </w:rPr>
            </w:pPr>
            <w:r>
              <w:rPr>
                <w:color w:val="auto"/>
                <w:kern w:val="0"/>
                <w:sz w:val="22"/>
                <w:szCs w:val="22"/>
                <w:highlight w:val="none"/>
              </w:rPr>
              <w:t>项目预算编制是否经过科学论证、有明确标准，资金额度与年度目标是否相适应，用以反映和考核项目预算编制的科学性、合理性情况。</w:t>
            </w:r>
          </w:p>
        </w:tc>
        <w:tc>
          <w:tcPr>
            <w:tcW w:w="5191" w:type="dxa"/>
            <w:shd w:val="clear" w:color="auto" w:fill="FFFFFF"/>
            <w:vAlign w:val="center"/>
          </w:tcPr>
          <w:p>
            <w:pPr>
              <w:widowControl/>
              <w:spacing w:line="0" w:lineRule="atLeast"/>
              <w:rPr>
                <w:color w:val="auto"/>
                <w:kern w:val="0"/>
                <w:sz w:val="22"/>
                <w:szCs w:val="22"/>
                <w:highlight w:val="none"/>
              </w:rPr>
            </w:pPr>
            <w:r>
              <w:rPr>
                <w:color w:val="auto"/>
                <w:kern w:val="0"/>
                <w:sz w:val="22"/>
                <w:szCs w:val="22"/>
                <w:highlight w:val="none"/>
              </w:rPr>
              <w:t>评价要点：</w:t>
            </w:r>
            <w:r>
              <w:rPr>
                <w:color w:val="auto"/>
                <w:kern w:val="0"/>
                <w:sz w:val="22"/>
                <w:szCs w:val="22"/>
                <w:highlight w:val="none"/>
              </w:rPr>
              <w:br w:type="textWrapping"/>
            </w:r>
            <w:r>
              <w:rPr>
                <w:color w:val="auto"/>
                <w:kern w:val="0"/>
                <w:sz w:val="22"/>
                <w:szCs w:val="22"/>
                <w:highlight w:val="none"/>
              </w:rPr>
              <w:t>①预算编制是否经过科学论证；</w:t>
            </w:r>
            <w:r>
              <w:rPr>
                <w:color w:val="auto"/>
                <w:kern w:val="0"/>
                <w:sz w:val="22"/>
                <w:szCs w:val="22"/>
                <w:highlight w:val="none"/>
              </w:rPr>
              <w:br w:type="textWrapping"/>
            </w:r>
            <w:r>
              <w:rPr>
                <w:color w:val="auto"/>
                <w:kern w:val="0"/>
                <w:sz w:val="22"/>
                <w:szCs w:val="22"/>
                <w:highlight w:val="none"/>
              </w:rPr>
              <w:t>②预算内容与项目内容是否匹配；</w:t>
            </w:r>
            <w:r>
              <w:rPr>
                <w:color w:val="auto"/>
                <w:kern w:val="0"/>
                <w:sz w:val="22"/>
                <w:szCs w:val="22"/>
                <w:highlight w:val="none"/>
              </w:rPr>
              <w:br w:type="textWrapping"/>
            </w:r>
            <w:r>
              <w:rPr>
                <w:color w:val="auto"/>
                <w:kern w:val="0"/>
                <w:sz w:val="22"/>
                <w:szCs w:val="22"/>
                <w:highlight w:val="none"/>
              </w:rPr>
              <w:t>③预算额度测算依据是否充分，是否按照标准编制；</w:t>
            </w:r>
            <w:r>
              <w:rPr>
                <w:color w:val="auto"/>
                <w:kern w:val="0"/>
                <w:sz w:val="22"/>
                <w:szCs w:val="22"/>
                <w:highlight w:val="none"/>
              </w:rPr>
              <w:br w:type="textWrapping"/>
            </w:r>
            <w:r>
              <w:rPr>
                <w:color w:val="auto"/>
                <w:kern w:val="0"/>
                <w:sz w:val="22"/>
                <w:szCs w:val="22"/>
                <w:highlight w:val="none"/>
              </w:rPr>
              <w:t>④预算确定的项目投资额或资金量是否与工作任务相匹配。</w:t>
            </w:r>
          </w:p>
        </w:tc>
        <w:tc>
          <w:tcPr>
            <w:tcW w:w="1300" w:type="dxa"/>
            <w:shd w:val="clear" w:color="auto" w:fill="FFFFFF"/>
            <w:vAlign w:val="center"/>
          </w:tcPr>
          <w:p>
            <w:pPr>
              <w:widowControl/>
              <w:spacing w:line="0" w:lineRule="atLeast"/>
              <w:jc w:val="center"/>
              <w:rPr>
                <w:b/>
                <w:bCs/>
                <w:color w:val="auto"/>
                <w:kern w:val="0"/>
                <w:sz w:val="22"/>
                <w:szCs w:val="22"/>
                <w:highlight w:val="none"/>
              </w:rPr>
            </w:pPr>
            <w:r>
              <w:rPr>
                <w:rFonts w:hint="eastAsia"/>
                <w:b/>
                <w:bCs/>
                <w:color w:val="auto"/>
                <w:kern w:val="0"/>
                <w:sz w:val="22"/>
                <w:szCs w:val="22"/>
                <w:highlight w:val="none"/>
              </w:rPr>
              <w:t>4</w:t>
            </w:r>
          </w:p>
        </w:tc>
        <w:tc>
          <w:tcPr>
            <w:tcW w:w="1363" w:type="dxa"/>
            <w:shd w:val="clear" w:color="auto" w:fill="FFFFFF"/>
            <w:vAlign w:val="center"/>
          </w:tcPr>
          <w:p>
            <w:pPr>
              <w:widowControl/>
              <w:spacing w:line="0" w:lineRule="atLeast"/>
              <w:jc w:val="center"/>
              <w:rPr>
                <w:rFonts w:ascii="Times New Roman" w:hAnsi="Times New Roman" w:eastAsia="宋体" w:cs="Times New Roman"/>
                <w:color w:val="auto"/>
                <w:kern w:val="0"/>
                <w:sz w:val="22"/>
                <w:szCs w:val="22"/>
                <w:highlight w:val="none"/>
                <w:lang w:val="en-US" w:eastAsia="zh-CN" w:bidi="ar-SA"/>
              </w:rPr>
            </w:pPr>
            <w:r>
              <w:rPr>
                <w:rFonts w:hint="eastAsia"/>
                <w:color w:val="auto"/>
                <w:kern w:val="0"/>
                <w:sz w:val="22"/>
                <w:szCs w:val="22"/>
                <w:highlight w:val="none"/>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706" w:hRule="atLeast"/>
          <w:jc w:val="center"/>
        </w:trPr>
        <w:tc>
          <w:tcPr>
            <w:tcW w:w="837" w:type="dxa"/>
            <w:vMerge w:val="continue"/>
            <w:shd w:val="clear" w:color="auto" w:fill="FFFFFF"/>
            <w:vAlign w:val="center"/>
          </w:tcPr>
          <w:p>
            <w:pPr>
              <w:widowControl/>
              <w:spacing w:line="0" w:lineRule="atLeast"/>
              <w:jc w:val="center"/>
              <w:rPr>
                <w:color w:val="auto"/>
                <w:kern w:val="0"/>
                <w:sz w:val="22"/>
                <w:szCs w:val="22"/>
                <w:highlight w:val="none"/>
              </w:rPr>
            </w:pPr>
          </w:p>
        </w:tc>
        <w:tc>
          <w:tcPr>
            <w:tcW w:w="766" w:type="dxa"/>
            <w:vMerge w:val="continue"/>
            <w:shd w:val="clear" w:color="auto" w:fill="FFFFFF"/>
            <w:vAlign w:val="center"/>
          </w:tcPr>
          <w:p>
            <w:pPr>
              <w:widowControl/>
              <w:spacing w:line="0" w:lineRule="atLeast"/>
              <w:jc w:val="center"/>
              <w:rPr>
                <w:color w:val="auto"/>
                <w:kern w:val="0"/>
                <w:sz w:val="22"/>
                <w:szCs w:val="22"/>
                <w:highlight w:val="none"/>
              </w:rPr>
            </w:pPr>
          </w:p>
        </w:tc>
        <w:tc>
          <w:tcPr>
            <w:tcW w:w="873" w:type="dxa"/>
            <w:shd w:val="clear" w:color="auto" w:fill="FFFFFF"/>
            <w:vAlign w:val="center"/>
          </w:tcPr>
          <w:p>
            <w:pPr>
              <w:widowControl/>
              <w:spacing w:line="0" w:lineRule="atLeast"/>
              <w:jc w:val="center"/>
              <w:rPr>
                <w:color w:val="auto"/>
                <w:kern w:val="0"/>
                <w:sz w:val="22"/>
                <w:szCs w:val="22"/>
                <w:highlight w:val="none"/>
              </w:rPr>
            </w:pPr>
            <w:r>
              <w:rPr>
                <w:color w:val="auto"/>
                <w:kern w:val="0"/>
                <w:sz w:val="22"/>
                <w:szCs w:val="22"/>
                <w:highlight w:val="none"/>
              </w:rPr>
              <w:t>资金分配</w:t>
            </w:r>
          </w:p>
          <w:p>
            <w:pPr>
              <w:widowControl/>
              <w:spacing w:line="0" w:lineRule="atLeast"/>
              <w:jc w:val="center"/>
              <w:rPr>
                <w:color w:val="auto"/>
                <w:kern w:val="0"/>
                <w:sz w:val="22"/>
                <w:szCs w:val="22"/>
                <w:highlight w:val="none"/>
              </w:rPr>
            </w:pPr>
            <w:r>
              <w:rPr>
                <w:color w:val="auto"/>
                <w:kern w:val="0"/>
                <w:sz w:val="22"/>
                <w:szCs w:val="22"/>
                <w:highlight w:val="none"/>
              </w:rPr>
              <w:t>合理性</w:t>
            </w:r>
          </w:p>
        </w:tc>
        <w:tc>
          <w:tcPr>
            <w:tcW w:w="2353" w:type="dxa"/>
            <w:shd w:val="clear" w:color="auto" w:fill="FFFFFF"/>
            <w:vAlign w:val="center"/>
          </w:tcPr>
          <w:p>
            <w:pPr>
              <w:widowControl/>
              <w:spacing w:line="0" w:lineRule="atLeast"/>
              <w:rPr>
                <w:color w:val="auto"/>
                <w:kern w:val="0"/>
                <w:sz w:val="22"/>
                <w:szCs w:val="22"/>
                <w:highlight w:val="none"/>
              </w:rPr>
            </w:pPr>
            <w:r>
              <w:rPr>
                <w:color w:val="auto"/>
                <w:kern w:val="0"/>
                <w:sz w:val="22"/>
                <w:szCs w:val="22"/>
                <w:highlight w:val="none"/>
              </w:rPr>
              <w:t>项目预算资金分配是否有测算依据，与补助单位或地方实际是否相适应，用以反映和考核项目预算资金分配的科学性、合理性情况。</w:t>
            </w:r>
          </w:p>
        </w:tc>
        <w:tc>
          <w:tcPr>
            <w:tcW w:w="5191" w:type="dxa"/>
            <w:shd w:val="clear" w:color="auto" w:fill="FFFFFF"/>
            <w:vAlign w:val="center"/>
          </w:tcPr>
          <w:p>
            <w:pPr>
              <w:widowControl/>
              <w:spacing w:line="0" w:lineRule="atLeast"/>
              <w:rPr>
                <w:color w:val="auto"/>
                <w:kern w:val="0"/>
                <w:sz w:val="22"/>
                <w:szCs w:val="22"/>
                <w:highlight w:val="none"/>
              </w:rPr>
            </w:pPr>
            <w:r>
              <w:rPr>
                <w:color w:val="auto"/>
                <w:kern w:val="0"/>
                <w:sz w:val="22"/>
                <w:szCs w:val="22"/>
                <w:highlight w:val="none"/>
              </w:rPr>
              <w:t>评价要点：</w:t>
            </w:r>
            <w:r>
              <w:rPr>
                <w:color w:val="auto"/>
                <w:kern w:val="0"/>
                <w:sz w:val="22"/>
                <w:szCs w:val="22"/>
                <w:highlight w:val="none"/>
              </w:rPr>
              <w:br w:type="textWrapping"/>
            </w:r>
            <w:r>
              <w:rPr>
                <w:color w:val="auto"/>
                <w:kern w:val="0"/>
                <w:sz w:val="22"/>
                <w:szCs w:val="22"/>
                <w:highlight w:val="none"/>
              </w:rPr>
              <w:t>①预算资金分配依据是否充分；</w:t>
            </w:r>
            <w:r>
              <w:rPr>
                <w:color w:val="auto"/>
                <w:kern w:val="0"/>
                <w:sz w:val="22"/>
                <w:szCs w:val="22"/>
                <w:highlight w:val="none"/>
              </w:rPr>
              <w:br w:type="textWrapping"/>
            </w:r>
            <w:r>
              <w:rPr>
                <w:color w:val="auto"/>
                <w:kern w:val="0"/>
                <w:sz w:val="22"/>
                <w:szCs w:val="22"/>
                <w:highlight w:val="none"/>
              </w:rPr>
              <w:t>②资金分配额度是否合理，与项目单位或地方实际是否相适应。</w:t>
            </w:r>
          </w:p>
        </w:tc>
        <w:tc>
          <w:tcPr>
            <w:tcW w:w="1300" w:type="dxa"/>
            <w:shd w:val="clear" w:color="auto" w:fill="FFFFFF"/>
            <w:vAlign w:val="center"/>
          </w:tcPr>
          <w:p>
            <w:pPr>
              <w:widowControl/>
              <w:spacing w:line="0" w:lineRule="atLeast"/>
              <w:jc w:val="center"/>
              <w:rPr>
                <w:b/>
                <w:bCs/>
                <w:color w:val="auto"/>
                <w:kern w:val="0"/>
                <w:sz w:val="22"/>
                <w:szCs w:val="22"/>
                <w:highlight w:val="none"/>
              </w:rPr>
            </w:pPr>
            <w:r>
              <w:rPr>
                <w:rFonts w:hint="eastAsia"/>
                <w:b/>
                <w:bCs/>
                <w:color w:val="auto"/>
                <w:kern w:val="0"/>
                <w:sz w:val="22"/>
                <w:szCs w:val="22"/>
                <w:highlight w:val="none"/>
              </w:rPr>
              <w:t>3</w:t>
            </w:r>
          </w:p>
        </w:tc>
        <w:tc>
          <w:tcPr>
            <w:tcW w:w="1363" w:type="dxa"/>
            <w:shd w:val="clear" w:color="auto" w:fill="FFFFFF"/>
            <w:vAlign w:val="center"/>
          </w:tcPr>
          <w:p>
            <w:pPr>
              <w:widowControl/>
              <w:spacing w:line="0" w:lineRule="atLeast"/>
              <w:jc w:val="center"/>
              <w:rPr>
                <w:rFonts w:ascii="Times New Roman" w:hAnsi="Times New Roman" w:eastAsia="宋体" w:cs="Times New Roman"/>
                <w:color w:val="auto"/>
                <w:kern w:val="0"/>
                <w:sz w:val="22"/>
                <w:szCs w:val="22"/>
                <w:highlight w:val="none"/>
                <w:lang w:val="en-US" w:eastAsia="zh-CN" w:bidi="ar-SA"/>
              </w:rPr>
            </w:pPr>
            <w:r>
              <w:rPr>
                <w:rFonts w:hint="eastAsia"/>
                <w:color w:val="auto"/>
                <w:kern w:val="0"/>
                <w:sz w:val="22"/>
                <w:szCs w:val="22"/>
                <w:highlight w:val="none"/>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415" w:hRule="atLeast"/>
          <w:jc w:val="center"/>
        </w:trPr>
        <w:tc>
          <w:tcPr>
            <w:tcW w:w="837" w:type="dxa"/>
            <w:vMerge w:val="restart"/>
            <w:shd w:val="clear" w:color="auto" w:fill="FFFFFF"/>
            <w:vAlign w:val="center"/>
          </w:tcPr>
          <w:p>
            <w:pPr>
              <w:spacing w:line="0" w:lineRule="atLeast"/>
              <w:jc w:val="center"/>
              <w:rPr>
                <w:color w:val="auto"/>
                <w:kern w:val="0"/>
                <w:sz w:val="22"/>
                <w:szCs w:val="22"/>
                <w:highlight w:val="none"/>
              </w:rPr>
            </w:pPr>
            <w:r>
              <w:rPr>
                <w:color w:val="auto"/>
                <w:kern w:val="0"/>
                <w:sz w:val="22"/>
                <w:szCs w:val="22"/>
                <w:highlight w:val="none"/>
              </w:rPr>
              <w:t>过程</w:t>
            </w:r>
          </w:p>
        </w:tc>
        <w:tc>
          <w:tcPr>
            <w:tcW w:w="766" w:type="dxa"/>
            <w:vMerge w:val="restart"/>
            <w:shd w:val="clear" w:color="auto" w:fill="FFFFFF"/>
            <w:vAlign w:val="center"/>
          </w:tcPr>
          <w:p>
            <w:pPr>
              <w:widowControl/>
              <w:spacing w:line="0" w:lineRule="atLeast"/>
              <w:jc w:val="center"/>
              <w:rPr>
                <w:color w:val="auto"/>
                <w:kern w:val="0"/>
                <w:sz w:val="22"/>
                <w:szCs w:val="22"/>
                <w:highlight w:val="none"/>
              </w:rPr>
            </w:pPr>
            <w:r>
              <w:rPr>
                <w:color w:val="auto"/>
                <w:kern w:val="0"/>
                <w:sz w:val="22"/>
                <w:szCs w:val="22"/>
                <w:highlight w:val="none"/>
              </w:rPr>
              <w:t>资金管理</w:t>
            </w:r>
          </w:p>
        </w:tc>
        <w:tc>
          <w:tcPr>
            <w:tcW w:w="873" w:type="dxa"/>
            <w:shd w:val="clear" w:color="auto" w:fill="FFFFFF"/>
            <w:vAlign w:val="center"/>
          </w:tcPr>
          <w:p>
            <w:pPr>
              <w:widowControl/>
              <w:spacing w:line="0" w:lineRule="atLeast"/>
              <w:jc w:val="center"/>
              <w:rPr>
                <w:color w:val="auto"/>
                <w:kern w:val="0"/>
                <w:sz w:val="22"/>
                <w:szCs w:val="22"/>
                <w:highlight w:val="none"/>
              </w:rPr>
            </w:pPr>
            <w:r>
              <w:rPr>
                <w:color w:val="auto"/>
                <w:kern w:val="0"/>
                <w:sz w:val="22"/>
                <w:szCs w:val="22"/>
                <w:highlight w:val="none"/>
              </w:rPr>
              <w:t>资金到位率</w:t>
            </w:r>
          </w:p>
        </w:tc>
        <w:tc>
          <w:tcPr>
            <w:tcW w:w="2353" w:type="dxa"/>
            <w:shd w:val="clear" w:color="000000" w:fill="FFFFFF"/>
            <w:vAlign w:val="center"/>
          </w:tcPr>
          <w:p>
            <w:pPr>
              <w:widowControl/>
              <w:spacing w:line="0" w:lineRule="atLeast"/>
              <w:rPr>
                <w:color w:val="auto"/>
                <w:kern w:val="0"/>
                <w:sz w:val="22"/>
                <w:szCs w:val="22"/>
                <w:highlight w:val="none"/>
              </w:rPr>
            </w:pPr>
            <w:r>
              <w:rPr>
                <w:color w:val="auto"/>
                <w:kern w:val="0"/>
                <w:sz w:val="22"/>
                <w:szCs w:val="22"/>
                <w:highlight w:val="none"/>
              </w:rPr>
              <w:t>实际到位资金与预算资金的比率，用以反映和考核资金落实情况对项目实施的总体保障程度。</w:t>
            </w:r>
          </w:p>
        </w:tc>
        <w:tc>
          <w:tcPr>
            <w:tcW w:w="5191" w:type="dxa"/>
            <w:shd w:val="clear" w:color="000000" w:fill="FFFFFF"/>
            <w:vAlign w:val="center"/>
          </w:tcPr>
          <w:p>
            <w:pPr>
              <w:widowControl/>
              <w:spacing w:line="0" w:lineRule="atLeast"/>
              <w:rPr>
                <w:color w:val="auto"/>
                <w:kern w:val="0"/>
                <w:sz w:val="22"/>
                <w:szCs w:val="22"/>
                <w:highlight w:val="none"/>
              </w:rPr>
            </w:pPr>
            <w:r>
              <w:rPr>
                <w:color w:val="auto"/>
                <w:kern w:val="0"/>
                <w:sz w:val="22"/>
                <w:szCs w:val="22"/>
                <w:highlight w:val="none"/>
              </w:rPr>
              <w:t>资金到位率=（实际到位资金/预算资金）×100%。</w:t>
            </w:r>
          </w:p>
          <w:p>
            <w:pPr>
              <w:widowControl/>
              <w:spacing w:line="0" w:lineRule="atLeast"/>
              <w:rPr>
                <w:color w:val="auto"/>
                <w:kern w:val="0"/>
                <w:sz w:val="22"/>
                <w:szCs w:val="22"/>
                <w:highlight w:val="none"/>
              </w:rPr>
            </w:pPr>
            <w:r>
              <w:rPr>
                <w:color w:val="auto"/>
                <w:kern w:val="0"/>
                <w:sz w:val="22"/>
                <w:szCs w:val="22"/>
                <w:highlight w:val="none"/>
              </w:rPr>
              <w:t>实际到位资金：一定时期（本年度或项目期）内落实到具体项目的资金。</w:t>
            </w:r>
          </w:p>
          <w:p>
            <w:pPr>
              <w:widowControl/>
              <w:spacing w:line="0" w:lineRule="atLeast"/>
              <w:rPr>
                <w:color w:val="auto"/>
                <w:kern w:val="0"/>
                <w:sz w:val="22"/>
                <w:szCs w:val="22"/>
                <w:highlight w:val="none"/>
              </w:rPr>
            </w:pPr>
            <w:r>
              <w:rPr>
                <w:color w:val="auto"/>
                <w:kern w:val="0"/>
                <w:sz w:val="22"/>
                <w:szCs w:val="22"/>
                <w:highlight w:val="none"/>
              </w:rPr>
              <w:t>预算资金：一定时期（本年度或项目期）内预算安排到具体项目的资金。</w:t>
            </w:r>
          </w:p>
        </w:tc>
        <w:tc>
          <w:tcPr>
            <w:tcW w:w="1300" w:type="dxa"/>
            <w:shd w:val="clear" w:color="000000" w:fill="FFFFFF"/>
            <w:vAlign w:val="center"/>
          </w:tcPr>
          <w:p>
            <w:pPr>
              <w:widowControl/>
              <w:spacing w:line="0" w:lineRule="atLeast"/>
              <w:jc w:val="center"/>
              <w:rPr>
                <w:b/>
                <w:bCs/>
                <w:color w:val="auto"/>
                <w:kern w:val="0"/>
                <w:sz w:val="22"/>
                <w:szCs w:val="22"/>
                <w:highlight w:val="none"/>
              </w:rPr>
            </w:pPr>
            <w:r>
              <w:rPr>
                <w:rFonts w:hint="eastAsia"/>
                <w:b/>
                <w:bCs/>
                <w:color w:val="auto"/>
                <w:kern w:val="0"/>
                <w:sz w:val="22"/>
                <w:szCs w:val="22"/>
                <w:highlight w:val="none"/>
              </w:rPr>
              <w:t>4</w:t>
            </w:r>
          </w:p>
        </w:tc>
        <w:tc>
          <w:tcPr>
            <w:tcW w:w="1363" w:type="dxa"/>
            <w:shd w:val="clear" w:color="000000" w:fill="FFFFFF"/>
            <w:vAlign w:val="center"/>
          </w:tcPr>
          <w:p>
            <w:pPr>
              <w:widowControl/>
              <w:spacing w:line="0" w:lineRule="atLeast"/>
              <w:jc w:val="center"/>
              <w:rPr>
                <w:rFonts w:ascii="Times New Roman" w:hAnsi="Times New Roman" w:eastAsia="宋体" w:cs="Times New Roman"/>
                <w:color w:val="auto"/>
                <w:kern w:val="0"/>
                <w:sz w:val="22"/>
                <w:szCs w:val="22"/>
                <w:highlight w:val="none"/>
                <w:lang w:val="en-US" w:eastAsia="zh-CN" w:bidi="ar-SA"/>
              </w:rPr>
            </w:pPr>
            <w:r>
              <w:rPr>
                <w:rFonts w:hint="eastAsia"/>
                <w:color w:val="auto"/>
                <w:kern w:val="0"/>
                <w:sz w:val="22"/>
                <w:szCs w:val="22"/>
                <w:highlight w:val="none"/>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320" w:hRule="atLeast"/>
          <w:jc w:val="center"/>
        </w:trPr>
        <w:tc>
          <w:tcPr>
            <w:tcW w:w="837" w:type="dxa"/>
            <w:vMerge w:val="continue"/>
            <w:shd w:val="clear" w:color="auto" w:fill="FFFFFF"/>
            <w:vAlign w:val="center"/>
          </w:tcPr>
          <w:p>
            <w:pPr>
              <w:spacing w:line="0" w:lineRule="atLeast"/>
              <w:jc w:val="center"/>
              <w:rPr>
                <w:color w:val="auto"/>
                <w:kern w:val="0"/>
                <w:sz w:val="22"/>
                <w:szCs w:val="22"/>
                <w:highlight w:val="none"/>
              </w:rPr>
            </w:pPr>
          </w:p>
        </w:tc>
        <w:tc>
          <w:tcPr>
            <w:tcW w:w="766" w:type="dxa"/>
            <w:vMerge w:val="continue"/>
            <w:shd w:val="clear" w:color="auto" w:fill="FFFFFF"/>
            <w:vAlign w:val="center"/>
          </w:tcPr>
          <w:p>
            <w:pPr>
              <w:spacing w:line="0" w:lineRule="atLeast"/>
              <w:jc w:val="center"/>
              <w:rPr>
                <w:color w:val="auto"/>
                <w:kern w:val="0"/>
                <w:sz w:val="22"/>
                <w:szCs w:val="22"/>
                <w:highlight w:val="none"/>
              </w:rPr>
            </w:pPr>
          </w:p>
        </w:tc>
        <w:tc>
          <w:tcPr>
            <w:tcW w:w="873" w:type="dxa"/>
            <w:shd w:val="clear" w:color="auto" w:fill="FFFFFF"/>
            <w:vAlign w:val="center"/>
          </w:tcPr>
          <w:p>
            <w:pPr>
              <w:widowControl/>
              <w:spacing w:line="0" w:lineRule="atLeast"/>
              <w:jc w:val="center"/>
              <w:rPr>
                <w:color w:val="auto"/>
                <w:kern w:val="0"/>
                <w:sz w:val="22"/>
                <w:szCs w:val="22"/>
                <w:highlight w:val="none"/>
              </w:rPr>
            </w:pPr>
            <w:r>
              <w:rPr>
                <w:color w:val="auto"/>
                <w:kern w:val="0"/>
                <w:sz w:val="22"/>
                <w:szCs w:val="22"/>
                <w:highlight w:val="none"/>
              </w:rPr>
              <w:t>预算执行率</w:t>
            </w:r>
          </w:p>
        </w:tc>
        <w:tc>
          <w:tcPr>
            <w:tcW w:w="2353" w:type="dxa"/>
            <w:shd w:val="clear" w:color="auto" w:fill="FFFFFF"/>
            <w:vAlign w:val="center"/>
          </w:tcPr>
          <w:p>
            <w:pPr>
              <w:widowControl/>
              <w:spacing w:line="0" w:lineRule="atLeast"/>
              <w:rPr>
                <w:color w:val="auto"/>
                <w:kern w:val="0"/>
                <w:sz w:val="22"/>
                <w:szCs w:val="22"/>
                <w:highlight w:val="none"/>
              </w:rPr>
            </w:pPr>
            <w:r>
              <w:rPr>
                <w:color w:val="auto"/>
                <w:kern w:val="0"/>
                <w:sz w:val="22"/>
                <w:szCs w:val="22"/>
                <w:highlight w:val="none"/>
              </w:rPr>
              <w:t>项目预算资金是否按照计划执行，用以反映或考核项目预算执行情况。</w:t>
            </w:r>
          </w:p>
        </w:tc>
        <w:tc>
          <w:tcPr>
            <w:tcW w:w="5191" w:type="dxa"/>
            <w:shd w:val="clear" w:color="auto" w:fill="FFFFFF"/>
            <w:vAlign w:val="center"/>
          </w:tcPr>
          <w:p>
            <w:pPr>
              <w:widowControl/>
              <w:spacing w:line="0" w:lineRule="atLeast"/>
              <w:rPr>
                <w:color w:val="auto"/>
                <w:kern w:val="0"/>
                <w:sz w:val="22"/>
                <w:szCs w:val="22"/>
                <w:highlight w:val="none"/>
              </w:rPr>
            </w:pPr>
            <w:r>
              <w:rPr>
                <w:color w:val="auto"/>
                <w:kern w:val="0"/>
                <w:sz w:val="22"/>
                <w:szCs w:val="22"/>
                <w:highlight w:val="none"/>
              </w:rPr>
              <w:t>预算执行率=（实际支出资金/实际到位资金）×100%。</w:t>
            </w:r>
            <w:r>
              <w:rPr>
                <w:color w:val="auto"/>
                <w:kern w:val="0"/>
                <w:sz w:val="22"/>
                <w:szCs w:val="22"/>
                <w:highlight w:val="none"/>
              </w:rPr>
              <w:br w:type="textWrapping"/>
            </w:r>
            <w:r>
              <w:rPr>
                <w:color w:val="auto"/>
                <w:kern w:val="0"/>
                <w:sz w:val="22"/>
                <w:szCs w:val="22"/>
                <w:highlight w:val="none"/>
              </w:rPr>
              <w:t>实际支出资金：一定时期（本年度或项目期）内项目实际拨付的资金。</w:t>
            </w:r>
          </w:p>
        </w:tc>
        <w:tc>
          <w:tcPr>
            <w:tcW w:w="1300" w:type="dxa"/>
            <w:shd w:val="clear" w:color="auto" w:fill="FFFFFF"/>
            <w:vAlign w:val="center"/>
          </w:tcPr>
          <w:p>
            <w:pPr>
              <w:widowControl/>
              <w:spacing w:line="0" w:lineRule="atLeast"/>
              <w:jc w:val="center"/>
              <w:rPr>
                <w:b/>
                <w:bCs/>
                <w:color w:val="auto"/>
                <w:kern w:val="0"/>
                <w:sz w:val="22"/>
                <w:szCs w:val="22"/>
                <w:highlight w:val="none"/>
              </w:rPr>
            </w:pPr>
            <w:r>
              <w:rPr>
                <w:rFonts w:hint="eastAsia"/>
                <w:b/>
                <w:bCs/>
                <w:color w:val="auto"/>
                <w:kern w:val="0"/>
                <w:sz w:val="22"/>
                <w:szCs w:val="22"/>
                <w:highlight w:val="none"/>
              </w:rPr>
              <w:t>4</w:t>
            </w:r>
          </w:p>
        </w:tc>
        <w:tc>
          <w:tcPr>
            <w:tcW w:w="1363" w:type="dxa"/>
            <w:shd w:val="clear" w:color="auto" w:fill="FFFFFF"/>
            <w:vAlign w:val="center"/>
          </w:tcPr>
          <w:p>
            <w:pPr>
              <w:widowControl/>
              <w:spacing w:line="0" w:lineRule="atLeast"/>
              <w:jc w:val="center"/>
              <w:rPr>
                <w:rFonts w:hint="default" w:ascii="Times New Roman" w:hAnsi="Times New Roman" w:eastAsia="宋体" w:cs="Times New Roman"/>
                <w:color w:val="auto"/>
                <w:kern w:val="0"/>
                <w:sz w:val="22"/>
                <w:szCs w:val="22"/>
                <w:highlight w:val="none"/>
                <w:lang w:val="en-US" w:eastAsia="zh-CN" w:bidi="ar-SA"/>
              </w:rPr>
            </w:pPr>
            <w:r>
              <w:rPr>
                <w:rFonts w:hint="eastAsia"/>
                <w:color w:val="auto"/>
                <w:kern w:val="0"/>
                <w:sz w:val="22"/>
                <w:szCs w:val="22"/>
                <w:highlight w:val="none"/>
                <w:lang w:val="en-US" w:eastAsia="zh-CN"/>
              </w:rPr>
              <w:t>3.85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2076" w:hRule="atLeast"/>
          <w:jc w:val="center"/>
        </w:trPr>
        <w:tc>
          <w:tcPr>
            <w:tcW w:w="837" w:type="dxa"/>
            <w:vMerge w:val="restart"/>
            <w:shd w:val="clear" w:color="auto" w:fill="FFFFFF"/>
            <w:vAlign w:val="center"/>
          </w:tcPr>
          <w:p>
            <w:pPr>
              <w:widowControl/>
              <w:spacing w:line="0" w:lineRule="atLeast"/>
              <w:jc w:val="center"/>
              <w:rPr>
                <w:color w:val="auto"/>
                <w:kern w:val="0"/>
                <w:sz w:val="22"/>
                <w:szCs w:val="22"/>
                <w:highlight w:val="none"/>
              </w:rPr>
            </w:pPr>
            <w:r>
              <w:rPr>
                <w:color w:val="auto"/>
                <w:kern w:val="0"/>
                <w:sz w:val="22"/>
                <w:szCs w:val="22"/>
                <w:highlight w:val="none"/>
              </w:rPr>
              <w:t>　</w:t>
            </w:r>
          </w:p>
          <w:p>
            <w:pPr>
              <w:spacing w:line="0" w:lineRule="atLeast"/>
              <w:jc w:val="center"/>
              <w:rPr>
                <w:color w:val="auto"/>
                <w:kern w:val="0"/>
                <w:sz w:val="22"/>
                <w:szCs w:val="22"/>
                <w:highlight w:val="none"/>
              </w:rPr>
            </w:pPr>
            <w:r>
              <w:rPr>
                <w:color w:val="auto"/>
                <w:kern w:val="0"/>
                <w:sz w:val="22"/>
                <w:szCs w:val="22"/>
                <w:highlight w:val="none"/>
              </w:rPr>
              <w:t>过程　</w:t>
            </w:r>
          </w:p>
        </w:tc>
        <w:tc>
          <w:tcPr>
            <w:tcW w:w="766" w:type="dxa"/>
            <w:shd w:val="clear" w:color="auto" w:fill="FFFFFF"/>
            <w:vAlign w:val="center"/>
          </w:tcPr>
          <w:p>
            <w:pPr>
              <w:widowControl/>
              <w:spacing w:line="0" w:lineRule="atLeast"/>
              <w:jc w:val="center"/>
              <w:rPr>
                <w:color w:val="auto"/>
                <w:kern w:val="0"/>
                <w:sz w:val="22"/>
                <w:szCs w:val="22"/>
                <w:highlight w:val="none"/>
              </w:rPr>
            </w:pPr>
            <w:r>
              <w:rPr>
                <w:color w:val="auto"/>
                <w:kern w:val="0"/>
                <w:sz w:val="22"/>
                <w:szCs w:val="22"/>
                <w:highlight w:val="none"/>
              </w:rPr>
              <w:t>资金管理</w:t>
            </w:r>
          </w:p>
        </w:tc>
        <w:tc>
          <w:tcPr>
            <w:tcW w:w="873" w:type="dxa"/>
            <w:shd w:val="clear" w:color="auto" w:fill="FFFFFF"/>
            <w:vAlign w:val="center"/>
          </w:tcPr>
          <w:p>
            <w:pPr>
              <w:widowControl/>
              <w:spacing w:line="0" w:lineRule="atLeast"/>
              <w:jc w:val="center"/>
              <w:rPr>
                <w:color w:val="auto"/>
                <w:kern w:val="0"/>
                <w:sz w:val="22"/>
                <w:szCs w:val="22"/>
                <w:highlight w:val="none"/>
              </w:rPr>
            </w:pPr>
            <w:r>
              <w:rPr>
                <w:color w:val="auto"/>
                <w:kern w:val="0"/>
                <w:sz w:val="22"/>
                <w:szCs w:val="22"/>
                <w:highlight w:val="none"/>
              </w:rPr>
              <w:t>资金使用</w:t>
            </w:r>
          </w:p>
          <w:p>
            <w:pPr>
              <w:widowControl/>
              <w:spacing w:line="0" w:lineRule="atLeast"/>
              <w:jc w:val="center"/>
              <w:rPr>
                <w:color w:val="auto"/>
                <w:kern w:val="0"/>
                <w:sz w:val="22"/>
                <w:szCs w:val="22"/>
                <w:highlight w:val="none"/>
              </w:rPr>
            </w:pPr>
            <w:r>
              <w:rPr>
                <w:color w:val="auto"/>
                <w:kern w:val="0"/>
                <w:sz w:val="22"/>
                <w:szCs w:val="22"/>
                <w:highlight w:val="none"/>
              </w:rPr>
              <w:t>合规性</w:t>
            </w:r>
          </w:p>
        </w:tc>
        <w:tc>
          <w:tcPr>
            <w:tcW w:w="2353" w:type="dxa"/>
            <w:shd w:val="clear" w:color="000000" w:fill="FFFFFF"/>
            <w:vAlign w:val="center"/>
          </w:tcPr>
          <w:p>
            <w:pPr>
              <w:widowControl/>
              <w:spacing w:line="0" w:lineRule="atLeast"/>
              <w:rPr>
                <w:color w:val="auto"/>
                <w:kern w:val="0"/>
                <w:sz w:val="22"/>
                <w:szCs w:val="22"/>
                <w:highlight w:val="none"/>
              </w:rPr>
            </w:pPr>
            <w:r>
              <w:rPr>
                <w:color w:val="auto"/>
                <w:kern w:val="0"/>
                <w:sz w:val="22"/>
                <w:szCs w:val="22"/>
                <w:highlight w:val="none"/>
              </w:rPr>
              <w:t>项目资金使用是否符合相关的财务管理制度规定，用以反映和考核项目资金的规范运行情况。</w:t>
            </w:r>
          </w:p>
        </w:tc>
        <w:tc>
          <w:tcPr>
            <w:tcW w:w="5191" w:type="dxa"/>
            <w:shd w:val="clear" w:color="000000" w:fill="FFFFFF"/>
            <w:vAlign w:val="center"/>
          </w:tcPr>
          <w:p>
            <w:pPr>
              <w:widowControl/>
              <w:spacing w:line="0" w:lineRule="atLeast"/>
              <w:rPr>
                <w:color w:val="auto"/>
                <w:kern w:val="0"/>
                <w:sz w:val="22"/>
                <w:szCs w:val="22"/>
                <w:highlight w:val="none"/>
              </w:rPr>
            </w:pPr>
            <w:r>
              <w:rPr>
                <w:color w:val="auto"/>
                <w:kern w:val="0"/>
                <w:sz w:val="22"/>
                <w:szCs w:val="22"/>
                <w:highlight w:val="none"/>
              </w:rPr>
              <w:t>评价要点：</w:t>
            </w:r>
            <w:r>
              <w:rPr>
                <w:color w:val="auto"/>
                <w:kern w:val="0"/>
                <w:sz w:val="22"/>
                <w:szCs w:val="22"/>
                <w:highlight w:val="none"/>
              </w:rPr>
              <w:br w:type="textWrapping"/>
            </w:r>
            <w:r>
              <w:rPr>
                <w:color w:val="auto"/>
                <w:kern w:val="0"/>
                <w:sz w:val="22"/>
                <w:szCs w:val="22"/>
                <w:highlight w:val="none"/>
              </w:rPr>
              <w:t>①是否符合国家财经法规和财务管理制度以及有关专项资金管理办法的规定；</w:t>
            </w:r>
            <w:r>
              <w:rPr>
                <w:color w:val="auto"/>
                <w:kern w:val="0"/>
                <w:sz w:val="22"/>
                <w:szCs w:val="22"/>
                <w:highlight w:val="none"/>
              </w:rPr>
              <w:br w:type="textWrapping"/>
            </w:r>
            <w:r>
              <w:rPr>
                <w:color w:val="auto"/>
                <w:kern w:val="0"/>
                <w:sz w:val="22"/>
                <w:szCs w:val="22"/>
                <w:highlight w:val="none"/>
              </w:rPr>
              <w:t>②资金的拨付是否有完整的审批程序和手续；</w:t>
            </w:r>
            <w:r>
              <w:rPr>
                <w:color w:val="auto"/>
                <w:kern w:val="0"/>
                <w:sz w:val="22"/>
                <w:szCs w:val="22"/>
                <w:highlight w:val="none"/>
              </w:rPr>
              <w:br w:type="textWrapping"/>
            </w:r>
            <w:r>
              <w:rPr>
                <w:color w:val="auto"/>
                <w:kern w:val="0"/>
                <w:sz w:val="22"/>
                <w:szCs w:val="22"/>
                <w:highlight w:val="none"/>
              </w:rPr>
              <w:t>③是否符合项目预算批复或合同规定的用途；</w:t>
            </w:r>
            <w:r>
              <w:rPr>
                <w:color w:val="auto"/>
                <w:kern w:val="0"/>
                <w:sz w:val="22"/>
                <w:szCs w:val="22"/>
                <w:highlight w:val="none"/>
              </w:rPr>
              <w:br w:type="textWrapping"/>
            </w:r>
            <w:r>
              <w:rPr>
                <w:color w:val="auto"/>
                <w:kern w:val="0"/>
                <w:sz w:val="22"/>
                <w:szCs w:val="22"/>
                <w:highlight w:val="none"/>
              </w:rPr>
              <w:t>④是否存在截留、挤占、挪用、虚列支出等情况。</w:t>
            </w:r>
          </w:p>
        </w:tc>
        <w:tc>
          <w:tcPr>
            <w:tcW w:w="1300" w:type="dxa"/>
            <w:shd w:val="clear" w:color="000000" w:fill="FFFFFF"/>
            <w:vAlign w:val="center"/>
          </w:tcPr>
          <w:p>
            <w:pPr>
              <w:widowControl/>
              <w:spacing w:line="0" w:lineRule="atLeast"/>
              <w:jc w:val="center"/>
              <w:rPr>
                <w:b/>
                <w:bCs/>
                <w:color w:val="auto"/>
                <w:kern w:val="0"/>
                <w:sz w:val="22"/>
                <w:szCs w:val="22"/>
                <w:highlight w:val="none"/>
              </w:rPr>
            </w:pPr>
            <w:r>
              <w:rPr>
                <w:rFonts w:hint="eastAsia"/>
                <w:b/>
                <w:bCs/>
                <w:color w:val="auto"/>
                <w:kern w:val="0"/>
                <w:sz w:val="22"/>
                <w:szCs w:val="22"/>
                <w:highlight w:val="none"/>
              </w:rPr>
              <w:t>4</w:t>
            </w:r>
          </w:p>
        </w:tc>
        <w:tc>
          <w:tcPr>
            <w:tcW w:w="1363" w:type="dxa"/>
            <w:shd w:val="clear" w:color="000000" w:fill="FFFFFF"/>
            <w:vAlign w:val="center"/>
          </w:tcPr>
          <w:p>
            <w:pPr>
              <w:widowControl/>
              <w:spacing w:line="0" w:lineRule="atLeast"/>
              <w:jc w:val="center"/>
              <w:rPr>
                <w:rFonts w:ascii="Times New Roman" w:hAnsi="Times New Roman" w:eastAsia="宋体" w:cs="Times New Roman"/>
                <w:color w:val="auto"/>
                <w:kern w:val="0"/>
                <w:sz w:val="22"/>
                <w:szCs w:val="22"/>
                <w:highlight w:val="none"/>
                <w:lang w:val="en-US" w:eastAsia="zh-CN" w:bidi="ar-SA"/>
              </w:rPr>
            </w:pPr>
            <w:r>
              <w:rPr>
                <w:rFonts w:hint="eastAsia"/>
                <w:color w:val="auto"/>
                <w:kern w:val="0"/>
                <w:sz w:val="22"/>
                <w:szCs w:val="22"/>
                <w:highlight w:val="none"/>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797" w:hRule="atLeast"/>
          <w:jc w:val="center"/>
        </w:trPr>
        <w:tc>
          <w:tcPr>
            <w:tcW w:w="837" w:type="dxa"/>
            <w:vMerge w:val="continue"/>
            <w:shd w:val="clear" w:color="auto" w:fill="FFFFFF"/>
            <w:vAlign w:val="center"/>
          </w:tcPr>
          <w:p>
            <w:pPr>
              <w:spacing w:line="0" w:lineRule="atLeast"/>
              <w:jc w:val="center"/>
              <w:rPr>
                <w:color w:val="auto"/>
                <w:kern w:val="0"/>
                <w:sz w:val="22"/>
                <w:szCs w:val="22"/>
                <w:highlight w:val="none"/>
              </w:rPr>
            </w:pPr>
          </w:p>
        </w:tc>
        <w:tc>
          <w:tcPr>
            <w:tcW w:w="766" w:type="dxa"/>
            <w:vMerge w:val="restart"/>
            <w:shd w:val="clear" w:color="auto" w:fill="FFFFFF"/>
            <w:vAlign w:val="center"/>
          </w:tcPr>
          <w:p>
            <w:pPr>
              <w:widowControl/>
              <w:spacing w:line="0" w:lineRule="atLeast"/>
              <w:jc w:val="center"/>
              <w:rPr>
                <w:color w:val="auto"/>
                <w:kern w:val="0"/>
                <w:sz w:val="22"/>
                <w:szCs w:val="22"/>
                <w:highlight w:val="none"/>
              </w:rPr>
            </w:pPr>
            <w:r>
              <w:rPr>
                <w:color w:val="auto"/>
                <w:kern w:val="0"/>
                <w:sz w:val="22"/>
                <w:szCs w:val="22"/>
                <w:highlight w:val="none"/>
              </w:rPr>
              <w:t>组织实施</w:t>
            </w:r>
          </w:p>
          <w:p>
            <w:pPr>
              <w:spacing w:line="0" w:lineRule="atLeast"/>
              <w:jc w:val="center"/>
              <w:rPr>
                <w:color w:val="auto"/>
                <w:kern w:val="0"/>
                <w:sz w:val="22"/>
                <w:szCs w:val="22"/>
                <w:highlight w:val="none"/>
              </w:rPr>
            </w:pPr>
            <w:r>
              <w:rPr>
                <w:color w:val="auto"/>
                <w:kern w:val="0"/>
                <w:sz w:val="22"/>
                <w:szCs w:val="22"/>
                <w:highlight w:val="none"/>
              </w:rPr>
              <w:t>　</w:t>
            </w:r>
          </w:p>
        </w:tc>
        <w:tc>
          <w:tcPr>
            <w:tcW w:w="873" w:type="dxa"/>
            <w:shd w:val="clear" w:color="auto" w:fill="FFFFFF"/>
            <w:vAlign w:val="center"/>
          </w:tcPr>
          <w:p>
            <w:pPr>
              <w:widowControl/>
              <w:spacing w:line="0" w:lineRule="atLeast"/>
              <w:jc w:val="center"/>
              <w:rPr>
                <w:color w:val="auto"/>
                <w:kern w:val="0"/>
                <w:sz w:val="22"/>
                <w:szCs w:val="22"/>
                <w:highlight w:val="none"/>
              </w:rPr>
            </w:pPr>
            <w:r>
              <w:rPr>
                <w:color w:val="auto"/>
                <w:kern w:val="0"/>
                <w:sz w:val="22"/>
                <w:szCs w:val="22"/>
                <w:highlight w:val="none"/>
              </w:rPr>
              <w:t>管理制度</w:t>
            </w:r>
          </w:p>
          <w:p>
            <w:pPr>
              <w:widowControl/>
              <w:spacing w:line="0" w:lineRule="atLeast"/>
              <w:jc w:val="center"/>
              <w:rPr>
                <w:color w:val="auto"/>
                <w:kern w:val="0"/>
                <w:sz w:val="22"/>
                <w:szCs w:val="22"/>
                <w:highlight w:val="none"/>
              </w:rPr>
            </w:pPr>
            <w:r>
              <w:rPr>
                <w:color w:val="auto"/>
                <w:kern w:val="0"/>
                <w:sz w:val="22"/>
                <w:szCs w:val="22"/>
                <w:highlight w:val="none"/>
              </w:rPr>
              <w:t>健全性</w:t>
            </w:r>
          </w:p>
        </w:tc>
        <w:tc>
          <w:tcPr>
            <w:tcW w:w="2353" w:type="dxa"/>
            <w:shd w:val="clear" w:color="000000" w:fill="FFFFFF"/>
            <w:vAlign w:val="center"/>
          </w:tcPr>
          <w:p>
            <w:pPr>
              <w:widowControl/>
              <w:spacing w:line="0" w:lineRule="atLeast"/>
              <w:rPr>
                <w:color w:val="auto"/>
                <w:kern w:val="0"/>
                <w:sz w:val="22"/>
                <w:szCs w:val="22"/>
                <w:highlight w:val="none"/>
              </w:rPr>
            </w:pPr>
            <w:r>
              <w:rPr>
                <w:color w:val="auto"/>
                <w:kern w:val="0"/>
                <w:sz w:val="22"/>
                <w:szCs w:val="22"/>
                <w:highlight w:val="none"/>
              </w:rPr>
              <w:t>项目实施单位的财务和业务管理制度是否健全，用以反映和考核财务和业务管理制度对项目顺利实施的保障情况。</w:t>
            </w:r>
          </w:p>
        </w:tc>
        <w:tc>
          <w:tcPr>
            <w:tcW w:w="5191" w:type="dxa"/>
            <w:shd w:val="clear" w:color="000000" w:fill="FFFFFF"/>
            <w:vAlign w:val="center"/>
          </w:tcPr>
          <w:p>
            <w:pPr>
              <w:widowControl/>
              <w:spacing w:line="0" w:lineRule="atLeast"/>
              <w:rPr>
                <w:color w:val="auto"/>
                <w:kern w:val="0"/>
                <w:sz w:val="22"/>
                <w:szCs w:val="22"/>
                <w:highlight w:val="none"/>
              </w:rPr>
            </w:pPr>
            <w:r>
              <w:rPr>
                <w:color w:val="auto"/>
                <w:kern w:val="0"/>
                <w:sz w:val="22"/>
                <w:szCs w:val="22"/>
                <w:highlight w:val="none"/>
              </w:rPr>
              <w:t>评价要点：</w:t>
            </w:r>
            <w:r>
              <w:rPr>
                <w:color w:val="auto"/>
                <w:kern w:val="0"/>
                <w:sz w:val="22"/>
                <w:szCs w:val="22"/>
                <w:highlight w:val="none"/>
              </w:rPr>
              <w:br w:type="textWrapping"/>
            </w:r>
            <w:r>
              <w:rPr>
                <w:color w:val="auto"/>
                <w:kern w:val="0"/>
                <w:sz w:val="22"/>
                <w:szCs w:val="22"/>
                <w:highlight w:val="none"/>
              </w:rPr>
              <w:t>①是否已制定或具有相应的财务和业务管理制度；</w:t>
            </w:r>
            <w:r>
              <w:rPr>
                <w:color w:val="auto"/>
                <w:kern w:val="0"/>
                <w:sz w:val="22"/>
                <w:szCs w:val="22"/>
                <w:highlight w:val="none"/>
              </w:rPr>
              <w:br w:type="textWrapping"/>
            </w:r>
            <w:r>
              <w:rPr>
                <w:color w:val="auto"/>
                <w:kern w:val="0"/>
                <w:sz w:val="22"/>
                <w:szCs w:val="22"/>
                <w:highlight w:val="none"/>
              </w:rPr>
              <w:t>②财务和业务管理制度是否合法、合规、完整。</w:t>
            </w:r>
          </w:p>
        </w:tc>
        <w:tc>
          <w:tcPr>
            <w:tcW w:w="1300" w:type="dxa"/>
            <w:shd w:val="clear" w:color="000000" w:fill="FFFFFF"/>
            <w:vAlign w:val="center"/>
          </w:tcPr>
          <w:p>
            <w:pPr>
              <w:widowControl/>
              <w:spacing w:line="0" w:lineRule="atLeast"/>
              <w:jc w:val="center"/>
              <w:rPr>
                <w:b/>
                <w:bCs/>
                <w:color w:val="auto"/>
                <w:kern w:val="0"/>
                <w:sz w:val="22"/>
                <w:szCs w:val="22"/>
                <w:highlight w:val="none"/>
              </w:rPr>
            </w:pPr>
            <w:r>
              <w:rPr>
                <w:rFonts w:hint="eastAsia"/>
                <w:b/>
                <w:bCs/>
                <w:color w:val="auto"/>
                <w:kern w:val="0"/>
                <w:sz w:val="22"/>
                <w:szCs w:val="22"/>
                <w:highlight w:val="none"/>
              </w:rPr>
              <w:t>4</w:t>
            </w:r>
          </w:p>
        </w:tc>
        <w:tc>
          <w:tcPr>
            <w:tcW w:w="1363" w:type="dxa"/>
            <w:shd w:val="clear" w:color="000000" w:fill="FFFFFF"/>
            <w:vAlign w:val="center"/>
          </w:tcPr>
          <w:p>
            <w:pPr>
              <w:widowControl/>
              <w:spacing w:line="0" w:lineRule="atLeast"/>
              <w:jc w:val="center"/>
              <w:rPr>
                <w:rFonts w:hint="default" w:ascii="Times New Roman" w:hAnsi="Times New Roman" w:eastAsia="宋体" w:cs="Times New Roman"/>
                <w:color w:val="auto"/>
                <w:kern w:val="0"/>
                <w:sz w:val="22"/>
                <w:szCs w:val="22"/>
                <w:highlight w:val="none"/>
                <w:lang w:eastAsia="zh-CN" w:bidi="ar-SA"/>
              </w:rPr>
            </w:pPr>
            <w:r>
              <w:rPr>
                <w:rFonts w:hint="default"/>
                <w:color w:val="auto"/>
                <w:kern w:val="0"/>
                <w:sz w:val="22"/>
                <w:szCs w:val="22"/>
                <w:highlight w:val="none"/>
                <w:lang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769" w:hRule="atLeast"/>
          <w:jc w:val="center"/>
        </w:trPr>
        <w:tc>
          <w:tcPr>
            <w:tcW w:w="837" w:type="dxa"/>
            <w:vMerge w:val="continue"/>
            <w:shd w:val="clear" w:color="auto" w:fill="FFFFFF"/>
            <w:vAlign w:val="center"/>
          </w:tcPr>
          <w:p>
            <w:pPr>
              <w:widowControl/>
              <w:spacing w:line="0" w:lineRule="atLeast"/>
              <w:jc w:val="center"/>
              <w:rPr>
                <w:color w:val="auto"/>
                <w:kern w:val="0"/>
                <w:sz w:val="22"/>
                <w:szCs w:val="22"/>
                <w:highlight w:val="none"/>
              </w:rPr>
            </w:pPr>
          </w:p>
        </w:tc>
        <w:tc>
          <w:tcPr>
            <w:tcW w:w="766" w:type="dxa"/>
            <w:vMerge w:val="continue"/>
            <w:shd w:val="clear" w:color="auto" w:fill="FFFFFF"/>
            <w:vAlign w:val="center"/>
          </w:tcPr>
          <w:p>
            <w:pPr>
              <w:widowControl/>
              <w:spacing w:line="0" w:lineRule="atLeast"/>
              <w:jc w:val="center"/>
              <w:rPr>
                <w:color w:val="auto"/>
                <w:kern w:val="0"/>
                <w:sz w:val="22"/>
                <w:szCs w:val="22"/>
                <w:highlight w:val="none"/>
              </w:rPr>
            </w:pPr>
          </w:p>
        </w:tc>
        <w:tc>
          <w:tcPr>
            <w:tcW w:w="873" w:type="dxa"/>
            <w:shd w:val="clear" w:color="auto" w:fill="FFFFFF"/>
            <w:vAlign w:val="center"/>
          </w:tcPr>
          <w:p>
            <w:pPr>
              <w:widowControl/>
              <w:spacing w:line="0" w:lineRule="atLeast"/>
              <w:jc w:val="center"/>
              <w:rPr>
                <w:color w:val="auto"/>
                <w:kern w:val="0"/>
                <w:sz w:val="22"/>
                <w:szCs w:val="22"/>
                <w:highlight w:val="none"/>
              </w:rPr>
            </w:pPr>
            <w:r>
              <w:rPr>
                <w:color w:val="auto"/>
                <w:kern w:val="0"/>
                <w:sz w:val="22"/>
                <w:szCs w:val="22"/>
                <w:highlight w:val="none"/>
              </w:rPr>
              <w:t>制度执行</w:t>
            </w:r>
          </w:p>
          <w:p>
            <w:pPr>
              <w:widowControl/>
              <w:spacing w:line="0" w:lineRule="atLeast"/>
              <w:jc w:val="center"/>
              <w:rPr>
                <w:color w:val="auto"/>
                <w:kern w:val="0"/>
                <w:sz w:val="22"/>
                <w:szCs w:val="22"/>
                <w:highlight w:val="none"/>
              </w:rPr>
            </w:pPr>
            <w:r>
              <w:rPr>
                <w:color w:val="auto"/>
                <w:kern w:val="0"/>
                <w:sz w:val="22"/>
                <w:szCs w:val="22"/>
                <w:highlight w:val="none"/>
              </w:rPr>
              <w:t>有效性</w:t>
            </w:r>
          </w:p>
        </w:tc>
        <w:tc>
          <w:tcPr>
            <w:tcW w:w="2353" w:type="dxa"/>
            <w:shd w:val="clear" w:color="000000" w:fill="FFFFFF"/>
            <w:vAlign w:val="center"/>
          </w:tcPr>
          <w:p>
            <w:pPr>
              <w:widowControl/>
              <w:spacing w:line="0" w:lineRule="atLeast"/>
              <w:rPr>
                <w:color w:val="auto"/>
                <w:kern w:val="0"/>
                <w:sz w:val="22"/>
                <w:szCs w:val="22"/>
                <w:highlight w:val="none"/>
              </w:rPr>
            </w:pPr>
            <w:r>
              <w:rPr>
                <w:color w:val="auto"/>
                <w:kern w:val="0"/>
                <w:sz w:val="22"/>
                <w:szCs w:val="22"/>
                <w:highlight w:val="none"/>
              </w:rPr>
              <w:t>项目实施是否符合相关管理规定，用以反映和考核相关管理制度的有效执行情况。</w:t>
            </w:r>
          </w:p>
        </w:tc>
        <w:tc>
          <w:tcPr>
            <w:tcW w:w="5191" w:type="dxa"/>
            <w:shd w:val="clear" w:color="000000" w:fill="FFFFFF"/>
            <w:vAlign w:val="center"/>
          </w:tcPr>
          <w:p>
            <w:pPr>
              <w:widowControl/>
              <w:spacing w:line="0" w:lineRule="atLeast"/>
              <w:rPr>
                <w:color w:val="auto"/>
                <w:kern w:val="0"/>
                <w:sz w:val="22"/>
                <w:szCs w:val="22"/>
                <w:highlight w:val="none"/>
              </w:rPr>
            </w:pPr>
            <w:r>
              <w:rPr>
                <w:color w:val="auto"/>
                <w:kern w:val="0"/>
                <w:sz w:val="22"/>
                <w:szCs w:val="22"/>
                <w:highlight w:val="none"/>
              </w:rPr>
              <w:t>评价要点：</w:t>
            </w:r>
            <w:r>
              <w:rPr>
                <w:color w:val="auto"/>
                <w:kern w:val="0"/>
                <w:sz w:val="22"/>
                <w:szCs w:val="22"/>
                <w:highlight w:val="none"/>
              </w:rPr>
              <w:br w:type="textWrapping"/>
            </w:r>
            <w:r>
              <w:rPr>
                <w:color w:val="auto"/>
                <w:kern w:val="0"/>
                <w:sz w:val="22"/>
                <w:szCs w:val="22"/>
                <w:highlight w:val="none"/>
              </w:rPr>
              <w:t>①是否遵守相关法律法规和相关管理规定；</w:t>
            </w:r>
            <w:r>
              <w:rPr>
                <w:color w:val="auto"/>
                <w:kern w:val="0"/>
                <w:sz w:val="22"/>
                <w:szCs w:val="22"/>
                <w:highlight w:val="none"/>
              </w:rPr>
              <w:br w:type="textWrapping"/>
            </w:r>
            <w:r>
              <w:rPr>
                <w:color w:val="auto"/>
                <w:kern w:val="0"/>
                <w:sz w:val="22"/>
                <w:szCs w:val="22"/>
                <w:highlight w:val="none"/>
              </w:rPr>
              <w:t>②项目调整及支出调整手续是否完备；</w:t>
            </w:r>
            <w:r>
              <w:rPr>
                <w:color w:val="auto"/>
                <w:kern w:val="0"/>
                <w:sz w:val="22"/>
                <w:szCs w:val="22"/>
                <w:highlight w:val="none"/>
              </w:rPr>
              <w:br w:type="textWrapping"/>
            </w:r>
            <w:r>
              <w:rPr>
                <w:color w:val="auto"/>
                <w:kern w:val="0"/>
                <w:sz w:val="22"/>
                <w:szCs w:val="22"/>
                <w:highlight w:val="none"/>
              </w:rPr>
              <w:t>③项目合同书、验收报告、技术鉴定等资料是否齐全并及时归档；</w:t>
            </w:r>
            <w:r>
              <w:rPr>
                <w:color w:val="auto"/>
                <w:kern w:val="0"/>
                <w:sz w:val="22"/>
                <w:szCs w:val="22"/>
                <w:highlight w:val="none"/>
              </w:rPr>
              <w:br w:type="textWrapping"/>
            </w:r>
            <w:r>
              <w:rPr>
                <w:color w:val="auto"/>
                <w:kern w:val="0"/>
                <w:sz w:val="22"/>
                <w:szCs w:val="22"/>
                <w:highlight w:val="none"/>
              </w:rPr>
              <w:t>④项目实施的人员条件、场地设备、信息支撑等是否落实到位。</w:t>
            </w:r>
          </w:p>
        </w:tc>
        <w:tc>
          <w:tcPr>
            <w:tcW w:w="1300" w:type="dxa"/>
            <w:shd w:val="clear" w:color="000000" w:fill="FFFFFF"/>
            <w:vAlign w:val="center"/>
          </w:tcPr>
          <w:p>
            <w:pPr>
              <w:widowControl/>
              <w:spacing w:line="0" w:lineRule="atLeast"/>
              <w:jc w:val="center"/>
              <w:rPr>
                <w:b/>
                <w:bCs/>
                <w:color w:val="auto"/>
                <w:kern w:val="0"/>
                <w:sz w:val="22"/>
                <w:szCs w:val="22"/>
                <w:highlight w:val="none"/>
              </w:rPr>
            </w:pPr>
            <w:r>
              <w:rPr>
                <w:rFonts w:hint="eastAsia"/>
                <w:b/>
                <w:bCs/>
                <w:color w:val="auto"/>
                <w:kern w:val="0"/>
                <w:sz w:val="22"/>
                <w:szCs w:val="22"/>
                <w:highlight w:val="none"/>
              </w:rPr>
              <w:t>4</w:t>
            </w:r>
          </w:p>
        </w:tc>
        <w:tc>
          <w:tcPr>
            <w:tcW w:w="1363" w:type="dxa"/>
            <w:shd w:val="clear" w:color="000000" w:fill="FFFFFF"/>
            <w:vAlign w:val="center"/>
          </w:tcPr>
          <w:p>
            <w:pPr>
              <w:widowControl/>
              <w:spacing w:line="0" w:lineRule="atLeast"/>
              <w:jc w:val="center"/>
              <w:rPr>
                <w:rFonts w:hint="default" w:ascii="Times New Roman" w:hAnsi="Times New Roman" w:eastAsia="宋体" w:cs="Times New Roman"/>
                <w:color w:val="auto"/>
                <w:kern w:val="0"/>
                <w:sz w:val="22"/>
                <w:szCs w:val="22"/>
                <w:highlight w:val="none"/>
                <w:lang w:eastAsia="zh-CN" w:bidi="ar-SA"/>
              </w:rPr>
            </w:pPr>
            <w:r>
              <w:rPr>
                <w:rFonts w:hint="default"/>
                <w:color w:val="auto"/>
                <w:kern w:val="0"/>
                <w:sz w:val="22"/>
                <w:szCs w:val="22"/>
                <w:highlight w:val="none"/>
                <w:lang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917" w:hRule="atLeast"/>
          <w:jc w:val="center"/>
        </w:trPr>
        <w:tc>
          <w:tcPr>
            <w:tcW w:w="837" w:type="dxa"/>
            <w:shd w:val="clear" w:color="auto" w:fill="FFFFFF"/>
            <w:vAlign w:val="center"/>
          </w:tcPr>
          <w:p>
            <w:pPr>
              <w:widowControl/>
              <w:spacing w:line="0" w:lineRule="atLeast"/>
              <w:jc w:val="center"/>
              <w:rPr>
                <w:color w:val="auto"/>
                <w:kern w:val="0"/>
                <w:sz w:val="22"/>
                <w:szCs w:val="22"/>
                <w:highlight w:val="none"/>
              </w:rPr>
            </w:pPr>
            <w:r>
              <w:rPr>
                <w:color w:val="auto"/>
                <w:kern w:val="0"/>
                <w:sz w:val="22"/>
                <w:szCs w:val="22"/>
                <w:highlight w:val="none"/>
              </w:rPr>
              <w:t>产出</w:t>
            </w:r>
          </w:p>
        </w:tc>
        <w:tc>
          <w:tcPr>
            <w:tcW w:w="766" w:type="dxa"/>
            <w:shd w:val="clear" w:color="auto" w:fill="FFFFFF"/>
            <w:vAlign w:val="center"/>
          </w:tcPr>
          <w:p>
            <w:pPr>
              <w:widowControl/>
              <w:spacing w:line="0" w:lineRule="atLeast"/>
              <w:jc w:val="center"/>
              <w:rPr>
                <w:color w:val="auto"/>
                <w:kern w:val="0"/>
                <w:sz w:val="22"/>
                <w:szCs w:val="22"/>
                <w:highlight w:val="none"/>
              </w:rPr>
            </w:pPr>
            <w:r>
              <w:rPr>
                <w:color w:val="auto"/>
                <w:kern w:val="0"/>
                <w:sz w:val="22"/>
                <w:szCs w:val="22"/>
                <w:highlight w:val="none"/>
              </w:rPr>
              <w:t>产出数量</w:t>
            </w:r>
          </w:p>
        </w:tc>
        <w:tc>
          <w:tcPr>
            <w:tcW w:w="873" w:type="dxa"/>
            <w:shd w:val="clear" w:color="auto" w:fill="FFFFFF"/>
            <w:vAlign w:val="center"/>
          </w:tcPr>
          <w:p>
            <w:pPr>
              <w:widowControl/>
              <w:spacing w:line="0" w:lineRule="atLeast"/>
              <w:jc w:val="center"/>
              <w:rPr>
                <w:color w:val="auto"/>
                <w:kern w:val="0"/>
                <w:sz w:val="22"/>
                <w:szCs w:val="22"/>
                <w:highlight w:val="none"/>
              </w:rPr>
            </w:pPr>
            <w:r>
              <w:rPr>
                <w:color w:val="auto"/>
                <w:kern w:val="0"/>
                <w:sz w:val="22"/>
                <w:szCs w:val="22"/>
                <w:highlight w:val="none"/>
              </w:rPr>
              <w:t>实际完成率</w:t>
            </w:r>
          </w:p>
        </w:tc>
        <w:tc>
          <w:tcPr>
            <w:tcW w:w="2353" w:type="dxa"/>
            <w:shd w:val="clear" w:color="000000" w:fill="FFFFFF"/>
            <w:vAlign w:val="center"/>
          </w:tcPr>
          <w:p>
            <w:pPr>
              <w:widowControl/>
              <w:spacing w:line="0" w:lineRule="atLeast"/>
              <w:rPr>
                <w:color w:val="auto"/>
                <w:kern w:val="0"/>
                <w:sz w:val="22"/>
                <w:szCs w:val="22"/>
                <w:highlight w:val="none"/>
              </w:rPr>
            </w:pPr>
            <w:r>
              <w:rPr>
                <w:color w:val="auto"/>
                <w:kern w:val="0"/>
                <w:sz w:val="22"/>
                <w:szCs w:val="22"/>
                <w:highlight w:val="none"/>
              </w:rPr>
              <w:t>项目实施的实际产出数与计划产出数的比率，用以反映和考核项目产出数量目标的实现程度。</w:t>
            </w:r>
          </w:p>
        </w:tc>
        <w:tc>
          <w:tcPr>
            <w:tcW w:w="5191" w:type="dxa"/>
            <w:shd w:val="clear" w:color="000000" w:fill="FFFFFF"/>
            <w:vAlign w:val="center"/>
          </w:tcPr>
          <w:p>
            <w:pPr>
              <w:widowControl/>
              <w:spacing w:line="0" w:lineRule="atLeast"/>
              <w:rPr>
                <w:color w:val="auto"/>
                <w:kern w:val="0"/>
                <w:sz w:val="22"/>
                <w:szCs w:val="22"/>
                <w:highlight w:val="none"/>
              </w:rPr>
            </w:pPr>
            <w:r>
              <w:rPr>
                <w:color w:val="auto"/>
                <w:kern w:val="0"/>
                <w:sz w:val="22"/>
                <w:szCs w:val="22"/>
                <w:highlight w:val="none"/>
              </w:rPr>
              <w:t>实际完成率=（实际产出数/计划产出数）×100%。</w:t>
            </w:r>
            <w:r>
              <w:rPr>
                <w:color w:val="auto"/>
                <w:kern w:val="0"/>
                <w:sz w:val="22"/>
                <w:szCs w:val="22"/>
                <w:highlight w:val="none"/>
              </w:rPr>
              <w:br w:type="textWrapping"/>
            </w:r>
            <w:r>
              <w:rPr>
                <w:color w:val="auto"/>
                <w:kern w:val="0"/>
                <w:sz w:val="22"/>
                <w:szCs w:val="22"/>
                <w:highlight w:val="none"/>
              </w:rPr>
              <w:t>实际产出数：一定时期（本年度或项目期）内项目实际产出的产品或提供的服务数量。</w:t>
            </w:r>
            <w:r>
              <w:rPr>
                <w:color w:val="auto"/>
                <w:kern w:val="0"/>
                <w:sz w:val="22"/>
                <w:szCs w:val="22"/>
                <w:highlight w:val="none"/>
              </w:rPr>
              <w:br w:type="textWrapping"/>
            </w:r>
            <w:r>
              <w:rPr>
                <w:color w:val="auto"/>
                <w:kern w:val="0"/>
                <w:sz w:val="22"/>
                <w:szCs w:val="22"/>
                <w:highlight w:val="none"/>
              </w:rPr>
              <w:t>计划产出数：项目绩效目标确定的在一定时期（本年度或项目期）内计划产出的产品或提供的服务数量。</w:t>
            </w:r>
          </w:p>
        </w:tc>
        <w:tc>
          <w:tcPr>
            <w:tcW w:w="1300" w:type="dxa"/>
            <w:shd w:val="clear" w:color="000000" w:fill="FFFFFF"/>
            <w:vAlign w:val="center"/>
          </w:tcPr>
          <w:p>
            <w:pPr>
              <w:widowControl/>
              <w:spacing w:line="0" w:lineRule="atLeast"/>
              <w:jc w:val="center"/>
              <w:rPr>
                <w:b/>
                <w:bCs/>
                <w:color w:val="auto"/>
                <w:kern w:val="0"/>
                <w:sz w:val="22"/>
                <w:szCs w:val="22"/>
                <w:highlight w:val="none"/>
              </w:rPr>
            </w:pPr>
            <w:r>
              <w:rPr>
                <w:b/>
                <w:bCs/>
                <w:color w:val="auto"/>
                <w:kern w:val="0"/>
                <w:sz w:val="22"/>
                <w:szCs w:val="22"/>
                <w:highlight w:val="none"/>
              </w:rPr>
              <w:t>1</w:t>
            </w:r>
            <w:r>
              <w:rPr>
                <w:rFonts w:hint="eastAsia"/>
                <w:b/>
                <w:bCs/>
                <w:color w:val="auto"/>
                <w:kern w:val="0"/>
                <w:sz w:val="22"/>
                <w:szCs w:val="22"/>
                <w:highlight w:val="none"/>
              </w:rPr>
              <w:t>0</w:t>
            </w:r>
          </w:p>
        </w:tc>
        <w:tc>
          <w:tcPr>
            <w:tcW w:w="1363" w:type="dxa"/>
            <w:shd w:val="clear" w:color="000000" w:fill="FFFFFF"/>
            <w:vAlign w:val="center"/>
          </w:tcPr>
          <w:p>
            <w:pPr>
              <w:widowControl/>
              <w:spacing w:line="0" w:lineRule="atLeast"/>
              <w:jc w:val="center"/>
              <w:rPr>
                <w:rFonts w:hint="default" w:ascii="Times New Roman" w:hAnsi="Times New Roman" w:eastAsia="宋体" w:cs="Times New Roman"/>
                <w:color w:val="auto"/>
                <w:kern w:val="0"/>
                <w:sz w:val="22"/>
                <w:szCs w:val="22"/>
                <w:highlight w:val="none"/>
                <w:lang w:val="en-US" w:eastAsia="zh-CN" w:bidi="ar-SA"/>
              </w:rPr>
            </w:pPr>
            <w:r>
              <w:rPr>
                <w:rFonts w:hint="eastAsia"/>
                <w:color w:val="auto"/>
                <w:kern w:val="0"/>
                <w:sz w:val="22"/>
                <w:szCs w:val="22"/>
                <w:highlight w:val="none"/>
                <w:lang w:val="en-US" w:eastAsia="zh-CN"/>
              </w:rPr>
              <w:t>9.</w:t>
            </w:r>
            <w:r>
              <w:rPr>
                <w:rFonts w:hint="default"/>
                <w:color w:val="auto"/>
                <w:kern w:val="0"/>
                <w:sz w:val="22"/>
                <w:szCs w:val="22"/>
                <w:highlight w:val="none"/>
                <w:lang w:eastAsia="zh-CN"/>
              </w:rPr>
              <w:t>97</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718" w:hRule="atLeast"/>
          <w:jc w:val="center"/>
        </w:trPr>
        <w:tc>
          <w:tcPr>
            <w:tcW w:w="837" w:type="dxa"/>
            <w:vMerge w:val="restart"/>
            <w:shd w:val="clear" w:color="auto" w:fill="FFFFFF"/>
            <w:vAlign w:val="center"/>
          </w:tcPr>
          <w:p>
            <w:pPr>
              <w:widowControl/>
              <w:spacing w:line="0" w:lineRule="atLeast"/>
              <w:jc w:val="center"/>
              <w:rPr>
                <w:color w:val="auto"/>
                <w:kern w:val="0"/>
                <w:sz w:val="22"/>
                <w:szCs w:val="22"/>
                <w:highlight w:val="none"/>
              </w:rPr>
            </w:pPr>
            <w:r>
              <w:rPr>
                <w:color w:val="auto"/>
                <w:kern w:val="0"/>
                <w:sz w:val="22"/>
                <w:szCs w:val="22"/>
                <w:highlight w:val="none"/>
              </w:rPr>
              <w:t>产出</w:t>
            </w:r>
          </w:p>
        </w:tc>
        <w:tc>
          <w:tcPr>
            <w:tcW w:w="766" w:type="dxa"/>
            <w:shd w:val="clear" w:color="auto" w:fill="FFFFFF"/>
            <w:vAlign w:val="center"/>
          </w:tcPr>
          <w:p>
            <w:pPr>
              <w:widowControl/>
              <w:spacing w:line="0" w:lineRule="atLeast"/>
              <w:jc w:val="center"/>
              <w:rPr>
                <w:color w:val="auto"/>
                <w:kern w:val="0"/>
                <w:sz w:val="22"/>
                <w:szCs w:val="22"/>
                <w:highlight w:val="none"/>
              </w:rPr>
            </w:pPr>
            <w:r>
              <w:rPr>
                <w:color w:val="auto"/>
                <w:kern w:val="0"/>
                <w:sz w:val="22"/>
                <w:szCs w:val="22"/>
                <w:highlight w:val="none"/>
              </w:rPr>
              <w:t>产出质量</w:t>
            </w:r>
          </w:p>
        </w:tc>
        <w:tc>
          <w:tcPr>
            <w:tcW w:w="873" w:type="dxa"/>
            <w:shd w:val="clear" w:color="auto" w:fill="FFFFFF"/>
            <w:vAlign w:val="center"/>
          </w:tcPr>
          <w:p>
            <w:pPr>
              <w:widowControl/>
              <w:spacing w:line="0" w:lineRule="atLeast"/>
              <w:jc w:val="center"/>
              <w:rPr>
                <w:color w:val="auto"/>
                <w:kern w:val="0"/>
                <w:sz w:val="22"/>
                <w:szCs w:val="22"/>
                <w:highlight w:val="none"/>
              </w:rPr>
            </w:pPr>
            <w:r>
              <w:rPr>
                <w:color w:val="auto"/>
                <w:kern w:val="0"/>
                <w:sz w:val="22"/>
                <w:szCs w:val="22"/>
                <w:highlight w:val="none"/>
              </w:rPr>
              <w:t>质量达标率</w:t>
            </w:r>
          </w:p>
        </w:tc>
        <w:tc>
          <w:tcPr>
            <w:tcW w:w="2353" w:type="dxa"/>
            <w:shd w:val="clear" w:color="000000" w:fill="FFFFFF"/>
            <w:vAlign w:val="center"/>
          </w:tcPr>
          <w:p>
            <w:pPr>
              <w:widowControl/>
              <w:spacing w:line="0" w:lineRule="atLeast"/>
              <w:rPr>
                <w:color w:val="auto"/>
                <w:kern w:val="0"/>
                <w:sz w:val="22"/>
                <w:szCs w:val="22"/>
                <w:highlight w:val="none"/>
              </w:rPr>
            </w:pPr>
            <w:r>
              <w:rPr>
                <w:color w:val="auto"/>
                <w:kern w:val="0"/>
                <w:sz w:val="22"/>
                <w:szCs w:val="22"/>
                <w:highlight w:val="none"/>
              </w:rPr>
              <w:t>项目完成的质量达标产出数与实际产出数的比率，用以反映和考核项目产出质量目标的实现程度。</w:t>
            </w:r>
          </w:p>
        </w:tc>
        <w:tc>
          <w:tcPr>
            <w:tcW w:w="5191" w:type="dxa"/>
            <w:shd w:val="clear" w:color="000000" w:fill="FFFFFF"/>
            <w:vAlign w:val="center"/>
          </w:tcPr>
          <w:p>
            <w:pPr>
              <w:widowControl/>
              <w:spacing w:line="0" w:lineRule="atLeast"/>
              <w:rPr>
                <w:color w:val="auto"/>
                <w:kern w:val="0"/>
                <w:sz w:val="22"/>
                <w:szCs w:val="22"/>
                <w:highlight w:val="none"/>
              </w:rPr>
            </w:pPr>
            <w:r>
              <w:rPr>
                <w:color w:val="auto"/>
                <w:kern w:val="0"/>
                <w:sz w:val="22"/>
                <w:szCs w:val="22"/>
                <w:highlight w:val="none"/>
              </w:rPr>
              <w:t>质量达标率=（质量达标产出数/实际产出数）×100%。</w:t>
            </w:r>
          </w:p>
          <w:p>
            <w:pPr>
              <w:widowControl/>
              <w:spacing w:line="0" w:lineRule="atLeast"/>
              <w:rPr>
                <w:color w:val="auto"/>
                <w:kern w:val="0"/>
                <w:sz w:val="22"/>
                <w:szCs w:val="22"/>
                <w:highlight w:val="none"/>
              </w:rPr>
            </w:pPr>
            <w:r>
              <w:rPr>
                <w:color w:val="auto"/>
                <w:kern w:val="0"/>
                <w:sz w:val="22"/>
                <w:szCs w:val="22"/>
                <w:highlight w:val="none"/>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1300" w:type="dxa"/>
            <w:shd w:val="clear" w:color="000000" w:fill="FFFFFF"/>
            <w:vAlign w:val="center"/>
          </w:tcPr>
          <w:p>
            <w:pPr>
              <w:widowControl/>
              <w:spacing w:line="0" w:lineRule="atLeast"/>
              <w:jc w:val="center"/>
              <w:rPr>
                <w:b/>
                <w:bCs/>
                <w:color w:val="auto"/>
                <w:kern w:val="0"/>
                <w:sz w:val="22"/>
                <w:szCs w:val="22"/>
                <w:highlight w:val="none"/>
              </w:rPr>
            </w:pPr>
            <w:r>
              <w:rPr>
                <w:b/>
                <w:bCs/>
                <w:color w:val="auto"/>
                <w:kern w:val="0"/>
                <w:sz w:val="22"/>
                <w:szCs w:val="22"/>
                <w:highlight w:val="none"/>
              </w:rPr>
              <w:t>10</w:t>
            </w:r>
          </w:p>
        </w:tc>
        <w:tc>
          <w:tcPr>
            <w:tcW w:w="1363" w:type="dxa"/>
            <w:shd w:val="clear" w:color="000000" w:fill="FFFFFF"/>
            <w:vAlign w:val="center"/>
          </w:tcPr>
          <w:p>
            <w:pPr>
              <w:widowControl/>
              <w:spacing w:line="0" w:lineRule="atLeast"/>
              <w:jc w:val="center"/>
              <w:rPr>
                <w:rFonts w:hint="default" w:ascii="Times New Roman" w:hAnsi="Times New Roman" w:eastAsia="宋体" w:cs="Times New Roman"/>
                <w:color w:val="auto"/>
                <w:kern w:val="0"/>
                <w:sz w:val="22"/>
                <w:szCs w:val="22"/>
                <w:highlight w:val="none"/>
                <w:lang w:val="en-US" w:eastAsia="zh-CN" w:bidi="ar-SA"/>
              </w:rPr>
            </w:pPr>
            <w:r>
              <w:rPr>
                <w:rFonts w:hint="eastAsia"/>
                <w:color w:val="auto"/>
                <w:kern w:val="0"/>
                <w:sz w:val="22"/>
                <w:szCs w:val="22"/>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506" w:hRule="atLeast"/>
          <w:jc w:val="center"/>
        </w:trPr>
        <w:tc>
          <w:tcPr>
            <w:tcW w:w="837" w:type="dxa"/>
            <w:vMerge w:val="continue"/>
            <w:shd w:val="clear" w:color="auto" w:fill="FFFFFF"/>
            <w:vAlign w:val="center"/>
          </w:tcPr>
          <w:p>
            <w:pPr>
              <w:spacing w:line="0" w:lineRule="atLeast"/>
              <w:jc w:val="center"/>
              <w:rPr>
                <w:color w:val="auto"/>
                <w:kern w:val="0"/>
                <w:sz w:val="22"/>
                <w:szCs w:val="22"/>
                <w:highlight w:val="none"/>
              </w:rPr>
            </w:pPr>
          </w:p>
        </w:tc>
        <w:tc>
          <w:tcPr>
            <w:tcW w:w="766" w:type="dxa"/>
            <w:shd w:val="clear" w:color="auto" w:fill="FFFFFF"/>
            <w:vAlign w:val="center"/>
          </w:tcPr>
          <w:p>
            <w:pPr>
              <w:spacing w:line="0" w:lineRule="atLeast"/>
              <w:jc w:val="center"/>
              <w:rPr>
                <w:color w:val="auto"/>
                <w:kern w:val="0"/>
                <w:sz w:val="22"/>
                <w:szCs w:val="22"/>
                <w:highlight w:val="none"/>
              </w:rPr>
            </w:pPr>
            <w:r>
              <w:rPr>
                <w:color w:val="auto"/>
                <w:kern w:val="0"/>
                <w:sz w:val="22"/>
                <w:szCs w:val="22"/>
                <w:highlight w:val="none"/>
              </w:rPr>
              <w:t>产出时效</w:t>
            </w:r>
          </w:p>
        </w:tc>
        <w:tc>
          <w:tcPr>
            <w:tcW w:w="873" w:type="dxa"/>
            <w:shd w:val="clear" w:color="auto" w:fill="FFFFFF"/>
            <w:vAlign w:val="center"/>
          </w:tcPr>
          <w:p>
            <w:pPr>
              <w:widowControl/>
              <w:spacing w:line="0" w:lineRule="atLeast"/>
              <w:jc w:val="center"/>
              <w:rPr>
                <w:color w:val="auto"/>
                <w:kern w:val="0"/>
                <w:sz w:val="22"/>
                <w:szCs w:val="22"/>
                <w:highlight w:val="none"/>
              </w:rPr>
            </w:pPr>
            <w:r>
              <w:rPr>
                <w:color w:val="auto"/>
                <w:kern w:val="0"/>
                <w:sz w:val="22"/>
                <w:szCs w:val="22"/>
                <w:highlight w:val="none"/>
              </w:rPr>
              <w:t>完成及时性</w:t>
            </w:r>
          </w:p>
        </w:tc>
        <w:tc>
          <w:tcPr>
            <w:tcW w:w="2353" w:type="dxa"/>
            <w:shd w:val="clear" w:color="000000" w:fill="FFFFFF"/>
            <w:vAlign w:val="center"/>
          </w:tcPr>
          <w:p>
            <w:pPr>
              <w:widowControl/>
              <w:spacing w:line="0" w:lineRule="atLeast"/>
              <w:rPr>
                <w:color w:val="auto"/>
                <w:kern w:val="0"/>
                <w:sz w:val="22"/>
                <w:szCs w:val="22"/>
                <w:highlight w:val="none"/>
              </w:rPr>
            </w:pPr>
            <w:r>
              <w:rPr>
                <w:color w:val="auto"/>
                <w:kern w:val="0"/>
                <w:sz w:val="22"/>
                <w:szCs w:val="22"/>
                <w:highlight w:val="none"/>
              </w:rPr>
              <w:t>项目实际完成时间与计划完成时间的比较，用以反映和考核项目产出时效目标的实现程度。</w:t>
            </w:r>
          </w:p>
        </w:tc>
        <w:tc>
          <w:tcPr>
            <w:tcW w:w="5191" w:type="dxa"/>
            <w:shd w:val="clear" w:color="000000" w:fill="FFFFFF"/>
            <w:vAlign w:val="center"/>
          </w:tcPr>
          <w:p>
            <w:pPr>
              <w:widowControl/>
              <w:spacing w:line="0" w:lineRule="atLeast"/>
              <w:rPr>
                <w:color w:val="auto"/>
                <w:kern w:val="0"/>
                <w:sz w:val="22"/>
                <w:szCs w:val="22"/>
                <w:highlight w:val="none"/>
              </w:rPr>
            </w:pPr>
            <w:r>
              <w:rPr>
                <w:color w:val="auto"/>
                <w:kern w:val="0"/>
                <w:sz w:val="22"/>
                <w:szCs w:val="22"/>
                <w:highlight w:val="none"/>
              </w:rPr>
              <w:t>实际完成时间：项目实施单位完成该项目实际所耗用的时间。</w:t>
            </w:r>
            <w:r>
              <w:rPr>
                <w:color w:val="auto"/>
                <w:kern w:val="0"/>
                <w:sz w:val="22"/>
                <w:szCs w:val="22"/>
                <w:highlight w:val="none"/>
              </w:rPr>
              <w:br w:type="textWrapping"/>
            </w:r>
            <w:r>
              <w:rPr>
                <w:color w:val="auto"/>
                <w:kern w:val="0"/>
                <w:sz w:val="22"/>
                <w:szCs w:val="22"/>
                <w:highlight w:val="none"/>
              </w:rPr>
              <w:t>计划完成时间：按照项目实施计划或相关规定完成该项目所需的时间。</w:t>
            </w:r>
          </w:p>
        </w:tc>
        <w:tc>
          <w:tcPr>
            <w:tcW w:w="1300" w:type="dxa"/>
            <w:shd w:val="clear" w:color="000000" w:fill="FFFFFF"/>
            <w:vAlign w:val="center"/>
          </w:tcPr>
          <w:p>
            <w:pPr>
              <w:widowControl/>
              <w:spacing w:line="0" w:lineRule="atLeast"/>
              <w:jc w:val="center"/>
              <w:rPr>
                <w:b/>
                <w:bCs/>
                <w:color w:val="auto"/>
                <w:kern w:val="0"/>
                <w:sz w:val="22"/>
                <w:szCs w:val="22"/>
                <w:highlight w:val="none"/>
              </w:rPr>
            </w:pPr>
            <w:r>
              <w:rPr>
                <w:b/>
                <w:bCs/>
                <w:color w:val="auto"/>
                <w:kern w:val="0"/>
                <w:sz w:val="22"/>
                <w:szCs w:val="22"/>
                <w:highlight w:val="none"/>
              </w:rPr>
              <w:t>1</w:t>
            </w:r>
            <w:r>
              <w:rPr>
                <w:rFonts w:hint="eastAsia"/>
                <w:b/>
                <w:bCs/>
                <w:color w:val="auto"/>
                <w:kern w:val="0"/>
                <w:sz w:val="22"/>
                <w:szCs w:val="22"/>
                <w:highlight w:val="none"/>
              </w:rPr>
              <w:t>0</w:t>
            </w:r>
          </w:p>
        </w:tc>
        <w:tc>
          <w:tcPr>
            <w:tcW w:w="1363" w:type="dxa"/>
            <w:shd w:val="clear" w:color="000000" w:fill="FFFFFF"/>
            <w:vAlign w:val="center"/>
          </w:tcPr>
          <w:p>
            <w:pPr>
              <w:widowControl/>
              <w:spacing w:line="0" w:lineRule="atLeast"/>
              <w:jc w:val="center"/>
              <w:rPr>
                <w:rFonts w:hint="default" w:ascii="Times New Roman" w:hAnsi="Times New Roman" w:eastAsia="宋体" w:cs="Times New Roman"/>
                <w:color w:val="auto"/>
                <w:kern w:val="0"/>
                <w:sz w:val="22"/>
                <w:szCs w:val="22"/>
                <w:highlight w:val="none"/>
                <w:lang w:val="en-US" w:eastAsia="zh-CN" w:bidi="ar-SA"/>
              </w:rPr>
            </w:pPr>
            <w:r>
              <w:rPr>
                <w:rFonts w:hint="eastAsia"/>
                <w:color w:val="auto"/>
                <w:kern w:val="0"/>
                <w:sz w:val="22"/>
                <w:szCs w:val="22"/>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2076" w:hRule="atLeast"/>
          <w:jc w:val="center"/>
        </w:trPr>
        <w:tc>
          <w:tcPr>
            <w:tcW w:w="837" w:type="dxa"/>
            <w:vMerge w:val="continue"/>
            <w:shd w:val="clear" w:color="auto" w:fill="FFFFFF"/>
            <w:vAlign w:val="center"/>
          </w:tcPr>
          <w:p>
            <w:pPr>
              <w:widowControl/>
              <w:spacing w:line="0" w:lineRule="atLeast"/>
              <w:jc w:val="center"/>
              <w:rPr>
                <w:color w:val="auto"/>
                <w:kern w:val="0"/>
                <w:sz w:val="22"/>
                <w:szCs w:val="22"/>
                <w:highlight w:val="none"/>
              </w:rPr>
            </w:pPr>
          </w:p>
        </w:tc>
        <w:tc>
          <w:tcPr>
            <w:tcW w:w="766" w:type="dxa"/>
            <w:shd w:val="clear" w:color="auto" w:fill="FFFFFF"/>
            <w:vAlign w:val="center"/>
          </w:tcPr>
          <w:p>
            <w:pPr>
              <w:widowControl/>
              <w:spacing w:line="0" w:lineRule="atLeast"/>
              <w:jc w:val="center"/>
              <w:rPr>
                <w:color w:val="auto"/>
                <w:kern w:val="0"/>
                <w:sz w:val="22"/>
                <w:szCs w:val="22"/>
                <w:highlight w:val="none"/>
              </w:rPr>
            </w:pPr>
            <w:r>
              <w:rPr>
                <w:color w:val="auto"/>
                <w:kern w:val="0"/>
                <w:sz w:val="22"/>
                <w:szCs w:val="22"/>
                <w:highlight w:val="none"/>
              </w:rPr>
              <w:t>产出成本</w:t>
            </w:r>
          </w:p>
        </w:tc>
        <w:tc>
          <w:tcPr>
            <w:tcW w:w="873" w:type="dxa"/>
            <w:shd w:val="clear" w:color="auto" w:fill="FFFFFF"/>
            <w:vAlign w:val="center"/>
          </w:tcPr>
          <w:p>
            <w:pPr>
              <w:widowControl/>
              <w:spacing w:line="0" w:lineRule="atLeast"/>
              <w:jc w:val="center"/>
              <w:rPr>
                <w:color w:val="auto"/>
                <w:kern w:val="0"/>
                <w:sz w:val="22"/>
                <w:szCs w:val="22"/>
                <w:highlight w:val="none"/>
              </w:rPr>
            </w:pPr>
            <w:r>
              <w:rPr>
                <w:color w:val="auto"/>
                <w:kern w:val="0"/>
                <w:sz w:val="22"/>
                <w:szCs w:val="22"/>
                <w:highlight w:val="none"/>
              </w:rPr>
              <w:t>成本节约率</w:t>
            </w:r>
          </w:p>
        </w:tc>
        <w:tc>
          <w:tcPr>
            <w:tcW w:w="2353" w:type="dxa"/>
            <w:shd w:val="clear" w:color="000000" w:fill="FFFFFF"/>
            <w:vAlign w:val="center"/>
          </w:tcPr>
          <w:p>
            <w:pPr>
              <w:widowControl/>
              <w:spacing w:line="0" w:lineRule="atLeast"/>
              <w:rPr>
                <w:color w:val="auto"/>
                <w:kern w:val="0"/>
                <w:sz w:val="22"/>
                <w:szCs w:val="22"/>
                <w:highlight w:val="none"/>
              </w:rPr>
            </w:pPr>
            <w:r>
              <w:rPr>
                <w:color w:val="auto"/>
                <w:kern w:val="0"/>
                <w:sz w:val="22"/>
                <w:szCs w:val="22"/>
                <w:highlight w:val="none"/>
              </w:rPr>
              <w:t>完成项目计划工作目标的实际节约成本与计划成本的比率，用以反映和考核项目的成本节约程度。</w:t>
            </w:r>
          </w:p>
        </w:tc>
        <w:tc>
          <w:tcPr>
            <w:tcW w:w="5191" w:type="dxa"/>
            <w:shd w:val="clear" w:color="000000" w:fill="FFFFFF"/>
            <w:vAlign w:val="center"/>
          </w:tcPr>
          <w:p>
            <w:pPr>
              <w:widowControl/>
              <w:spacing w:line="0" w:lineRule="atLeast"/>
              <w:rPr>
                <w:color w:val="auto"/>
                <w:kern w:val="0"/>
                <w:sz w:val="22"/>
                <w:szCs w:val="22"/>
                <w:highlight w:val="none"/>
              </w:rPr>
            </w:pPr>
            <w:r>
              <w:rPr>
                <w:color w:val="auto"/>
                <w:kern w:val="0"/>
                <w:sz w:val="22"/>
                <w:szCs w:val="22"/>
                <w:highlight w:val="none"/>
              </w:rPr>
              <w:br w:type="textWrapping"/>
            </w:r>
            <w:r>
              <w:rPr>
                <w:color w:val="auto"/>
                <w:kern w:val="0"/>
                <w:sz w:val="22"/>
                <w:szCs w:val="22"/>
                <w:highlight w:val="none"/>
              </w:rPr>
              <w:t>成本节约率=[（计划成本-实际成本）/计划成本]×100%。</w:t>
            </w:r>
            <w:r>
              <w:rPr>
                <w:color w:val="auto"/>
                <w:kern w:val="0"/>
                <w:sz w:val="22"/>
                <w:szCs w:val="22"/>
                <w:highlight w:val="none"/>
              </w:rPr>
              <w:br w:type="textWrapping"/>
            </w:r>
            <w:r>
              <w:rPr>
                <w:color w:val="auto"/>
                <w:kern w:val="0"/>
                <w:sz w:val="22"/>
                <w:szCs w:val="22"/>
                <w:highlight w:val="none"/>
              </w:rPr>
              <w:t>实际成本：项目实施单位如期、保质、保量完成既定工作目标实际所耗费的支出。</w:t>
            </w:r>
            <w:r>
              <w:rPr>
                <w:color w:val="auto"/>
                <w:kern w:val="0"/>
                <w:sz w:val="22"/>
                <w:szCs w:val="22"/>
                <w:highlight w:val="none"/>
              </w:rPr>
              <w:br w:type="textWrapping"/>
            </w:r>
            <w:r>
              <w:rPr>
                <w:color w:val="auto"/>
                <w:kern w:val="0"/>
                <w:sz w:val="22"/>
                <w:szCs w:val="22"/>
                <w:highlight w:val="none"/>
              </w:rPr>
              <w:t>计划成本：项目实施单位为完成工作目标计划安排的支出，一般以项目预算为参考。</w:t>
            </w:r>
          </w:p>
        </w:tc>
        <w:tc>
          <w:tcPr>
            <w:tcW w:w="1300" w:type="dxa"/>
            <w:shd w:val="clear" w:color="000000" w:fill="FFFFFF"/>
            <w:vAlign w:val="center"/>
          </w:tcPr>
          <w:p>
            <w:pPr>
              <w:widowControl/>
              <w:spacing w:line="0" w:lineRule="atLeast"/>
              <w:jc w:val="center"/>
              <w:rPr>
                <w:b/>
                <w:bCs/>
                <w:color w:val="auto"/>
                <w:kern w:val="0"/>
                <w:sz w:val="22"/>
                <w:szCs w:val="22"/>
                <w:highlight w:val="none"/>
              </w:rPr>
            </w:pPr>
            <w:r>
              <w:rPr>
                <w:b/>
                <w:bCs/>
                <w:color w:val="auto"/>
                <w:kern w:val="0"/>
                <w:sz w:val="22"/>
                <w:szCs w:val="22"/>
                <w:highlight w:val="none"/>
              </w:rPr>
              <w:t>10</w:t>
            </w:r>
          </w:p>
        </w:tc>
        <w:tc>
          <w:tcPr>
            <w:tcW w:w="1363" w:type="dxa"/>
            <w:shd w:val="clear" w:color="000000" w:fill="FFFFFF"/>
            <w:vAlign w:val="center"/>
          </w:tcPr>
          <w:p>
            <w:pPr>
              <w:widowControl/>
              <w:spacing w:line="0" w:lineRule="atLeast"/>
              <w:jc w:val="center"/>
              <w:rPr>
                <w:rFonts w:hint="default" w:ascii="Times New Roman" w:hAnsi="Times New Roman" w:eastAsia="宋体" w:cs="Times New Roman"/>
                <w:color w:val="auto"/>
                <w:kern w:val="0"/>
                <w:sz w:val="22"/>
                <w:szCs w:val="22"/>
                <w:highlight w:val="none"/>
                <w:lang w:val="en-US" w:eastAsia="zh-CN" w:bidi="ar-SA"/>
              </w:rPr>
            </w:pPr>
            <w:r>
              <w:rPr>
                <w:rFonts w:hint="eastAsia"/>
                <w:color w:val="auto"/>
                <w:kern w:val="0"/>
                <w:sz w:val="22"/>
                <w:szCs w:val="22"/>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889" w:hRule="atLeast"/>
          <w:jc w:val="center"/>
        </w:trPr>
        <w:tc>
          <w:tcPr>
            <w:tcW w:w="837" w:type="dxa"/>
            <w:vMerge w:val="restart"/>
            <w:shd w:val="clear" w:color="auto" w:fill="FFFFFF"/>
            <w:vAlign w:val="center"/>
          </w:tcPr>
          <w:p>
            <w:pPr>
              <w:widowControl/>
              <w:spacing w:line="0" w:lineRule="atLeast"/>
              <w:jc w:val="center"/>
              <w:rPr>
                <w:color w:val="auto"/>
                <w:kern w:val="0"/>
                <w:sz w:val="22"/>
                <w:szCs w:val="22"/>
                <w:highlight w:val="none"/>
              </w:rPr>
            </w:pPr>
            <w:r>
              <w:rPr>
                <w:color w:val="auto"/>
                <w:kern w:val="0"/>
                <w:sz w:val="22"/>
                <w:szCs w:val="22"/>
                <w:highlight w:val="none"/>
              </w:rPr>
              <w:t>效益　</w:t>
            </w:r>
          </w:p>
        </w:tc>
        <w:tc>
          <w:tcPr>
            <w:tcW w:w="766" w:type="dxa"/>
            <w:vMerge w:val="restart"/>
            <w:shd w:val="clear" w:color="auto" w:fill="FFFFFF"/>
            <w:vAlign w:val="center"/>
          </w:tcPr>
          <w:p>
            <w:pPr>
              <w:widowControl/>
              <w:spacing w:line="0" w:lineRule="atLeast"/>
              <w:jc w:val="center"/>
              <w:rPr>
                <w:color w:val="auto"/>
                <w:kern w:val="0"/>
                <w:sz w:val="22"/>
                <w:szCs w:val="22"/>
                <w:highlight w:val="none"/>
              </w:rPr>
            </w:pPr>
            <w:r>
              <w:rPr>
                <w:color w:val="auto"/>
                <w:kern w:val="0"/>
                <w:sz w:val="22"/>
                <w:szCs w:val="22"/>
                <w:highlight w:val="none"/>
              </w:rPr>
              <w:t>项目效益　</w:t>
            </w:r>
          </w:p>
        </w:tc>
        <w:tc>
          <w:tcPr>
            <w:tcW w:w="873" w:type="dxa"/>
            <w:shd w:val="clear" w:color="auto" w:fill="FFFFFF"/>
            <w:vAlign w:val="center"/>
          </w:tcPr>
          <w:p>
            <w:pPr>
              <w:widowControl/>
              <w:spacing w:line="0" w:lineRule="atLeast"/>
              <w:jc w:val="center"/>
              <w:rPr>
                <w:color w:val="auto"/>
                <w:kern w:val="0"/>
                <w:sz w:val="22"/>
                <w:szCs w:val="22"/>
                <w:highlight w:val="none"/>
              </w:rPr>
            </w:pPr>
            <w:r>
              <w:rPr>
                <w:color w:val="auto"/>
                <w:kern w:val="0"/>
                <w:sz w:val="22"/>
                <w:szCs w:val="22"/>
                <w:highlight w:val="none"/>
              </w:rPr>
              <w:t>实施效益</w:t>
            </w:r>
          </w:p>
        </w:tc>
        <w:tc>
          <w:tcPr>
            <w:tcW w:w="2353" w:type="dxa"/>
            <w:shd w:val="clear" w:color="auto" w:fill="FFFFFF"/>
            <w:vAlign w:val="center"/>
          </w:tcPr>
          <w:p>
            <w:pPr>
              <w:widowControl/>
              <w:spacing w:line="0" w:lineRule="atLeast"/>
              <w:jc w:val="left"/>
              <w:rPr>
                <w:color w:val="auto"/>
                <w:kern w:val="0"/>
                <w:sz w:val="22"/>
                <w:szCs w:val="22"/>
                <w:highlight w:val="none"/>
              </w:rPr>
            </w:pPr>
            <w:r>
              <w:rPr>
                <w:color w:val="auto"/>
                <w:kern w:val="0"/>
                <w:sz w:val="22"/>
                <w:szCs w:val="22"/>
                <w:highlight w:val="none"/>
              </w:rPr>
              <w:t>项目实施所产生的效益。</w:t>
            </w:r>
          </w:p>
        </w:tc>
        <w:tc>
          <w:tcPr>
            <w:tcW w:w="5191" w:type="dxa"/>
            <w:shd w:val="clear" w:color="auto" w:fill="FFFFFF"/>
            <w:vAlign w:val="center"/>
          </w:tcPr>
          <w:p>
            <w:pPr>
              <w:widowControl/>
              <w:spacing w:line="0" w:lineRule="atLeast"/>
              <w:rPr>
                <w:color w:val="auto"/>
                <w:kern w:val="0"/>
                <w:sz w:val="22"/>
                <w:szCs w:val="22"/>
                <w:highlight w:val="none"/>
              </w:rPr>
            </w:pPr>
            <w:r>
              <w:rPr>
                <w:color w:val="auto"/>
                <w:kern w:val="0"/>
                <w:sz w:val="22"/>
                <w:szCs w:val="22"/>
                <w:highlight w:val="none"/>
              </w:rPr>
              <w:t>项目实施所产生的社会效益、经济效益、生态效益、可持续影响等。可根据项目实际情况有选择地设置和细化。</w:t>
            </w:r>
          </w:p>
        </w:tc>
        <w:tc>
          <w:tcPr>
            <w:tcW w:w="1300" w:type="dxa"/>
            <w:shd w:val="clear" w:color="auto" w:fill="FFFFFF"/>
            <w:vAlign w:val="center"/>
          </w:tcPr>
          <w:p>
            <w:pPr>
              <w:widowControl/>
              <w:spacing w:line="0" w:lineRule="atLeast"/>
              <w:jc w:val="center"/>
              <w:rPr>
                <w:b/>
                <w:bCs/>
                <w:color w:val="auto"/>
                <w:kern w:val="0"/>
                <w:sz w:val="22"/>
                <w:szCs w:val="22"/>
                <w:highlight w:val="none"/>
              </w:rPr>
            </w:pPr>
            <w:r>
              <w:rPr>
                <w:rFonts w:hint="eastAsia"/>
                <w:b/>
                <w:bCs/>
                <w:color w:val="auto"/>
                <w:kern w:val="0"/>
                <w:sz w:val="22"/>
                <w:szCs w:val="22"/>
                <w:highlight w:val="none"/>
              </w:rPr>
              <w:t>15</w:t>
            </w:r>
          </w:p>
        </w:tc>
        <w:tc>
          <w:tcPr>
            <w:tcW w:w="1363" w:type="dxa"/>
            <w:shd w:val="clear" w:color="auto" w:fill="FFFFFF"/>
            <w:vAlign w:val="center"/>
          </w:tcPr>
          <w:p>
            <w:pPr>
              <w:widowControl/>
              <w:spacing w:line="0" w:lineRule="atLeast"/>
              <w:jc w:val="center"/>
              <w:rPr>
                <w:rFonts w:ascii="Times New Roman" w:hAnsi="Times New Roman" w:eastAsia="宋体" w:cs="Times New Roman"/>
                <w:color w:val="auto"/>
                <w:kern w:val="0"/>
                <w:sz w:val="22"/>
                <w:szCs w:val="22"/>
                <w:highlight w:val="none"/>
                <w:lang w:val="en-US" w:eastAsia="zh-CN" w:bidi="ar-SA"/>
              </w:rPr>
            </w:pPr>
            <w:r>
              <w:rPr>
                <w:rFonts w:hint="eastAsia"/>
                <w:color w:val="auto"/>
                <w:kern w:val="0"/>
                <w:sz w:val="22"/>
                <w:szCs w:val="22"/>
                <w:highlight w:val="none"/>
                <w:lang w:val="en-US" w:eastAsia="zh-CN"/>
              </w:rPr>
              <w:t>15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137" w:hRule="atLeast"/>
          <w:jc w:val="center"/>
        </w:trPr>
        <w:tc>
          <w:tcPr>
            <w:tcW w:w="837" w:type="dxa"/>
            <w:vMerge w:val="continue"/>
            <w:shd w:val="clear" w:color="auto" w:fill="FFFFFF"/>
            <w:vAlign w:val="center"/>
          </w:tcPr>
          <w:p>
            <w:pPr>
              <w:widowControl/>
              <w:spacing w:line="0" w:lineRule="atLeast"/>
              <w:jc w:val="center"/>
              <w:rPr>
                <w:color w:val="auto"/>
                <w:kern w:val="0"/>
                <w:sz w:val="22"/>
                <w:szCs w:val="22"/>
                <w:highlight w:val="none"/>
              </w:rPr>
            </w:pPr>
          </w:p>
        </w:tc>
        <w:tc>
          <w:tcPr>
            <w:tcW w:w="766" w:type="dxa"/>
            <w:vMerge w:val="continue"/>
            <w:shd w:val="clear" w:color="auto" w:fill="FFFFFF"/>
            <w:vAlign w:val="center"/>
          </w:tcPr>
          <w:p>
            <w:pPr>
              <w:widowControl/>
              <w:spacing w:line="0" w:lineRule="atLeast"/>
              <w:jc w:val="center"/>
              <w:rPr>
                <w:color w:val="auto"/>
                <w:kern w:val="0"/>
                <w:sz w:val="22"/>
                <w:szCs w:val="22"/>
                <w:highlight w:val="none"/>
              </w:rPr>
            </w:pPr>
          </w:p>
        </w:tc>
        <w:tc>
          <w:tcPr>
            <w:tcW w:w="873" w:type="dxa"/>
            <w:shd w:val="clear" w:color="auto" w:fill="FFFFFF"/>
            <w:vAlign w:val="center"/>
          </w:tcPr>
          <w:p>
            <w:pPr>
              <w:widowControl/>
              <w:spacing w:line="0" w:lineRule="atLeast"/>
              <w:jc w:val="center"/>
              <w:rPr>
                <w:color w:val="auto"/>
                <w:kern w:val="0"/>
                <w:sz w:val="22"/>
                <w:szCs w:val="22"/>
                <w:highlight w:val="none"/>
              </w:rPr>
            </w:pPr>
            <w:r>
              <w:rPr>
                <w:color w:val="auto"/>
                <w:kern w:val="0"/>
                <w:sz w:val="22"/>
                <w:szCs w:val="22"/>
                <w:highlight w:val="none"/>
              </w:rPr>
              <w:t>满意度</w:t>
            </w:r>
          </w:p>
        </w:tc>
        <w:tc>
          <w:tcPr>
            <w:tcW w:w="2353" w:type="dxa"/>
            <w:shd w:val="clear" w:color="000000" w:fill="FFFFFF"/>
            <w:vAlign w:val="center"/>
          </w:tcPr>
          <w:p>
            <w:pPr>
              <w:widowControl/>
              <w:spacing w:line="0" w:lineRule="atLeast"/>
              <w:rPr>
                <w:color w:val="auto"/>
                <w:kern w:val="0"/>
                <w:sz w:val="22"/>
                <w:szCs w:val="22"/>
                <w:highlight w:val="none"/>
              </w:rPr>
            </w:pPr>
            <w:r>
              <w:rPr>
                <w:color w:val="auto"/>
                <w:kern w:val="0"/>
                <w:sz w:val="22"/>
                <w:szCs w:val="22"/>
                <w:highlight w:val="none"/>
              </w:rPr>
              <w:t>社会公众或服务对象对项目实施效果的满意程度。</w:t>
            </w:r>
          </w:p>
        </w:tc>
        <w:tc>
          <w:tcPr>
            <w:tcW w:w="5191" w:type="dxa"/>
            <w:shd w:val="clear" w:color="000000" w:fill="FFFFFF"/>
            <w:vAlign w:val="center"/>
          </w:tcPr>
          <w:p>
            <w:pPr>
              <w:widowControl/>
              <w:spacing w:line="0" w:lineRule="atLeast"/>
              <w:rPr>
                <w:color w:val="auto"/>
                <w:kern w:val="0"/>
                <w:sz w:val="22"/>
                <w:szCs w:val="22"/>
                <w:highlight w:val="none"/>
              </w:rPr>
            </w:pPr>
            <w:r>
              <w:rPr>
                <w:color w:val="auto"/>
                <w:kern w:val="0"/>
                <w:sz w:val="22"/>
                <w:szCs w:val="22"/>
                <w:highlight w:val="none"/>
              </w:rPr>
              <w:t>社会公众或服务对象是指因该项目实施而受到影响的部门（单位）、群体或个人。一般采取社会调查的方式。</w:t>
            </w:r>
          </w:p>
        </w:tc>
        <w:tc>
          <w:tcPr>
            <w:tcW w:w="1300" w:type="dxa"/>
            <w:shd w:val="clear" w:color="000000" w:fill="FFFFFF"/>
            <w:vAlign w:val="center"/>
          </w:tcPr>
          <w:p>
            <w:pPr>
              <w:widowControl/>
              <w:spacing w:line="0" w:lineRule="atLeast"/>
              <w:jc w:val="center"/>
              <w:rPr>
                <w:b/>
                <w:bCs/>
                <w:color w:val="auto"/>
                <w:kern w:val="0"/>
                <w:sz w:val="22"/>
                <w:szCs w:val="22"/>
                <w:highlight w:val="none"/>
              </w:rPr>
            </w:pPr>
            <w:r>
              <w:rPr>
                <w:rFonts w:hint="eastAsia"/>
                <w:b/>
                <w:bCs/>
                <w:color w:val="auto"/>
                <w:kern w:val="0"/>
                <w:sz w:val="22"/>
                <w:szCs w:val="22"/>
                <w:highlight w:val="none"/>
              </w:rPr>
              <w:t>5</w:t>
            </w:r>
          </w:p>
        </w:tc>
        <w:tc>
          <w:tcPr>
            <w:tcW w:w="1363" w:type="dxa"/>
            <w:shd w:val="clear" w:color="000000" w:fill="FFFFFF"/>
            <w:vAlign w:val="center"/>
          </w:tcPr>
          <w:p>
            <w:pPr>
              <w:widowControl/>
              <w:spacing w:line="0" w:lineRule="atLeast"/>
              <w:jc w:val="center"/>
              <w:rPr>
                <w:rFonts w:hint="eastAsia" w:ascii="Times New Roman" w:hAnsi="Times New Roman" w:eastAsia="宋体" w:cs="Times New Roman"/>
                <w:color w:val="auto"/>
                <w:kern w:val="0"/>
                <w:sz w:val="22"/>
                <w:szCs w:val="22"/>
                <w:highlight w:val="none"/>
                <w:lang w:val="en-US" w:eastAsia="zh-CN" w:bidi="ar-SA"/>
              </w:rPr>
            </w:pPr>
            <w:r>
              <w:rPr>
                <w:rFonts w:hint="eastAsia"/>
                <w:color w:val="auto"/>
                <w:kern w:val="0"/>
                <w:sz w:val="22"/>
                <w:szCs w:val="22"/>
                <w:highlight w:val="none"/>
                <w:lang w:val="en-US" w:eastAsia="zh-CN"/>
              </w:rPr>
              <w:t>5</w:t>
            </w:r>
          </w:p>
        </w:tc>
      </w:tr>
    </w:tbl>
    <w:p>
      <w:pPr>
        <w:pStyle w:val="19"/>
        <w:rPr>
          <w:rFonts w:ascii="Times New Roman" w:hAnsi="Times New Roman"/>
          <w:color w:val="auto"/>
          <w:highlight w:val="none"/>
        </w:rPr>
      </w:pPr>
    </w:p>
    <w:p>
      <w:pPr>
        <w:rPr>
          <w:color w:val="auto"/>
          <w:highlight w:val="none"/>
        </w:rPr>
      </w:pPr>
    </w:p>
    <w:p>
      <w:pPr>
        <w:spacing w:line="540" w:lineRule="exact"/>
        <w:ind w:firstLine="640"/>
        <w:rPr>
          <w:rStyle w:val="24"/>
          <w:rFonts w:eastAsia="黑体"/>
          <w:bCs w:val="0"/>
          <w:color w:val="auto"/>
          <w:spacing w:val="-4"/>
          <w:sz w:val="32"/>
          <w:szCs w:val="32"/>
          <w:highlight w:val="none"/>
        </w:rPr>
      </w:pPr>
    </w:p>
    <w:p>
      <w:pPr>
        <w:spacing w:line="540" w:lineRule="exact"/>
        <w:ind w:firstLine="640"/>
        <w:rPr>
          <w:rStyle w:val="24"/>
          <w:rFonts w:eastAsia="黑体"/>
          <w:bCs w:val="0"/>
          <w:color w:val="auto"/>
          <w:spacing w:val="-4"/>
          <w:sz w:val="32"/>
          <w:szCs w:val="32"/>
          <w:highlight w:val="none"/>
        </w:rPr>
      </w:pPr>
    </w:p>
    <w:p>
      <w:pPr>
        <w:spacing w:line="540" w:lineRule="exact"/>
        <w:ind w:firstLine="640"/>
        <w:rPr>
          <w:rStyle w:val="24"/>
          <w:rFonts w:eastAsia="黑体"/>
          <w:bCs w:val="0"/>
          <w:color w:val="auto"/>
          <w:spacing w:val="-4"/>
          <w:sz w:val="32"/>
          <w:szCs w:val="32"/>
          <w:highlight w:val="none"/>
        </w:rPr>
      </w:pPr>
    </w:p>
    <w:p>
      <w:pPr>
        <w:spacing w:line="540" w:lineRule="exact"/>
        <w:ind w:firstLine="640"/>
        <w:rPr>
          <w:rStyle w:val="24"/>
          <w:rFonts w:eastAsia="黑体"/>
          <w:bCs w:val="0"/>
          <w:color w:val="auto"/>
          <w:spacing w:val="-4"/>
          <w:sz w:val="32"/>
          <w:szCs w:val="32"/>
          <w:highlight w:val="none"/>
        </w:rPr>
      </w:pPr>
    </w:p>
    <w:p>
      <w:pPr>
        <w:spacing w:line="540" w:lineRule="exact"/>
        <w:ind w:firstLine="640"/>
        <w:rPr>
          <w:rStyle w:val="24"/>
          <w:rFonts w:eastAsia="黑体"/>
          <w:bCs w:val="0"/>
          <w:color w:val="auto"/>
          <w:spacing w:val="-4"/>
          <w:sz w:val="32"/>
          <w:szCs w:val="32"/>
          <w:highlight w:val="none"/>
        </w:rPr>
      </w:pPr>
    </w:p>
    <w:p>
      <w:pPr>
        <w:spacing w:line="540" w:lineRule="exact"/>
        <w:ind w:firstLine="640"/>
        <w:rPr>
          <w:rStyle w:val="24"/>
          <w:rFonts w:eastAsia="黑体"/>
          <w:bCs w:val="0"/>
          <w:color w:val="auto"/>
          <w:spacing w:val="-4"/>
          <w:sz w:val="32"/>
          <w:szCs w:val="32"/>
          <w:highlight w:val="none"/>
        </w:rPr>
      </w:pPr>
    </w:p>
    <w:p>
      <w:pPr>
        <w:spacing w:line="540" w:lineRule="exact"/>
        <w:rPr>
          <w:rStyle w:val="24"/>
          <w:rFonts w:eastAsia="仿宋"/>
          <w:b w:val="0"/>
          <w:color w:val="auto"/>
          <w:spacing w:val="-4"/>
          <w:sz w:val="32"/>
          <w:szCs w:val="32"/>
          <w:highlight w:val="none"/>
        </w:rPr>
      </w:pPr>
    </w:p>
    <w:sectPr>
      <w:pgSz w:w="16838" w:h="11906" w:orient="landscape"/>
      <w:pgMar w:top="1800" w:right="1440" w:bottom="1558" w:left="1440" w:header="851" w:footer="992" w:gutter="0"/>
      <w:cols w:space="425" w:num="1"/>
      <w:docGrid w:type="lines" w:linePitch="312" w:charSpace="0"/>
    </w:sectPr>
  </w:body>
</w:document>
</file>