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458"/>
        <w:gridCol w:w="883"/>
        <w:gridCol w:w="1722"/>
        <w:gridCol w:w="855"/>
        <w:gridCol w:w="885"/>
        <w:gridCol w:w="555"/>
        <w:gridCol w:w="825"/>
        <w:gridCol w:w="19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76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自治区畜牧业生产发展资金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自治区农业农村厅（畜牧兽医局）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33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各地（州、市）畜牧兽医主管部门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全年预算数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1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8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10014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10014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9631.74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96.18%</w:t>
            </w:r>
          </w:p>
        </w:tc>
        <w:tc>
          <w:tcPr>
            <w:tcW w:w="1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8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10014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10014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9631.74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96.18%</w:t>
            </w:r>
          </w:p>
        </w:tc>
        <w:tc>
          <w:tcPr>
            <w:tcW w:w="1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8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上年结转资金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8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其他资金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39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2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exact"/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奶业生产发展，优质饲草产业发展，现代畜禽种业提升，畜禽遗传资源保护，新型经营主体培育，畜产品质量安全监测，涉农资金统筹整合部分集中用于脱贫攻坚</w:t>
            </w:r>
          </w:p>
        </w:tc>
        <w:tc>
          <w:tcPr>
            <w:tcW w:w="42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建设不同优质饲草品种生产评比田4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.93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亩，选择推荐适合全区种植的优质饲草品种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种；建设优质饲草高产栽培示范田10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850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亩，亩均单产提高5%。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全年完成畜产品质量安全定量监测3000批次，快速监测1000批次。对区内14个保种场（保护区、基因库）依法开展畜禽遗传资源保护，并对自治区畜禽遗传资源基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shd w:val="clear"/>
                <w:lang w:val="en-US" w:eastAsia="zh-CN"/>
              </w:rPr>
              <w:t>因库进行补助。</w:t>
            </w:r>
            <w:r>
              <w:rPr>
                <w:rFonts w:hint="eastAsia" w:eastAsia="宋体" w:cs="Times New Roman"/>
                <w:color w:val="auto"/>
                <w:w w:val="100"/>
                <w:kern w:val="0"/>
                <w:sz w:val="20"/>
                <w:szCs w:val="20"/>
                <w:highlight w:val="none"/>
                <w:shd w:val="clear"/>
                <w:lang w:val="en-US" w:eastAsia="zh-CN"/>
              </w:rPr>
              <w:t>完成畜禽遗传资源性能测定5个，</w:t>
            </w:r>
            <w:r>
              <w:rPr>
                <w:rFonts w:hint="default" w:ascii="Times New Roman" w:hAnsi="Times New Roman" w:eastAsia="宋体" w:cs="Times New Roman"/>
                <w:color w:val="auto"/>
                <w:w w:val="100"/>
                <w:sz w:val="20"/>
                <w:szCs w:val="20"/>
                <w:highlight w:val="none"/>
                <w:shd w:val="clear"/>
                <w:lang w:eastAsia="en-US"/>
              </w:rPr>
              <w:t>肉类增长比例</w:t>
            </w:r>
            <w:r>
              <w:rPr>
                <w:rFonts w:hint="eastAsia" w:eastAsia="宋体" w:cs="Times New Roman"/>
                <w:color w:val="auto"/>
                <w:w w:val="100"/>
                <w:sz w:val="20"/>
                <w:szCs w:val="20"/>
                <w:highlight w:val="none"/>
                <w:shd w:val="clear"/>
                <w:lang w:eastAsia="zh-CN"/>
              </w:rPr>
              <w:t>达到</w:t>
            </w:r>
            <w:r>
              <w:rPr>
                <w:rFonts w:hint="eastAsia" w:eastAsia="宋体" w:cs="Times New Roman"/>
                <w:color w:val="auto"/>
                <w:w w:val="100"/>
                <w:sz w:val="20"/>
                <w:szCs w:val="20"/>
                <w:highlight w:val="none"/>
                <w:shd w:val="clear"/>
                <w:lang w:val="en-US" w:eastAsia="zh-CN"/>
              </w:rPr>
              <w:t>4.3%</w:t>
            </w:r>
            <w:r>
              <w:rPr>
                <w:rFonts w:hint="default" w:ascii="Times New Roman" w:hAnsi="Times New Roman" w:eastAsia="宋体" w:cs="Times New Roman"/>
                <w:color w:val="auto"/>
                <w:w w:val="100"/>
                <w:kern w:val="0"/>
                <w:sz w:val="20"/>
                <w:szCs w:val="20"/>
                <w:highlight w:val="none"/>
                <w:shd w:val="clear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shd w:val="clear"/>
                <w:lang w:eastAsia="zh-CN" w:bidi="ar"/>
              </w:rPr>
              <w:t>支持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shd w:val="clear"/>
                <w:lang w:val="en-US" w:eastAsia="zh-CN" w:bidi="ar"/>
              </w:rPr>
              <w:t>5家示范企业。实现新增荷斯坦母牛存栏4200头，新增奶产量1万吨。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8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建设不同优质饲划品种生产评比田面积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≥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4000亩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4100.93亩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偏差原因：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克州超额完成种植任务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改进措施：对近三年的数据进行测算，在下一年更加严谨设置年度指标值。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建设优质饲划高产栽培示范田面积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≥10000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亩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10850亩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偏差原因：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巴州超额完成种植面积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改进措施：对近三年的数据进行测算，在下一年更加严谨设置年度指标值。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完成畜禽遗传资源性能测定数量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≥5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5个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新增荷斯坦能繁母牛数量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≥4200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头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4200头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畜产品质量安全监测批次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≥3000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批次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3000批次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新增奶产量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≥10000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吨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10000吨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支持建设畜禽遗传资源保种场（保护区、基因库)建设数量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≥14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14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3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肉类增长比例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≥5%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4.3%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1.98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偏差原因：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受2022年7月—12月突发新冠疫情影响，全疆长期处于静态管理状态，对饲草料调运、畜产品交易、畜牧业生产影响较大，特别是秋季为牧区牲畜传统出栏旺季，加之畜牧业生产流通不畅，虽然解封后压栏情况有所缓解，但依然影响了肉蛋产量，导致没有完成预期目标。改进措施：下年度做好应对措施，实施备选方案，以防此类情况出现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支持绒毛羊示范企业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≥5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5个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动物检疫电子出证系统出证覆盖率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100%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保种场（保护区、基因库)的保种建设任务完成率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≥80%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90%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偏差原因：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项目确定的14家保种场（保护区、基因库）积极推进工作，任务完成略高于预期。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改进措施：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后期设置绩效目标值会结合往年数据，更加精确设置。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畜产品质量监测结果准确率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≥98%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100%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本年度未出现复核样品。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畜禽产品定量检测全年合格率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≥96%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100%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全年未检出不合格产品。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产品质量安全监测及时率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100%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优质饲草栽培按期完成率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100%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建立产业技术体系按期完成率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种业提升及产业技术体系成本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≤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3496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万元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3172.89万元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偏差原因：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受到疫情影响，部分县市兑付资金困难。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改进措施：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下一步督促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相关县市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积极与财政部门沟通，加快资金拨付进度。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奶业生产发展成本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≤1000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万元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1000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万元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2.2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优质饲草料产业发展成本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≤1000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万元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943.57万元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2.08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偏差原因：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喀什和阿勒泰地区因财政资金原因暂未拨付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改进措施：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督促喀什和阿勒泰地区积极与财政部门沟通，加快资金拨付进度。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1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畜禽遗传保护成本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≤300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万元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297.28万元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2.18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偏差原因：受2022年冠肺炎疫情影响，阿勒泰地区计划开展的阿勒泰白头牛保种技术培训尚未全部完成，剩余2.72万元资金未完全支出。整改措施：加强与阿勒泰地区工作对接，督促尽快按要求完成项目任务计划，完成剩余资金拨付。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畜产品质量安全监测成本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≤600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万元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600万元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2.2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畜牧产业新型经营主体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≤280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 w:bidi="ar"/>
              </w:rPr>
              <w:t>万元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280万元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2.2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8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提升畜牧业综合生产能力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畜牧产业提升农牧民经济收入水平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规模养殖场粪污处理对当地环境影响减少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有效减少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有效减少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农牧民满意度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≥85%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85%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1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98.96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kMTgzZDBhZGY1ZDM5YjA5NDQwMTU2MjYxODE5ODQifQ=="/>
  </w:docVars>
  <w:rsids>
    <w:rsidRoot w:val="005144AE"/>
    <w:rsid w:val="001209D6"/>
    <w:rsid w:val="005144AE"/>
    <w:rsid w:val="06CA3229"/>
    <w:rsid w:val="0CB30685"/>
    <w:rsid w:val="0DB44593"/>
    <w:rsid w:val="1028024E"/>
    <w:rsid w:val="132D67F1"/>
    <w:rsid w:val="13784368"/>
    <w:rsid w:val="179852E7"/>
    <w:rsid w:val="1E601DF9"/>
    <w:rsid w:val="209E689E"/>
    <w:rsid w:val="22341E69"/>
    <w:rsid w:val="25D90A75"/>
    <w:rsid w:val="33D04922"/>
    <w:rsid w:val="35053E61"/>
    <w:rsid w:val="379A2F7E"/>
    <w:rsid w:val="44554BDB"/>
    <w:rsid w:val="48DC059C"/>
    <w:rsid w:val="55415E92"/>
    <w:rsid w:val="56FB47B4"/>
    <w:rsid w:val="586D3CFE"/>
    <w:rsid w:val="5CA62765"/>
    <w:rsid w:val="5DA71225"/>
    <w:rsid w:val="60A9762D"/>
    <w:rsid w:val="612A3304"/>
    <w:rsid w:val="617F7A8A"/>
    <w:rsid w:val="662D5327"/>
    <w:rsid w:val="72752E54"/>
    <w:rsid w:val="73657922"/>
    <w:rsid w:val="76C125BF"/>
    <w:rsid w:val="7A2E045B"/>
    <w:rsid w:val="7D2A10FD"/>
    <w:rsid w:val="EDFB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  <w:jc w:val="both"/>
      <w:textAlignment w:val="baseline"/>
    </w:pPr>
  </w:style>
  <w:style w:type="paragraph" w:styleId="3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6">
    <w:name w:val="font01"/>
    <w:basedOn w:val="5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8">
    <w:name w:val="font31"/>
    <w:basedOn w:val="5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9">
    <w:name w:val="font4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1540</Words>
  <Characters>1841</Characters>
  <Lines>4</Lines>
  <Paragraphs>1</Paragraphs>
  <TotalTime>0</TotalTime>
  <ScaleCrop>false</ScaleCrop>
  <LinksUpToDate>false</LinksUpToDate>
  <CharactersWithSpaces>1841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2022-01-24T11:10:00Z</dcterms:created>
  <dc:creator>Administrator</dc:creator>
  <cp:lastModifiedBy>Administrator</cp:lastModifiedBy>
  <dcterms:modified xsi:type="dcterms:W3CDTF">2023-12-13T05:24:47Z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7EF84DA41A8620A8A6E2126498D199B1_43</vt:lpwstr>
  </property>
</Properties>
</file>