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黑体" w:hAnsi="黑体" w:eastAsia="黑体" w:cs="黑体"/>
          <w:b w:val="0"/>
          <w:bCs/>
          <w:kern w:val="0"/>
          <w:sz w:val="32"/>
          <w:szCs w:val="32"/>
          <w:lang w:val="en-US" w:eastAsia="zh-CN"/>
        </w:rPr>
      </w:pPr>
      <w:r>
        <w:rPr>
          <w:rFonts w:hint="eastAsia" w:ascii="黑体" w:hAnsi="黑体" w:eastAsia="黑体" w:cs="黑体"/>
          <w:b w:val="0"/>
          <w:bCs/>
          <w:kern w:val="0"/>
          <w:sz w:val="32"/>
          <w:szCs w:val="32"/>
          <w:lang w:eastAsia="zh-CN"/>
        </w:rPr>
        <w:t>附件</w:t>
      </w:r>
      <w:r>
        <w:rPr>
          <w:rFonts w:hint="eastAsia" w:ascii="黑体" w:hAnsi="黑体" w:eastAsia="黑体" w:cs="黑体"/>
          <w:b w:val="0"/>
          <w:bCs/>
          <w:kern w:val="0"/>
          <w:sz w:val="32"/>
          <w:szCs w:val="32"/>
          <w:lang w:val="en-US" w:eastAsia="zh-CN"/>
        </w:rPr>
        <w:t>4：</w:t>
      </w:r>
    </w:p>
    <w:p>
      <w:pPr>
        <w:spacing w:line="540" w:lineRule="exact"/>
        <w:rPr>
          <w:rFonts w:eastAsia="华文中宋"/>
          <w:b/>
          <w:kern w:val="0"/>
          <w:sz w:val="72"/>
          <w:szCs w:val="7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hint="eastAsia" w:eastAsia="方正小标宋_GBK"/>
          <w:kern w:val="0"/>
          <w:sz w:val="48"/>
          <w:szCs w:val="48"/>
          <w:lang w:eastAsia="zh-CN"/>
        </w:rPr>
        <w:t>现代畜牧业发展专项</w:t>
      </w:r>
      <w:r>
        <w:rPr>
          <w:rFonts w:eastAsia="方正小标宋_GBK"/>
          <w:kern w:val="0"/>
          <w:sz w:val="48"/>
          <w:szCs w:val="48"/>
        </w:rPr>
        <w:t>资金项目支出绩效</w:t>
      </w:r>
      <w:bookmarkStart w:id="2" w:name="_GoBack"/>
      <w:bookmarkEnd w:id="2"/>
      <w:r>
        <w:rPr>
          <w:rFonts w:eastAsia="方正小标宋_GBK"/>
          <w:kern w:val="0"/>
          <w:sz w:val="48"/>
          <w:szCs w:val="48"/>
        </w:rPr>
        <w:t>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2</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firstLine="540" w:firstLineChars="150"/>
        <w:jc w:val="left"/>
        <w:rPr>
          <w:rFonts w:hint="eastAsia" w:ascii="仿宋_GB2312" w:hAnsi="宋体" w:eastAsia="仿宋_GB2312" w:cs="宋体"/>
          <w:kern w:val="0"/>
          <w:sz w:val="36"/>
          <w:szCs w:val="36"/>
          <w:lang w:val="en-US" w:eastAsia="zh-CN"/>
        </w:rPr>
      </w:pPr>
      <w:r>
        <w:rPr>
          <w:rFonts w:eastAsia="仿宋_GB2312"/>
          <w:kern w:val="0"/>
          <w:sz w:val="36"/>
          <w:szCs w:val="36"/>
        </w:rPr>
        <w:t>项目名称：</w:t>
      </w:r>
      <w:r>
        <w:rPr>
          <w:rFonts w:hint="eastAsia" w:ascii="仿宋_GB2312" w:hAnsi="宋体" w:eastAsia="仿宋_GB2312" w:cs="宋体"/>
          <w:kern w:val="0"/>
          <w:sz w:val="36"/>
          <w:szCs w:val="36"/>
          <w:lang w:eastAsia="zh-CN"/>
        </w:rPr>
        <w:t>现代畜牧业发展专项资金</w:t>
      </w:r>
      <w:r>
        <w:rPr>
          <w:rFonts w:hint="eastAsia" w:ascii="仿宋_GB2312" w:hAnsi="宋体" w:eastAsia="仿宋_GB2312" w:cs="宋体"/>
          <w:kern w:val="0"/>
          <w:sz w:val="36"/>
          <w:szCs w:val="36"/>
          <w:lang w:val="en-US" w:eastAsia="zh-CN"/>
        </w:rPr>
        <w:t>(现代种畜提升、畜禽遗传资源保护和利用、粪污资源化利用及统计监测等）</w:t>
      </w:r>
    </w:p>
    <w:p>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实施单位（公章）：</w:t>
      </w:r>
      <w:r>
        <w:rPr>
          <w:rFonts w:hint="eastAsia" w:eastAsia="仿宋_GB2312"/>
          <w:kern w:val="0"/>
          <w:sz w:val="36"/>
          <w:szCs w:val="36"/>
          <w:lang w:eastAsia="zh-CN"/>
        </w:rPr>
        <w:t>自治区畜牧总站</w:t>
      </w:r>
    </w:p>
    <w:p>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主管部门（公章）：</w:t>
      </w:r>
      <w:r>
        <w:rPr>
          <w:rFonts w:hint="eastAsia" w:eastAsia="仿宋_GB2312"/>
          <w:kern w:val="0"/>
          <w:sz w:val="36"/>
          <w:szCs w:val="36"/>
          <w:lang w:eastAsia="zh-CN"/>
        </w:rPr>
        <w:t>自治区畜牧兽医局</w:t>
      </w:r>
    </w:p>
    <w:p>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项目负责人（签章）：</w:t>
      </w:r>
      <w:r>
        <w:rPr>
          <w:rFonts w:hint="eastAsia" w:eastAsia="仿宋_GB2312"/>
          <w:kern w:val="0"/>
          <w:sz w:val="36"/>
          <w:szCs w:val="36"/>
          <w:lang w:eastAsia="zh-CN"/>
        </w:rPr>
        <w:t>谭小海</w:t>
      </w:r>
    </w:p>
    <w:p>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2023</w:t>
      </w:r>
      <w:r>
        <w:rPr>
          <w:rFonts w:eastAsia="仿宋_GB2312"/>
          <w:kern w:val="0"/>
          <w:sz w:val="36"/>
          <w:szCs w:val="36"/>
        </w:rPr>
        <w:t>年</w:t>
      </w:r>
      <w:r>
        <w:rPr>
          <w:rFonts w:hint="eastAsia" w:eastAsia="仿宋_GB2312"/>
          <w:kern w:val="0"/>
          <w:sz w:val="36"/>
          <w:szCs w:val="36"/>
          <w:lang w:val="en-US" w:eastAsia="zh-CN"/>
        </w:rPr>
        <w:t>1</w:t>
      </w:r>
      <w:r>
        <w:rPr>
          <w:rFonts w:eastAsia="仿宋_GB2312"/>
          <w:kern w:val="0"/>
          <w:sz w:val="36"/>
          <w:szCs w:val="36"/>
        </w:rPr>
        <w:t>月</w:t>
      </w:r>
      <w:r>
        <w:rPr>
          <w:rFonts w:hint="eastAsia" w:eastAsia="仿宋_GB2312"/>
          <w:kern w:val="0"/>
          <w:sz w:val="36"/>
          <w:szCs w:val="36"/>
          <w:lang w:val="en-US" w:eastAsia="zh-CN"/>
        </w:rPr>
        <w:t>12</w:t>
      </w:r>
      <w:r>
        <w:rPr>
          <w:rFonts w:eastAsia="仿宋_GB2312"/>
          <w:kern w:val="0"/>
          <w:sz w:val="36"/>
          <w:szCs w:val="36"/>
        </w:rPr>
        <w:t>日</w:t>
      </w:r>
    </w:p>
    <w:p>
      <w:pPr>
        <w:spacing w:line="540" w:lineRule="exact"/>
        <w:jc w:val="center"/>
        <w:rPr>
          <w:rFonts w:eastAsia="仿宋_GB2312"/>
          <w:kern w:val="0"/>
          <w:sz w:val="30"/>
          <w:szCs w:val="30"/>
        </w:rPr>
      </w:pPr>
    </w:p>
    <w:p>
      <w:pPr>
        <w:spacing w:line="540" w:lineRule="exact"/>
        <w:rPr>
          <w:rStyle w:val="23"/>
          <w:rFonts w:eastAsia="黑体"/>
          <w:b w:val="0"/>
          <w:spacing w:val="-4"/>
          <w:sz w:val="32"/>
          <w:szCs w:val="32"/>
        </w:rPr>
      </w:pPr>
    </w:p>
    <w:p>
      <w:pPr>
        <w:spacing w:line="540" w:lineRule="exact"/>
        <w:ind w:firstLine="640"/>
        <w:rPr>
          <w:rStyle w:val="23"/>
          <w:rFonts w:eastAsia="黑体"/>
          <w:b w:val="0"/>
          <w:spacing w:val="-4"/>
          <w:sz w:val="32"/>
          <w:szCs w:val="32"/>
        </w:rPr>
      </w:pPr>
    </w:p>
    <w:p>
      <w:pPr>
        <w:spacing w:line="600" w:lineRule="exact"/>
        <w:rPr>
          <w:rFonts w:eastAsia="黑体"/>
          <w:bCs/>
          <w:sz w:val="32"/>
          <w:szCs w:val="32"/>
        </w:rPr>
      </w:pPr>
      <w:r>
        <w:rPr>
          <w:rFonts w:eastAsia="黑体"/>
          <w:bCs/>
          <w:sz w:val="32"/>
          <w:szCs w:val="32"/>
        </w:rPr>
        <w:t>一、基本情况</w:t>
      </w:r>
    </w:p>
    <w:p>
      <w:pPr>
        <w:spacing w:line="600" w:lineRule="exact"/>
        <w:ind w:firstLine="641"/>
        <w:rPr>
          <w:rFonts w:eastAsia="楷体_GB2312"/>
          <w:b/>
          <w:bCs/>
          <w:sz w:val="32"/>
          <w:szCs w:val="32"/>
        </w:rPr>
      </w:pPr>
      <w:r>
        <w:rPr>
          <w:rFonts w:eastAsia="楷体_GB2312"/>
          <w:b/>
          <w:bCs/>
          <w:sz w:val="32"/>
          <w:szCs w:val="32"/>
        </w:rPr>
        <w:t>（一）项目概况</w:t>
      </w:r>
    </w:p>
    <w:p>
      <w:pPr>
        <w:spacing w:line="600" w:lineRule="exact"/>
        <w:ind w:firstLine="641"/>
        <w:rPr>
          <w:rFonts w:eastAsia="仿宋_GB2312"/>
          <w:b/>
          <w:bCs/>
          <w:sz w:val="32"/>
          <w:szCs w:val="32"/>
        </w:rPr>
      </w:pPr>
      <w:r>
        <w:rPr>
          <w:rFonts w:eastAsia="仿宋_GB2312"/>
          <w:b/>
          <w:bCs/>
          <w:sz w:val="32"/>
          <w:szCs w:val="32"/>
        </w:rPr>
        <w:t>1、项目背景</w:t>
      </w:r>
    </w:p>
    <w:p>
      <w:pPr>
        <w:numPr>
          <w:ilvl w:val="0"/>
          <w:numId w:val="0"/>
        </w:numPr>
        <w:snapToGrid/>
        <w:spacing w:before="0" w:beforeAutospacing="0" w:after="0" w:afterAutospacing="0" w:line="240" w:lineRule="auto"/>
        <w:ind w:firstLine="640" w:firstLineChars="200"/>
        <w:jc w:val="both"/>
        <w:textAlignment w:val="baseline"/>
        <w:rPr>
          <w:rStyle w:val="23"/>
          <w:rFonts w:ascii="仿宋_GB2312" w:hAnsi="楷体" w:eastAsia="仿宋_GB2312"/>
          <w:spacing w:val="-4"/>
          <w:sz w:val="32"/>
          <w:szCs w:val="32"/>
        </w:rPr>
      </w:pPr>
      <w:r>
        <w:rPr>
          <w:rFonts w:hint="eastAsia" w:ascii="仿宋_GB2312" w:hAnsi="华文仿宋" w:eastAsia="仿宋_GB2312" w:cs="华文仿宋"/>
          <w:sz w:val="32"/>
          <w:szCs w:val="32"/>
        </w:rPr>
        <w:t>新疆畜牧总站（以下简称总站）是自治区全额拨款事业单位，隶属于自治区畜牧</w:t>
      </w:r>
      <w:r>
        <w:rPr>
          <w:rFonts w:hint="eastAsia" w:ascii="仿宋_GB2312" w:hAnsi="华文仿宋" w:eastAsia="仿宋_GB2312" w:cs="华文仿宋"/>
          <w:sz w:val="32"/>
          <w:szCs w:val="32"/>
          <w:lang w:eastAsia="zh-CN"/>
        </w:rPr>
        <w:t>兽医局</w:t>
      </w:r>
      <w:r>
        <w:rPr>
          <w:rFonts w:hint="eastAsia" w:ascii="仿宋_GB2312" w:hAnsi="华文仿宋" w:eastAsia="仿宋_GB2312" w:cs="华文仿宋"/>
          <w:sz w:val="32"/>
          <w:szCs w:val="32"/>
        </w:rPr>
        <w:t>，承担着种畜禽质量安全监督与管理、畜牧业良种和技术推广。总站现有职工</w:t>
      </w:r>
      <w:r>
        <w:rPr>
          <w:rFonts w:hint="eastAsia" w:ascii="仿宋_GB2312" w:hAnsi="华文仿宋" w:eastAsia="仿宋_GB2312" w:cs="华文仿宋"/>
          <w:sz w:val="32"/>
          <w:szCs w:val="32"/>
          <w:lang w:val="en-US" w:eastAsia="zh-CN"/>
        </w:rPr>
        <w:t>80</w:t>
      </w:r>
      <w:r>
        <w:rPr>
          <w:rFonts w:hint="eastAsia" w:ascii="仿宋_GB2312" w:hAnsi="华文仿宋" w:eastAsia="仿宋_GB2312" w:cs="华文仿宋"/>
          <w:sz w:val="32"/>
          <w:szCs w:val="32"/>
        </w:rPr>
        <w:t>人，其中正高</w:t>
      </w:r>
      <w:r>
        <w:rPr>
          <w:rFonts w:hint="eastAsia" w:ascii="仿宋_GB2312" w:hAnsi="华文仿宋" w:eastAsia="仿宋_GB2312" w:cs="华文仿宋"/>
          <w:sz w:val="32"/>
          <w:szCs w:val="32"/>
          <w:lang w:val="en-US" w:eastAsia="zh-CN"/>
        </w:rPr>
        <w:t>5</w:t>
      </w:r>
      <w:r>
        <w:rPr>
          <w:rFonts w:hint="eastAsia" w:ascii="仿宋_GB2312" w:hAnsi="华文仿宋" w:eastAsia="仿宋_GB2312" w:cs="华文仿宋"/>
          <w:sz w:val="32"/>
          <w:szCs w:val="32"/>
        </w:rPr>
        <w:t>人，副高</w:t>
      </w:r>
      <w:r>
        <w:rPr>
          <w:rFonts w:hint="eastAsia" w:ascii="仿宋_GB2312" w:hAnsi="华文仿宋" w:eastAsia="仿宋_GB2312" w:cs="华文仿宋"/>
          <w:sz w:val="32"/>
          <w:szCs w:val="32"/>
          <w:lang w:val="en-US" w:eastAsia="zh-CN"/>
        </w:rPr>
        <w:t>26</w:t>
      </w:r>
      <w:r>
        <w:rPr>
          <w:rFonts w:hint="eastAsia" w:ascii="仿宋_GB2312" w:hAnsi="华文仿宋" w:eastAsia="仿宋_GB2312" w:cs="华文仿宋"/>
          <w:sz w:val="32"/>
          <w:szCs w:val="32"/>
        </w:rPr>
        <w:t>人，硕士1</w:t>
      </w:r>
      <w:r>
        <w:rPr>
          <w:rFonts w:hint="eastAsia" w:ascii="仿宋_GB2312" w:hAnsi="华文仿宋" w:eastAsia="仿宋_GB2312" w:cs="华文仿宋"/>
          <w:sz w:val="32"/>
          <w:szCs w:val="32"/>
          <w:lang w:val="en-US" w:eastAsia="zh-CN"/>
        </w:rPr>
        <w:t>8</w:t>
      </w:r>
      <w:r>
        <w:rPr>
          <w:rFonts w:hint="eastAsia" w:ascii="仿宋_GB2312" w:hAnsi="华文仿宋" w:eastAsia="仿宋_GB2312" w:cs="华文仿宋"/>
          <w:sz w:val="32"/>
          <w:szCs w:val="32"/>
        </w:rPr>
        <w:t>人。设有畜禽遗传资源科、种畜禽监督管理科、体系建设科、技术推广科、</w:t>
      </w:r>
      <w:r>
        <w:rPr>
          <w:rFonts w:hint="eastAsia" w:ascii="仿宋_GB2312" w:hAnsi="华文仿宋" w:eastAsia="仿宋_GB2312" w:cs="华文仿宋"/>
          <w:sz w:val="32"/>
          <w:szCs w:val="32"/>
          <w:lang w:eastAsia="zh-CN"/>
        </w:rPr>
        <w:t>饲草饲料科</w:t>
      </w:r>
      <w:r>
        <w:rPr>
          <w:rFonts w:hint="eastAsia" w:ascii="仿宋_GB2312" w:hAnsi="华文仿宋" w:eastAsia="仿宋_GB2312" w:cs="华文仿宋"/>
          <w:sz w:val="32"/>
          <w:szCs w:val="32"/>
        </w:rPr>
        <w:t>中心</w:t>
      </w:r>
      <w:r>
        <w:rPr>
          <w:rFonts w:hint="eastAsia" w:ascii="仿宋_GB2312" w:hAnsi="华文仿宋" w:eastAsia="仿宋_GB2312" w:cs="华文仿宋"/>
          <w:sz w:val="32"/>
          <w:szCs w:val="32"/>
          <w:lang w:val="en-US" w:eastAsia="zh-CN"/>
        </w:rPr>
        <w:t>5</w:t>
      </w:r>
      <w:r>
        <w:rPr>
          <w:rFonts w:hint="eastAsia" w:ascii="仿宋_GB2312" w:hAnsi="华文仿宋" w:eastAsia="仿宋_GB2312" w:cs="华文仿宋"/>
          <w:sz w:val="32"/>
          <w:szCs w:val="32"/>
        </w:rPr>
        <w:t>个业务科室，是自治区集畜禽品种改良、品改技术推广与应用、畜禽遗传资源保护利用、种畜禽品种技术检验检测、种畜禽监督管理等多种业务职能为一体的综合性畜牧技术服务部门。</w:t>
      </w:r>
      <w:r>
        <w:rPr>
          <w:rFonts w:hint="default" w:ascii="Times New Roman" w:hAnsi="Times New Roman" w:eastAsia="仿宋" w:cs="Times New Roman"/>
          <w:b w:val="0"/>
          <w:i w:val="0"/>
          <w:caps w:val="0"/>
          <w:spacing w:val="0"/>
          <w:w w:val="100"/>
          <w:sz w:val="32"/>
          <w:lang w:eastAsia="zh-CN"/>
        </w:rPr>
        <w:t>根据</w:t>
      </w:r>
      <w:r>
        <w:rPr>
          <w:rFonts w:hint="default" w:ascii="Times New Roman" w:hAnsi="Times New Roman" w:eastAsia="仿宋" w:cs="Times New Roman"/>
          <w:b w:val="0"/>
          <w:i w:val="0"/>
          <w:caps w:val="0"/>
          <w:spacing w:val="0"/>
          <w:w w:val="100"/>
          <w:sz w:val="32"/>
        </w:rPr>
        <w:t>《关于加快新疆现代畜禽种业发展的意见》指出：不断完善肉羊肉牛、运动马、奶牛、猪禽种业体系，逐步建立驼、驴、特禽、蜜蜂等特色畜禽种业生产体系，依法建立畜禽遗传资源保种场（保护区），促进特有畜禽遗传资源开发利用。到2025年，培育出2—3个具有重要战略地位、具备国际市场竞争优势、带动农牧经济发展作用明显的畜禽品种。经自治区畜牧兽医技术推广机构书面同意实施的育种规划，通过书面审查的，组织专家现场评审。加强对种畜禽场的监督检查，对取得《种畜禽生产经营许可证》的种畜禽场不定期进行现场核查，以及重大动物疫病与人畜共患病的抽样检测工作。建立现代种畜繁育生产体系，提升新疆地方品种的品质与价值，要合理定位马培育方向，实施《新疆马遗传改良计划（2016—2025年）》，重点培育运动性能好、耐力强的专门化新品种（系）。开展畜禽品种繁育体系建设、品种登记、技术推广等组织、指导和服务工作。</w:t>
      </w:r>
    </w:p>
    <w:p>
      <w:pPr>
        <w:spacing w:line="540" w:lineRule="exact"/>
        <w:ind w:firstLine="643" w:firstLineChars="200"/>
        <w:rPr>
          <w:highlight w:val="yellow"/>
        </w:rPr>
      </w:pPr>
      <w:r>
        <w:rPr>
          <w:rFonts w:hint="eastAsia" w:eastAsia="仿宋_GB2312"/>
          <w:b/>
          <w:bCs/>
          <w:sz w:val="32"/>
          <w:szCs w:val="32"/>
          <w:lang w:val="en-US" w:eastAsia="zh-CN"/>
        </w:rPr>
        <w:t>2、</w:t>
      </w:r>
      <w:r>
        <w:rPr>
          <w:rFonts w:eastAsia="仿宋_GB2312"/>
          <w:b/>
          <w:bCs/>
          <w:sz w:val="32"/>
          <w:szCs w:val="32"/>
        </w:rPr>
        <w:t>项目主要内容：</w:t>
      </w:r>
    </w:p>
    <w:p>
      <w:pPr>
        <w:spacing w:line="600" w:lineRule="exact"/>
        <w:ind w:firstLine="640" w:firstLineChars="200"/>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项目实际支出</w:t>
      </w:r>
      <w:r>
        <w:rPr>
          <w:rFonts w:hint="eastAsia" w:eastAsia="仿宋_GB2312"/>
          <w:sz w:val="32"/>
          <w:szCs w:val="32"/>
          <w:lang w:val="en-US" w:eastAsia="zh-CN"/>
        </w:rPr>
        <w:t>346</w:t>
      </w:r>
      <w:r>
        <w:rPr>
          <w:rFonts w:eastAsia="仿宋_GB2312"/>
          <w:sz w:val="32"/>
          <w:szCs w:val="32"/>
        </w:rPr>
        <w:t>万元，支出率为100%。</w:t>
      </w:r>
    </w:p>
    <w:p>
      <w:pPr>
        <w:spacing w:line="600" w:lineRule="exact"/>
        <w:ind w:firstLine="643" w:firstLineChars="200"/>
        <w:rPr>
          <w:rFonts w:eastAsia="仿宋_GB2312"/>
          <w:b/>
          <w:bCs/>
          <w:sz w:val="32"/>
          <w:szCs w:val="32"/>
        </w:rPr>
      </w:pPr>
      <w:r>
        <w:rPr>
          <w:rFonts w:eastAsia="仿宋_GB2312"/>
          <w:b/>
          <w:bCs/>
          <w:sz w:val="32"/>
          <w:szCs w:val="32"/>
        </w:rPr>
        <w:t>3、资金投入和使用情况</w:t>
      </w:r>
    </w:p>
    <w:p>
      <w:pPr>
        <w:pStyle w:val="18"/>
        <w:numPr>
          <w:ilvl w:val="0"/>
          <w:numId w:val="0"/>
        </w:numPr>
        <w:spacing w:before="0" w:after="0" w:line="600" w:lineRule="exact"/>
        <w:ind w:firstLine="640" w:firstLineChars="200"/>
        <w:jc w:val="both"/>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（1）资金安排,本项目总投资346万元，其中：财政本级资金346万元。</w:t>
      </w:r>
    </w:p>
    <w:p>
      <w:pPr>
        <w:spacing w:line="700" w:lineRule="exact"/>
        <w:ind w:firstLine="480" w:firstLineChars="150"/>
        <w:jc w:val="left"/>
        <w:rPr>
          <w:rFonts w:eastAsia="仿宋_GB2312"/>
          <w:sz w:val="32"/>
          <w:szCs w:val="32"/>
        </w:rPr>
      </w:pPr>
      <w:r>
        <w:rPr>
          <w:rFonts w:eastAsia="仿宋_GB2312"/>
          <w:sz w:val="32"/>
          <w:szCs w:val="32"/>
        </w:rPr>
        <w:t>项目总投资</w:t>
      </w:r>
      <w:r>
        <w:rPr>
          <w:rFonts w:hint="eastAsia" w:ascii="Times New Roman" w:hAnsi="Times New Roman" w:eastAsia="仿宋_GB2312" w:cs="Times New Roman"/>
          <w:b w:val="0"/>
          <w:bCs w:val="0"/>
          <w:kern w:val="2"/>
          <w:sz w:val="32"/>
          <w:szCs w:val="32"/>
          <w:lang w:val="en-US" w:eastAsia="zh-CN" w:bidi="ar-SA"/>
        </w:rPr>
        <w:t>346万</w:t>
      </w:r>
      <w:r>
        <w:rPr>
          <w:rFonts w:eastAsia="仿宋_GB2312"/>
          <w:sz w:val="32"/>
          <w:szCs w:val="32"/>
        </w:rPr>
        <w:t>元，按照单位财务制度等相关规定，资金支出符合</w:t>
      </w:r>
      <w:r>
        <w:rPr>
          <w:rFonts w:hint="eastAsia" w:eastAsia="仿宋_GB2312"/>
          <w:sz w:val="32"/>
          <w:szCs w:val="32"/>
          <w:lang w:eastAsia="zh-CN"/>
        </w:rPr>
        <w:t>现代畜牧业发展</w:t>
      </w:r>
      <w:r>
        <w:rPr>
          <w:rFonts w:eastAsia="仿宋_GB2312"/>
          <w:sz w:val="32"/>
          <w:szCs w:val="32"/>
        </w:rPr>
        <w:t>专项资金费用范围，做到了专款专用。在项目资金拨付和使用过程中，为确保项目资金的安全性，提高项目资金使用效率，严格遵循</w:t>
      </w:r>
      <w:r>
        <w:rPr>
          <w:rFonts w:hint="eastAsia" w:ascii="Times New Roman" w:hAnsi="Times New Roman" w:eastAsia="仿宋_GB2312" w:cs="Times New Roman"/>
          <w:b w:val="0"/>
          <w:bCs w:val="0"/>
          <w:kern w:val="2"/>
          <w:sz w:val="32"/>
          <w:szCs w:val="32"/>
          <w:lang w:val="en-US" w:eastAsia="zh-CN" w:bidi="ar-SA"/>
        </w:rPr>
        <w:t>项目资</w:t>
      </w:r>
      <w:r>
        <w:rPr>
          <w:rFonts w:eastAsia="仿宋_GB2312"/>
          <w:sz w:val="32"/>
          <w:szCs w:val="32"/>
        </w:rPr>
        <w:t>金的拨付程序，认真审核项目实施各阶段的相关材料和手续，根据项目实施进展情况</w:t>
      </w:r>
      <w:r>
        <w:rPr>
          <w:rFonts w:hint="eastAsia" w:eastAsia="仿宋_GB2312"/>
          <w:sz w:val="32"/>
          <w:szCs w:val="32"/>
          <w:lang w:eastAsia="zh-CN"/>
        </w:rPr>
        <w:t>使用</w:t>
      </w:r>
      <w:r>
        <w:rPr>
          <w:rFonts w:eastAsia="仿宋_GB2312"/>
          <w:sz w:val="32"/>
          <w:szCs w:val="32"/>
        </w:rPr>
        <w:t>资金。</w:t>
      </w:r>
    </w:p>
    <w:p>
      <w:pPr>
        <w:spacing w:line="600" w:lineRule="exact"/>
        <w:ind w:firstLine="640" w:firstLineChars="200"/>
        <w:rPr>
          <w:rFonts w:eastAsia="仿宋_GB2312"/>
          <w:sz w:val="32"/>
          <w:szCs w:val="32"/>
        </w:rPr>
      </w:pPr>
      <w:r>
        <w:rPr>
          <w:rFonts w:eastAsia="仿宋_GB2312"/>
          <w:sz w:val="32"/>
          <w:szCs w:val="32"/>
        </w:rPr>
        <w:t>（2）预算资金来源及使用情况</w:t>
      </w:r>
      <w:bookmarkStart w:id="0" w:name="page10"/>
      <w:bookmarkEnd w:id="0"/>
    </w:p>
    <w:p>
      <w:pPr>
        <w:pStyle w:val="18"/>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项目预算资金来源于</w:t>
      </w:r>
      <w:r>
        <w:rPr>
          <w:rFonts w:hint="eastAsia" w:ascii="Times New Roman" w:hAnsi="Times New Roman" w:eastAsia="仿宋_GB2312" w:cs="Times New Roman"/>
          <w:b w:val="0"/>
          <w:bCs w:val="0"/>
          <w:kern w:val="2"/>
          <w:lang w:eastAsia="zh-CN"/>
        </w:rPr>
        <w:t>自治区财政</w:t>
      </w:r>
      <w:r>
        <w:rPr>
          <w:rFonts w:ascii="Times New Roman" w:hAnsi="Times New Roman" w:eastAsia="仿宋_GB2312"/>
          <w:b w:val="0"/>
          <w:bCs w:val="0"/>
          <w:kern w:val="2"/>
        </w:rPr>
        <w:t>，项目资金到位</w:t>
      </w:r>
      <w:r>
        <w:rPr>
          <w:rFonts w:hint="eastAsia" w:ascii="Times New Roman" w:hAnsi="Times New Roman" w:eastAsia="仿宋_GB2312" w:cs="Times New Roman"/>
          <w:b w:val="0"/>
          <w:bCs w:val="0"/>
          <w:kern w:val="2"/>
          <w:lang w:val="en-US" w:eastAsia="zh-CN"/>
        </w:rPr>
        <w:t>346</w:t>
      </w:r>
      <w:r>
        <w:rPr>
          <w:rFonts w:ascii="Times New Roman" w:hAnsi="Times New Roman" w:eastAsia="仿宋_GB2312"/>
          <w:b w:val="0"/>
          <w:bCs w:val="0"/>
          <w:kern w:val="2"/>
        </w:rPr>
        <w:t>万元，</w:t>
      </w:r>
      <w:r>
        <w:rPr>
          <w:rFonts w:hint="eastAsia" w:ascii="Times New Roman" w:hAnsi="Times New Roman" w:eastAsia="仿宋_GB2312"/>
          <w:b w:val="0"/>
          <w:bCs w:val="0"/>
          <w:kern w:val="2"/>
        </w:rPr>
        <w:t>全年执行</w:t>
      </w:r>
      <w:r>
        <w:rPr>
          <w:rFonts w:hint="eastAsia" w:ascii="Times New Roman" w:hAnsi="Times New Roman" w:eastAsia="仿宋_GB2312"/>
          <w:b w:val="0"/>
          <w:bCs w:val="0"/>
          <w:kern w:val="2"/>
          <w:lang w:val="en-US" w:eastAsia="zh-CN"/>
        </w:rPr>
        <w:t>346</w:t>
      </w:r>
      <w:r>
        <w:rPr>
          <w:rFonts w:hint="eastAsia" w:ascii="Times New Roman" w:hAnsi="Times New Roman" w:eastAsia="仿宋_GB2312"/>
          <w:b w:val="0"/>
          <w:bCs w:val="0"/>
          <w:kern w:val="2"/>
        </w:rPr>
        <w:t>万元，预算执行率为</w:t>
      </w:r>
      <w:r>
        <w:rPr>
          <w:rFonts w:hint="eastAsia" w:ascii="Times New Roman" w:hAnsi="Times New Roman" w:eastAsia="仿宋_GB2312"/>
          <w:b w:val="0"/>
          <w:bCs w:val="0"/>
          <w:kern w:val="2"/>
          <w:lang w:val="en-US" w:eastAsia="zh-CN"/>
        </w:rPr>
        <w:t>100</w:t>
      </w:r>
      <w:r>
        <w:rPr>
          <w:rFonts w:ascii="Times New Roman" w:hAnsi="Times New Roman" w:eastAsia="仿宋_GB2312"/>
          <w:b w:val="0"/>
          <w:bCs w:val="0"/>
          <w:kern w:val="2"/>
        </w:rPr>
        <w:t>%,</w:t>
      </w:r>
      <w:r>
        <w:rPr>
          <w:rFonts w:hint="eastAsia" w:ascii="Times New Roman" w:hAnsi="Times New Roman" w:eastAsia="仿宋_GB2312"/>
          <w:b w:val="0"/>
          <w:bCs w:val="0"/>
          <w:kern w:val="2"/>
        </w:rPr>
        <w:t>主要</w:t>
      </w:r>
      <w:r>
        <w:rPr>
          <w:rFonts w:ascii="Times New Roman" w:hAnsi="Times New Roman" w:eastAsia="仿宋_GB2312"/>
          <w:b w:val="0"/>
          <w:bCs w:val="0"/>
          <w:kern w:val="2"/>
        </w:rPr>
        <w:t>用于支付项目实施进程中的各项费用。</w:t>
      </w:r>
    </w:p>
    <w:p>
      <w:pPr>
        <w:spacing w:line="600" w:lineRule="exact"/>
        <w:ind w:firstLine="643" w:firstLineChars="200"/>
        <w:rPr>
          <w:rFonts w:eastAsia="楷体_GB2312"/>
          <w:b/>
          <w:bCs/>
          <w:sz w:val="32"/>
          <w:szCs w:val="32"/>
        </w:rPr>
      </w:pPr>
      <w:r>
        <w:rPr>
          <w:rFonts w:eastAsia="楷体_GB2312"/>
          <w:b/>
          <w:bCs/>
          <w:sz w:val="32"/>
          <w:szCs w:val="32"/>
        </w:rPr>
        <w:t>（二）项目绩效目标</w:t>
      </w:r>
    </w:p>
    <w:p>
      <w:pPr>
        <w:spacing w:line="600" w:lineRule="exact"/>
        <w:ind w:firstLine="640" w:firstLineChars="200"/>
        <w:rPr>
          <w:rFonts w:eastAsia="仿宋_GB2312"/>
          <w:sz w:val="32"/>
          <w:szCs w:val="32"/>
        </w:rPr>
      </w:pPr>
      <w:r>
        <w:rPr>
          <w:rFonts w:eastAsia="仿宋_GB2312"/>
          <w:sz w:val="32"/>
          <w:szCs w:val="32"/>
        </w:rPr>
        <w:t>1、总体目标</w:t>
      </w:r>
    </w:p>
    <w:p>
      <w:pPr>
        <w:spacing w:line="540" w:lineRule="exact"/>
        <w:ind w:firstLine="640"/>
        <w:rPr>
          <w:rFonts w:hint="eastAsia" w:ascii="仿宋_GB2312" w:hAnsi="华文仿宋" w:eastAsia="仿宋_GB2312" w:cs="华文仿宋"/>
          <w:sz w:val="32"/>
          <w:szCs w:val="32"/>
        </w:rPr>
      </w:pPr>
      <w:r>
        <w:rPr>
          <w:rFonts w:hint="eastAsia" w:ascii="仿宋_GB2312" w:hAnsi="华文仿宋" w:eastAsia="仿宋_GB2312" w:cs="华文仿宋"/>
          <w:sz w:val="32"/>
          <w:szCs w:val="32"/>
          <w:lang w:eastAsia="zh-CN"/>
        </w:rPr>
        <w:t>（</w:t>
      </w:r>
      <w:r>
        <w:rPr>
          <w:rFonts w:hint="eastAsia" w:ascii="仿宋_GB2312" w:hAnsi="华文仿宋" w:eastAsia="仿宋_GB2312" w:cs="华文仿宋"/>
          <w:sz w:val="32"/>
          <w:szCs w:val="32"/>
          <w:lang w:val="en-US" w:eastAsia="zh-CN"/>
        </w:rPr>
        <w:t>1</w:t>
      </w:r>
      <w:r>
        <w:rPr>
          <w:rFonts w:hint="eastAsia" w:ascii="仿宋_GB2312" w:hAnsi="华文仿宋" w:eastAsia="仿宋_GB2312" w:cs="华文仿宋"/>
          <w:sz w:val="32"/>
          <w:szCs w:val="32"/>
          <w:lang w:eastAsia="zh-CN"/>
        </w:rPr>
        <w:t>）</w:t>
      </w:r>
      <w:r>
        <w:rPr>
          <w:rFonts w:hint="eastAsia" w:ascii="仿宋_GB2312" w:hAnsi="华文仿宋" w:eastAsia="仿宋_GB2312" w:cs="华文仿宋"/>
          <w:sz w:val="32"/>
          <w:szCs w:val="32"/>
        </w:rPr>
        <w:t>.畜禽良种繁育体系不断健全，种畜场管理规范化，种畜禽生产能力稳步提升，畜禽良种化率不断提高。</w:t>
      </w:r>
    </w:p>
    <w:p>
      <w:pPr>
        <w:spacing w:line="540" w:lineRule="exact"/>
        <w:ind w:firstLine="640"/>
        <w:rPr>
          <w:rFonts w:hint="eastAsia" w:ascii="仿宋_GB2312" w:hAnsi="华文仿宋" w:eastAsia="仿宋_GB2312" w:cs="华文仿宋"/>
          <w:sz w:val="32"/>
          <w:szCs w:val="32"/>
        </w:rPr>
      </w:pPr>
      <w:r>
        <w:rPr>
          <w:rFonts w:hint="eastAsia" w:ascii="仿宋_GB2312" w:hAnsi="华文仿宋" w:eastAsia="仿宋_GB2312" w:cs="华文仿宋"/>
          <w:sz w:val="32"/>
          <w:szCs w:val="32"/>
          <w:lang w:eastAsia="zh-CN"/>
        </w:rPr>
        <w:t>（</w:t>
      </w:r>
      <w:r>
        <w:rPr>
          <w:rFonts w:hint="eastAsia" w:ascii="仿宋_GB2312" w:hAnsi="华文仿宋" w:eastAsia="仿宋_GB2312" w:cs="华文仿宋"/>
          <w:sz w:val="32"/>
          <w:szCs w:val="32"/>
          <w:lang w:val="en-US" w:eastAsia="zh-CN"/>
        </w:rPr>
        <w:t>2</w:t>
      </w:r>
      <w:r>
        <w:rPr>
          <w:rFonts w:hint="eastAsia" w:ascii="仿宋_GB2312" w:hAnsi="华文仿宋" w:eastAsia="仿宋_GB2312" w:cs="华文仿宋"/>
          <w:sz w:val="32"/>
          <w:szCs w:val="32"/>
          <w:lang w:eastAsia="zh-CN"/>
        </w:rPr>
        <w:t>）</w:t>
      </w:r>
      <w:r>
        <w:rPr>
          <w:rFonts w:hint="eastAsia" w:ascii="仿宋_GB2312" w:hAnsi="华文仿宋" w:eastAsia="仿宋_GB2312" w:cs="华文仿宋"/>
          <w:sz w:val="32"/>
          <w:szCs w:val="32"/>
        </w:rPr>
        <w:t xml:space="preserve">.畜禽遗传资源保护体系更加健全，畜禽遗传资源得到有效保护，基因库遗传物质库存增 </w:t>
      </w:r>
    </w:p>
    <w:p>
      <w:pPr>
        <w:spacing w:line="540" w:lineRule="exact"/>
        <w:ind w:firstLine="640"/>
        <w:rPr>
          <w:rFonts w:hint="eastAsia" w:ascii="仿宋_GB2312" w:hAnsi="华文仿宋" w:eastAsia="仿宋_GB2312" w:cs="华文仿宋"/>
          <w:sz w:val="32"/>
          <w:szCs w:val="32"/>
        </w:rPr>
      </w:pPr>
      <w:r>
        <w:rPr>
          <w:rFonts w:hint="eastAsia" w:ascii="仿宋_GB2312" w:hAnsi="华文仿宋" w:eastAsia="仿宋_GB2312" w:cs="华文仿宋"/>
          <w:sz w:val="32"/>
          <w:szCs w:val="32"/>
          <w:lang w:eastAsia="zh-CN"/>
        </w:rPr>
        <w:t>（</w:t>
      </w:r>
      <w:r>
        <w:rPr>
          <w:rFonts w:hint="eastAsia" w:ascii="仿宋_GB2312" w:hAnsi="华文仿宋" w:eastAsia="仿宋_GB2312" w:cs="华文仿宋"/>
          <w:sz w:val="32"/>
          <w:szCs w:val="32"/>
          <w:lang w:val="en-US" w:eastAsia="zh-CN"/>
        </w:rPr>
        <w:t>3</w:t>
      </w:r>
      <w:r>
        <w:rPr>
          <w:rFonts w:hint="eastAsia" w:ascii="仿宋_GB2312" w:hAnsi="华文仿宋" w:eastAsia="仿宋_GB2312" w:cs="华文仿宋"/>
          <w:sz w:val="32"/>
          <w:szCs w:val="32"/>
          <w:lang w:eastAsia="zh-CN"/>
        </w:rPr>
        <w:t>）</w:t>
      </w:r>
      <w:r>
        <w:rPr>
          <w:rFonts w:hint="eastAsia" w:ascii="仿宋_GB2312" w:hAnsi="华文仿宋" w:eastAsia="仿宋_GB2312" w:cs="华文仿宋"/>
          <w:sz w:val="32"/>
          <w:szCs w:val="32"/>
        </w:rPr>
        <w:t xml:space="preserve">.畜牧养殖“四良一规范”等主推实用技术不断普及，全区养殖生产水平加快提升。 </w:t>
      </w:r>
    </w:p>
    <w:p>
      <w:pPr>
        <w:spacing w:line="540" w:lineRule="exact"/>
        <w:ind w:firstLine="640"/>
        <w:rPr>
          <w:rFonts w:hint="eastAsia" w:ascii="仿宋_GB2312" w:hAnsi="华文仿宋" w:eastAsia="仿宋_GB2312" w:cs="华文仿宋"/>
          <w:sz w:val="32"/>
          <w:szCs w:val="32"/>
        </w:rPr>
      </w:pPr>
      <w:r>
        <w:rPr>
          <w:rFonts w:hint="eastAsia" w:ascii="仿宋_GB2312" w:hAnsi="华文仿宋" w:eastAsia="仿宋_GB2312" w:cs="华文仿宋"/>
          <w:sz w:val="32"/>
          <w:szCs w:val="32"/>
          <w:lang w:eastAsia="zh-CN"/>
        </w:rPr>
        <w:t>（</w:t>
      </w:r>
      <w:r>
        <w:rPr>
          <w:rFonts w:hint="eastAsia" w:ascii="仿宋_GB2312" w:hAnsi="华文仿宋" w:eastAsia="仿宋_GB2312" w:cs="华文仿宋"/>
          <w:sz w:val="32"/>
          <w:szCs w:val="32"/>
          <w:lang w:val="en-US" w:eastAsia="zh-CN"/>
        </w:rPr>
        <w:t>4</w:t>
      </w:r>
      <w:r>
        <w:rPr>
          <w:rFonts w:hint="eastAsia" w:ascii="仿宋_GB2312" w:hAnsi="华文仿宋" w:eastAsia="仿宋_GB2312" w:cs="华文仿宋"/>
          <w:sz w:val="32"/>
          <w:szCs w:val="32"/>
          <w:lang w:eastAsia="zh-CN"/>
        </w:rPr>
        <w:t>）</w:t>
      </w:r>
      <w:r>
        <w:rPr>
          <w:rFonts w:hint="eastAsia" w:ascii="仿宋_GB2312" w:hAnsi="华文仿宋" w:eastAsia="仿宋_GB2312" w:cs="华文仿宋"/>
          <w:sz w:val="32"/>
          <w:szCs w:val="32"/>
        </w:rPr>
        <w:t xml:space="preserve">.畜禽养殖备案管理更加规范，畜牧信息化管理水平快速提升。 </w:t>
      </w:r>
    </w:p>
    <w:p>
      <w:pPr>
        <w:spacing w:line="540" w:lineRule="exact"/>
        <w:ind w:firstLine="640"/>
        <w:rPr>
          <w:rFonts w:hint="eastAsia" w:ascii="仿宋_GB2312" w:hAnsi="华文仿宋" w:eastAsia="仿宋_GB2312" w:cs="华文仿宋"/>
          <w:sz w:val="32"/>
          <w:szCs w:val="32"/>
        </w:rPr>
      </w:pPr>
      <w:r>
        <w:rPr>
          <w:rFonts w:hint="eastAsia" w:ascii="仿宋_GB2312" w:hAnsi="华文仿宋" w:eastAsia="仿宋_GB2312" w:cs="华文仿宋"/>
          <w:sz w:val="32"/>
          <w:szCs w:val="32"/>
          <w:lang w:eastAsia="zh-CN"/>
        </w:rPr>
        <w:t>（</w:t>
      </w:r>
      <w:r>
        <w:rPr>
          <w:rFonts w:hint="eastAsia" w:ascii="仿宋_GB2312" w:hAnsi="华文仿宋" w:eastAsia="仿宋_GB2312" w:cs="华文仿宋"/>
          <w:sz w:val="32"/>
          <w:szCs w:val="32"/>
          <w:lang w:val="en-US" w:eastAsia="zh-CN"/>
        </w:rPr>
        <w:t>5</w:t>
      </w:r>
      <w:r>
        <w:rPr>
          <w:rFonts w:hint="eastAsia" w:ascii="仿宋_GB2312" w:hAnsi="华文仿宋" w:eastAsia="仿宋_GB2312" w:cs="华文仿宋"/>
          <w:sz w:val="32"/>
          <w:szCs w:val="32"/>
          <w:lang w:eastAsia="zh-CN"/>
        </w:rPr>
        <w:t>）</w:t>
      </w:r>
      <w:r>
        <w:rPr>
          <w:rFonts w:hint="eastAsia" w:ascii="仿宋_GB2312" w:hAnsi="华文仿宋" w:eastAsia="仿宋_GB2312" w:cs="华文仿宋"/>
          <w:sz w:val="32"/>
          <w:szCs w:val="32"/>
        </w:rPr>
        <w:t xml:space="preserve">.畜牧业统计监测体系不断完善，增强统计监测工作对畜牧业发展的技术支撑作用。   </w:t>
      </w:r>
    </w:p>
    <w:p>
      <w:pPr>
        <w:spacing w:line="600" w:lineRule="exact"/>
        <w:ind w:firstLine="640" w:firstLineChars="200"/>
      </w:pPr>
      <w:r>
        <w:rPr>
          <w:rFonts w:eastAsia="仿宋_GB2312"/>
          <w:sz w:val="32"/>
          <w:szCs w:val="32"/>
        </w:rPr>
        <w:t>2、阶段性目标</w:t>
      </w:r>
    </w:p>
    <w:p>
      <w:pPr>
        <w:spacing w:line="600" w:lineRule="exact"/>
        <w:ind w:firstLine="640" w:firstLineChars="200"/>
        <w:rPr>
          <w:rFonts w:eastAsia="仿宋_GB2312"/>
          <w:sz w:val="32"/>
          <w:szCs w:val="32"/>
        </w:rPr>
      </w:pPr>
      <w:r>
        <w:rPr>
          <w:rFonts w:eastAsia="仿宋_GB2312"/>
          <w:sz w:val="32"/>
          <w:szCs w:val="32"/>
        </w:rPr>
        <w:t>（1）前期准备：通过制定项目实施方案，经项目负责人审核通过后，有序开展后续工作。</w:t>
      </w:r>
    </w:p>
    <w:p>
      <w:pPr>
        <w:spacing w:line="600" w:lineRule="exact"/>
        <w:ind w:firstLine="640" w:firstLineChars="200"/>
        <w:rPr>
          <w:rFonts w:eastAsia="仿宋_GB2312"/>
          <w:sz w:val="32"/>
          <w:szCs w:val="32"/>
        </w:rPr>
      </w:pPr>
      <w:r>
        <w:rPr>
          <w:rFonts w:eastAsia="仿宋_GB2312"/>
          <w:sz w:val="32"/>
          <w:szCs w:val="32"/>
        </w:rPr>
        <w:t>（2）组织实施：资金一到位，立即根据项目要求实施项目。项目责任人按照项目实施方案要求逐一进行项目部署安排，提高项目质量及效率性。</w:t>
      </w:r>
    </w:p>
    <w:p>
      <w:pPr>
        <w:spacing w:line="600" w:lineRule="exact"/>
        <w:ind w:firstLine="640" w:firstLineChars="200"/>
        <w:rPr>
          <w:rFonts w:eastAsia="黑体"/>
          <w:sz w:val="32"/>
          <w:szCs w:val="32"/>
        </w:rPr>
      </w:pPr>
      <w:r>
        <w:rPr>
          <w:rFonts w:eastAsia="黑体"/>
          <w:sz w:val="32"/>
          <w:szCs w:val="32"/>
        </w:rPr>
        <w:t>二、绩效评价工作开展情况</w:t>
      </w:r>
    </w:p>
    <w:p>
      <w:pPr>
        <w:spacing w:line="600" w:lineRule="exact"/>
        <w:ind w:firstLine="643" w:firstLineChars="200"/>
        <w:rPr>
          <w:rFonts w:eastAsia="楷体_GB2312"/>
          <w:b/>
          <w:bCs/>
          <w:sz w:val="32"/>
          <w:szCs w:val="32"/>
        </w:rPr>
      </w:pPr>
      <w:r>
        <w:rPr>
          <w:rFonts w:eastAsia="楷体_GB2312"/>
          <w:b/>
          <w:bCs/>
          <w:sz w:val="32"/>
          <w:szCs w:val="32"/>
        </w:rPr>
        <w:t>（一）绩效评价目的、对象和范围</w:t>
      </w:r>
    </w:p>
    <w:p>
      <w:pPr>
        <w:pStyle w:val="18"/>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pPr>
        <w:spacing w:line="60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1"/>
        </w:numPr>
        <w:spacing w:line="60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600" w:lineRule="exact"/>
        <w:ind w:firstLine="640" w:firstLineChars="200"/>
        <w:rPr>
          <w:rFonts w:eastAsia="仿宋_GB2312"/>
          <w:sz w:val="32"/>
          <w:szCs w:val="32"/>
        </w:rPr>
      </w:pPr>
      <w:r>
        <w:rPr>
          <w:rFonts w:eastAsia="仿宋_GB2312"/>
          <w:sz w:val="32"/>
          <w:szCs w:val="32"/>
        </w:rPr>
        <w:t>（2）项目绩效管理财政支出运行提供及时、有效的信息。</w:t>
      </w:r>
    </w:p>
    <w:p>
      <w:pPr>
        <w:spacing w:line="600" w:lineRule="exact"/>
        <w:ind w:firstLine="640" w:firstLineChars="200"/>
        <w:rPr>
          <w:rFonts w:eastAsia="仿宋_GB2312"/>
          <w:sz w:val="32"/>
          <w:szCs w:val="32"/>
        </w:rPr>
      </w:pPr>
      <w:r>
        <w:rPr>
          <w:rFonts w:eastAsia="仿宋_GB2312"/>
          <w:sz w:val="32"/>
          <w:szCs w:val="32"/>
        </w:rPr>
        <w:t>综合来看，通过开展有效的财政支出绩效评价管理，达到改进预算管理、控制节约成本，提高预算资金使用效益的目的。</w:t>
      </w:r>
    </w:p>
    <w:p>
      <w:pPr>
        <w:pStyle w:val="18"/>
        <w:widowControl w:val="0"/>
        <w:spacing w:before="0" w:after="0" w:line="600" w:lineRule="exact"/>
        <w:ind w:firstLine="720" w:firstLineChars="200"/>
        <w:jc w:val="both"/>
        <w:outlineLvl w:val="9"/>
        <w:rPr>
          <w:rFonts w:hint="eastAsia" w:ascii="仿宋_GB2312" w:hAnsi="宋体" w:eastAsia="仿宋_GB2312" w:cs="宋体"/>
          <w:b w:val="0"/>
          <w:bCs w:val="0"/>
          <w:kern w:val="0"/>
          <w:sz w:val="36"/>
          <w:szCs w:val="36"/>
          <w:lang w:val="en-US" w:eastAsia="zh-CN" w:bidi="ar-SA"/>
        </w:rPr>
      </w:pPr>
      <w:r>
        <w:rPr>
          <w:rFonts w:hint="eastAsia" w:ascii="仿宋_GB2312" w:hAnsi="宋体" w:eastAsia="仿宋_GB2312" w:cs="宋体"/>
          <w:b w:val="0"/>
          <w:bCs w:val="0"/>
          <w:kern w:val="0"/>
          <w:sz w:val="36"/>
          <w:szCs w:val="36"/>
          <w:lang w:val="en-US" w:eastAsia="zh-CN" w:bidi="ar-SA"/>
        </w:rPr>
        <w:t>2、绩效评价的对象</w:t>
      </w:r>
    </w:p>
    <w:p>
      <w:pPr>
        <w:spacing w:line="700" w:lineRule="exact"/>
        <w:ind w:firstLine="540" w:firstLineChars="150"/>
        <w:jc w:val="left"/>
        <w:rPr>
          <w:rFonts w:hint="eastAsia" w:ascii="仿宋_GB2312" w:hAnsi="宋体" w:eastAsia="仿宋_GB2312" w:cs="宋体"/>
          <w:kern w:val="0"/>
          <w:sz w:val="36"/>
          <w:szCs w:val="36"/>
          <w:lang w:val="en-US" w:eastAsia="zh-CN"/>
        </w:rPr>
      </w:pPr>
      <w:r>
        <w:rPr>
          <w:rFonts w:hint="eastAsia" w:ascii="仿宋_GB2312" w:hAnsi="宋体" w:eastAsia="仿宋_GB2312" w:cs="宋体"/>
          <w:kern w:val="0"/>
          <w:sz w:val="36"/>
          <w:szCs w:val="36"/>
          <w:lang w:eastAsia="zh-CN"/>
        </w:rPr>
        <w:t>现代畜牧业发展专项资金</w:t>
      </w:r>
      <w:r>
        <w:rPr>
          <w:rFonts w:hint="eastAsia" w:ascii="仿宋_GB2312" w:hAnsi="宋体" w:eastAsia="仿宋_GB2312" w:cs="宋体"/>
          <w:kern w:val="0"/>
          <w:sz w:val="36"/>
          <w:szCs w:val="36"/>
          <w:lang w:val="en-US" w:eastAsia="zh-CN"/>
        </w:rPr>
        <w:t>(现代种畜提升、畜禽遗传资源保护和利用、粪污资源化利用及统计监测等）项目所包含的全部项目内容。</w:t>
      </w:r>
    </w:p>
    <w:p>
      <w:pPr>
        <w:pStyle w:val="18"/>
        <w:widowControl w:val="0"/>
        <w:spacing w:before="0" w:after="0" w:line="600" w:lineRule="exact"/>
        <w:ind w:firstLine="720" w:firstLineChars="200"/>
        <w:jc w:val="both"/>
        <w:outlineLvl w:val="9"/>
        <w:rPr>
          <w:rFonts w:hint="eastAsia" w:ascii="仿宋_GB2312" w:hAnsi="宋体" w:eastAsia="仿宋_GB2312" w:cs="宋体"/>
          <w:b w:val="0"/>
          <w:bCs w:val="0"/>
          <w:kern w:val="0"/>
          <w:sz w:val="36"/>
          <w:szCs w:val="36"/>
          <w:lang w:val="en-US" w:eastAsia="zh-CN" w:bidi="ar-SA"/>
        </w:rPr>
      </w:pPr>
      <w:r>
        <w:rPr>
          <w:rFonts w:hint="eastAsia" w:ascii="仿宋_GB2312" w:hAnsi="宋体" w:eastAsia="仿宋_GB2312" w:cs="宋体"/>
          <w:b w:val="0"/>
          <w:bCs w:val="0"/>
          <w:kern w:val="0"/>
          <w:sz w:val="36"/>
          <w:szCs w:val="36"/>
          <w:lang w:val="en-US" w:eastAsia="zh-CN" w:bidi="ar-SA"/>
        </w:rPr>
        <w:t>3、绩效评价的范围</w:t>
      </w:r>
    </w:p>
    <w:p>
      <w:pPr>
        <w:spacing w:line="576" w:lineRule="exact"/>
        <w:ind w:firstLine="720" w:firstLineChars="200"/>
        <w:rPr>
          <w:rFonts w:hint="eastAsia" w:ascii="仿宋_GB2312" w:hAnsi="宋体" w:eastAsia="仿宋_GB2312" w:cs="宋体"/>
          <w:kern w:val="0"/>
          <w:sz w:val="36"/>
          <w:szCs w:val="36"/>
          <w:lang w:eastAsia="zh-CN"/>
        </w:rPr>
      </w:pPr>
      <w:r>
        <w:rPr>
          <w:rFonts w:hint="eastAsia" w:ascii="仿宋_GB2312" w:hAnsi="宋体" w:eastAsia="仿宋_GB2312" w:cs="宋体"/>
          <w:kern w:val="0"/>
          <w:sz w:val="36"/>
          <w:szCs w:val="36"/>
          <w:lang w:eastAsia="zh-CN"/>
        </w:rPr>
        <w:t>现代畜牧业发展专项资金</w:t>
      </w:r>
      <w:r>
        <w:rPr>
          <w:rFonts w:hint="eastAsia" w:ascii="仿宋_GB2312" w:hAnsi="宋体" w:eastAsia="仿宋_GB2312" w:cs="宋体"/>
          <w:kern w:val="0"/>
          <w:sz w:val="36"/>
          <w:szCs w:val="36"/>
          <w:lang w:val="en-US" w:eastAsia="zh-CN"/>
        </w:rPr>
        <w:t>(现代种畜提升、畜禽遗传资源保护和利用、粪污资源化利用及统计监测等）</w:t>
      </w:r>
      <w:r>
        <w:rPr>
          <w:rFonts w:hint="eastAsia" w:ascii="仿宋_GB2312" w:hAnsi="宋体" w:eastAsia="仿宋_GB2312" w:cs="宋体"/>
          <w:kern w:val="0"/>
          <w:sz w:val="36"/>
          <w:szCs w:val="36"/>
          <w:lang w:eastAsia="zh-CN"/>
        </w:rPr>
        <w:t>项目的决策、过程、产出、效益等。</w:t>
      </w:r>
    </w:p>
    <w:p>
      <w:pPr>
        <w:spacing w:line="600" w:lineRule="exact"/>
        <w:ind w:firstLine="643" w:firstLineChars="200"/>
      </w:pPr>
      <w:r>
        <w:rPr>
          <w:rFonts w:eastAsia="楷体_GB2312"/>
          <w:b/>
          <w:bCs/>
          <w:sz w:val="32"/>
          <w:szCs w:val="32"/>
        </w:rPr>
        <w:t>（二）绩效评价原则、评价指标体系（详情见表1）、评价方法、评价标准。</w:t>
      </w:r>
    </w:p>
    <w:p>
      <w:pPr>
        <w:pStyle w:val="18"/>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pPr>
        <w:spacing w:line="60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18"/>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18"/>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8"/>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18"/>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18"/>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pPr>
        <w:spacing w:line="60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pStyle w:val="18"/>
        <w:numPr>
          <w:ilvl w:val="0"/>
          <w:numId w:val="0"/>
        </w:numPr>
        <w:spacing w:before="0" w:after="0" w:line="600" w:lineRule="exact"/>
        <w:ind w:firstLine="711" w:firstLineChars="200"/>
        <w:jc w:val="both"/>
        <w:rPr>
          <w:rFonts w:hint="eastAsia" w:ascii="Times New Roman" w:hAnsi="Times New Roman" w:eastAsia="仿宋_GB2312" w:cs="Times New Roman"/>
          <w:b w:val="0"/>
          <w:bCs w:val="0"/>
          <w:kern w:val="2"/>
          <w:sz w:val="32"/>
          <w:szCs w:val="32"/>
          <w:lang w:val="en-US" w:eastAsia="zh-CN" w:bidi="ar-SA"/>
        </w:rPr>
      </w:pPr>
      <w:r>
        <w:rPr>
          <w:rFonts w:eastAsia="仿宋_GB2312"/>
          <w:color w:val="000000"/>
          <w:spacing w:val="17"/>
          <w:sz w:val="32"/>
          <w:szCs w:val="32"/>
        </w:rPr>
        <w:t>确定各个指标相对于项目总体绩效的权重分值。在</w:t>
      </w:r>
      <w:r>
        <w:rPr>
          <w:rFonts w:hint="eastAsia" w:ascii="Times New Roman" w:hAnsi="Times New Roman" w:eastAsia="仿宋_GB2312" w:cs="Times New Roman"/>
          <w:b w:val="0"/>
          <w:bCs w:val="0"/>
          <w:kern w:val="2"/>
          <w:sz w:val="32"/>
          <w:szCs w:val="32"/>
          <w:lang w:val="en-US" w:eastAsia="zh-CN" w:bidi="ar-SA"/>
        </w:rPr>
        <w:t>绩效评价指标体系中，项目决策权重为5分，项目过程权重为5分，项目产出权重为50分，项目效益权重为40分。</w:t>
      </w:r>
    </w:p>
    <w:p>
      <w:pPr>
        <w:pStyle w:val="18"/>
        <w:numPr>
          <w:ilvl w:val="0"/>
          <w:numId w:val="0"/>
        </w:numPr>
        <w:spacing w:before="0" w:after="0" w:line="600" w:lineRule="exact"/>
        <w:ind w:firstLine="640" w:firstLineChars="200"/>
        <w:jc w:val="both"/>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（3）确定指标标准值</w:t>
      </w:r>
    </w:p>
    <w:p>
      <w:pPr>
        <w:pStyle w:val="18"/>
        <w:numPr>
          <w:ilvl w:val="0"/>
          <w:numId w:val="0"/>
        </w:numPr>
        <w:spacing w:before="0" w:after="0" w:line="600" w:lineRule="exact"/>
        <w:ind w:firstLine="640" w:firstLineChars="200"/>
        <w:jc w:val="both"/>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指标标准值是绩效评价指标的尺度，既要反映同类项目的先进水平，又要符合项目的实际绩效水平。具体采用计划标准等确定此次绩效评价指标标准值。</w:t>
      </w:r>
    </w:p>
    <w:p>
      <w:pPr>
        <w:pStyle w:val="18"/>
        <w:numPr>
          <w:ilvl w:val="0"/>
          <w:numId w:val="0"/>
        </w:numPr>
        <w:spacing w:before="0" w:after="0" w:line="600" w:lineRule="exact"/>
        <w:ind w:firstLine="640" w:firstLineChars="200"/>
        <w:jc w:val="both"/>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8"/>
        <w:numPr>
          <w:ilvl w:val="0"/>
          <w:numId w:val="0"/>
        </w:numPr>
        <w:spacing w:before="0" w:after="0" w:line="600" w:lineRule="exact"/>
        <w:ind w:firstLine="640" w:firstLineChars="200"/>
        <w:jc w:val="both"/>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具体评价指标体系详情见附件1</w:t>
      </w:r>
    </w:p>
    <w:p>
      <w:pPr>
        <w:pStyle w:val="18"/>
        <w:numPr>
          <w:ilvl w:val="0"/>
          <w:numId w:val="0"/>
        </w:numPr>
        <w:spacing w:before="0" w:after="0" w:line="600" w:lineRule="exact"/>
        <w:ind w:firstLine="640" w:firstLineChars="200"/>
        <w:jc w:val="both"/>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3、绩效评价方法</w:t>
      </w:r>
    </w:p>
    <w:p>
      <w:pPr>
        <w:pStyle w:val="18"/>
        <w:numPr>
          <w:ilvl w:val="0"/>
          <w:numId w:val="0"/>
        </w:numPr>
        <w:spacing w:before="0" w:after="0" w:line="600" w:lineRule="exact"/>
        <w:ind w:firstLine="640" w:firstLineChars="200"/>
        <w:jc w:val="both"/>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绩效评价从项目决策、项目过程、项目产出、项目效益四个维度进行评价。评价对象为项目目标实施情况，  评价核心为资金的支出完成情况和项目的产出效益。</w:t>
      </w:r>
    </w:p>
    <w:p>
      <w:pPr>
        <w:pStyle w:val="18"/>
        <w:numPr>
          <w:ilvl w:val="0"/>
          <w:numId w:val="0"/>
        </w:numPr>
        <w:spacing w:before="0" w:after="0" w:line="600" w:lineRule="exact"/>
        <w:ind w:firstLine="640" w:firstLineChars="200"/>
        <w:jc w:val="both"/>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本次评价指标中，既有定性指标又有定量指标，各类指标因考核内容不同和客观标准不同存在较大差异，因此核定具体指标时采用了不同方法，具体评价方法如下：</w:t>
      </w:r>
    </w:p>
    <w:p>
      <w:pPr>
        <w:pStyle w:val="18"/>
        <w:numPr>
          <w:ilvl w:val="0"/>
          <w:numId w:val="0"/>
        </w:numPr>
        <w:spacing w:before="0" w:after="0" w:line="600" w:lineRule="exact"/>
        <w:ind w:firstLine="640" w:firstLineChars="200"/>
        <w:jc w:val="both"/>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（1）比较法</w:t>
      </w:r>
    </w:p>
    <w:p>
      <w:pPr>
        <w:pStyle w:val="18"/>
        <w:numPr>
          <w:ilvl w:val="0"/>
          <w:numId w:val="0"/>
        </w:numPr>
        <w:spacing w:before="0" w:after="0" w:line="600" w:lineRule="exact"/>
        <w:ind w:firstLine="640" w:firstLineChars="200"/>
        <w:jc w:val="both"/>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通过对绩效目标与实施效果、历史与当期情况，综合分析绩效目标实现程度。对项目最终验收情况与年度绩效目标对比、预算资金执行情况等相关因素进行比较。</w:t>
      </w:r>
    </w:p>
    <w:p>
      <w:pPr>
        <w:pStyle w:val="18"/>
        <w:numPr>
          <w:ilvl w:val="0"/>
          <w:numId w:val="0"/>
        </w:numPr>
        <w:spacing w:before="0" w:after="0" w:line="600" w:lineRule="exact"/>
        <w:ind w:firstLine="640" w:firstLineChars="200"/>
        <w:jc w:val="both"/>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（2）因素分析法</w:t>
      </w:r>
    </w:p>
    <w:p>
      <w:pPr>
        <w:pStyle w:val="18"/>
        <w:numPr>
          <w:ilvl w:val="0"/>
          <w:numId w:val="0"/>
        </w:numPr>
        <w:spacing w:before="0" w:after="0" w:line="600" w:lineRule="exact"/>
        <w:ind w:firstLine="640" w:firstLineChars="200"/>
        <w:jc w:val="both"/>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pStyle w:val="18"/>
        <w:numPr>
          <w:ilvl w:val="0"/>
          <w:numId w:val="0"/>
        </w:numPr>
        <w:spacing w:before="0" w:after="0" w:line="600" w:lineRule="exact"/>
        <w:ind w:firstLine="640" w:firstLineChars="200"/>
        <w:jc w:val="both"/>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4、评价标准</w:t>
      </w:r>
    </w:p>
    <w:p>
      <w:pPr>
        <w:pStyle w:val="18"/>
        <w:numPr>
          <w:ilvl w:val="0"/>
          <w:numId w:val="0"/>
        </w:numPr>
        <w:spacing w:before="0" w:after="0" w:line="600" w:lineRule="exact"/>
        <w:ind w:firstLine="640" w:firstLineChars="200"/>
        <w:jc w:val="both"/>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绩效评价标准通常包括计划标准、行业标准、历史标准等，用于对绩效指标完成情况进行比较。本次评价主要采用了计划标准和行业标准。</w:t>
      </w:r>
    </w:p>
    <w:p>
      <w:pPr>
        <w:pStyle w:val="18"/>
        <w:numPr>
          <w:ilvl w:val="0"/>
          <w:numId w:val="2"/>
        </w:numPr>
        <w:spacing w:before="0" w:after="0" w:line="60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pPr>
        <w:numPr>
          <w:ilvl w:val="0"/>
          <w:numId w:val="3"/>
        </w:numPr>
        <w:spacing w:line="600" w:lineRule="exact"/>
        <w:ind w:firstLine="640" w:firstLineChars="200"/>
        <w:rPr>
          <w:rFonts w:eastAsia="仿宋_GB2312"/>
          <w:bCs/>
          <w:sz w:val="32"/>
          <w:szCs w:val="32"/>
        </w:rPr>
      </w:pP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numPr>
          <w:ilvl w:val="0"/>
          <w:numId w:val="3"/>
        </w:numPr>
        <w:spacing w:line="600" w:lineRule="exact"/>
        <w:ind w:firstLine="640" w:firstLineChars="200"/>
        <w:rPr>
          <w:rFonts w:eastAsia="仿宋_GB2312"/>
          <w:bCs/>
          <w:sz w:val="32"/>
          <w:szCs w:val="32"/>
        </w:rPr>
      </w:pP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3"/>
        </w:numPr>
        <w:spacing w:line="600" w:lineRule="exact"/>
        <w:ind w:firstLine="640" w:firstLineChars="200"/>
        <w:rPr>
          <w:sz w:val="32"/>
          <w:szCs w:val="32"/>
        </w:rPr>
      </w:pP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4"/>
        </w:numPr>
        <w:spacing w:line="600" w:lineRule="exact"/>
        <w:ind w:firstLine="640" w:firstLineChars="200"/>
        <w:rPr>
          <w:rFonts w:eastAsia="黑体"/>
          <w:sz w:val="32"/>
          <w:szCs w:val="32"/>
        </w:rPr>
      </w:pPr>
      <w:r>
        <w:rPr>
          <w:rFonts w:eastAsia="黑体"/>
          <w:sz w:val="32"/>
          <w:szCs w:val="32"/>
        </w:rPr>
        <w:t>综合评价情况及评价结论（附相关评分表）</w:t>
      </w:r>
    </w:p>
    <w:p>
      <w:pPr>
        <w:pStyle w:val="18"/>
        <w:numPr>
          <w:ilvl w:val="0"/>
          <w:numId w:val="0"/>
        </w:numPr>
        <w:spacing w:before="0" w:after="0" w:line="600" w:lineRule="exact"/>
        <w:ind w:firstLine="640" w:firstLineChars="200"/>
        <w:jc w:val="both"/>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对现代畜牧业发展专项资金(现代种畜提升、畜禽遗传资源保护和利用、粪污资源化利用及统计监测等）项目进行客观评价，最终评分结果：总得分为98分，属于“优”。其中，项目决策类指标权重为20分，得分为 20分，得分率为100%。项目过程类指标权重为20分，得分为20分，得分率为 100%。项目产出类指标权重为40分，得分为39分，得分率为 97.5%。项目效益类指标权重为20分，得分为19分，得分率为95%。</w:t>
      </w:r>
    </w:p>
    <w:p>
      <w:pPr>
        <w:pStyle w:val="18"/>
        <w:rPr>
          <w:rFonts w:ascii="Times New Roman" w:hAnsi="Times New Roman" w:eastAsia="仿宋_GB2312"/>
          <w:sz w:val="30"/>
          <w:szCs w:val="30"/>
        </w:rPr>
      </w:pPr>
      <w:r>
        <w:rPr>
          <w:rFonts w:ascii="Times New Roman" w:hAnsi="Times New Roman" w:eastAsia="仿宋_GB2312"/>
          <w:sz w:val="30"/>
          <w:szCs w:val="30"/>
        </w:rPr>
        <w:t>表1综合评分表</w:t>
      </w:r>
    </w:p>
    <w:p/>
    <w:p/>
    <w:tbl>
      <w:tblPr>
        <w:tblStyle w:val="21"/>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p>
            <w:pPr>
              <w:widowControl/>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pPr>
              <w:widowControl/>
              <w:spacing w:line="0" w:lineRule="atLeast"/>
              <w:jc w:val="center"/>
              <w:rPr>
                <w:rFonts w:hint="eastAsia"/>
                <w:color w:val="000000"/>
                <w:kern w:val="0"/>
                <w:sz w:val="22"/>
                <w:szCs w:val="22"/>
                <w:lang w:eastAsia="zh-CN"/>
              </w:rPr>
            </w:pPr>
            <w:r>
              <w:rPr>
                <w:rFonts w:hint="eastAsia"/>
                <w:color w:val="000000"/>
                <w:kern w:val="0"/>
                <w:sz w:val="22"/>
                <w:szCs w:val="22"/>
                <w:lang w:val="en-US" w:eastAsia="zh-CN"/>
              </w:rPr>
              <w:t>100%</w:t>
            </w:r>
          </w:p>
        </w:tc>
        <w:tc>
          <w:tcPr>
            <w:tcW w:w="960" w:type="dxa"/>
            <w:shd w:val="clear" w:color="auto" w:fill="FFFFFF"/>
            <w:vAlign w:val="center"/>
          </w:tcPr>
          <w:p>
            <w:pPr>
              <w:widowControl/>
              <w:spacing w:line="0" w:lineRule="atLeast"/>
              <w:jc w:val="center"/>
              <w:rPr>
                <w:rFonts w:hint="eastAsia"/>
                <w:color w:val="000000"/>
                <w:kern w:val="0"/>
                <w:sz w:val="22"/>
                <w:szCs w:val="22"/>
                <w:lang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pPr>
              <w:widowControl/>
              <w:spacing w:line="0" w:lineRule="atLeast"/>
              <w:jc w:val="center"/>
              <w:rPr>
                <w:rFonts w:hint="eastAsia"/>
                <w:color w:val="000000"/>
                <w:kern w:val="0"/>
                <w:sz w:val="22"/>
                <w:szCs w:val="22"/>
                <w:lang w:eastAsia="zh-CN"/>
              </w:rPr>
            </w:pPr>
            <w:r>
              <w:rPr>
                <w:rFonts w:hint="eastAsia"/>
                <w:color w:val="000000"/>
                <w:kern w:val="0"/>
                <w:sz w:val="22"/>
                <w:szCs w:val="22"/>
                <w:lang w:val="en-US" w:eastAsia="zh-CN"/>
              </w:rPr>
              <w:t>100%</w:t>
            </w:r>
          </w:p>
        </w:tc>
        <w:tc>
          <w:tcPr>
            <w:tcW w:w="960" w:type="dxa"/>
            <w:shd w:val="clear" w:color="000000" w:fill="FFFFFF"/>
            <w:vAlign w:val="center"/>
          </w:tcPr>
          <w:p>
            <w:pPr>
              <w:widowControl/>
              <w:spacing w:line="0" w:lineRule="atLeast"/>
              <w:jc w:val="center"/>
              <w:rPr>
                <w:rFonts w:hint="eastAsia"/>
                <w:color w:val="000000"/>
                <w:kern w:val="0"/>
                <w:sz w:val="22"/>
                <w:szCs w:val="22"/>
                <w:lang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960" w:type="dxa"/>
            <w:shd w:val="clear" w:color="000000" w:fill="FFFFFF"/>
            <w:vAlign w:val="center"/>
          </w:tcPr>
          <w:p>
            <w:pPr>
              <w:widowControl/>
              <w:spacing w:line="0" w:lineRule="atLeast"/>
              <w:jc w:val="center"/>
              <w:rPr>
                <w:rFonts w:hint="eastAsia"/>
                <w:color w:val="000000"/>
                <w:kern w:val="0"/>
                <w:sz w:val="22"/>
                <w:szCs w:val="22"/>
                <w:lang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960" w:type="dxa"/>
            <w:shd w:val="clear" w:color="auto" w:fill="FFFFFF"/>
            <w:vAlign w:val="center"/>
          </w:tcPr>
          <w:p>
            <w:pPr>
              <w:widowControl/>
              <w:spacing w:line="0" w:lineRule="atLeast"/>
              <w:jc w:val="center"/>
              <w:rPr>
                <w:rFonts w:hint="eastAsia"/>
                <w:color w:val="000000"/>
                <w:kern w:val="0"/>
                <w:sz w:val="22"/>
                <w:szCs w:val="22"/>
                <w:lang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p>
        </w:tc>
        <w:tc>
          <w:tcPr>
            <w:tcW w:w="960" w:type="dxa"/>
            <w:shd w:val="clear" w:color="auto" w:fill="FFFFFF"/>
            <w:vAlign w:val="center"/>
          </w:tcPr>
          <w:p>
            <w:pPr>
              <w:widowControl/>
              <w:spacing w:line="0" w:lineRule="atLeast"/>
              <w:jc w:val="center"/>
              <w:rPr>
                <w:rFonts w:hint="eastAsia"/>
                <w:color w:val="000000"/>
                <w:kern w:val="0"/>
                <w:sz w:val="22"/>
                <w:szCs w:val="22"/>
                <w:lang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p>
            <w:pPr>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1215"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960" w:type="dxa"/>
            <w:shd w:val="clear" w:color="000000" w:fill="FFFFFF"/>
            <w:vAlign w:val="center"/>
          </w:tcPr>
          <w:p>
            <w:pPr>
              <w:widowControl/>
              <w:spacing w:line="0" w:lineRule="atLeast"/>
              <w:jc w:val="center"/>
              <w:rPr>
                <w:rFonts w:hint="eastAsia"/>
                <w:color w:val="000000"/>
                <w:kern w:val="0"/>
                <w:sz w:val="22"/>
                <w:szCs w:val="22"/>
                <w:lang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continue"/>
            <w:shd w:val="clear" w:color="auto" w:fill="FFFFFF"/>
            <w:vAlign w:val="center"/>
          </w:tcPr>
          <w:p>
            <w:pPr>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1215" w:type="dxa"/>
            <w:shd w:val="clear" w:color="auto"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960" w:type="dxa"/>
            <w:shd w:val="clear" w:color="auto"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960"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960"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960"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1215"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960"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1215"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960"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及时</w:t>
            </w:r>
          </w:p>
        </w:tc>
        <w:tc>
          <w:tcPr>
            <w:tcW w:w="1215"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960"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1215"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90%</w:t>
            </w:r>
          </w:p>
        </w:tc>
        <w:tc>
          <w:tcPr>
            <w:tcW w:w="960"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p>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15</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有效</w:t>
            </w:r>
          </w:p>
        </w:tc>
        <w:tc>
          <w:tcPr>
            <w:tcW w:w="1215" w:type="dxa"/>
            <w:shd w:val="clear" w:color="auto"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960" w:type="dxa"/>
            <w:shd w:val="clear" w:color="auto"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5</w:t>
            </w:r>
          </w:p>
        </w:tc>
        <w:tc>
          <w:tcPr>
            <w:tcW w:w="1044" w:type="dxa"/>
            <w:shd w:val="clear" w:color="000000" w:fill="FFFFFF"/>
            <w:vAlign w:val="center"/>
          </w:tcPr>
          <w:p>
            <w:pPr>
              <w:widowControl/>
              <w:spacing w:line="0" w:lineRule="atLeast"/>
              <w:jc w:val="center"/>
              <w:rPr>
                <w:color w:val="000000"/>
                <w:kern w:val="0"/>
                <w:sz w:val="22"/>
                <w:szCs w:val="22"/>
                <w:highlight w:val="yellow"/>
              </w:rPr>
            </w:pPr>
            <w:r>
              <w:rPr>
                <w:rFonts w:hint="eastAsia"/>
                <w:color w:val="000000"/>
                <w:kern w:val="0"/>
                <w:sz w:val="22"/>
                <w:szCs w:val="22"/>
                <w:lang w:val="en-US" w:eastAsia="zh-CN"/>
              </w:rPr>
              <w:t>≥90%</w:t>
            </w:r>
          </w:p>
        </w:tc>
        <w:tc>
          <w:tcPr>
            <w:tcW w:w="924"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95%</w:t>
            </w:r>
          </w:p>
        </w:tc>
        <w:tc>
          <w:tcPr>
            <w:tcW w:w="1215"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100%</w:t>
            </w:r>
          </w:p>
        </w:tc>
        <w:tc>
          <w:tcPr>
            <w:tcW w:w="960" w:type="dxa"/>
            <w:shd w:val="clear" w:color="000000" w:fill="FFFFFF"/>
            <w:vAlign w:val="center"/>
          </w:tcPr>
          <w:p>
            <w:pPr>
              <w:widowControl/>
              <w:spacing w:line="0" w:lineRule="atLeast"/>
              <w:jc w:val="center"/>
              <w:rPr>
                <w:rFonts w:hint="eastAsia"/>
                <w:color w:val="000000"/>
                <w:kern w:val="0"/>
                <w:sz w:val="22"/>
                <w:szCs w:val="22"/>
                <w:lang w:val="en-US" w:eastAsia="zh-CN"/>
              </w:rPr>
            </w:pPr>
            <w:r>
              <w:rPr>
                <w:rFonts w:hint="eastAsia"/>
                <w:color w:val="000000"/>
                <w:kern w:val="0"/>
                <w:sz w:val="22"/>
                <w:szCs w:val="22"/>
                <w:lang w:val="en-US" w:eastAsia="zh-CN"/>
              </w:rPr>
              <w:t>5</w:t>
            </w:r>
          </w:p>
        </w:tc>
      </w:tr>
    </w:tbl>
    <w:p>
      <w:pPr>
        <w:spacing w:line="600" w:lineRule="exact"/>
        <w:ind w:firstLine="320" w:firstLineChars="100"/>
        <w:rPr>
          <w:rFonts w:eastAsia="黑体"/>
          <w:sz w:val="32"/>
          <w:szCs w:val="32"/>
        </w:rPr>
      </w:pPr>
      <w:r>
        <w:rPr>
          <w:rFonts w:eastAsia="黑体"/>
          <w:sz w:val="32"/>
          <w:szCs w:val="32"/>
        </w:rPr>
        <w:t>四、绩效评价指标分析</w:t>
      </w:r>
    </w:p>
    <w:p>
      <w:pPr>
        <w:pStyle w:val="18"/>
        <w:ind w:firstLine="321" w:firstLineChars="100"/>
        <w:jc w:val="both"/>
        <w:rPr>
          <w:rFonts w:ascii="Times New Roman" w:hAnsi="Times New Roman" w:eastAsia="楷体_GB2312"/>
        </w:rPr>
      </w:pPr>
      <w:r>
        <w:rPr>
          <w:rFonts w:ascii="Times New Roman" w:hAnsi="Times New Roman" w:eastAsia="楷体_GB2312"/>
        </w:rPr>
        <w:t>（一）项目决策情况</w:t>
      </w:r>
    </w:p>
    <w:p>
      <w:pPr>
        <w:spacing w:line="600" w:lineRule="exact"/>
        <w:ind w:firstLine="640" w:firstLineChars="200"/>
        <w:outlineLvl w:val="0"/>
        <w:rPr>
          <w:rFonts w:hint="eastAsia" w:eastAsia="仿宋_GB2312"/>
          <w:bCs/>
          <w:sz w:val="32"/>
          <w:szCs w:val="32"/>
          <w:lang w:eastAsia="zh-CN"/>
        </w:rPr>
      </w:pPr>
      <w:r>
        <w:rPr>
          <w:rFonts w:hint="eastAsia" w:ascii="仿宋_GB2312" w:hAnsi="仿宋_GB2312" w:eastAsia="仿宋_GB2312" w:cs="仿宋_GB2312"/>
          <w:sz w:val="32"/>
          <w:szCs w:val="32"/>
        </w:rPr>
        <w:t>项目立项符合法律法规、相关政策及部门职责，能反映和考核项目立项依据情况，项目申请、设立过程符合相关要求，</w:t>
      </w:r>
      <w:r>
        <w:rPr>
          <w:rFonts w:hint="eastAsia" w:eastAsia="仿宋_GB2312"/>
          <w:bCs/>
          <w:sz w:val="32"/>
          <w:szCs w:val="32"/>
          <w:lang w:eastAsia="zh-CN"/>
        </w:rPr>
        <w:t>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pPr>
        <w:pStyle w:val="18"/>
        <w:ind w:firstLine="321" w:firstLineChars="100"/>
        <w:jc w:val="both"/>
        <w:rPr>
          <w:rFonts w:ascii="Times New Roman" w:hAnsi="Times New Roman" w:eastAsia="楷体_GB2312"/>
        </w:rPr>
      </w:pPr>
      <w:r>
        <w:rPr>
          <w:rFonts w:hint="eastAsia" w:ascii="Times New Roman" w:hAnsi="Times New Roman" w:eastAsia="楷体_GB2312"/>
        </w:rPr>
        <w:t>（二）</w:t>
      </w:r>
      <w:r>
        <w:rPr>
          <w:rFonts w:ascii="Times New Roman" w:hAnsi="Times New Roman" w:eastAsia="楷体_GB2312"/>
        </w:rPr>
        <w:t>项目过程情况</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spacing w:line="540" w:lineRule="exact"/>
        <w:ind w:firstLine="640"/>
        <w:rPr>
          <w:rStyle w:val="23"/>
          <w:rFonts w:hint="eastAsia" w:ascii="仿宋_GB2312" w:hAnsi="楷体" w:eastAsia="仿宋_GB2312"/>
          <w:spacing w:val="-4"/>
          <w:sz w:val="32"/>
          <w:szCs w:val="32"/>
        </w:rPr>
      </w:pPr>
      <w:r>
        <w:rPr>
          <w:rStyle w:val="23"/>
          <w:rFonts w:hint="eastAsia" w:ascii="仿宋_GB2312" w:hAnsi="楷体" w:eastAsia="仿宋_GB2312"/>
          <w:spacing w:val="-4"/>
          <w:sz w:val="32"/>
          <w:szCs w:val="32"/>
          <w:lang w:val="en-US" w:eastAsia="zh-CN"/>
        </w:rPr>
        <w:t>1</w:t>
      </w:r>
      <w:r>
        <w:rPr>
          <w:rStyle w:val="23"/>
          <w:rFonts w:hint="eastAsia" w:ascii="仿宋_GB2312" w:hAnsi="楷体" w:eastAsia="仿宋_GB2312"/>
          <w:spacing w:val="-4"/>
          <w:sz w:val="32"/>
          <w:szCs w:val="32"/>
        </w:rPr>
        <w:t>项目资金安排</w:t>
      </w:r>
      <w:r>
        <w:rPr>
          <w:rStyle w:val="23"/>
          <w:rFonts w:hint="eastAsia" w:ascii="仿宋_GB2312" w:hAnsi="楷体" w:eastAsia="仿宋_GB2312"/>
          <w:spacing w:val="-4"/>
          <w:sz w:val="32"/>
          <w:szCs w:val="32"/>
          <w:lang w:eastAsia="zh-CN"/>
        </w:rPr>
        <w:t>落实</w:t>
      </w:r>
      <w:r>
        <w:rPr>
          <w:rStyle w:val="23"/>
          <w:rFonts w:hint="eastAsia" w:ascii="仿宋_GB2312" w:hAnsi="楷体" w:eastAsia="仿宋_GB2312"/>
          <w:spacing w:val="-4"/>
          <w:sz w:val="32"/>
          <w:szCs w:val="32"/>
        </w:rPr>
        <w:t>、总投入等情况</w:t>
      </w:r>
    </w:p>
    <w:p>
      <w:pPr>
        <w:spacing w:line="600" w:lineRule="exact"/>
        <w:ind w:firstLine="640" w:firstLineChars="200"/>
        <w:outlineLvl w:val="0"/>
        <w:rPr>
          <w:rFonts w:hint="eastAsia" w:eastAsia="仿宋_GB2312"/>
          <w:bCs/>
          <w:sz w:val="32"/>
          <w:szCs w:val="32"/>
          <w:lang w:eastAsia="zh-CN"/>
        </w:rPr>
      </w:pPr>
      <w:r>
        <w:rPr>
          <w:rFonts w:hint="eastAsia" w:eastAsia="仿宋_GB2312"/>
          <w:bCs/>
          <w:sz w:val="32"/>
          <w:szCs w:val="32"/>
          <w:lang w:eastAsia="zh-CN"/>
        </w:rPr>
        <w:t>项目资金总额为</w:t>
      </w:r>
      <w:r>
        <w:rPr>
          <w:rFonts w:hint="eastAsia" w:eastAsia="仿宋_GB2312"/>
          <w:bCs/>
          <w:sz w:val="32"/>
          <w:szCs w:val="32"/>
          <w:lang w:val="en-US" w:eastAsia="zh-CN"/>
        </w:rPr>
        <w:t>346</w:t>
      </w:r>
      <w:r>
        <w:rPr>
          <w:rFonts w:hint="eastAsia" w:eastAsia="仿宋_GB2312"/>
          <w:bCs/>
          <w:sz w:val="32"/>
          <w:szCs w:val="32"/>
          <w:lang w:eastAsia="zh-CN"/>
        </w:rPr>
        <w:t>万元，全部为财政专项资金，资金的使用方向为：</w:t>
      </w:r>
    </w:p>
    <w:p>
      <w:pPr>
        <w:spacing w:line="600" w:lineRule="exact"/>
        <w:ind w:firstLine="640" w:firstLineChars="200"/>
        <w:outlineLvl w:val="0"/>
        <w:rPr>
          <w:rFonts w:hint="eastAsia" w:eastAsia="仿宋_GB2312"/>
          <w:bCs/>
          <w:sz w:val="32"/>
          <w:szCs w:val="32"/>
          <w:lang w:eastAsia="zh-CN"/>
        </w:rPr>
      </w:pPr>
      <w:r>
        <w:rPr>
          <w:rFonts w:hint="eastAsia" w:eastAsia="仿宋_GB2312"/>
          <w:bCs/>
          <w:sz w:val="32"/>
          <w:szCs w:val="32"/>
          <w:lang w:val="en-US" w:eastAsia="zh-CN"/>
        </w:rPr>
        <w:t>(</w:t>
      </w:r>
      <w:r>
        <w:rPr>
          <w:rFonts w:hint="eastAsia" w:eastAsia="仿宋_GB2312"/>
          <w:bCs/>
          <w:sz w:val="32"/>
          <w:szCs w:val="32"/>
          <w:lang w:eastAsia="zh-CN"/>
        </w:rPr>
        <w:t>1</w:t>
      </w:r>
      <w:r>
        <w:rPr>
          <w:rFonts w:hint="eastAsia" w:eastAsia="仿宋_GB2312"/>
          <w:bCs/>
          <w:sz w:val="32"/>
          <w:szCs w:val="32"/>
          <w:lang w:val="en-US" w:eastAsia="zh-CN"/>
        </w:rPr>
        <w:t>)</w:t>
      </w:r>
      <w:r>
        <w:rPr>
          <w:rFonts w:hint="eastAsia" w:eastAsia="仿宋_GB2312"/>
          <w:bCs/>
          <w:sz w:val="32"/>
          <w:szCs w:val="32"/>
          <w:lang w:eastAsia="zh-CN"/>
        </w:rPr>
        <w:t>.畜禽良种繁育推广与应用成本畜禽良种繁育推广与应用成本</w:t>
      </w:r>
      <w:r>
        <w:rPr>
          <w:rFonts w:hint="eastAsia" w:eastAsia="仿宋_GB2312"/>
          <w:bCs/>
          <w:sz w:val="32"/>
          <w:szCs w:val="32"/>
          <w:lang w:val="en-US" w:eastAsia="zh-CN"/>
        </w:rPr>
        <w:t>173</w:t>
      </w:r>
      <w:r>
        <w:rPr>
          <w:rFonts w:hint="eastAsia" w:eastAsia="仿宋_GB2312"/>
          <w:bCs/>
          <w:sz w:val="32"/>
          <w:szCs w:val="32"/>
          <w:lang w:eastAsia="zh-CN"/>
        </w:rPr>
        <w:t>万元）</w:t>
      </w:r>
    </w:p>
    <w:p>
      <w:pPr>
        <w:spacing w:line="600" w:lineRule="exact"/>
        <w:ind w:firstLine="640" w:firstLineChars="200"/>
        <w:outlineLvl w:val="0"/>
        <w:rPr>
          <w:rFonts w:hint="eastAsia" w:eastAsia="仿宋_GB2312"/>
          <w:bCs/>
          <w:sz w:val="32"/>
          <w:szCs w:val="32"/>
          <w:lang w:eastAsia="zh-CN"/>
        </w:rPr>
      </w:pPr>
      <w:r>
        <w:rPr>
          <w:rFonts w:hint="eastAsia" w:eastAsia="仿宋_GB2312"/>
          <w:bCs/>
          <w:sz w:val="32"/>
          <w:szCs w:val="32"/>
          <w:lang w:val="en-US" w:eastAsia="zh-CN"/>
        </w:rPr>
        <w:t>(</w:t>
      </w:r>
      <w:r>
        <w:rPr>
          <w:rFonts w:hint="eastAsia" w:eastAsia="仿宋_GB2312"/>
          <w:bCs/>
          <w:sz w:val="32"/>
          <w:szCs w:val="32"/>
          <w:lang w:eastAsia="zh-CN"/>
        </w:rPr>
        <w:t>2</w:t>
      </w:r>
      <w:r>
        <w:rPr>
          <w:rFonts w:hint="eastAsia" w:eastAsia="仿宋_GB2312"/>
          <w:bCs/>
          <w:sz w:val="32"/>
          <w:szCs w:val="32"/>
          <w:lang w:val="en-US" w:eastAsia="zh-CN"/>
        </w:rPr>
        <w:t>)</w:t>
      </w:r>
      <w:r>
        <w:rPr>
          <w:rFonts w:hint="eastAsia" w:eastAsia="仿宋_GB2312"/>
          <w:bCs/>
          <w:sz w:val="32"/>
          <w:szCs w:val="32"/>
          <w:lang w:eastAsia="zh-CN"/>
        </w:rPr>
        <w:t>.畜禽遗传资源保护与利用成本（</w:t>
      </w:r>
      <w:r>
        <w:rPr>
          <w:rFonts w:hint="eastAsia" w:eastAsia="仿宋_GB2312"/>
          <w:bCs/>
          <w:sz w:val="32"/>
          <w:szCs w:val="32"/>
          <w:lang w:val="en-US" w:eastAsia="zh-CN"/>
        </w:rPr>
        <w:t>71</w:t>
      </w:r>
      <w:r>
        <w:rPr>
          <w:rFonts w:hint="eastAsia" w:eastAsia="仿宋_GB2312"/>
          <w:bCs/>
          <w:sz w:val="32"/>
          <w:szCs w:val="32"/>
          <w:lang w:eastAsia="zh-CN"/>
        </w:rPr>
        <w:t>万元）</w:t>
      </w:r>
    </w:p>
    <w:p>
      <w:pPr>
        <w:spacing w:line="600" w:lineRule="exact"/>
        <w:ind w:firstLine="640" w:firstLineChars="200"/>
        <w:outlineLvl w:val="0"/>
        <w:rPr>
          <w:rFonts w:hint="eastAsia" w:eastAsia="仿宋_GB2312"/>
          <w:bCs/>
          <w:sz w:val="32"/>
          <w:szCs w:val="32"/>
          <w:lang w:eastAsia="zh-CN"/>
        </w:rPr>
      </w:pPr>
      <w:r>
        <w:rPr>
          <w:rFonts w:hint="eastAsia" w:eastAsia="仿宋_GB2312"/>
          <w:bCs/>
          <w:sz w:val="32"/>
          <w:szCs w:val="32"/>
          <w:lang w:val="en-US" w:eastAsia="zh-CN"/>
        </w:rPr>
        <w:t>(</w:t>
      </w:r>
      <w:r>
        <w:rPr>
          <w:rFonts w:hint="eastAsia" w:eastAsia="仿宋_GB2312"/>
          <w:bCs/>
          <w:sz w:val="32"/>
          <w:szCs w:val="32"/>
          <w:lang w:eastAsia="zh-CN"/>
        </w:rPr>
        <w:t>3</w:t>
      </w:r>
      <w:r>
        <w:rPr>
          <w:rFonts w:hint="eastAsia" w:eastAsia="仿宋_GB2312"/>
          <w:bCs/>
          <w:sz w:val="32"/>
          <w:szCs w:val="32"/>
          <w:lang w:val="en-US" w:eastAsia="zh-CN"/>
        </w:rPr>
        <w:t>)</w:t>
      </w:r>
      <w:r>
        <w:rPr>
          <w:rFonts w:hint="eastAsia" w:eastAsia="仿宋_GB2312"/>
          <w:bCs/>
          <w:sz w:val="32"/>
          <w:szCs w:val="32"/>
          <w:lang w:eastAsia="zh-CN"/>
        </w:rPr>
        <w:t>.畜禽粪污资源化利用及统计监测成本（</w:t>
      </w:r>
      <w:r>
        <w:rPr>
          <w:rFonts w:hint="eastAsia" w:eastAsia="仿宋_GB2312"/>
          <w:bCs/>
          <w:sz w:val="32"/>
          <w:szCs w:val="32"/>
          <w:lang w:val="en-US" w:eastAsia="zh-CN"/>
        </w:rPr>
        <w:t>46.5</w:t>
      </w:r>
      <w:r>
        <w:rPr>
          <w:rFonts w:hint="eastAsia" w:eastAsia="仿宋_GB2312"/>
          <w:bCs/>
          <w:sz w:val="32"/>
          <w:szCs w:val="32"/>
          <w:lang w:eastAsia="zh-CN"/>
        </w:rPr>
        <w:t xml:space="preserve">万元）  </w:t>
      </w:r>
    </w:p>
    <w:p>
      <w:pPr>
        <w:spacing w:line="600" w:lineRule="exact"/>
        <w:ind w:firstLine="640" w:firstLineChars="200"/>
        <w:outlineLvl w:val="0"/>
        <w:rPr>
          <w:rFonts w:hint="eastAsia" w:eastAsia="仿宋_GB2312"/>
          <w:bCs/>
          <w:sz w:val="32"/>
          <w:szCs w:val="32"/>
          <w:lang w:eastAsia="zh-CN"/>
        </w:rPr>
      </w:pPr>
      <w:r>
        <w:rPr>
          <w:rFonts w:hint="eastAsia" w:eastAsia="仿宋_GB2312"/>
          <w:bCs/>
          <w:sz w:val="32"/>
          <w:szCs w:val="32"/>
          <w:lang w:val="en-US" w:eastAsia="zh-CN"/>
        </w:rPr>
        <w:t>(4).饲草料生产加工利用成本（55.5万元）</w:t>
      </w:r>
    </w:p>
    <w:p>
      <w:pPr>
        <w:spacing w:line="540" w:lineRule="exact"/>
        <w:ind w:firstLine="761" w:firstLineChars="243"/>
        <w:rPr>
          <w:rStyle w:val="23"/>
          <w:rFonts w:hint="eastAsia" w:ascii="仿宋_GB2312" w:hAnsi="楷体" w:eastAsia="仿宋_GB2312"/>
          <w:spacing w:val="-4"/>
          <w:sz w:val="32"/>
          <w:szCs w:val="32"/>
        </w:rPr>
      </w:pPr>
      <w:r>
        <w:rPr>
          <w:rStyle w:val="23"/>
          <w:rFonts w:hint="eastAsia" w:ascii="仿宋_GB2312" w:hAnsi="楷体" w:eastAsia="仿宋_GB2312"/>
          <w:spacing w:val="-4"/>
          <w:sz w:val="32"/>
          <w:szCs w:val="32"/>
          <w:lang w:val="en-US" w:eastAsia="zh-CN"/>
        </w:rPr>
        <w:t>2</w:t>
      </w:r>
      <w:r>
        <w:rPr>
          <w:rStyle w:val="23"/>
          <w:rFonts w:hint="eastAsia" w:ascii="仿宋_GB2312" w:hAnsi="楷体" w:eastAsia="仿宋_GB2312"/>
          <w:spacing w:val="-4"/>
          <w:sz w:val="32"/>
          <w:szCs w:val="32"/>
        </w:rPr>
        <w:t>项目资金</w:t>
      </w:r>
      <w:r>
        <w:rPr>
          <w:rStyle w:val="23"/>
          <w:rFonts w:hint="eastAsia" w:ascii="仿宋_GB2312" w:hAnsi="楷体" w:eastAsia="仿宋_GB2312"/>
          <w:spacing w:val="-4"/>
          <w:sz w:val="32"/>
          <w:szCs w:val="32"/>
          <w:lang w:eastAsia="zh-CN"/>
        </w:rPr>
        <w:t>实际</w:t>
      </w:r>
      <w:r>
        <w:rPr>
          <w:rStyle w:val="23"/>
          <w:rFonts w:hint="eastAsia" w:ascii="仿宋_GB2312" w:hAnsi="楷体" w:eastAsia="仿宋_GB2312"/>
          <w:spacing w:val="-4"/>
          <w:sz w:val="32"/>
          <w:szCs w:val="32"/>
        </w:rPr>
        <w:t>使用情况</w:t>
      </w:r>
    </w:p>
    <w:p>
      <w:pPr>
        <w:spacing w:line="540" w:lineRule="exact"/>
        <w:ind w:firstLine="640" w:firstLineChars="200"/>
        <w:rPr>
          <w:rFonts w:hint="eastAsia" w:ascii="仿宋_GB2312" w:hAnsi="华文仿宋" w:eastAsia="仿宋_GB2312" w:cs="华文仿宋"/>
          <w:sz w:val="32"/>
          <w:szCs w:val="32"/>
        </w:rPr>
      </w:pPr>
      <w:r>
        <w:rPr>
          <w:rFonts w:hint="eastAsia" w:eastAsia="仿宋_GB2312"/>
          <w:bCs/>
          <w:sz w:val="32"/>
          <w:szCs w:val="32"/>
          <w:lang w:eastAsia="zh-CN"/>
        </w:rPr>
        <w:t>经过前期的项目执行经验和对下一步工作的分析测算，20</w:t>
      </w:r>
      <w:r>
        <w:rPr>
          <w:rFonts w:hint="eastAsia" w:eastAsia="仿宋_GB2312"/>
          <w:bCs/>
          <w:sz w:val="32"/>
          <w:szCs w:val="32"/>
          <w:lang w:val="en-US" w:eastAsia="zh-CN"/>
        </w:rPr>
        <w:t>22</w:t>
      </w:r>
      <w:r>
        <w:rPr>
          <w:rFonts w:hint="eastAsia" w:eastAsia="仿宋_GB2312"/>
          <w:bCs/>
          <w:sz w:val="32"/>
          <w:szCs w:val="32"/>
          <w:lang w:eastAsia="zh-CN"/>
        </w:rPr>
        <w:t>年项目资金的使用支出，围绕完成的业务符合资金绩效目标，完成技术推广与培训工作及自治区畜禽遗传资源保护和利用，完成种畜禽生产监督管理工作；通过强化专项资金使用管理，确保完成各项业务工作，保证项目资金发挥实效。项目</w:t>
      </w:r>
      <w:r>
        <w:rPr>
          <w:rFonts w:hint="eastAsia" w:ascii="仿宋_GB2312" w:hAnsi="华文仿宋" w:eastAsia="仿宋_GB2312" w:cs="华文仿宋"/>
          <w:sz w:val="32"/>
          <w:szCs w:val="32"/>
        </w:rPr>
        <w:t>资金满足本项目需求，为促进畜牧业持续稳定的发展产生积极的作用。</w:t>
      </w:r>
    </w:p>
    <w:p>
      <w:pPr>
        <w:snapToGrid/>
        <w:spacing w:before="0" w:beforeAutospacing="0" w:after="0" w:afterAutospacing="0" w:line="240" w:lineRule="auto"/>
        <w:ind w:firstLine="643" w:firstLineChars="200"/>
        <w:jc w:val="both"/>
        <w:textAlignment w:val="baseline"/>
        <w:rPr>
          <w:rFonts w:hint="eastAsia" w:ascii="仿宋" w:hAnsi="仿宋" w:eastAsia="仿宋" w:cs="仿宋"/>
          <w:b/>
          <w:bCs/>
          <w:i w:val="0"/>
          <w:caps w:val="0"/>
          <w:spacing w:val="0"/>
          <w:w w:val="100"/>
          <w:sz w:val="32"/>
          <w:szCs w:val="32"/>
          <w:lang w:eastAsia="zh-CN"/>
        </w:rPr>
      </w:pPr>
      <w:r>
        <w:rPr>
          <w:rFonts w:hint="eastAsia" w:eastAsia="楷体_GB2312" w:cs="Times New Roman"/>
          <w:b/>
          <w:bCs/>
          <w:i w:val="0"/>
          <w:caps w:val="0"/>
          <w:spacing w:val="0"/>
          <w:w w:val="100"/>
          <w:sz w:val="32"/>
        </w:rPr>
        <w:t>（</w:t>
      </w:r>
      <w:r>
        <w:rPr>
          <w:rFonts w:hint="eastAsia" w:eastAsia="楷体_GB2312" w:cs="Times New Roman"/>
          <w:b/>
          <w:bCs/>
          <w:i w:val="0"/>
          <w:caps w:val="0"/>
          <w:spacing w:val="0"/>
          <w:w w:val="100"/>
          <w:sz w:val="32"/>
          <w:lang w:val="en-US" w:eastAsia="zh-CN"/>
        </w:rPr>
        <w:t>1</w:t>
      </w:r>
      <w:r>
        <w:rPr>
          <w:rFonts w:hint="eastAsia" w:eastAsia="楷体_GB2312" w:cs="Times New Roman"/>
          <w:b/>
          <w:bCs/>
          <w:i w:val="0"/>
          <w:caps w:val="0"/>
          <w:spacing w:val="0"/>
          <w:w w:val="100"/>
          <w:sz w:val="32"/>
        </w:rPr>
        <w:t>）</w:t>
      </w:r>
      <w:r>
        <w:rPr>
          <w:rFonts w:hint="eastAsia" w:ascii="仿宋" w:hAnsi="仿宋" w:eastAsia="仿宋" w:cs="仿宋"/>
          <w:b/>
          <w:bCs/>
          <w:sz w:val="32"/>
          <w:szCs w:val="32"/>
        </w:rPr>
        <w:t>畜禽良种繁育推广与应用成本畜禽良种繁育推广与应用成本</w:t>
      </w:r>
      <w:r>
        <w:rPr>
          <w:rFonts w:hint="eastAsia" w:ascii="仿宋" w:hAnsi="仿宋" w:eastAsia="仿宋" w:cs="仿宋"/>
          <w:b/>
          <w:bCs/>
          <w:i w:val="0"/>
          <w:caps w:val="0"/>
          <w:spacing w:val="0"/>
          <w:w w:val="100"/>
          <w:sz w:val="32"/>
          <w:szCs w:val="32"/>
          <w:lang w:val="en-US" w:eastAsia="zh-CN"/>
        </w:rPr>
        <w:t>173</w:t>
      </w:r>
      <w:r>
        <w:rPr>
          <w:rFonts w:hint="eastAsia" w:ascii="仿宋" w:hAnsi="仿宋" w:eastAsia="仿宋" w:cs="仿宋"/>
          <w:b/>
          <w:bCs/>
          <w:i w:val="0"/>
          <w:caps w:val="0"/>
          <w:spacing w:val="0"/>
          <w:w w:val="100"/>
          <w:sz w:val="32"/>
          <w:szCs w:val="32"/>
        </w:rPr>
        <w:t>万元</w:t>
      </w:r>
      <w:r>
        <w:rPr>
          <w:rFonts w:hint="eastAsia" w:ascii="仿宋" w:hAnsi="仿宋" w:eastAsia="仿宋" w:cs="仿宋"/>
          <w:b/>
          <w:bCs/>
          <w:i w:val="0"/>
          <w:caps w:val="0"/>
          <w:spacing w:val="0"/>
          <w:w w:val="100"/>
          <w:sz w:val="32"/>
          <w:szCs w:val="32"/>
          <w:lang w:eastAsia="zh-CN"/>
        </w:rPr>
        <w:t>）</w:t>
      </w:r>
    </w:p>
    <w:p>
      <w:pPr>
        <w:snapToGrid/>
        <w:spacing w:before="0" w:beforeAutospacing="0" w:after="0" w:afterAutospacing="0" w:line="240" w:lineRule="auto"/>
        <w:ind w:firstLine="643" w:firstLineChars="200"/>
        <w:jc w:val="both"/>
        <w:textAlignment w:val="baseline"/>
        <w:rPr>
          <w:rFonts w:hint="eastAsia" w:ascii="仿宋_GB2312" w:hAnsi="华文仿宋" w:eastAsia="仿宋_GB2312" w:cs="华文仿宋"/>
          <w:sz w:val="32"/>
          <w:szCs w:val="32"/>
        </w:rPr>
      </w:pPr>
      <w:r>
        <w:rPr>
          <w:rFonts w:hint="eastAsia" w:eastAsia="楷体_GB2312" w:cs="Times New Roman"/>
          <w:b/>
          <w:bCs/>
          <w:i w:val="0"/>
          <w:caps w:val="0"/>
          <w:spacing w:val="0"/>
          <w:w w:val="100"/>
          <w:sz w:val="32"/>
          <w:lang w:val="en-US" w:eastAsia="zh-CN"/>
        </w:rPr>
        <w:t>a</w:t>
      </w:r>
      <w:r>
        <w:rPr>
          <w:rFonts w:hint="eastAsia" w:eastAsia="楷体_GB2312" w:cs="Times New Roman"/>
          <w:b/>
          <w:bCs/>
          <w:i w:val="0"/>
          <w:caps w:val="0"/>
          <w:spacing w:val="0"/>
          <w:w w:val="100"/>
          <w:sz w:val="32"/>
          <w:lang w:eastAsia="zh-CN"/>
        </w:rPr>
        <w:t>．</w:t>
      </w:r>
      <w:r>
        <w:rPr>
          <w:rFonts w:hint="eastAsia" w:ascii="仿宋" w:hAnsi="仿宋" w:eastAsia="仿宋" w:cs="仿宋"/>
          <w:b/>
          <w:bCs/>
          <w:i w:val="0"/>
          <w:caps w:val="0"/>
          <w:spacing w:val="0"/>
          <w:w w:val="100"/>
          <w:sz w:val="32"/>
          <w:lang w:eastAsia="zh-CN"/>
        </w:rPr>
        <w:t>种畜禽场规范化建设</w:t>
      </w:r>
      <w:r>
        <w:rPr>
          <w:rFonts w:hint="eastAsia" w:ascii="仿宋" w:hAnsi="仿宋" w:eastAsia="仿宋" w:cs="仿宋"/>
          <w:b/>
          <w:bCs/>
          <w:i w:val="0"/>
          <w:caps w:val="0"/>
          <w:spacing w:val="0"/>
          <w:w w:val="100"/>
          <w:sz w:val="32"/>
        </w:rPr>
        <w:t>。</w:t>
      </w:r>
      <w:r>
        <w:rPr>
          <w:rFonts w:hint="eastAsia" w:ascii="仿宋_GB2312" w:hAnsi="华文仿宋" w:eastAsia="仿宋_GB2312" w:cs="华文仿宋"/>
          <w:sz w:val="32"/>
          <w:szCs w:val="32"/>
        </w:rPr>
        <w:t>通过遴选核心育种场、完善场内测定站、检验检测种畜禽质量</w:t>
      </w:r>
      <w:r>
        <w:rPr>
          <w:rFonts w:hint="eastAsia" w:ascii="仿宋_GB2312" w:hAnsi="华文仿宋" w:eastAsia="仿宋_GB2312" w:cs="华文仿宋"/>
          <w:sz w:val="32"/>
          <w:szCs w:val="32"/>
          <w:lang w:eastAsia="zh-CN"/>
        </w:rPr>
        <w:t>、</w:t>
      </w:r>
      <w:r>
        <w:rPr>
          <w:rFonts w:hint="eastAsia" w:ascii="仿宋_GB2312" w:hAnsi="华文仿宋" w:eastAsia="仿宋_GB2312" w:cs="华文仿宋"/>
          <w:sz w:val="32"/>
          <w:szCs w:val="32"/>
          <w:lang w:val="en-US" w:eastAsia="zh-CN"/>
        </w:rPr>
        <w:t>开展技术服务和指导</w:t>
      </w:r>
      <w:r>
        <w:rPr>
          <w:rFonts w:hint="eastAsia" w:ascii="仿宋_GB2312" w:hAnsi="华文仿宋" w:eastAsia="仿宋_GB2312" w:cs="华文仿宋"/>
          <w:sz w:val="32"/>
          <w:szCs w:val="32"/>
        </w:rPr>
        <w:t>等方式，规范建设种畜禽场100家，每年向社会提供优良种畜10万头（只）。小计50万元。</w:t>
      </w:r>
    </w:p>
    <w:p>
      <w:pPr>
        <w:snapToGrid/>
        <w:spacing w:before="0" w:beforeAutospacing="0" w:after="0" w:afterAutospacing="0" w:line="240" w:lineRule="auto"/>
        <w:ind w:firstLine="643" w:firstLineChars="200"/>
        <w:jc w:val="both"/>
        <w:textAlignment w:val="baseline"/>
        <w:rPr>
          <w:rFonts w:hint="eastAsia" w:ascii="仿宋_GB2312" w:hAnsi="华文仿宋" w:eastAsia="仿宋_GB2312" w:cs="华文仿宋"/>
          <w:sz w:val="32"/>
          <w:szCs w:val="32"/>
        </w:rPr>
      </w:pPr>
      <w:r>
        <w:rPr>
          <w:rFonts w:hint="eastAsia"/>
          <w:b/>
          <w:bCs/>
          <w:i w:val="0"/>
          <w:caps w:val="0"/>
          <w:spacing w:val="0"/>
          <w:w w:val="100"/>
          <w:sz w:val="32"/>
          <w:lang w:val="en-US" w:eastAsia="zh-CN"/>
        </w:rPr>
        <w:t>b</w:t>
      </w:r>
      <w:r>
        <w:rPr>
          <w:rFonts w:hint="eastAsia"/>
          <w:b/>
          <w:bCs/>
          <w:i w:val="0"/>
          <w:caps w:val="0"/>
          <w:spacing w:val="0"/>
          <w:w w:val="100"/>
          <w:sz w:val="32"/>
        </w:rPr>
        <w:t>．</w:t>
      </w:r>
      <w:r>
        <w:rPr>
          <w:rFonts w:hint="eastAsia" w:ascii="仿宋" w:hAnsi="仿宋" w:eastAsia="仿宋" w:cs="仿宋"/>
          <w:b/>
          <w:bCs/>
          <w:i w:val="0"/>
          <w:caps w:val="0"/>
          <w:spacing w:val="0"/>
          <w:w w:val="100"/>
          <w:sz w:val="32"/>
        </w:rPr>
        <w:t>优良畜禽品种登记与生产性能测定。</w:t>
      </w:r>
      <w:r>
        <w:rPr>
          <w:rFonts w:hint="eastAsia" w:ascii="仿宋_GB2312" w:hAnsi="华文仿宋" w:eastAsia="仿宋_GB2312" w:cs="华文仿宋"/>
          <w:sz w:val="32"/>
          <w:szCs w:val="32"/>
        </w:rPr>
        <w:t>测定和登记多浪羊、新疆褐牛、伊犁马等品种优良种畜10000头（只、匹），主要登记系谱信息及生产性能数据，向社会发布优良种畜禽登记册和遗传评估概要，进一步加大优良种畜禽推广力度，将牲畜良种率提高5个百分点。按照50元/头（只、匹）测算，小计50万元。</w:t>
      </w:r>
    </w:p>
    <w:p>
      <w:pPr>
        <w:snapToGrid/>
        <w:spacing w:before="0" w:beforeAutospacing="0" w:after="0" w:afterAutospacing="0" w:line="240" w:lineRule="auto"/>
        <w:ind w:firstLine="643" w:firstLineChars="200"/>
        <w:jc w:val="both"/>
        <w:textAlignment w:val="baseline"/>
        <w:rPr>
          <w:rFonts w:hint="eastAsia" w:ascii="仿宋_GB2312" w:hAnsi="华文仿宋" w:eastAsia="仿宋_GB2312" w:cs="华文仿宋"/>
          <w:sz w:val="32"/>
          <w:szCs w:val="32"/>
        </w:rPr>
      </w:pPr>
      <w:r>
        <w:rPr>
          <w:rFonts w:hint="eastAsia" w:ascii="仿宋" w:hAnsi="仿宋" w:eastAsia="仿宋" w:cs="仿宋"/>
          <w:b/>
          <w:bCs/>
          <w:i w:val="0"/>
          <w:caps w:val="0"/>
          <w:spacing w:val="0"/>
          <w:w w:val="100"/>
          <w:sz w:val="32"/>
          <w:lang w:val="en-US" w:eastAsia="zh-CN"/>
        </w:rPr>
        <w:t>c</w:t>
      </w:r>
      <w:r>
        <w:rPr>
          <w:rFonts w:hint="eastAsia" w:ascii="仿宋" w:hAnsi="仿宋" w:eastAsia="仿宋" w:cs="仿宋"/>
          <w:b/>
          <w:bCs/>
          <w:i w:val="0"/>
          <w:caps w:val="0"/>
          <w:spacing w:val="0"/>
          <w:w w:val="100"/>
          <w:sz w:val="32"/>
        </w:rPr>
        <w:t>．种畜冷冻胚胎制作。</w:t>
      </w:r>
      <w:r>
        <w:rPr>
          <w:rFonts w:hint="eastAsia" w:ascii="仿宋_GB2312" w:hAnsi="华文仿宋" w:eastAsia="仿宋_GB2312" w:cs="华文仿宋"/>
          <w:sz w:val="32"/>
          <w:szCs w:val="32"/>
        </w:rPr>
        <w:t>制作3个优良地方品种冷冻胚胎500枚以上。按照每个品种50000元测算，小计15万元</w:t>
      </w:r>
    </w:p>
    <w:p>
      <w:pPr>
        <w:snapToGrid/>
        <w:spacing w:before="0" w:beforeAutospacing="0" w:after="0" w:afterAutospacing="0" w:line="240" w:lineRule="auto"/>
        <w:ind w:firstLine="643" w:firstLineChars="200"/>
        <w:jc w:val="both"/>
        <w:textAlignment w:val="baseline"/>
        <w:rPr>
          <w:rFonts w:eastAsia="楷体_GB2312" w:cs="Times New Roman"/>
          <w:b/>
          <w:bCs/>
          <w:i w:val="0"/>
          <w:caps w:val="0"/>
          <w:spacing w:val="0"/>
          <w:w w:val="100"/>
          <w:sz w:val="20"/>
        </w:rPr>
      </w:pPr>
      <w:r>
        <w:rPr>
          <w:rFonts w:hint="eastAsia" w:ascii="仿宋" w:hAnsi="仿宋" w:eastAsia="仿宋" w:cs="仿宋"/>
          <w:b/>
          <w:bCs/>
          <w:i w:val="0"/>
          <w:caps w:val="0"/>
          <w:spacing w:val="0"/>
          <w:w w:val="100"/>
          <w:sz w:val="32"/>
          <w:lang w:val="en-US" w:eastAsia="zh-CN"/>
        </w:rPr>
        <w:t>d.</w:t>
      </w:r>
      <w:r>
        <w:rPr>
          <w:rFonts w:hint="eastAsia" w:ascii="仿宋" w:hAnsi="仿宋" w:eastAsia="仿宋" w:cs="仿宋"/>
          <w:b/>
          <w:bCs/>
          <w:i w:val="0"/>
          <w:caps w:val="0"/>
          <w:spacing w:val="0"/>
          <w:w w:val="100"/>
          <w:sz w:val="32"/>
        </w:rPr>
        <w:t>畜牧技术推广应用</w:t>
      </w:r>
      <w:r>
        <w:rPr>
          <w:rFonts w:hint="eastAsia" w:ascii="仿宋" w:hAnsi="仿宋" w:eastAsia="仿宋" w:cs="仿宋"/>
          <w:b/>
          <w:bCs/>
          <w:i w:val="0"/>
          <w:caps w:val="0"/>
          <w:spacing w:val="0"/>
          <w:w w:val="100"/>
          <w:sz w:val="32"/>
          <w:lang w:eastAsia="zh-CN"/>
        </w:rPr>
        <w:t>（</w:t>
      </w:r>
      <w:r>
        <w:rPr>
          <w:rFonts w:hint="eastAsia" w:ascii="仿宋" w:hAnsi="仿宋" w:eastAsia="仿宋" w:cs="仿宋"/>
          <w:b/>
          <w:bCs/>
          <w:i w:val="0"/>
          <w:caps w:val="0"/>
          <w:spacing w:val="0"/>
          <w:w w:val="100"/>
          <w:sz w:val="32"/>
        </w:rPr>
        <w:t>5</w:t>
      </w:r>
      <w:r>
        <w:rPr>
          <w:rFonts w:hint="eastAsia" w:ascii="仿宋" w:hAnsi="仿宋" w:eastAsia="仿宋" w:cs="仿宋"/>
          <w:b/>
          <w:bCs/>
          <w:i w:val="0"/>
          <w:caps w:val="0"/>
          <w:spacing w:val="0"/>
          <w:w w:val="100"/>
          <w:sz w:val="32"/>
          <w:lang w:val="en-US" w:eastAsia="zh-CN"/>
        </w:rPr>
        <w:t>8</w:t>
      </w:r>
      <w:r>
        <w:rPr>
          <w:rFonts w:hint="eastAsia" w:ascii="仿宋" w:hAnsi="仿宋" w:eastAsia="仿宋" w:cs="仿宋"/>
          <w:b/>
          <w:bCs/>
          <w:i w:val="0"/>
          <w:caps w:val="0"/>
          <w:spacing w:val="0"/>
          <w:w w:val="100"/>
          <w:sz w:val="32"/>
        </w:rPr>
        <w:t>万元</w:t>
      </w:r>
      <w:r>
        <w:rPr>
          <w:rFonts w:hint="eastAsia" w:ascii="仿宋" w:hAnsi="仿宋" w:eastAsia="仿宋" w:cs="仿宋"/>
          <w:b/>
          <w:bCs/>
          <w:i w:val="0"/>
          <w:caps w:val="0"/>
          <w:spacing w:val="0"/>
          <w:w w:val="100"/>
          <w:sz w:val="32"/>
          <w:lang w:eastAsia="zh-CN"/>
        </w:rPr>
        <w:t>）</w:t>
      </w:r>
      <w:r>
        <w:rPr>
          <w:rFonts w:hint="eastAsia" w:ascii="仿宋" w:hAnsi="仿宋" w:eastAsia="仿宋" w:cs="仿宋"/>
          <w:b/>
          <w:bCs/>
          <w:i w:val="0"/>
          <w:caps w:val="0"/>
          <w:spacing w:val="0"/>
          <w:w w:val="100"/>
          <w:sz w:val="32"/>
        </w:rPr>
        <w:t xml:space="preserve"> </w:t>
      </w:r>
      <w:r>
        <w:rPr>
          <w:rFonts w:hint="eastAsia" w:eastAsia="楷体_GB2312" w:cs="Times New Roman"/>
          <w:b/>
          <w:bCs/>
          <w:i w:val="0"/>
          <w:caps w:val="0"/>
          <w:spacing w:val="0"/>
          <w:w w:val="100"/>
          <w:sz w:val="32"/>
        </w:rPr>
        <w:t xml:space="preserve">  </w:t>
      </w:r>
    </w:p>
    <w:p>
      <w:pPr>
        <w:snapToGrid/>
        <w:spacing w:before="0" w:beforeAutospacing="0" w:after="0" w:afterAutospacing="0" w:line="240" w:lineRule="auto"/>
        <w:ind w:firstLine="640" w:firstLineChars="200"/>
        <w:jc w:val="both"/>
        <w:textAlignment w:val="baseline"/>
        <w:rPr>
          <w:rFonts w:hint="eastAsia" w:ascii="仿宋_GB2312" w:hAnsi="华文仿宋" w:eastAsia="仿宋_GB2312" w:cs="华文仿宋"/>
          <w:sz w:val="32"/>
          <w:szCs w:val="32"/>
        </w:rPr>
      </w:pPr>
      <w:r>
        <w:rPr>
          <w:rFonts w:hint="eastAsia" w:ascii="仿宋_GB2312" w:hAnsi="华文仿宋" w:eastAsia="仿宋_GB2312" w:cs="华文仿宋"/>
          <w:sz w:val="32"/>
          <w:szCs w:val="32"/>
        </w:rPr>
        <w:t>推广畜禽疫病综合防治技术、畜禽高效繁殖技术、粪污无害化利用技术等4个以上畜牧业实用技术；5个地州推广10个优质饲草品种和高效种植技术；示范场牲畜成活率达到85%以上，人工授精平均情期受胎率达到60%以上；编制技术推广手册4种5000册；制定畜牧业标准6个。</w:t>
      </w:r>
    </w:p>
    <w:p>
      <w:pPr>
        <w:snapToGrid/>
        <w:spacing w:before="0" w:beforeAutospacing="0" w:after="0" w:afterAutospacing="0" w:line="240" w:lineRule="auto"/>
        <w:ind w:firstLine="643" w:firstLineChars="200"/>
        <w:jc w:val="both"/>
        <w:textAlignment w:val="baseline"/>
        <w:rPr>
          <w:rFonts w:hint="eastAsia" w:eastAsia="楷体_GB2312" w:cs="Times New Roman"/>
          <w:b/>
          <w:bCs/>
          <w:i w:val="0"/>
          <w:caps w:val="0"/>
          <w:spacing w:val="0"/>
          <w:w w:val="100"/>
          <w:sz w:val="20"/>
          <w:lang w:eastAsia="zh-CN"/>
        </w:rPr>
      </w:pPr>
      <w:r>
        <w:rPr>
          <w:rFonts w:hint="eastAsia" w:eastAsia="楷体_GB2312" w:cs="Times New Roman"/>
          <w:b/>
          <w:bCs/>
          <w:i w:val="0"/>
          <w:caps w:val="0"/>
          <w:spacing w:val="0"/>
          <w:w w:val="100"/>
          <w:sz w:val="32"/>
        </w:rPr>
        <w:t>（</w:t>
      </w:r>
      <w:r>
        <w:rPr>
          <w:rFonts w:hint="eastAsia" w:eastAsia="楷体_GB2312" w:cs="Times New Roman"/>
          <w:b/>
          <w:bCs/>
          <w:i w:val="0"/>
          <w:caps w:val="0"/>
          <w:spacing w:val="0"/>
          <w:w w:val="100"/>
          <w:sz w:val="32"/>
          <w:lang w:val="en-US" w:eastAsia="zh-CN"/>
        </w:rPr>
        <w:t>2</w:t>
      </w:r>
      <w:r>
        <w:rPr>
          <w:rFonts w:hint="eastAsia" w:eastAsia="楷体_GB2312" w:cs="Times New Roman"/>
          <w:b/>
          <w:bCs/>
          <w:i w:val="0"/>
          <w:caps w:val="0"/>
          <w:spacing w:val="0"/>
          <w:w w:val="100"/>
          <w:sz w:val="32"/>
        </w:rPr>
        <w:t>）畜禽遗传资源保护与利用</w:t>
      </w:r>
      <w:r>
        <w:rPr>
          <w:rFonts w:hint="eastAsia" w:eastAsia="楷体_GB2312" w:cs="Times New Roman"/>
          <w:b/>
          <w:bCs/>
          <w:i w:val="0"/>
          <w:caps w:val="0"/>
          <w:spacing w:val="0"/>
          <w:w w:val="100"/>
          <w:sz w:val="32"/>
          <w:lang w:eastAsia="zh-CN"/>
        </w:rPr>
        <w:t>（</w:t>
      </w:r>
      <w:r>
        <w:rPr>
          <w:rFonts w:hint="eastAsia" w:eastAsia="楷体_GB2312" w:cs="Times New Roman"/>
          <w:b/>
          <w:bCs/>
          <w:i w:val="0"/>
          <w:caps w:val="0"/>
          <w:spacing w:val="0"/>
          <w:w w:val="100"/>
          <w:sz w:val="32"/>
          <w:lang w:val="en-US" w:eastAsia="zh-CN"/>
        </w:rPr>
        <w:t>71</w:t>
      </w:r>
      <w:r>
        <w:rPr>
          <w:rFonts w:hint="eastAsia" w:eastAsia="楷体_GB2312" w:cs="Times New Roman"/>
          <w:b/>
          <w:bCs/>
          <w:i w:val="0"/>
          <w:caps w:val="0"/>
          <w:spacing w:val="0"/>
          <w:w w:val="100"/>
          <w:sz w:val="32"/>
        </w:rPr>
        <w:t>万元</w:t>
      </w:r>
      <w:r>
        <w:rPr>
          <w:rFonts w:hint="eastAsia" w:eastAsia="楷体_GB2312" w:cs="Times New Roman"/>
          <w:b/>
          <w:bCs/>
          <w:i w:val="0"/>
          <w:caps w:val="0"/>
          <w:spacing w:val="0"/>
          <w:w w:val="100"/>
          <w:sz w:val="32"/>
          <w:lang w:eastAsia="zh-CN"/>
        </w:rPr>
        <w:t>）</w:t>
      </w:r>
    </w:p>
    <w:p>
      <w:pPr>
        <w:snapToGrid/>
        <w:spacing w:before="0" w:beforeAutospacing="0" w:after="0" w:afterAutospacing="0" w:line="240" w:lineRule="auto"/>
        <w:ind w:firstLine="640" w:firstLineChars="200"/>
        <w:jc w:val="both"/>
        <w:textAlignment w:val="baseline"/>
        <w:rPr>
          <w:b w:val="0"/>
          <w:i w:val="0"/>
          <w:caps w:val="0"/>
          <w:spacing w:val="0"/>
          <w:w w:val="100"/>
          <w:sz w:val="20"/>
        </w:rPr>
      </w:pPr>
      <w:r>
        <w:rPr>
          <w:rFonts w:hint="eastAsia" w:ascii="仿宋_GB2312" w:hAnsi="华文仿宋" w:eastAsia="仿宋_GB2312" w:cs="华文仿宋"/>
          <w:sz w:val="32"/>
          <w:szCs w:val="32"/>
        </w:rPr>
        <w:t>全面完成畜禽遗传资源普查畜禽品种及行政村全覆盖、新发现遗传资源筛查与申报鉴定，收集保存畜禽遗传材料10000份，现场核查并认定新申报畜禽遗传资源保种场（保护区），全区畜禽遗传资源保护率达到85%以上。</w:t>
      </w:r>
    </w:p>
    <w:p>
      <w:pPr>
        <w:snapToGrid/>
        <w:spacing w:before="0" w:beforeAutospacing="0" w:after="0" w:afterAutospacing="0" w:line="240" w:lineRule="auto"/>
        <w:ind w:firstLine="643" w:firstLineChars="200"/>
        <w:jc w:val="both"/>
        <w:textAlignment w:val="baseline"/>
        <w:rPr>
          <w:rFonts w:eastAsia="楷体_GB2312" w:cs="Times New Roman"/>
          <w:b/>
          <w:bCs/>
          <w:i w:val="0"/>
          <w:caps w:val="0"/>
          <w:spacing w:val="0"/>
          <w:w w:val="100"/>
          <w:sz w:val="20"/>
        </w:rPr>
      </w:pPr>
      <w:r>
        <w:rPr>
          <w:rFonts w:hint="eastAsia" w:eastAsia="楷体_GB2312" w:cs="Times New Roman"/>
          <w:b/>
          <w:bCs/>
          <w:i w:val="0"/>
          <w:caps w:val="0"/>
          <w:spacing w:val="0"/>
          <w:w w:val="100"/>
          <w:sz w:val="32"/>
        </w:rPr>
        <w:t>（</w:t>
      </w:r>
      <w:r>
        <w:rPr>
          <w:rFonts w:hint="eastAsia" w:eastAsia="楷体_GB2312" w:cs="Times New Roman"/>
          <w:b/>
          <w:bCs/>
          <w:i w:val="0"/>
          <w:caps w:val="0"/>
          <w:spacing w:val="0"/>
          <w:w w:val="100"/>
          <w:sz w:val="32"/>
          <w:lang w:val="en-US" w:eastAsia="zh-CN"/>
        </w:rPr>
        <w:t>3</w:t>
      </w:r>
      <w:r>
        <w:rPr>
          <w:rFonts w:hint="eastAsia" w:eastAsia="楷体_GB2312" w:cs="Times New Roman"/>
          <w:b/>
          <w:bCs/>
          <w:i w:val="0"/>
          <w:caps w:val="0"/>
          <w:spacing w:val="0"/>
          <w:w w:val="100"/>
          <w:sz w:val="32"/>
        </w:rPr>
        <w:t>）</w:t>
      </w:r>
      <w:r>
        <w:rPr>
          <w:rFonts w:hint="eastAsia" w:eastAsia="楷体_GB2312" w:cs="Times New Roman"/>
          <w:b/>
          <w:bCs/>
          <w:i w:val="0"/>
          <w:caps w:val="0"/>
          <w:spacing w:val="0"/>
          <w:w w:val="100"/>
          <w:sz w:val="32"/>
          <w:lang w:eastAsia="zh-CN"/>
        </w:rPr>
        <w:t>粪污污染化利用及</w:t>
      </w:r>
      <w:r>
        <w:rPr>
          <w:rFonts w:hint="eastAsia" w:eastAsia="楷体_GB2312" w:cs="Times New Roman"/>
          <w:b/>
          <w:bCs/>
          <w:i w:val="0"/>
          <w:caps w:val="0"/>
          <w:spacing w:val="0"/>
          <w:w w:val="100"/>
          <w:sz w:val="32"/>
        </w:rPr>
        <w:t>畜牧业统计监测</w:t>
      </w:r>
      <w:r>
        <w:rPr>
          <w:rFonts w:hint="eastAsia" w:eastAsia="楷体_GB2312" w:cs="Times New Roman"/>
          <w:b/>
          <w:bCs/>
          <w:i w:val="0"/>
          <w:caps w:val="0"/>
          <w:spacing w:val="0"/>
          <w:w w:val="100"/>
          <w:sz w:val="32"/>
          <w:lang w:eastAsia="zh-CN"/>
        </w:rPr>
        <w:t>（</w:t>
      </w:r>
      <w:r>
        <w:rPr>
          <w:rFonts w:hint="eastAsia" w:eastAsia="楷体_GB2312" w:cs="Times New Roman"/>
          <w:b/>
          <w:bCs/>
          <w:i w:val="0"/>
          <w:caps w:val="0"/>
          <w:spacing w:val="0"/>
          <w:w w:val="100"/>
          <w:sz w:val="32"/>
          <w:lang w:val="en-US" w:eastAsia="zh-CN"/>
        </w:rPr>
        <w:t>46.5</w:t>
      </w:r>
      <w:r>
        <w:rPr>
          <w:rFonts w:hint="eastAsia" w:eastAsia="楷体_GB2312" w:cs="Times New Roman"/>
          <w:b/>
          <w:bCs/>
          <w:i w:val="0"/>
          <w:caps w:val="0"/>
          <w:spacing w:val="0"/>
          <w:w w:val="100"/>
          <w:sz w:val="32"/>
        </w:rPr>
        <w:t>万元</w:t>
      </w:r>
      <w:r>
        <w:rPr>
          <w:rFonts w:hint="eastAsia" w:eastAsia="楷体_GB2312" w:cs="Times New Roman"/>
          <w:b/>
          <w:bCs/>
          <w:i w:val="0"/>
          <w:caps w:val="0"/>
          <w:spacing w:val="0"/>
          <w:w w:val="100"/>
          <w:sz w:val="32"/>
          <w:lang w:eastAsia="zh-CN"/>
        </w:rPr>
        <w:t>）</w:t>
      </w:r>
    </w:p>
    <w:p>
      <w:pPr>
        <w:snapToGrid/>
        <w:spacing w:before="0" w:beforeAutospacing="0" w:after="0" w:afterAutospacing="0" w:line="240" w:lineRule="auto"/>
        <w:ind w:firstLine="640" w:firstLineChars="200"/>
        <w:jc w:val="both"/>
        <w:textAlignment w:val="baseline"/>
        <w:rPr>
          <w:rFonts w:hint="eastAsia" w:ascii="仿宋_GB2312" w:hAnsi="华文仿宋" w:eastAsia="仿宋_GB2312" w:cs="华文仿宋"/>
          <w:sz w:val="32"/>
          <w:szCs w:val="32"/>
        </w:rPr>
      </w:pPr>
      <w:r>
        <w:rPr>
          <w:rFonts w:hint="eastAsia" w:ascii="仿宋_GB2312" w:hAnsi="华文仿宋" w:eastAsia="仿宋_GB2312" w:cs="华文仿宋"/>
          <w:sz w:val="32"/>
          <w:szCs w:val="32"/>
        </w:rPr>
        <w:t>在全疆布局30个畜禽养殖监测县，每月定期上报监测县内规模场、监测村和监测户的养殖信息，全年采集畜牧生产数据5万个以上。在全疆16个主要城市安排19个市场，每周采集主要畜产品和饲料20个品种的当期价格，全年52期近2万条价格信息。对全区备案规模场数据进行核查，了解全区规模场情况。畜牧统计监测年度按时上报率95%以上，全疆统计员数据误差率≦5%，全疆养殖场备案信息准确率≧95%。在全区37个县推进畜禽粪污资源化利用</w:t>
      </w:r>
      <w:r>
        <w:rPr>
          <w:rFonts w:hint="eastAsia" w:ascii="仿宋_GB2312" w:hAnsi="华文仿宋" w:eastAsia="仿宋_GB2312" w:cs="华文仿宋"/>
          <w:sz w:val="32"/>
          <w:szCs w:val="32"/>
          <w:lang w:val="en-US" w:eastAsia="zh-CN"/>
        </w:rPr>
        <w:t>技术服务和指导</w:t>
      </w:r>
      <w:r>
        <w:rPr>
          <w:rFonts w:hint="eastAsia" w:ascii="仿宋_GB2312" w:hAnsi="华文仿宋" w:eastAsia="仿宋_GB2312" w:cs="华文仿宋"/>
          <w:sz w:val="32"/>
          <w:szCs w:val="32"/>
        </w:rPr>
        <w:t>，开展畜禽粪污无害化处理试验示范，推广资源化利用技术和典型案例，确保我区规模养殖场粪污处理设施装备配套率达到90%以上。</w:t>
      </w:r>
    </w:p>
    <w:p>
      <w:pPr>
        <w:snapToGrid/>
        <w:spacing w:before="0" w:beforeAutospacing="0" w:after="0" w:afterAutospacing="0" w:line="240" w:lineRule="auto"/>
        <w:ind w:firstLine="643" w:firstLineChars="200"/>
        <w:jc w:val="both"/>
        <w:textAlignment w:val="baseline"/>
        <w:rPr>
          <w:rFonts w:hint="eastAsia" w:ascii="仿宋" w:hAnsi="仿宋" w:eastAsia="仿宋" w:cs="仿宋"/>
          <w:b/>
          <w:bCs/>
          <w:i w:val="0"/>
          <w:caps w:val="0"/>
          <w:spacing w:val="0"/>
          <w:w w:val="100"/>
          <w:sz w:val="32"/>
          <w:lang w:val="en-US" w:eastAsia="zh-CN"/>
        </w:rPr>
      </w:pPr>
      <w:r>
        <w:rPr>
          <w:rFonts w:hint="eastAsia" w:ascii="仿宋" w:hAnsi="仿宋" w:eastAsia="仿宋" w:cs="仿宋"/>
          <w:b/>
          <w:bCs/>
          <w:i w:val="0"/>
          <w:caps w:val="0"/>
          <w:spacing w:val="0"/>
          <w:w w:val="100"/>
          <w:sz w:val="32"/>
          <w:lang w:val="en-US" w:eastAsia="zh-CN"/>
        </w:rPr>
        <w:t>（4）饲草料生产加工利用（55.5万元）</w:t>
      </w:r>
    </w:p>
    <w:p>
      <w:pPr>
        <w:snapToGrid/>
        <w:spacing w:before="0" w:beforeAutospacing="0" w:after="0" w:afterAutospacing="0" w:line="240" w:lineRule="auto"/>
        <w:ind w:firstLine="640" w:firstLineChars="200"/>
        <w:jc w:val="both"/>
        <w:textAlignment w:val="baseline"/>
        <w:rPr>
          <w:rFonts w:hint="eastAsia" w:ascii="仿宋_GB2312" w:hAnsi="华文仿宋" w:eastAsia="仿宋_GB2312" w:cs="华文仿宋"/>
          <w:sz w:val="32"/>
          <w:szCs w:val="32"/>
        </w:rPr>
      </w:pPr>
      <w:r>
        <w:rPr>
          <w:rFonts w:hint="eastAsia" w:ascii="仿宋_GB2312" w:hAnsi="华文仿宋" w:eastAsia="仿宋_GB2312" w:cs="华文仿宋"/>
          <w:sz w:val="32"/>
          <w:szCs w:val="32"/>
        </w:rPr>
        <w:t>开展饲草料生产加工利用技术示范推广；在14个地（州、市）采集100家养殖场的样品，开展全区青贮饲料营养检测和质量评价，编制全区青贮饲料质量报告1份。开展草牧业统计监测，组织14个地（州、市）完成监测体系的数据采集、填报和审核，开展数据抽查复核。筛选适宜的饲草品种推广，推广优质饲草品种和高效种植试验示范区200亩。</w:t>
      </w:r>
    </w:p>
    <w:p>
      <w:pPr>
        <w:snapToGrid/>
        <w:spacing w:before="0" w:beforeAutospacing="0" w:after="0" w:afterAutospacing="0" w:line="240" w:lineRule="auto"/>
        <w:ind w:firstLine="640" w:firstLineChars="200"/>
        <w:jc w:val="both"/>
        <w:textAlignment w:val="baseline"/>
        <w:rPr>
          <w:rFonts w:hint="eastAsia" w:ascii="仿宋" w:hAnsi="仿宋" w:eastAsia="仿宋" w:cs="仿宋"/>
          <w:b w:val="0"/>
          <w:bCs w:val="0"/>
          <w:i w:val="0"/>
          <w:caps w:val="0"/>
          <w:spacing w:val="0"/>
          <w:w w:val="100"/>
          <w:sz w:val="32"/>
          <w:szCs w:val="32"/>
        </w:rPr>
      </w:pPr>
      <w:r>
        <w:rPr>
          <w:rFonts w:hint="eastAsia" w:ascii="仿宋" w:hAnsi="仿宋" w:eastAsia="仿宋" w:cs="仿宋"/>
          <w:b w:val="0"/>
          <w:bCs w:val="0"/>
          <w:i w:val="0"/>
          <w:caps w:val="0"/>
          <w:spacing w:val="0"/>
          <w:w w:val="100"/>
          <w:sz w:val="32"/>
          <w:szCs w:val="32"/>
        </w:rPr>
        <w:t>以上合计346万元。</w:t>
      </w:r>
    </w:p>
    <w:p>
      <w:pPr>
        <w:spacing w:line="540" w:lineRule="exact"/>
        <w:ind w:firstLine="761" w:firstLineChars="243"/>
        <w:rPr>
          <w:rStyle w:val="23"/>
          <w:rFonts w:ascii="仿宋_GB2312" w:hAnsi="楷体" w:eastAsia="仿宋_GB2312"/>
          <w:spacing w:val="-4"/>
          <w:sz w:val="32"/>
          <w:szCs w:val="32"/>
        </w:rPr>
      </w:pPr>
      <w:r>
        <w:rPr>
          <w:rStyle w:val="23"/>
          <w:rFonts w:hint="eastAsia" w:ascii="仿宋_GB2312" w:hAnsi="楷体" w:eastAsia="仿宋_GB2312"/>
          <w:spacing w:val="-4"/>
          <w:sz w:val="32"/>
          <w:szCs w:val="32"/>
        </w:rPr>
        <w:t>三</w:t>
      </w:r>
      <w:r>
        <w:rPr>
          <w:rStyle w:val="23"/>
          <w:rFonts w:hint="eastAsia" w:ascii="仿宋_GB2312" w:hAnsi="楷体" w:eastAsia="仿宋_GB2312"/>
          <w:spacing w:val="-4"/>
          <w:sz w:val="32"/>
          <w:szCs w:val="32"/>
          <w:lang w:eastAsia="zh-CN"/>
        </w:rPr>
        <w:t>、</w:t>
      </w:r>
      <w:r>
        <w:rPr>
          <w:rStyle w:val="23"/>
          <w:rFonts w:hint="eastAsia" w:ascii="仿宋_GB2312" w:hAnsi="楷体" w:eastAsia="仿宋_GB2312"/>
          <w:spacing w:val="-4"/>
          <w:sz w:val="32"/>
          <w:szCs w:val="32"/>
        </w:rPr>
        <w:t>项目资金管理情况分析</w:t>
      </w:r>
    </w:p>
    <w:p>
      <w:pPr>
        <w:snapToGrid/>
        <w:spacing w:before="0" w:beforeAutospacing="0" w:after="0" w:afterAutospacing="0" w:line="240" w:lineRule="auto"/>
        <w:ind w:firstLine="640" w:firstLineChars="200"/>
        <w:jc w:val="both"/>
        <w:textAlignment w:val="baseline"/>
        <w:rPr>
          <w:rFonts w:hint="eastAsia" w:ascii="仿宋_GB2312" w:hAnsi="华文仿宋" w:eastAsia="仿宋_GB2312" w:cs="华文仿宋"/>
          <w:sz w:val="32"/>
          <w:szCs w:val="32"/>
          <w:lang w:eastAsia="zh-CN"/>
        </w:rPr>
      </w:pPr>
      <w:r>
        <w:rPr>
          <w:rFonts w:hint="eastAsia" w:ascii="仿宋_GB2312" w:hAnsi="华文仿宋" w:eastAsia="仿宋_GB2312" w:cs="华文仿宋"/>
          <w:sz w:val="32"/>
          <w:szCs w:val="32"/>
        </w:rPr>
        <w:t>自治区畜牧总站有健全的资金管理制度，</w:t>
      </w:r>
      <w:r>
        <w:rPr>
          <w:rFonts w:hint="eastAsia" w:ascii="仿宋_GB2312" w:hAnsi="华文仿宋" w:eastAsia="仿宋_GB2312" w:cs="华文仿宋"/>
          <w:sz w:val="32"/>
          <w:szCs w:val="32"/>
          <w:lang w:val="en-US" w:eastAsia="zh-CN"/>
        </w:rPr>
        <w:t>项目资金的使用和目标严格按照项目标准要求使用，达到既不违反财务资金使用规范，同时还要能完成项目的预设目标。</w:t>
      </w:r>
      <w:r>
        <w:rPr>
          <w:rFonts w:hint="eastAsia" w:ascii="仿宋_GB2312" w:hAnsi="华文仿宋" w:eastAsia="仿宋_GB2312" w:cs="华文仿宋"/>
          <w:sz w:val="32"/>
          <w:szCs w:val="32"/>
          <w:lang w:eastAsia="zh-CN"/>
        </w:rPr>
        <w:t>项目资金作为单位专项资金使用，在管理上按照到财政及专项资金管理要求进行管理，并按照资金使用的标准结合业务发展需要，有效实现项目资金使用管理目标。将</w:t>
      </w:r>
      <w:r>
        <w:rPr>
          <w:rFonts w:hint="eastAsia" w:ascii="仿宋_GB2312" w:hAnsi="华文仿宋" w:eastAsia="仿宋_GB2312" w:cs="华文仿宋"/>
          <w:sz w:val="32"/>
          <w:szCs w:val="32"/>
        </w:rPr>
        <w:t>预算管理</w:t>
      </w:r>
      <w:r>
        <w:rPr>
          <w:rFonts w:hint="eastAsia" w:ascii="仿宋_GB2312" w:hAnsi="华文仿宋" w:eastAsia="仿宋_GB2312" w:cs="华文仿宋"/>
          <w:sz w:val="32"/>
          <w:szCs w:val="32"/>
          <w:lang w:eastAsia="zh-CN"/>
        </w:rPr>
        <w:t>作为专项资金</w:t>
      </w:r>
      <w:r>
        <w:rPr>
          <w:rFonts w:hint="eastAsia" w:ascii="仿宋_GB2312" w:hAnsi="华文仿宋" w:eastAsia="仿宋_GB2312" w:cs="华文仿宋"/>
          <w:sz w:val="32"/>
          <w:szCs w:val="32"/>
        </w:rPr>
        <w:t>管理的一个重</w:t>
      </w:r>
      <w:r>
        <w:rPr>
          <w:rFonts w:hint="eastAsia" w:ascii="仿宋_GB2312" w:hAnsi="华文仿宋" w:eastAsia="仿宋_GB2312" w:cs="华文仿宋"/>
          <w:sz w:val="32"/>
          <w:szCs w:val="32"/>
          <w:lang w:eastAsia="zh-CN"/>
        </w:rPr>
        <w:t>组成部分，通过财务预算完善项目资金使用规范，</w:t>
      </w:r>
      <w:r>
        <w:rPr>
          <w:rFonts w:hint="eastAsia" w:ascii="仿宋_GB2312" w:hAnsi="华文仿宋" w:eastAsia="仿宋_GB2312" w:cs="华文仿宋"/>
          <w:sz w:val="32"/>
          <w:szCs w:val="32"/>
          <w:lang w:val="en-US" w:eastAsia="zh-CN"/>
        </w:rPr>
        <w:t>项目资金使用要设立预算、并按预算执行、中期要对预算及项目完成情况进行审核；针对审核中出现的问题要进行修正，完善和改进。</w:t>
      </w:r>
      <w:r>
        <w:rPr>
          <w:rFonts w:hint="eastAsia" w:ascii="仿宋_GB2312" w:hAnsi="华文仿宋" w:eastAsia="仿宋_GB2312" w:cs="华文仿宋"/>
          <w:sz w:val="32"/>
          <w:szCs w:val="32"/>
          <w:lang w:eastAsia="zh-CN"/>
        </w:rPr>
        <w:t>从资金预</w:t>
      </w:r>
      <w:r>
        <w:rPr>
          <w:rFonts w:hint="eastAsia" w:ascii="仿宋_GB2312" w:hAnsi="华文仿宋" w:eastAsia="仿宋_GB2312" w:cs="华文仿宋"/>
          <w:sz w:val="32"/>
          <w:szCs w:val="32"/>
        </w:rPr>
        <w:t>算编制、预算审定及批复、预算分解</w:t>
      </w:r>
      <w:r>
        <w:rPr>
          <w:rFonts w:hint="eastAsia" w:ascii="仿宋_GB2312" w:hAnsi="华文仿宋" w:eastAsia="仿宋_GB2312" w:cs="华文仿宋"/>
          <w:sz w:val="32"/>
          <w:szCs w:val="32"/>
          <w:lang w:eastAsia="zh-CN"/>
        </w:rPr>
        <w:t>、预</w:t>
      </w:r>
      <w:r>
        <w:rPr>
          <w:rFonts w:hint="eastAsia" w:ascii="仿宋_GB2312" w:hAnsi="华文仿宋" w:eastAsia="仿宋_GB2312" w:cs="华文仿宋"/>
          <w:sz w:val="32"/>
          <w:szCs w:val="32"/>
        </w:rPr>
        <w:t>算监控、预算决算、预算审计、预算考核等环节</w:t>
      </w:r>
      <w:r>
        <w:rPr>
          <w:rFonts w:hint="eastAsia" w:ascii="仿宋_GB2312" w:hAnsi="华文仿宋" w:eastAsia="仿宋_GB2312" w:cs="华文仿宋"/>
          <w:sz w:val="32"/>
          <w:szCs w:val="32"/>
          <w:lang w:eastAsia="zh-CN"/>
        </w:rPr>
        <w:t>结合项目使用进度有效完善。</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华文仿宋" w:eastAsia="仿宋_GB2312" w:cs="华文仿宋"/>
          <w:sz w:val="32"/>
          <w:szCs w:val="32"/>
          <w:lang w:eastAsia="zh-CN"/>
        </w:rPr>
      </w:pPr>
      <w:r>
        <w:rPr>
          <w:rFonts w:hint="eastAsia" w:ascii="仿宋_GB2312" w:hAnsi="华文仿宋" w:eastAsia="仿宋_GB2312" w:cs="华文仿宋"/>
          <w:b/>
          <w:sz w:val="32"/>
          <w:szCs w:val="32"/>
          <w:lang w:val="en-US" w:eastAsia="zh-CN"/>
        </w:rPr>
        <w:t>(</w:t>
      </w:r>
      <w:r>
        <w:rPr>
          <w:rFonts w:hint="eastAsia" w:ascii="仿宋_GB2312" w:hAnsi="华文仿宋" w:eastAsia="仿宋_GB2312" w:cs="华文仿宋"/>
          <w:b/>
          <w:sz w:val="32"/>
          <w:szCs w:val="32"/>
        </w:rPr>
        <w:t>1</w:t>
      </w:r>
      <w:r>
        <w:rPr>
          <w:rFonts w:hint="eastAsia" w:ascii="仿宋_GB2312" w:hAnsi="华文仿宋" w:eastAsia="仿宋_GB2312" w:cs="华文仿宋"/>
          <w:b/>
          <w:sz w:val="32"/>
          <w:szCs w:val="32"/>
          <w:lang w:val="en-US" w:eastAsia="zh-CN"/>
        </w:rPr>
        <w:t>)</w:t>
      </w:r>
      <w:r>
        <w:rPr>
          <w:rFonts w:hint="eastAsia" w:ascii="仿宋_GB2312" w:hAnsi="华文仿宋" w:eastAsia="仿宋_GB2312" w:cs="华文仿宋"/>
          <w:b/>
          <w:sz w:val="32"/>
          <w:szCs w:val="32"/>
        </w:rPr>
        <w:t>. 持续做好畜禽种业发展支撑。</w:t>
      </w:r>
      <w:r>
        <w:rPr>
          <w:rFonts w:hint="eastAsia" w:ascii="仿宋_GB2312" w:hAnsi="华文仿宋" w:eastAsia="仿宋_GB2312" w:cs="华文仿宋"/>
          <w:sz w:val="32"/>
          <w:szCs w:val="32"/>
          <w:lang w:eastAsia="zh-CN"/>
        </w:rPr>
        <w:t>一是建立自治区级种畜禽生产经营许可证管理台账，定期调度指导，组织人员开展牛性能测定指导和种畜场育种技术服务。二是制定2022年种畜禽质量监测及生产性能测定指导工作方案，完成18个种畜禽场生产性能检验检测任务。三是组织制定《新疆维吾尔自治区畜禽核心育种场管理办法（试行）》及配套办法，并开展解读培训，指导育种企业积极申报国家级、自治区级核心育种场，组织审查核心育种场申报材料12份，指导2家国家级核心育种场完成核验。四是制定年度工作方案，持续组织实施畜禽遗传改良计划和新疆褐牛、多浪羊等种业提升工程，组织开展新疆褐牛、多浪羊良种登记，编制登记册，推进了新疆褐牛信息化育种。五是审核自治区级种畜禽场育种规划5个，完成现场核验3个。六是实施了自治区种羊性能测定与遗传评估中心、新疆褐牛生产性能测定与遗传评估中心项目建设，夯实育种基础。</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华文仿宋" w:eastAsia="仿宋_GB2312" w:cs="华文仿宋"/>
          <w:sz w:val="32"/>
          <w:szCs w:val="32"/>
          <w:lang w:eastAsia="zh-CN"/>
        </w:rPr>
      </w:pPr>
      <w:r>
        <w:rPr>
          <w:rFonts w:hint="eastAsia" w:ascii="仿宋_GB2312" w:hAnsi="华文仿宋" w:eastAsia="仿宋_GB2312" w:cs="华文仿宋"/>
          <w:b/>
          <w:bCs/>
          <w:sz w:val="32"/>
          <w:szCs w:val="32"/>
          <w:lang w:val="en-US" w:eastAsia="zh-CN"/>
        </w:rPr>
        <w:t>(2).</w:t>
      </w:r>
      <w:r>
        <w:rPr>
          <w:rFonts w:hint="eastAsia" w:ascii="仿宋_GB2312" w:hAnsi="华文仿宋" w:eastAsia="仿宋_GB2312" w:cs="华文仿宋"/>
          <w:b/>
          <w:bCs/>
          <w:sz w:val="32"/>
          <w:szCs w:val="32"/>
          <w:lang w:eastAsia="zh-CN"/>
        </w:rPr>
        <w:t>持续推进畜禽遗传资源保护及开发利用。</w:t>
      </w:r>
      <w:r>
        <w:rPr>
          <w:rFonts w:hint="eastAsia" w:ascii="仿宋_GB2312" w:hAnsi="华文仿宋" w:eastAsia="仿宋_GB2312" w:cs="华文仿宋"/>
          <w:sz w:val="32"/>
          <w:szCs w:val="32"/>
          <w:lang w:eastAsia="zh-CN"/>
        </w:rPr>
        <w:t>一是持续做好第三次畜禽遗传资源普查工作。召开了自治区畜禽遗传资源普查工作总结推进视频会，组织完成了14个地（州、市）面上普查数据审核工作；组织对未发现资源伊犁白猪进行了回溯核查，上报《伊犁白猪遗传资源回溯核查报告》，全面完成我区1345条数据的核查整改和66个品种的回溯调查工作，向国家提交《2021年新疆第三次畜禽遗传资源普查工作总结》《第三次畜禽遗传资源普查专项绩效报告》；制定《自治区畜禽遗传资源性能测定工作方案》《畜禽遗传资源性能测定调度方案》《2022年畜禽遗传资源普查性能测定资金使用工作方案》，有序推进了54个畜禽品种的系统测定，完成了14个地方畜禽品种的影像拍摄工作，向全国畜禽遗传资源普查办推荐普查典型人物事迹4个、典型资源故事2个、种质资源转化典型案例3个。二是加强畜禽遗传资源保护。加强对保种场（保护区）的督促指导， 完成了15个自治区级保种场（保护区）2021年度的保种效果评估，提出书面评估意见，上报形成专项工作总结。制定2022年《畜禽遗传资源保护工作监测方案》，对15个场开展保种保护监测工作；指导柯尔克孜羊、巴音布鲁克羊、巴里坤马、富蕴黑鸡、吐鲁番斗鸡等5家保种单位申报自治区级保种场。三是采集保存畜禽遗传材料。制定《自治区畜禽基因库遗传材料管理办法》，制作杜泊羊、德国肉用美利奴羊、叶城羊、蒙古牛、哈萨克马细管冻精11987剂，南疆地方品种绵羊冷冻胚胎829枚，四是积极挖掘新发现畜禽资源。制定《2022年新发掘畜禽遗传资源申报鉴定工作推进方案》，明确任务分工；组织召开新发现资源申报省级论证会和诺维什羊新资源挖掘研讨会，组织编制并上报了阿山马鹿、也迷离鸡、伊犁鸡、小宛鸡、诺维什羊等新发现资源申报鉴定材料。</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Times New Roman" w:hAnsi="Times New Roman" w:eastAsia="仿宋_GB2312" w:cs="Times New Roman"/>
          <w:sz w:val="32"/>
          <w:szCs w:val="32"/>
        </w:rPr>
      </w:pPr>
      <w:r>
        <w:rPr>
          <w:rFonts w:hint="eastAsia" w:ascii="仿宋_GB2312" w:hAnsi="华文仿宋" w:eastAsia="仿宋_GB2312" w:cs="华文仿宋"/>
          <w:b/>
          <w:bCs/>
          <w:sz w:val="32"/>
          <w:szCs w:val="32"/>
          <w:lang w:val="en-US" w:eastAsia="zh-CN"/>
        </w:rPr>
        <w:t>(3).</w:t>
      </w:r>
      <w:r>
        <w:rPr>
          <w:rFonts w:hint="eastAsia" w:ascii="仿宋_GB2312" w:hAnsi="华文仿宋" w:eastAsia="仿宋_GB2312" w:cs="华文仿宋"/>
          <w:b/>
          <w:bCs/>
          <w:sz w:val="32"/>
          <w:szCs w:val="32"/>
          <w:lang w:eastAsia="zh-CN"/>
        </w:rPr>
        <w:t>持续做好畜牧科技推广和培训工作。</w:t>
      </w:r>
      <w:r>
        <w:rPr>
          <w:rFonts w:hint="eastAsia" w:ascii="仿宋_GB2312" w:hAnsi="华文仿宋" w:eastAsia="仿宋_GB2312" w:cs="华文仿宋"/>
          <w:sz w:val="32"/>
          <w:szCs w:val="32"/>
          <w:lang w:eastAsia="zh-CN"/>
        </w:rPr>
        <w:t>一是抓好畜牧业技术培训。目前已围绕畜牧业高质量发展重点，累计举办技术</w:t>
      </w:r>
      <w:r>
        <w:rPr>
          <w:rFonts w:hint="eastAsia" w:ascii="Times New Roman" w:hAnsi="Times New Roman" w:eastAsia="仿宋_GB2312" w:cs="Times New Roman"/>
          <w:sz w:val="32"/>
          <w:szCs w:val="32"/>
        </w:rPr>
        <w:t>培训35场次，培训人员5000余人次，编写出版专著3本、技术手册5册，申报国家标准3项、立项地方标准1项。二是积极争取并实施好畜牧业项目。今年已争取自治区“十四五”科技重大专项课题1个、自治区国际合作项目2个、农业农村部《伊犁马产业群体项目》子项目1个、农业农村部《新疆褐牛产业集群项目》子项目2个，目前6个项目按照任务书年度考核指标正有序推进。三是依托多浪羊、新疆褐牛、西门塔尔牛（安格斯牛）等3个体系办公室，组织开展畜牧业技术指导与服务，提升体系成员单位整体水平。四是研发推广新疆牛品种改良信息管理系统，举办培训班，已在全区70个县（市）推广应用牛品种改良APP，注册登记配种员3094人，录入配种牛69万余头。</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b/>
          <w:bCs/>
          <w:sz w:val="32"/>
          <w:szCs w:val="32"/>
          <w:lang w:val="en-US" w:eastAsia="zh-CN"/>
        </w:rPr>
        <w:t>(</w:t>
      </w:r>
      <w:r>
        <w:rPr>
          <w:rFonts w:hint="eastAsia" w:ascii="Times New Roman" w:hAnsi="Times New Roman" w:eastAsia="仿宋_GB2312" w:cs="Times New Roman"/>
          <w:b/>
          <w:bCs/>
          <w:sz w:val="32"/>
          <w:szCs w:val="32"/>
        </w:rPr>
        <w:t>4</w:t>
      </w:r>
      <w:r>
        <w:rPr>
          <w:rFonts w:hint="eastAsia" w:ascii="Times New Roman" w:hAnsi="Times New Roman" w:eastAsia="仿宋_GB2312" w:cs="Times New Roman"/>
          <w:b/>
          <w:bCs/>
          <w:sz w:val="32"/>
          <w:szCs w:val="32"/>
          <w:lang w:val="en-US" w:eastAsia="zh-CN"/>
        </w:rPr>
        <w:t>)</w:t>
      </w:r>
      <w:r>
        <w:rPr>
          <w:rFonts w:hint="eastAsia" w:ascii="Times New Roman" w:hAnsi="Times New Roman" w:eastAsia="仿宋_GB2312" w:cs="Times New Roman"/>
          <w:b/>
          <w:bCs/>
          <w:sz w:val="32"/>
          <w:szCs w:val="32"/>
        </w:rPr>
        <w:t>. 持续做好畜牧业统计监测和畜禽养殖废弃物资源化利用工作。</w:t>
      </w:r>
      <w:r>
        <w:rPr>
          <w:rFonts w:hint="eastAsia" w:ascii="Times New Roman" w:hAnsi="Times New Roman" w:eastAsia="仿宋_GB2312" w:cs="Times New Roman"/>
          <w:sz w:val="32"/>
          <w:szCs w:val="32"/>
        </w:rPr>
        <w:t>一是按时完成农业农村部直联直报系统畜牧养殖生产及价格监测数据采集与审核上报，发布价格监测周报43期、统计月报9期，编印《自治区规模以下生猪养殖场户定点监测项目实施方案》，开展规模以下生猪养殖户抽样监测工作，发布《新疆能繁母猪存栏变化监测月报》5期、编印《新疆畜牧业统计监测工作手册》1册。疫情期间，承担了调度、采集各地州主要畜产品价格，审核相关材料的任务。二是制定了《2022年畜禽粪污无害化处理及资源化利用监测方案》，开展畜禽粪污无害化处理及资源化利用监测工作。开展规模及规模以下养殖场（户）畜禽粪污资源化利用典型案例收集和实地调研，推荐上报典型案例6个，其中吐鲁番市《鄯善县养牛户堆肥发酵还田利用模式》被列入全国推介案例。</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Times New Roman" w:hAnsi="Times New Roman" w:eastAsia="仿宋_GB2312" w:cs="Times New Roman"/>
          <w:b/>
          <w:bCs/>
          <w:sz w:val="32"/>
          <w:szCs w:val="32"/>
        </w:rPr>
      </w:pPr>
      <w:r>
        <w:rPr>
          <w:rFonts w:hint="eastAsia" w:eastAsia="仿宋_GB2312" w:cs="Times New Roman"/>
          <w:b/>
          <w:bCs/>
          <w:sz w:val="32"/>
          <w:szCs w:val="32"/>
          <w:lang w:val="en-US" w:eastAsia="zh-CN"/>
        </w:rPr>
        <w:t>5.</w:t>
      </w:r>
      <w:r>
        <w:rPr>
          <w:rFonts w:hint="eastAsia" w:ascii="Times New Roman" w:hAnsi="Times New Roman" w:eastAsia="仿宋_GB2312" w:cs="Times New Roman"/>
          <w:b/>
          <w:bCs/>
          <w:sz w:val="32"/>
          <w:szCs w:val="32"/>
        </w:rPr>
        <w:t>做好饲草料生产工作。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一是开展全株青贮玉米和优质饲草质量检测。先后赴全疆14个地州56家企业进行青贮饲料采样，委托检测机构检测样品100份，目前已完成26项指标检测，初步形成了《新疆全株玉米青贮质量监测报告》。结合“粮改饲”项目和局关于全珠玉米青贮质量监测采样通知，指导开展青贮饲料采样66份。编制《2022年饲草料营养检测工作方案》，与60份样品抽样企业（合作社）开展了检测合作。二是抓好草业统计监测。强化草业统计监测工作要求，完成各地州2021年度数据采集审核汇总上报工作。三是开展区域品种实验与优质饲草料推广。在7个地州开展29个饲草品种的区域试验，示范推广优质饲草种植面积2000余亩。</w:t>
      </w:r>
    </w:p>
    <w:p>
      <w:pPr>
        <w:spacing w:line="600" w:lineRule="exact"/>
        <w:ind w:firstLine="640" w:firstLineChars="200"/>
        <w:rPr>
          <w:rFonts w:hint="eastAsia" w:eastAsia="黑体"/>
          <w:sz w:val="32"/>
          <w:szCs w:val="32"/>
          <w:lang w:eastAsia="zh-CN"/>
        </w:rPr>
      </w:pPr>
      <w:r>
        <w:rPr>
          <w:rFonts w:hint="eastAsia" w:eastAsia="黑体"/>
          <w:sz w:val="32"/>
          <w:szCs w:val="32"/>
          <w:lang w:eastAsia="zh-CN"/>
        </w:rPr>
        <w:t>四、项目产出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24" w:firstLineChars="200"/>
        <w:textAlignment w:val="auto"/>
        <w:rPr>
          <w:rStyle w:val="23"/>
          <w:rFonts w:eastAsia="仿宋"/>
          <w:b w:val="0"/>
          <w:spacing w:val="-4"/>
          <w:sz w:val="32"/>
          <w:szCs w:val="32"/>
        </w:rPr>
      </w:pPr>
      <w:r>
        <w:rPr>
          <w:rStyle w:val="23"/>
          <w:rFonts w:hint="eastAsia" w:eastAsia="仿宋"/>
          <w:b w:val="0"/>
          <w:spacing w:val="-4"/>
          <w:sz w:val="32"/>
          <w:szCs w:val="32"/>
          <w:lang w:eastAsia="zh-CN"/>
        </w:rPr>
        <w:t>其中：</w:t>
      </w:r>
      <w:r>
        <w:rPr>
          <w:rStyle w:val="23"/>
          <w:rFonts w:eastAsia="仿宋"/>
          <w:b w:val="0"/>
          <w:spacing w:val="-4"/>
          <w:sz w:val="32"/>
          <w:szCs w:val="32"/>
        </w:rPr>
        <w:t>数量指标方面</w:t>
      </w:r>
    </w:p>
    <w:p>
      <w:pPr>
        <w:pStyle w:val="18"/>
        <w:numPr>
          <w:ilvl w:val="0"/>
          <w:numId w:val="0"/>
        </w:numPr>
        <w:ind w:firstLine="640" w:firstLineChars="200"/>
        <w:jc w:val="left"/>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1.现代畜牧业提升马牛羊核心群数量指标，指标值为</w:t>
      </w:r>
      <w:r>
        <w:rPr>
          <w:rFonts w:hint="default" w:ascii="Times New Roman" w:hAnsi="Times New Roman" w:eastAsia="仿宋_GB2312" w:cs="Times New Roman"/>
          <w:b w:val="0"/>
          <w:bCs w:val="0"/>
          <w:kern w:val="2"/>
          <w:sz w:val="32"/>
          <w:szCs w:val="32"/>
          <w:lang w:val="en-US" w:eastAsia="zh-CN" w:bidi="ar-SA"/>
        </w:rPr>
        <w:t>≥</w:t>
      </w:r>
      <w:r>
        <w:rPr>
          <w:rFonts w:hint="eastAsia" w:ascii="Times New Roman" w:hAnsi="Times New Roman" w:eastAsia="仿宋_GB2312" w:cs="Times New Roman"/>
          <w:b w:val="0"/>
          <w:bCs w:val="0"/>
          <w:kern w:val="2"/>
          <w:sz w:val="32"/>
          <w:szCs w:val="32"/>
          <w:lang w:val="en-US" w:eastAsia="zh-CN" w:bidi="ar-SA"/>
        </w:rPr>
        <w:t>10000头（只、匹），实际完成15000头，完成率150%，偏差率超额完成50%。</w:t>
      </w:r>
    </w:p>
    <w:p>
      <w:pPr>
        <w:pStyle w:val="18"/>
        <w:numPr>
          <w:ilvl w:val="0"/>
          <w:numId w:val="0"/>
        </w:numPr>
        <w:ind w:firstLine="640" w:firstLineChars="200"/>
        <w:jc w:val="left"/>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2.建设畜禽遗传资源保护场（保护区、基因库）建设数量指标，指标值为</w:t>
      </w:r>
      <w:r>
        <w:rPr>
          <w:rFonts w:hint="default" w:ascii="Times New Roman" w:hAnsi="Times New Roman" w:eastAsia="仿宋_GB2312" w:cs="Times New Roman"/>
          <w:b w:val="0"/>
          <w:bCs w:val="0"/>
          <w:kern w:val="2"/>
          <w:sz w:val="32"/>
          <w:szCs w:val="32"/>
          <w:lang w:val="en-US" w:eastAsia="zh-CN" w:bidi="ar-SA"/>
        </w:rPr>
        <w:t>≥</w:t>
      </w:r>
      <w:r>
        <w:rPr>
          <w:rFonts w:hint="eastAsia" w:ascii="Times New Roman" w:hAnsi="Times New Roman" w:eastAsia="仿宋_GB2312" w:cs="Times New Roman"/>
          <w:b w:val="0"/>
          <w:bCs w:val="0"/>
          <w:kern w:val="2"/>
          <w:sz w:val="32"/>
          <w:szCs w:val="32"/>
          <w:lang w:val="en-US" w:eastAsia="zh-CN" w:bidi="ar-SA"/>
        </w:rPr>
        <w:t>18个，实际完成18个，完成率100%。</w:t>
      </w:r>
    </w:p>
    <w:p>
      <w:pPr>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 xml:space="preserve">    3.遗传材料数量指标，指标值</w:t>
      </w:r>
      <w:r>
        <w:rPr>
          <w:rFonts w:hint="default" w:ascii="Times New Roman" w:hAnsi="Times New Roman" w:eastAsia="仿宋_GB2312" w:cs="Times New Roman"/>
          <w:b w:val="0"/>
          <w:bCs w:val="0"/>
          <w:kern w:val="2"/>
          <w:sz w:val="32"/>
          <w:szCs w:val="32"/>
          <w:lang w:val="en-US" w:eastAsia="zh-CN" w:bidi="ar-SA"/>
        </w:rPr>
        <w:t>≥</w:t>
      </w:r>
      <w:r>
        <w:rPr>
          <w:rFonts w:hint="eastAsia" w:ascii="Times New Roman" w:hAnsi="Times New Roman" w:eastAsia="仿宋_GB2312" w:cs="Times New Roman"/>
          <w:b w:val="0"/>
          <w:bCs w:val="0"/>
          <w:kern w:val="2"/>
          <w:sz w:val="32"/>
          <w:szCs w:val="32"/>
          <w:lang w:val="en-US" w:eastAsia="zh-CN" w:bidi="ar-SA"/>
        </w:rPr>
        <w:t>10000份，实际完成12816，实际完成率128.16%。</w:t>
      </w:r>
    </w:p>
    <w:p>
      <w:pPr>
        <w:pStyle w:val="4"/>
        <w:ind w:firstLine="560"/>
        <w:rPr>
          <w:rFonts w:hint="eastAsia" w:ascii="Times New Roman" w:hAnsi="Times New Roman" w:eastAsia="仿宋_GB2312" w:cs="Times New Roman"/>
          <w:b w:val="0"/>
          <w:bCs w:val="0"/>
          <w:i w:val="0"/>
          <w:iCs w:val="0"/>
          <w:kern w:val="2"/>
          <w:sz w:val="32"/>
          <w:szCs w:val="32"/>
          <w:lang w:val="en-US" w:eastAsia="zh-CN" w:bidi="ar-SA"/>
        </w:rPr>
      </w:pPr>
      <w:r>
        <w:rPr>
          <w:rFonts w:hint="eastAsia" w:ascii="Times New Roman" w:hAnsi="Times New Roman" w:eastAsia="仿宋_GB2312" w:cs="Times New Roman"/>
          <w:b w:val="0"/>
          <w:bCs w:val="0"/>
          <w:i w:val="0"/>
          <w:iCs w:val="0"/>
          <w:kern w:val="2"/>
          <w:sz w:val="32"/>
          <w:szCs w:val="32"/>
          <w:lang w:val="en-US" w:eastAsia="zh-CN" w:bidi="ar-SA"/>
        </w:rPr>
        <w:t>4.优良畜禽品种登记、测定数量指标</w:t>
      </w:r>
      <w:r>
        <w:rPr>
          <w:rFonts w:hint="default" w:ascii="Times New Roman" w:hAnsi="Times New Roman" w:eastAsia="仿宋_GB2312" w:cs="Times New Roman"/>
          <w:b w:val="0"/>
          <w:bCs w:val="0"/>
          <w:i w:val="0"/>
          <w:iCs w:val="0"/>
          <w:kern w:val="2"/>
          <w:sz w:val="32"/>
          <w:szCs w:val="32"/>
          <w:lang w:val="en-US" w:eastAsia="zh-CN" w:bidi="ar-SA"/>
        </w:rPr>
        <w:t>≥</w:t>
      </w:r>
      <w:r>
        <w:rPr>
          <w:rFonts w:hint="eastAsia" w:ascii="Times New Roman" w:hAnsi="Times New Roman" w:eastAsia="仿宋_GB2312" w:cs="Times New Roman"/>
          <w:b w:val="0"/>
          <w:bCs w:val="0"/>
          <w:i w:val="0"/>
          <w:iCs w:val="0"/>
          <w:kern w:val="2"/>
          <w:sz w:val="32"/>
          <w:szCs w:val="32"/>
          <w:lang w:val="en-US" w:eastAsia="zh-CN" w:bidi="ar-SA"/>
        </w:rPr>
        <w:t>5000头（匹、只）实际完成达5000头以上，完成率100%。</w:t>
      </w:r>
    </w:p>
    <w:p>
      <w:pPr>
        <w:ind w:firstLine="56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5.畜禽养殖场（小区）登记备案数量指标值</w:t>
      </w:r>
      <w:r>
        <w:rPr>
          <w:rFonts w:hint="default" w:ascii="Times New Roman" w:hAnsi="Times New Roman" w:eastAsia="仿宋_GB2312" w:cs="Times New Roman"/>
          <w:b w:val="0"/>
          <w:bCs w:val="0"/>
          <w:kern w:val="2"/>
          <w:sz w:val="32"/>
          <w:szCs w:val="32"/>
          <w:lang w:val="en-US" w:eastAsia="zh-CN" w:bidi="ar-SA"/>
        </w:rPr>
        <w:t>≥</w:t>
      </w:r>
      <w:r>
        <w:rPr>
          <w:rFonts w:hint="eastAsia" w:ascii="Times New Roman" w:hAnsi="Times New Roman" w:eastAsia="仿宋_GB2312" w:cs="Times New Roman"/>
          <w:b w:val="0"/>
          <w:bCs w:val="0"/>
          <w:kern w:val="2"/>
          <w:sz w:val="32"/>
          <w:szCs w:val="32"/>
          <w:lang w:val="en-US" w:eastAsia="zh-CN" w:bidi="ar-SA"/>
        </w:rPr>
        <w:t>4000个，实际完成值达5000个，实际完成率125%。</w:t>
      </w:r>
    </w:p>
    <w:p>
      <w:pPr>
        <w:pStyle w:val="4"/>
        <w:rPr>
          <w:rFonts w:hint="eastAsia" w:ascii="Times New Roman" w:hAnsi="Times New Roman" w:eastAsia="仿宋_GB2312" w:cs="Times New Roman"/>
          <w:b w:val="0"/>
          <w:bCs w:val="0"/>
          <w:i w:val="0"/>
          <w:i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 xml:space="preserve">  </w:t>
      </w:r>
      <w:r>
        <w:rPr>
          <w:rFonts w:hint="eastAsia" w:ascii="Times New Roman" w:hAnsi="Times New Roman" w:eastAsia="仿宋_GB2312" w:cs="Times New Roman"/>
          <w:b w:val="0"/>
          <w:bCs w:val="0"/>
          <w:i w:val="0"/>
          <w:iCs w:val="0"/>
          <w:kern w:val="2"/>
          <w:sz w:val="32"/>
          <w:szCs w:val="32"/>
          <w:lang w:val="en-US" w:eastAsia="zh-CN" w:bidi="ar-SA"/>
        </w:rPr>
        <w:t xml:space="preserve">  6畜禽统计监测点数量</w:t>
      </w:r>
      <w:r>
        <w:rPr>
          <w:rFonts w:hint="default" w:ascii="Times New Roman" w:hAnsi="Times New Roman" w:eastAsia="仿宋_GB2312" w:cs="Times New Roman"/>
          <w:b w:val="0"/>
          <w:bCs w:val="0"/>
          <w:i w:val="0"/>
          <w:iCs w:val="0"/>
          <w:kern w:val="2"/>
          <w:sz w:val="32"/>
          <w:szCs w:val="32"/>
          <w:lang w:val="en-US" w:eastAsia="zh-CN" w:bidi="ar-SA"/>
        </w:rPr>
        <w:t>≥</w:t>
      </w:r>
      <w:r>
        <w:rPr>
          <w:rFonts w:hint="eastAsia" w:ascii="Times New Roman" w:hAnsi="Times New Roman" w:eastAsia="仿宋_GB2312" w:cs="Times New Roman"/>
          <w:b w:val="0"/>
          <w:bCs w:val="0"/>
          <w:i w:val="0"/>
          <w:iCs w:val="0"/>
          <w:kern w:val="2"/>
          <w:sz w:val="32"/>
          <w:szCs w:val="32"/>
          <w:lang w:val="en-US" w:eastAsia="zh-CN" w:bidi="ar-SA"/>
        </w:rPr>
        <w:t>500个，实际完成值达500余个，实际完成率100%。</w:t>
      </w:r>
    </w:p>
    <w:p>
      <w:pPr>
        <w:spacing w:line="600" w:lineRule="exact"/>
        <w:ind w:firstLine="640" w:firstLineChars="200"/>
        <w:rPr>
          <w:rStyle w:val="52"/>
          <w:rFonts w:ascii="Times New Roman" w:hAnsi="Times New Roman" w:cs="Times New Roman"/>
          <w:color w:val="auto"/>
        </w:rPr>
      </w:pPr>
      <w:r>
        <w:rPr>
          <w:rStyle w:val="52"/>
          <w:rFonts w:ascii="Times New Roman" w:hAnsi="Times New Roman" w:cs="Times New Roman"/>
          <w:color w:val="auto"/>
        </w:rPr>
        <w:t>质量指标方面：</w:t>
      </w:r>
    </w:p>
    <w:p>
      <w:pPr>
        <w:spacing w:line="600" w:lineRule="exact"/>
        <w:ind w:firstLine="640" w:firstLineChars="200"/>
        <w:rPr>
          <w:rFonts w:hint="eastAsia" w:ascii="Times New Roman" w:hAnsi="Times New Roman" w:eastAsia="仿宋_GB2312" w:cs="Times New Roman"/>
          <w:b w:val="0"/>
          <w:bCs w:val="0"/>
          <w:i/>
          <w:iCs/>
          <w:kern w:val="2"/>
          <w:sz w:val="32"/>
          <w:szCs w:val="32"/>
          <w:lang w:val="en-US" w:eastAsia="zh-CN" w:bidi="ar-SA"/>
        </w:rPr>
      </w:pPr>
      <w:r>
        <w:rPr>
          <w:rStyle w:val="52"/>
          <w:rFonts w:hint="eastAsia" w:eastAsia="仿宋_GB2312" w:cs="Times New Roman"/>
          <w:color w:val="auto"/>
          <w:lang w:val="en-US" w:eastAsia="zh-CN"/>
        </w:rPr>
        <w:t>1.</w:t>
      </w:r>
      <w:r>
        <w:rPr>
          <w:rStyle w:val="52"/>
          <w:rFonts w:hint="eastAsia" w:eastAsia="仿宋_GB2312" w:cs="Times New Roman"/>
          <w:color w:val="auto"/>
          <w:lang w:eastAsia="zh-CN"/>
        </w:rPr>
        <w:t>畜禽保种场与保护区保种群体合格率</w:t>
      </w:r>
      <w:r>
        <w:rPr>
          <w:rStyle w:val="52"/>
          <w:rFonts w:hint="default" w:ascii="Arial" w:hAnsi="Arial" w:eastAsia="仿宋_GB2312" w:cs="Arial"/>
          <w:color w:val="auto"/>
          <w:lang w:eastAsia="zh-CN"/>
        </w:rPr>
        <w:t>≥</w:t>
      </w:r>
      <w:r>
        <w:rPr>
          <w:rStyle w:val="52"/>
          <w:rFonts w:hint="eastAsia" w:ascii="仿宋_GB2312" w:hAnsi="仿宋_GB2312" w:eastAsia="仿宋_GB2312" w:cs="仿宋_GB2312"/>
          <w:color w:val="auto"/>
          <w:lang w:val="en-US" w:eastAsia="zh-CN"/>
        </w:rPr>
        <w:t>90%，实际完成值达100%</w:t>
      </w:r>
      <w:r>
        <w:rPr>
          <w:rFonts w:hint="eastAsia" w:ascii="Times New Roman" w:hAnsi="Times New Roman" w:eastAsia="仿宋_GB2312" w:cs="Times New Roman"/>
          <w:b w:val="0"/>
          <w:bCs w:val="0"/>
          <w:i/>
          <w:iCs/>
          <w:kern w:val="2"/>
          <w:sz w:val="32"/>
          <w:szCs w:val="32"/>
          <w:lang w:val="en-US" w:eastAsia="zh-CN" w:bidi="ar-SA"/>
        </w:rPr>
        <w:t>。</w:t>
      </w:r>
    </w:p>
    <w:p>
      <w:pPr>
        <w:pStyle w:val="4"/>
        <w:numPr>
          <w:ilvl w:val="0"/>
          <w:numId w:val="0"/>
        </w:numPr>
        <w:ind w:firstLine="640" w:firstLineChars="200"/>
        <w:rPr>
          <w:rStyle w:val="52"/>
          <w:rFonts w:hint="eastAsia" w:ascii="Times New Roman" w:hAnsi="Times New Roman" w:cs="Times New Roman"/>
          <w:b w:val="0"/>
          <w:bCs w:val="0"/>
          <w:i w:val="0"/>
          <w:iCs w:val="0"/>
          <w:color w:val="auto"/>
          <w:kern w:val="2"/>
          <w:lang w:val="en-US" w:eastAsia="zh-CN" w:bidi="ar-SA"/>
        </w:rPr>
      </w:pPr>
      <w:r>
        <w:rPr>
          <w:rStyle w:val="52"/>
          <w:rFonts w:hint="eastAsia" w:ascii="Times New Roman" w:hAnsi="Times New Roman" w:cs="Times New Roman"/>
          <w:b w:val="0"/>
          <w:bCs w:val="0"/>
          <w:i w:val="0"/>
          <w:iCs w:val="0"/>
          <w:color w:val="auto"/>
          <w:kern w:val="2"/>
          <w:lang w:val="en-US" w:eastAsia="zh-CN" w:bidi="ar-SA"/>
        </w:rPr>
        <w:t>2.畜禽遗传物质制作合格率</w:t>
      </w:r>
      <w:r>
        <w:rPr>
          <w:rStyle w:val="52"/>
          <w:rFonts w:hint="default" w:ascii="Times New Roman" w:hAnsi="Times New Roman" w:cs="Times New Roman"/>
          <w:b w:val="0"/>
          <w:bCs w:val="0"/>
          <w:i w:val="0"/>
          <w:iCs w:val="0"/>
          <w:color w:val="auto"/>
          <w:kern w:val="2"/>
          <w:lang w:val="en-US" w:eastAsia="zh-CN" w:bidi="ar-SA"/>
        </w:rPr>
        <w:t>≥</w:t>
      </w:r>
      <w:r>
        <w:rPr>
          <w:rStyle w:val="52"/>
          <w:rFonts w:hint="eastAsia" w:ascii="Times New Roman" w:hAnsi="Times New Roman" w:cs="Times New Roman"/>
          <w:b w:val="0"/>
          <w:bCs w:val="0"/>
          <w:i w:val="0"/>
          <w:iCs w:val="0"/>
          <w:color w:val="auto"/>
          <w:kern w:val="2"/>
          <w:lang w:val="en-US" w:eastAsia="zh-CN" w:bidi="ar-SA"/>
        </w:rPr>
        <w:t>90%,实际完成标准95%。</w:t>
      </w:r>
    </w:p>
    <w:p>
      <w:pPr>
        <w:numPr>
          <w:ilvl w:val="0"/>
          <w:numId w:val="0"/>
        </w:numPr>
        <w:ind w:firstLine="640" w:firstLineChars="200"/>
        <w:rPr>
          <w:rStyle w:val="52"/>
          <w:rFonts w:hint="eastAsia" w:ascii="Times New Roman" w:hAnsi="Times New Roman" w:cs="Times New Roman"/>
          <w:b w:val="0"/>
          <w:bCs w:val="0"/>
          <w:i w:val="0"/>
          <w:iCs w:val="0"/>
          <w:color w:val="auto"/>
          <w:kern w:val="2"/>
          <w:lang w:val="en-US" w:eastAsia="zh-CN" w:bidi="ar-SA"/>
        </w:rPr>
      </w:pPr>
      <w:r>
        <w:rPr>
          <w:rStyle w:val="52"/>
          <w:rFonts w:hint="eastAsia" w:ascii="Times New Roman" w:hAnsi="Times New Roman" w:cs="Times New Roman"/>
          <w:b w:val="0"/>
          <w:bCs w:val="0"/>
          <w:i w:val="0"/>
          <w:iCs w:val="0"/>
          <w:color w:val="auto"/>
          <w:kern w:val="2"/>
          <w:lang w:val="en-US" w:eastAsia="zh-CN" w:bidi="ar-SA"/>
        </w:rPr>
        <w:t>3.育种场出栏合格率</w:t>
      </w:r>
      <w:r>
        <w:rPr>
          <w:rStyle w:val="52"/>
          <w:rFonts w:hint="default" w:ascii="Times New Roman" w:hAnsi="Times New Roman" w:cs="Times New Roman"/>
          <w:b w:val="0"/>
          <w:bCs w:val="0"/>
          <w:i w:val="0"/>
          <w:iCs w:val="0"/>
          <w:color w:val="auto"/>
          <w:kern w:val="2"/>
          <w:lang w:val="en-US" w:eastAsia="zh-CN" w:bidi="ar-SA"/>
        </w:rPr>
        <w:t>≥</w:t>
      </w:r>
      <w:r>
        <w:rPr>
          <w:rStyle w:val="52"/>
          <w:rFonts w:hint="eastAsia" w:ascii="Times New Roman" w:hAnsi="Times New Roman" w:cs="Times New Roman"/>
          <w:b w:val="0"/>
          <w:bCs w:val="0"/>
          <w:i w:val="0"/>
          <w:iCs w:val="0"/>
          <w:color w:val="auto"/>
          <w:kern w:val="2"/>
          <w:lang w:val="en-US" w:eastAsia="zh-CN" w:bidi="ar-SA"/>
        </w:rPr>
        <w:t>90%，实际完成标准95%。</w:t>
      </w:r>
    </w:p>
    <w:p>
      <w:pPr>
        <w:numPr>
          <w:ilvl w:val="0"/>
          <w:numId w:val="0"/>
        </w:numPr>
        <w:ind w:firstLine="640" w:firstLineChars="200"/>
        <w:rPr>
          <w:rStyle w:val="52"/>
          <w:rFonts w:hint="eastAsia" w:ascii="Times New Roman" w:hAnsi="Times New Roman" w:cs="Times New Roman"/>
          <w:b w:val="0"/>
          <w:bCs w:val="0"/>
          <w:i w:val="0"/>
          <w:iCs w:val="0"/>
          <w:color w:val="auto"/>
          <w:kern w:val="2"/>
          <w:lang w:val="en-US" w:eastAsia="zh-CN" w:bidi="ar-SA"/>
        </w:rPr>
      </w:pPr>
      <w:r>
        <w:rPr>
          <w:rStyle w:val="52"/>
          <w:rFonts w:hint="eastAsia" w:ascii="Times New Roman" w:hAnsi="Times New Roman" w:cs="Times New Roman"/>
          <w:b w:val="0"/>
          <w:bCs w:val="0"/>
          <w:i w:val="0"/>
          <w:iCs w:val="0"/>
          <w:color w:val="auto"/>
          <w:kern w:val="2"/>
          <w:lang w:val="en-US" w:eastAsia="zh-CN" w:bidi="ar-SA"/>
        </w:rPr>
        <w:t>4.畜禽统计监测点数据采集完成率</w:t>
      </w:r>
      <w:r>
        <w:rPr>
          <w:rStyle w:val="52"/>
          <w:rFonts w:hint="default" w:ascii="Times New Roman" w:hAnsi="Times New Roman" w:cs="Times New Roman"/>
          <w:b w:val="0"/>
          <w:bCs w:val="0"/>
          <w:i w:val="0"/>
          <w:iCs w:val="0"/>
          <w:color w:val="auto"/>
          <w:kern w:val="2"/>
          <w:lang w:val="en-US" w:eastAsia="zh-CN" w:bidi="ar-SA"/>
        </w:rPr>
        <w:t>≥</w:t>
      </w:r>
      <w:r>
        <w:rPr>
          <w:rStyle w:val="52"/>
          <w:rFonts w:hint="eastAsia" w:ascii="Times New Roman" w:hAnsi="Times New Roman" w:cs="Times New Roman"/>
          <w:b w:val="0"/>
          <w:bCs w:val="0"/>
          <w:i w:val="0"/>
          <w:iCs w:val="0"/>
          <w:color w:val="auto"/>
          <w:kern w:val="2"/>
          <w:lang w:val="en-US" w:eastAsia="zh-CN" w:bidi="ar-SA"/>
        </w:rPr>
        <w:t>95%，实际完成率</w:t>
      </w:r>
      <w:r>
        <w:rPr>
          <w:rStyle w:val="52"/>
          <w:rFonts w:hint="default" w:ascii="Times New Roman" w:hAnsi="Times New Roman" w:cs="Times New Roman"/>
          <w:b w:val="0"/>
          <w:bCs w:val="0"/>
          <w:i w:val="0"/>
          <w:iCs w:val="0"/>
          <w:color w:val="auto"/>
          <w:kern w:val="2"/>
          <w:lang w:val="en-US" w:eastAsia="zh-CN" w:bidi="ar-SA"/>
        </w:rPr>
        <w:t>≥</w:t>
      </w:r>
      <w:r>
        <w:rPr>
          <w:rStyle w:val="52"/>
          <w:rFonts w:hint="eastAsia" w:ascii="Times New Roman" w:hAnsi="Times New Roman" w:cs="Times New Roman"/>
          <w:b w:val="0"/>
          <w:bCs w:val="0"/>
          <w:i w:val="0"/>
          <w:iCs w:val="0"/>
          <w:color w:val="auto"/>
          <w:kern w:val="2"/>
          <w:lang w:val="en-US" w:eastAsia="zh-CN" w:bidi="ar-SA"/>
        </w:rPr>
        <w:t>95%.</w:t>
      </w:r>
    </w:p>
    <w:p>
      <w:pPr>
        <w:pStyle w:val="18"/>
        <w:spacing w:before="0" w:after="0" w:line="600" w:lineRule="exact"/>
        <w:ind w:firstLine="640" w:firstLineChars="200"/>
        <w:jc w:val="both"/>
        <w:rPr>
          <w:rStyle w:val="52"/>
          <w:rFonts w:ascii="Times New Roman" w:hAnsi="Times New Roman" w:cs="Times New Roman"/>
          <w:b w:val="0"/>
          <w:bCs w:val="0"/>
          <w:color w:val="auto"/>
        </w:rPr>
      </w:pPr>
      <w:r>
        <w:rPr>
          <w:rStyle w:val="52"/>
          <w:rFonts w:ascii="Times New Roman" w:hAnsi="Times New Roman" w:cs="Times New Roman"/>
          <w:b w:val="0"/>
          <w:bCs w:val="0"/>
          <w:color w:val="auto"/>
        </w:rPr>
        <w:t>成本指标方面：</w:t>
      </w:r>
    </w:p>
    <w:p>
      <w:pPr>
        <w:pStyle w:val="18"/>
        <w:spacing w:before="0" w:after="0" w:line="600" w:lineRule="exact"/>
        <w:ind w:firstLine="640" w:firstLineChars="200"/>
        <w:jc w:val="both"/>
        <w:rPr>
          <w:rStyle w:val="52"/>
          <w:rFonts w:hint="eastAsia" w:ascii="Times New Roman" w:hAnsi="Times New Roman" w:cs="Times New Roman"/>
          <w:b w:val="0"/>
          <w:bCs w:val="0"/>
          <w:color w:val="auto"/>
          <w:lang w:val="en-US" w:eastAsia="zh-CN"/>
        </w:rPr>
      </w:pPr>
      <w:r>
        <w:rPr>
          <w:rStyle w:val="52"/>
          <w:rFonts w:hint="eastAsia" w:ascii="Times New Roman" w:hAnsi="Times New Roman" w:eastAsia="仿宋_GB2312" w:cs="Times New Roman"/>
          <w:b w:val="0"/>
          <w:bCs w:val="0"/>
          <w:color w:val="auto"/>
          <w:lang w:val="en-US" w:eastAsia="zh-CN"/>
        </w:rPr>
        <w:t>1.</w:t>
      </w:r>
      <w:r>
        <w:rPr>
          <w:rStyle w:val="52"/>
          <w:rFonts w:hint="eastAsia" w:ascii="Times New Roman" w:hAnsi="Times New Roman" w:eastAsia="仿宋_GB2312" w:cs="Times New Roman"/>
          <w:b w:val="0"/>
          <w:bCs w:val="0"/>
          <w:color w:val="auto"/>
          <w:lang w:eastAsia="zh-CN"/>
        </w:rPr>
        <w:t>畜禽遗传保护与利用成本</w:t>
      </w:r>
      <w:r>
        <w:rPr>
          <w:rStyle w:val="52"/>
          <w:rFonts w:hint="eastAsia" w:ascii="Times New Roman" w:hAnsi="Times New Roman" w:eastAsia="仿宋_GB2312" w:cs="Times New Roman"/>
          <w:b w:val="0"/>
          <w:bCs w:val="0"/>
          <w:color w:val="auto"/>
          <w:lang w:val="en-US" w:eastAsia="zh-CN"/>
        </w:rPr>
        <w:t>71万，实际完成71万，完成率100%。</w:t>
      </w:r>
      <w:r>
        <w:rPr>
          <w:rStyle w:val="52"/>
          <w:rFonts w:hint="eastAsia" w:ascii="Times New Roman" w:hAnsi="Times New Roman" w:cs="Times New Roman"/>
          <w:b w:val="0"/>
          <w:bCs w:val="0"/>
          <w:color w:val="auto"/>
          <w:lang w:val="en-US" w:eastAsia="zh-CN"/>
        </w:rPr>
        <w:t>（同上）</w:t>
      </w:r>
    </w:p>
    <w:p>
      <w:pPr>
        <w:pStyle w:val="18"/>
        <w:spacing w:before="0" w:after="0" w:line="600" w:lineRule="exact"/>
        <w:ind w:firstLine="640" w:firstLineChars="200"/>
        <w:jc w:val="both"/>
        <w:rPr>
          <w:rStyle w:val="52"/>
          <w:rFonts w:hint="eastAsia" w:ascii="Times New Roman" w:hAnsi="Times New Roman" w:cs="Times New Roman"/>
          <w:b w:val="0"/>
          <w:bCs w:val="0"/>
          <w:color w:val="auto"/>
          <w:lang w:val="en-US" w:eastAsia="zh-CN"/>
        </w:rPr>
      </w:pPr>
      <w:r>
        <w:rPr>
          <w:rStyle w:val="52"/>
          <w:rFonts w:hint="eastAsia" w:ascii="Times New Roman" w:hAnsi="Times New Roman" w:cs="Times New Roman"/>
          <w:b w:val="0"/>
          <w:bCs w:val="0"/>
          <w:color w:val="auto"/>
          <w:lang w:val="en-US" w:eastAsia="zh-CN"/>
        </w:rPr>
        <w:t>2.畜禽良种繁育推广与应用成本173万，实际完成173万，完成率100%。</w:t>
      </w:r>
    </w:p>
    <w:p>
      <w:pPr>
        <w:pStyle w:val="18"/>
        <w:spacing w:before="0" w:after="0" w:line="600" w:lineRule="exact"/>
        <w:ind w:firstLine="640" w:firstLineChars="200"/>
        <w:jc w:val="both"/>
        <w:rPr>
          <w:rStyle w:val="52"/>
          <w:rFonts w:hint="eastAsia" w:ascii="Times New Roman" w:hAnsi="Times New Roman" w:cs="Times New Roman"/>
          <w:b w:val="0"/>
          <w:bCs w:val="0"/>
          <w:color w:val="auto"/>
          <w:lang w:val="en-US" w:eastAsia="zh-CN"/>
        </w:rPr>
      </w:pPr>
      <w:r>
        <w:rPr>
          <w:rStyle w:val="52"/>
          <w:rFonts w:hint="eastAsia" w:ascii="Times New Roman" w:hAnsi="Times New Roman" w:cs="Times New Roman"/>
          <w:b w:val="0"/>
          <w:bCs w:val="0"/>
          <w:color w:val="auto"/>
          <w:lang w:val="en-US" w:eastAsia="zh-CN"/>
        </w:rPr>
        <w:t>3.畜禽粪污资源化利用及统计监测成本46.5万，实际完成46.5万，完成率100%。</w:t>
      </w:r>
    </w:p>
    <w:p>
      <w:pPr>
        <w:pStyle w:val="18"/>
        <w:spacing w:before="0" w:after="0" w:line="600" w:lineRule="exact"/>
        <w:ind w:firstLine="640" w:firstLineChars="200"/>
        <w:jc w:val="both"/>
        <w:rPr>
          <w:rStyle w:val="52"/>
          <w:rFonts w:hint="eastAsia" w:ascii="Times New Roman" w:hAnsi="Times New Roman" w:cs="Times New Roman"/>
          <w:b w:val="0"/>
          <w:bCs w:val="0"/>
          <w:color w:val="auto"/>
          <w:lang w:val="en-US" w:eastAsia="zh-CN"/>
        </w:rPr>
      </w:pPr>
      <w:r>
        <w:rPr>
          <w:rStyle w:val="52"/>
          <w:rFonts w:hint="eastAsia" w:ascii="Times New Roman" w:hAnsi="Times New Roman" w:cs="Times New Roman"/>
          <w:b w:val="0"/>
          <w:bCs w:val="0"/>
          <w:color w:val="auto"/>
          <w:lang w:val="en-US" w:eastAsia="zh-CN"/>
        </w:rPr>
        <w:t>4.饲草料生产加工利用成本55.5万，实际完成55.5万，完成率100%。</w:t>
      </w:r>
    </w:p>
    <w:p>
      <w:pPr>
        <w:pStyle w:val="18"/>
        <w:spacing w:before="0" w:after="0" w:line="600" w:lineRule="exact"/>
        <w:ind w:firstLine="640" w:firstLineChars="200"/>
        <w:jc w:val="both"/>
        <w:rPr>
          <w:rStyle w:val="52"/>
          <w:rFonts w:hint="eastAsia" w:ascii="Times New Roman" w:hAnsi="Times New Roman" w:cs="Times New Roman"/>
          <w:b w:val="0"/>
          <w:bCs w:val="0"/>
          <w:color w:val="auto"/>
          <w:lang w:val="en-US" w:eastAsia="zh-CN"/>
        </w:rPr>
      </w:pPr>
      <w:r>
        <w:rPr>
          <w:rStyle w:val="52"/>
          <w:rFonts w:hint="eastAsia" w:ascii="Times New Roman" w:hAnsi="Times New Roman" w:cs="Times New Roman"/>
          <w:b w:val="0"/>
          <w:bCs w:val="0"/>
          <w:color w:val="auto"/>
          <w:lang w:val="en-US" w:eastAsia="zh-CN"/>
        </w:rPr>
        <w:t>时效指标方面：项目计划按期完成率100%</w:t>
      </w:r>
    </w:p>
    <w:p>
      <w:pPr>
        <w:pStyle w:val="18"/>
        <w:ind w:firstLine="321" w:firstLineChars="100"/>
        <w:jc w:val="both"/>
        <w:rPr>
          <w:rFonts w:ascii="Times New Roman" w:hAnsi="Times New Roman" w:eastAsia="楷体_GB2312"/>
        </w:rPr>
      </w:pPr>
      <w:r>
        <w:rPr>
          <w:rFonts w:hint="eastAsia" w:ascii="Times New Roman" w:hAnsi="Times New Roman" w:eastAsia="楷体_GB2312"/>
        </w:rPr>
        <w:t>（四）</w:t>
      </w:r>
      <w:r>
        <w:rPr>
          <w:rFonts w:ascii="Times New Roman" w:hAnsi="Times New Roman" w:eastAsia="楷体_GB2312"/>
        </w:rPr>
        <w:t>效益情况</w:t>
      </w:r>
    </w:p>
    <w:p>
      <w:pPr>
        <w:spacing w:line="600" w:lineRule="exact"/>
        <w:ind w:firstLine="640" w:firstLineChars="200"/>
        <w:rPr>
          <w:rStyle w:val="52"/>
          <w:rFonts w:ascii="Times New Roman" w:hAnsi="Times New Roman" w:cs="Times New Roman"/>
          <w:color w:val="auto"/>
        </w:rPr>
      </w:pPr>
      <w:r>
        <w:rPr>
          <w:rStyle w:val="52"/>
          <w:rFonts w:ascii="Times New Roman" w:hAnsi="Times New Roman" w:cs="Times New Roman"/>
          <w:color w:val="auto"/>
        </w:rPr>
        <w:t>社会效益指标方面：</w:t>
      </w:r>
      <w:r>
        <w:rPr>
          <w:rStyle w:val="52"/>
          <w:rFonts w:hint="eastAsia" w:eastAsia="仿宋_GB2312" w:cs="Times New Roman"/>
          <w:color w:val="auto"/>
          <w:lang w:eastAsia="zh-CN"/>
        </w:rPr>
        <w:t>有效提升畜禽良种增收能力，提升养殖生产水平。</w:t>
      </w:r>
    </w:p>
    <w:p>
      <w:pPr>
        <w:spacing w:line="600" w:lineRule="exact"/>
        <w:ind w:firstLine="643" w:firstLineChars="200"/>
        <w:rPr>
          <w:rStyle w:val="52"/>
          <w:rFonts w:hint="eastAsia" w:eastAsia="仿宋_GB2312" w:cs="Times New Roman"/>
          <w:color w:val="auto"/>
          <w:lang w:val="en-US" w:eastAsia="zh-CN"/>
        </w:rPr>
      </w:pPr>
      <w:r>
        <w:rPr>
          <w:rFonts w:hint="eastAsia" w:ascii="Times New Roman" w:hAnsi="Times New Roman" w:eastAsia="楷体_GB2312" w:cs="Times New Roman"/>
          <w:b/>
          <w:bCs/>
          <w:kern w:val="28"/>
          <w:sz w:val="32"/>
          <w:szCs w:val="32"/>
          <w:lang w:val="en-US" w:eastAsia="zh-CN" w:bidi="ar-SA"/>
        </w:rPr>
        <w:t>(五）满意度指标方面：</w:t>
      </w:r>
      <w:r>
        <w:rPr>
          <w:rStyle w:val="52"/>
          <w:rFonts w:hint="eastAsia" w:eastAsia="仿宋_GB2312" w:cs="Times New Roman"/>
          <w:color w:val="auto"/>
          <w:lang w:eastAsia="zh-CN"/>
        </w:rPr>
        <w:t>农牧民满意度</w:t>
      </w:r>
      <w:r>
        <w:rPr>
          <w:rStyle w:val="52"/>
          <w:rFonts w:hint="default" w:eastAsia="仿宋_GB2312" w:cs="Times New Roman"/>
          <w:color w:val="auto"/>
          <w:lang w:eastAsia="zh-CN"/>
        </w:rPr>
        <w:t>≥</w:t>
      </w:r>
      <w:r>
        <w:rPr>
          <w:rStyle w:val="52"/>
          <w:rFonts w:hint="eastAsia" w:eastAsia="仿宋_GB2312" w:cs="Times New Roman"/>
          <w:color w:val="auto"/>
          <w:lang w:val="en-US" w:eastAsia="zh-CN"/>
        </w:rPr>
        <w:t>90%.</w:t>
      </w:r>
    </w:p>
    <w:p>
      <w:pPr>
        <w:spacing w:line="600" w:lineRule="exact"/>
        <w:ind w:firstLine="640" w:firstLineChars="200"/>
        <w:rPr>
          <w:rStyle w:val="52"/>
          <w:rFonts w:ascii="Times New Roman" w:hAnsi="Times New Roman" w:cs="Times New Roman"/>
          <w:color w:val="auto"/>
        </w:rPr>
      </w:pPr>
      <w:r>
        <w:rPr>
          <w:rFonts w:eastAsia="黑体"/>
          <w:sz w:val="32"/>
          <w:szCs w:val="32"/>
        </w:rPr>
        <w:t>五、主要经验及做法、存在的问题及原因分析</w:t>
      </w:r>
    </w:p>
    <w:p>
      <w:pPr>
        <w:spacing w:line="600" w:lineRule="exact"/>
        <w:ind w:firstLine="627" w:firstLineChars="200"/>
        <w:rPr>
          <w:rFonts w:eastAsia="楷体"/>
          <w:b/>
          <w:spacing w:val="-4"/>
          <w:sz w:val="32"/>
          <w:szCs w:val="32"/>
        </w:rPr>
      </w:pPr>
      <w:r>
        <w:rPr>
          <w:rFonts w:eastAsia="楷体"/>
          <w:b/>
          <w:spacing w:val="-4"/>
          <w:sz w:val="32"/>
          <w:szCs w:val="32"/>
        </w:rPr>
        <w:t>（一）主要经验及做法</w:t>
      </w:r>
    </w:p>
    <w:p>
      <w:pPr>
        <w:spacing w:line="60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8"/>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5"/>
        </w:numPr>
        <w:spacing w:line="600" w:lineRule="exact"/>
        <w:ind w:firstLine="643" w:firstLineChars="200"/>
        <w:rPr>
          <w:rFonts w:eastAsia="楷体_GB2312"/>
          <w:b/>
          <w:bCs/>
          <w:sz w:val="32"/>
          <w:szCs w:val="32"/>
        </w:rPr>
      </w:pPr>
      <w:r>
        <w:rPr>
          <w:rFonts w:eastAsia="楷体_GB2312"/>
          <w:b/>
          <w:bCs/>
          <w:sz w:val="32"/>
          <w:szCs w:val="32"/>
        </w:rPr>
        <w:t>存在的问题及原因分析</w:t>
      </w:r>
    </w:p>
    <w:p>
      <w:pPr>
        <w:spacing w:line="600" w:lineRule="atLeast"/>
        <w:ind w:firstLine="640" w:firstLineChars="200"/>
        <w:rPr>
          <w:rFonts w:hint="eastAsia" w:ascii="仿宋_GB2312" w:hAnsi="华文仿宋" w:eastAsia="仿宋_GB2312" w:cs="华文仿宋"/>
          <w:sz w:val="32"/>
          <w:szCs w:val="32"/>
        </w:rPr>
      </w:pPr>
      <w:r>
        <w:rPr>
          <w:rFonts w:hint="eastAsia" w:ascii="仿宋_GB2312" w:hAnsi="华文仿宋" w:eastAsia="仿宋_GB2312" w:cs="华文仿宋"/>
          <w:sz w:val="32"/>
          <w:szCs w:val="32"/>
        </w:rPr>
        <w:t>1、主要经验及做法</w:t>
      </w:r>
    </w:p>
    <w:p>
      <w:pPr>
        <w:spacing w:line="600" w:lineRule="atLeast"/>
        <w:ind w:firstLine="640" w:firstLineChars="200"/>
        <w:rPr>
          <w:rFonts w:hint="eastAsia" w:ascii="仿宋_GB2312" w:hAnsi="华文仿宋" w:eastAsia="仿宋_GB2312" w:cs="华文仿宋"/>
          <w:sz w:val="32"/>
          <w:szCs w:val="32"/>
        </w:rPr>
      </w:pPr>
      <w:r>
        <w:rPr>
          <w:rFonts w:hint="eastAsia" w:ascii="仿宋_GB2312" w:hAnsi="华文仿宋" w:eastAsia="仿宋_GB2312" w:cs="华文仿宋"/>
          <w:sz w:val="32"/>
          <w:szCs w:val="32"/>
        </w:rPr>
        <w:t>一是高度重视。站领导和各科室非常重视，在项目的立项、组织实施、检查监督等方面给与了强有力的指导和支持，大家紧密配合，共同推进项目实施。二是积极沟通协调。畜牧总站与地州站、站内各科室之间经常联系沟通，在项目方案编制、工作要求、资金使用、实施进展等方面及时衔接，相互沟通，统一了思想和行动，为项目顺利推进奠定了基础。三是认真做好项目的各项准备工作。各科室按照项目任务目标，在制定计划、选派人员、明确措施等各个方面积极协调和精心准备，为项目加快实施提供了保障。四是加大项目督促检查。站领导和有关科室负责人坚持加强项目实施的督促检查，通过检查，提高了各地、各科室的重视程度，调动了各方对项目实施的积极性，及时了解了项目实施存在的突出问题，并能针对性地提出具体对策措施，为项目圆满完工发挥了促进作用。</w:t>
      </w:r>
    </w:p>
    <w:p>
      <w:pPr>
        <w:spacing w:line="600" w:lineRule="atLeast"/>
        <w:ind w:firstLine="640" w:firstLineChars="200"/>
        <w:rPr>
          <w:rFonts w:hint="eastAsia" w:ascii="仿宋_GB2312" w:hAnsi="华文仿宋" w:eastAsia="仿宋_GB2312" w:cs="华文仿宋"/>
          <w:sz w:val="32"/>
          <w:szCs w:val="32"/>
          <w:lang w:eastAsia="zh-CN"/>
        </w:rPr>
      </w:pPr>
      <w:r>
        <w:rPr>
          <w:rFonts w:hint="eastAsia" w:ascii="仿宋_GB2312" w:hAnsi="华文仿宋" w:eastAsia="仿宋_GB2312" w:cs="华文仿宋"/>
          <w:sz w:val="32"/>
          <w:szCs w:val="32"/>
          <w:lang w:val="en-US" w:eastAsia="zh-CN"/>
        </w:rPr>
        <w:t>2、</w:t>
      </w:r>
      <w:r>
        <w:rPr>
          <w:rFonts w:hint="eastAsia" w:ascii="仿宋_GB2312" w:hAnsi="华文仿宋" w:eastAsia="仿宋_GB2312" w:cs="华文仿宋"/>
          <w:sz w:val="32"/>
          <w:szCs w:val="32"/>
        </w:rPr>
        <w:t>存在的问题及原因分析：</w:t>
      </w:r>
    </w:p>
    <w:p>
      <w:pPr>
        <w:numPr>
          <w:ilvl w:val="0"/>
          <w:numId w:val="0"/>
        </w:numPr>
        <w:spacing w:line="600" w:lineRule="exact"/>
        <w:ind w:firstLine="640" w:firstLineChars="200"/>
        <w:rPr>
          <w:rFonts w:eastAsia="黑体"/>
          <w:sz w:val="32"/>
          <w:szCs w:val="32"/>
        </w:rPr>
      </w:pPr>
      <w:r>
        <w:rPr>
          <w:rFonts w:hint="eastAsia" w:ascii="仿宋_GB2312" w:hAnsi="华文仿宋" w:eastAsia="仿宋_GB2312" w:cs="华文仿宋"/>
          <w:sz w:val="32"/>
          <w:szCs w:val="32"/>
          <w:lang w:val="en-US" w:eastAsia="zh-CN"/>
        </w:rPr>
        <w:t xml:space="preserve"> </w:t>
      </w:r>
      <w:r>
        <w:rPr>
          <w:rFonts w:hint="eastAsia" w:ascii="仿宋_GB2312" w:hAnsi="华文仿宋" w:eastAsia="仿宋_GB2312" w:cs="华文仿宋"/>
          <w:b/>
          <w:bCs/>
          <w:sz w:val="32"/>
          <w:szCs w:val="32"/>
          <w:lang w:val="en-US" w:eastAsia="zh-CN"/>
        </w:rPr>
        <w:t>一是对畜禽种业高质量发展支撑作用不强。</w:t>
      </w:r>
      <w:r>
        <w:rPr>
          <w:rFonts w:hint="eastAsia" w:ascii="仿宋_GB2312" w:hAnsi="华文仿宋" w:eastAsia="仿宋_GB2312" w:cs="华文仿宋"/>
          <w:sz w:val="32"/>
          <w:szCs w:val="32"/>
          <w:lang w:val="en-US" w:eastAsia="zh-CN"/>
        </w:rPr>
        <w:t>深入种畜禽场指导服务还不到位，核心育种场改造育种设施装备、提升育种水平不高，种畜禽场育种规划针对性、指导性不强，选种选配工作落实不到位，种畜禽生产性能测定不严格，育种数据不连续不完整，种畜禽质量检验检测的数量有限，羊、马的信息化育种推进缓慢，对种畜禽场的管理不到位，我区畜禽种业的竞争力还不强。</w:t>
      </w:r>
      <w:r>
        <w:rPr>
          <w:rFonts w:hint="eastAsia" w:ascii="仿宋_GB2312" w:hAnsi="华文仿宋" w:eastAsia="仿宋_GB2312" w:cs="华文仿宋"/>
          <w:b/>
          <w:bCs/>
          <w:sz w:val="32"/>
          <w:szCs w:val="32"/>
          <w:lang w:val="en-US" w:eastAsia="zh-CN"/>
        </w:rPr>
        <w:t>二是推进畜禽遗传资源应保尽保还不到位。</w:t>
      </w:r>
      <w:r>
        <w:rPr>
          <w:rFonts w:hint="eastAsia" w:ascii="仿宋_GB2312" w:hAnsi="华文仿宋" w:eastAsia="仿宋_GB2312" w:cs="华文仿宋"/>
          <w:sz w:val="32"/>
          <w:szCs w:val="32"/>
          <w:lang w:val="en-US" w:eastAsia="zh-CN"/>
        </w:rPr>
        <w:t>畜禽遗传资源保护与利用顶层设计还不健全，指导和督促畜禽遗传资源保护单位落实保护责任、执行保种方案还有差距，部分畜禽地方品种还未建立保种场，畜禽保护体系还不完善；保种技术应用不全面，采用血夜、冻精、胚胎、体细胞等多种方式收集保畜禽遗传材料仍不到位，全区地方品种冻精与胚胎保种仍未实现全覆盖，个别畜禽资源面临危险状态。</w:t>
      </w:r>
      <w:r>
        <w:rPr>
          <w:rFonts w:hint="eastAsia" w:ascii="仿宋_GB2312" w:hAnsi="华文仿宋" w:eastAsia="仿宋_GB2312" w:cs="华文仿宋"/>
          <w:b/>
          <w:bCs/>
          <w:sz w:val="32"/>
          <w:szCs w:val="32"/>
          <w:lang w:val="en-US" w:eastAsia="zh-CN"/>
        </w:rPr>
        <w:t>三是畜牧实用技术推广普及率不高。</w:t>
      </w:r>
      <w:r>
        <w:rPr>
          <w:rFonts w:hint="eastAsia" w:ascii="仿宋_GB2312" w:hAnsi="华文仿宋" w:eastAsia="仿宋_GB2312" w:cs="华文仿宋"/>
          <w:sz w:val="32"/>
          <w:szCs w:val="32"/>
          <w:lang w:val="en-US" w:eastAsia="zh-CN"/>
        </w:rPr>
        <w:t>推进各级畜牧技术推广体系建设力度不强，基层机构设施装备比较落后，技术人才队伍匮乏，与技术支撑畜牧业高质量发展不相适应。组织各级推广机构大力推广应用高效繁殖技术、健康养殖技术、营养调控技术、绿色发展技术、饲草料加工调制技术等还不足，实用技术进村入户不足，畜牧养殖水平还不高。</w:t>
      </w:r>
    </w:p>
    <w:p>
      <w:pPr>
        <w:numPr>
          <w:ilvl w:val="0"/>
          <w:numId w:val="6"/>
        </w:numPr>
        <w:spacing w:line="600" w:lineRule="exact"/>
        <w:ind w:firstLine="640" w:firstLineChars="200"/>
        <w:rPr>
          <w:rFonts w:eastAsia="黑体"/>
          <w:sz w:val="32"/>
          <w:szCs w:val="32"/>
        </w:rPr>
      </w:pPr>
      <w:r>
        <w:rPr>
          <w:rFonts w:eastAsia="黑体"/>
          <w:sz w:val="32"/>
          <w:szCs w:val="32"/>
        </w:rPr>
        <w:t>有关建议</w:t>
      </w:r>
    </w:p>
    <w:p>
      <w:pPr>
        <w:spacing w:line="600" w:lineRule="exact"/>
        <w:ind w:firstLine="640" w:firstLineChars="200"/>
      </w:pPr>
      <w:r>
        <w:rPr>
          <w:rFonts w:hint="eastAsia" w:ascii="仿宋_GB2312" w:hAnsi="仿宋_GB2312" w:eastAsia="仿宋_GB2312" w:cs="仿宋_GB2312"/>
          <w:sz w:val="32"/>
          <w:szCs w:val="28"/>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numPr>
          <w:ilvl w:val="0"/>
          <w:numId w:val="6"/>
        </w:numPr>
        <w:spacing w:line="600" w:lineRule="exact"/>
        <w:ind w:firstLine="640" w:firstLineChars="200"/>
        <w:rPr>
          <w:rFonts w:eastAsia="黑体"/>
          <w:sz w:val="32"/>
          <w:szCs w:val="32"/>
        </w:rPr>
      </w:pPr>
      <w:r>
        <w:rPr>
          <w:rFonts w:eastAsia="黑体"/>
          <w:sz w:val="32"/>
          <w:szCs w:val="32"/>
        </w:rPr>
        <w:t>其他需要说</w:t>
      </w:r>
      <w:bookmarkStart w:id="1" w:name="page8"/>
      <w:bookmarkEnd w:id="1"/>
      <w:r>
        <w:rPr>
          <w:rFonts w:eastAsia="黑体"/>
          <w:sz w:val="32"/>
          <w:szCs w:val="32"/>
        </w:rPr>
        <w:t>明的问题</w:t>
      </w:r>
    </w:p>
    <w:p>
      <w:pPr>
        <w:pStyle w:val="20"/>
        <w:ind w:firstLine="320" w:firstLineChars="100"/>
        <w:rPr>
          <w:rFonts w:ascii="Times New Roman" w:hAnsi="Times New Roman" w:eastAsia="方正小标宋简体"/>
          <w:b/>
          <w:kern w:val="0"/>
          <w:sz w:val="32"/>
          <w:szCs w:val="32"/>
          <w:lang w:bidi="ar"/>
        </w:rPr>
        <w:sectPr>
          <w:footerReference r:id="rId3"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sz w:val="32"/>
          <w:szCs w:val="32"/>
        </w:rPr>
        <w:t>无。</w:t>
      </w:r>
    </w:p>
    <w:tbl>
      <w:tblPr>
        <w:tblStyle w:val="21"/>
        <w:tblW w:w="9496" w:type="dxa"/>
        <w:jc w:val="center"/>
        <w:tblLayout w:type="fixed"/>
        <w:tblCellMar>
          <w:top w:w="0" w:type="dxa"/>
          <w:left w:w="108" w:type="dxa"/>
          <w:bottom w:w="0" w:type="dxa"/>
          <w:right w:w="108" w:type="dxa"/>
        </w:tblCellMar>
      </w:tblPr>
      <w:tblGrid>
        <w:gridCol w:w="811"/>
        <w:gridCol w:w="975"/>
        <w:gridCol w:w="990"/>
        <w:gridCol w:w="795"/>
        <w:gridCol w:w="1140"/>
        <w:gridCol w:w="1140"/>
        <w:gridCol w:w="825"/>
        <w:gridCol w:w="630"/>
        <w:gridCol w:w="675"/>
        <w:gridCol w:w="810"/>
        <w:gridCol w:w="705"/>
      </w:tblGrid>
      <w:tr>
        <w:tblPrEx>
          <w:tblCellMar>
            <w:top w:w="0" w:type="dxa"/>
            <w:left w:w="108" w:type="dxa"/>
            <w:bottom w:w="0" w:type="dxa"/>
            <w:right w:w="108" w:type="dxa"/>
          </w:tblCellMar>
        </w:tblPrEx>
        <w:trPr>
          <w:trHeight w:val="454" w:hRule="exact"/>
          <w:jc w:val="center"/>
        </w:trPr>
        <w:tc>
          <w:tcPr>
            <w:tcW w:w="9496" w:type="dxa"/>
            <w:gridSpan w:val="11"/>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496" w:type="dxa"/>
            <w:gridSpan w:val="11"/>
            <w:tcBorders>
              <w:top w:val="nil"/>
              <w:left w:val="nil"/>
              <w:bottom w:val="nil"/>
              <w:right w:val="nil"/>
            </w:tcBorders>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w:t>
            </w:r>
            <w:r>
              <w:rPr>
                <w:rFonts w:hint="eastAsia" w:ascii="宋体" w:hAnsi="宋体" w:eastAsia="宋体" w:cs="宋体"/>
                <w:kern w:val="0"/>
                <w:sz w:val="22"/>
                <w:szCs w:val="22"/>
                <w:lang w:val="en-US" w:eastAsia="zh-CN"/>
              </w:rPr>
              <w:t>2022</w:t>
            </w:r>
            <w:r>
              <w:rPr>
                <w:rFonts w:hint="eastAsia" w:ascii="宋体" w:hAnsi="宋体" w:eastAsia="宋体" w:cs="宋体"/>
                <w:kern w:val="0"/>
                <w:sz w:val="22"/>
                <w:szCs w:val="22"/>
              </w:rPr>
              <w:t>年度）</w:t>
            </w:r>
          </w:p>
        </w:tc>
      </w:tr>
      <w:tr>
        <w:tblPrEx>
          <w:tblCellMar>
            <w:top w:w="0" w:type="dxa"/>
            <w:left w:w="108" w:type="dxa"/>
            <w:bottom w:w="0" w:type="dxa"/>
            <w:right w:w="108" w:type="dxa"/>
          </w:tblCellMar>
        </w:tblPrEx>
        <w:trPr>
          <w:trHeight w:val="470" w:hRule="exact"/>
          <w:jc w:val="center"/>
        </w:trPr>
        <w:tc>
          <w:tcPr>
            <w:tcW w:w="178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项目名称</w:t>
            </w:r>
          </w:p>
        </w:tc>
        <w:tc>
          <w:tcPr>
            <w:tcW w:w="7710" w:type="dxa"/>
            <w:gridSpan w:val="9"/>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eastAsia="zh-CN"/>
              </w:rPr>
              <w:t>现代畜牧业发展专项资金</w:t>
            </w:r>
            <w:r>
              <w:rPr>
                <w:rFonts w:hint="eastAsia" w:ascii="宋体" w:hAnsi="宋体" w:eastAsia="宋体" w:cs="宋体"/>
                <w:kern w:val="0"/>
                <w:sz w:val="18"/>
                <w:szCs w:val="18"/>
                <w:lang w:val="en-US" w:eastAsia="zh-CN"/>
              </w:rPr>
              <w:t>(现代种畜提升、畜禽遗传资源保护和利用、养殖小区备案及统计监测等）</w:t>
            </w:r>
            <w:r>
              <w:rPr>
                <w:rFonts w:hint="eastAsia" w:ascii="宋体" w:hAnsi="宋体" w:eastAsia="宋体" w:cs="宋体"/>
                <w:kern w:val="0"/>
                <w:sz w:val="18"/>
                <w:szCs w:val="18"/>
                <w:lang w:eastAsia="zh-CN"/>
              </w:rPr>
              <w:t>　</w:t>
            </w:r>
          </w:p>
        </w:tc>
      </w:tr>
      <w:tr>
        <w:tblPrEx>
          <w:tblCellMar>
            <w:top w:w="0" w:type="dxa"/>
            <w:left w:w="108" w:type="dxa"/>
            <w:bottom w:w="0" w:type="dxa"/>
            <w:right w:w="108" w:type="dxa"/>
          </w:tblCellMar>
        </w:tblPrEx>
        <w:trPr>
          <w:trHeight w:val="505" w:hRule="exact"/>
          <w:jc w:val="center"/>
        </w:trPr>
        <w:tc>
          <w:tcPr>
            <w:tcW w:w="178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主管部门</w:t>
            </w:r>
          </w:p>
        </w:tc>
        <w:tc>
          <w:tcPr>
            <w:tcW w:w="4065"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自治区畜牧兽医局</w:t>
            </w:r>
          </w:p>
        </w:tc>
        <w:tc>
          <w:tcPr>
            <w:tcW w:w="145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实施单位</w:t>
            </w:r>
          </w:p>
        </w:tc>
        <w:tc>
          <w:tcPr>
            <w:tcW w:w="2190"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新疆维吾尔自治区畜牧总站</w:t>
            </w:r>
          </w:p>
        </w:tc>
      </w:tr>
      <w:tr>
        <w:tblPrEx>
          <w:tblCellMar>
            <w:top w:w="0" w:type="dxa"/>
            <w:left w:w="108" w:type="dxa"/>
            <w:bottom w:w="0" w:type="dxa"/>
            <w:right w:w="108" w:type="dxa"/>
          </w:tblCellMar>
        </w:tblPrEx>
        <w:trPr>
          <w:trHeight w:val="300" w:hRule="exact"/>
          <w:jc w:val="center"/>
        </w:trPr>
        <w:tc>
          <w:tcPr>
            <w:tcW w:w="1786"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7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年初预算数</w:t>
            </w: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全年预算数</w:t>
            </w:r>
          </w:p>
        </w:tc>
        <w:tc>
          <w:tcPr>
            <w:tcW w:w="145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全年执行数</w:t>
            </w:r>
          </w:p>
        </w:tc>
        <w:tc>
          <w:tcPr>
            <w:tcW w:w="67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分值</w:t>
            </w:r>
          </w:p>
        </w:tc>
        <w:tc>
          <w:tcPr>
            <w:tcW w:w="81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执行率</w:t>
            </w:r>
          </w:p>
        </w:tc>
        <w:tc>
          <w:tcPr>
            <w:tcW w:w="70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300" w:hRule="exact"/>
          <w:jc w:val="center"/>
        </w:trPr>
        <w:tc>
          <w:tcPr>
            <w:tcW w:w="178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785"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宋体" w:hAnsi="宋体" w:eastAsia="宋体" w:cs="宋体"/>
                <w:kern w:val="0"/>
                <w:sz w:val="18"/>
                <w:szCs w:val="18"/>
              </w:rPr>
            </w:pPr>
            <w:r>
              <w:rPr>
                <w:rFonts w:hint="eastAsia" w:ascii="宋体" w:hAnsi="宋体" w:eastAsia="宋体" w:cs="宋体"/>
                <w:kern w:val="0"/>
                <w:sz w:val="18"/>
                <w:szCs w:val="18"/>
              </w:rPr>
              <w:t>年度资金总额</w:t>
            </w: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346万</w:t>
            </w:r>
            <w:r>
              <w:rPr>
                <w:rFonts w:hint="eastAsia" w:ascii="宋体" w:hAnsi="宋体" w:eastAsia="宋体" w:cs="宋体"/>
                <w:kern w:val="0"/>
                <w:sz w:val="18"/>
                <w:szCs w:val="18"/>
              </w:rPr>
              <w:t>　</w:t>
            </w: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346万</w:t>
            </w:r>
            <w:r>
              <w:rPr>
                <w:rFonts w:hint="eastAsia" w:ascii="宋体" w:hAnsi="宋体" w:eastAsia="宋体" w:cs="宋体"/>
                <w:kern w:val="0"/>
                <w:sz w:val="18"/>
                <w:szCs w:val="18"/>
              </w:rPr>
              <w:t>　</w:t>
            </w:r>
          </w:p>
        </w:tc>
        <w:tc>
          <w:tcPr>
            <w:tcW w:w="145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346万</w:t>
            </w:r>
            <w:r>
              <w:rPr>
                <w:rFonts w:hint="eastAsia" w:ascii="宋体" w:hAnsi="宋体" w:eastAsia="宋体" w:cs="宋体"/>
                <w:kern w:val="0"/>
                <w:sz w:val="18"/>
                <w:szCs w:val="18"/>
              </w:rPr>
              <w:t>　</w:t>
            </w:r>
          </w:p>
        </w:tc>
        <w:tc>
          <w:tcPr>
            <w:tcW w:w="67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10</w:t>
            </w:r>
          </w:p>
        </w:tc>
        <w:tc>
          <w:tcPr>
            <w:tcW w:w="81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70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78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785" w:type="dxa"/>
            <w:gridSpan w:val="2"/>
            <w:tcBorders>
              <w:top w:val="single" w:color="auto" w:sz="4" w:space="0"/>
              <w:left w:val="nil"/>
              <w:bottom w:val="single" w:color="auto" w:sz="4" w:space="0"/>
              <w:right w:val="single" w:color="auto" w:sz="4" w:space="0"/>
            </w:tcBorders>
            <w:vAlign w:val="center"/>
          </w:tcPr>
          <w:p>
            <w:pPr>
              <w:widowControl/>
              <w:spacing w:line="240" w:lineRule="exact"/>
              <w:jc w:val="both"/>
              <w:rPr>
                <w:rFonts w:hint="eastAsia"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346万</w:t>
            </w:r>
            <w:r>
              <w:rPr>
                <w:rFonts w:hint="eastAsia" w:ascii="宋体" w:hAnsi="宋体" w:eastAsia="宋体" w:cs="宋体"/>
                <w:kern w:val="0"/>
                <w:sz w:val="18"/>
                <w:szCs w:val="18"/>
              </w:rPr>
              <w:t>　</w:t>
            </w: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346万</w:t>
            </w:r>
            <w:r>
              <w:rPr>
                <w:rFonts w:hint="eastAsia" w:ascii="宋体" w:hAnsi="宋体" w:eastAsia="宋体" w:cs="宋体"/>
                <w:kern w:val="0"/>
                <w:sz w:val="18"/>
                <w:szCs w:val="18"/>
              </w:rPr>
              <w:t>　</w:t>
            </w:r>
          </w:p>
        </w:tc>
        <w:tc>
          <w:tcPr>
            <w:tcW w:w="145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346万</w:t>
            </w:r>
            <w:r>
              <w:rPr>
                <w:rFonts w:hint="eastAsia" w:ascii="宋体" w:hAnsi="宋体" w:eastAsia="宋体" w:cs="宋体"/>
                <w:kern w:val="0"/>
                <w:sz w:val="18"/>
                <w:szCs w:val="18"/>
              </w:rPr>
              <w:t>　</w:t>
            </w:r>
          </w:p>
        </w:tc>
        <w:tc>
          <w:tcPr>
            <w:tcW w:w="67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81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70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78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7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45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67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81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70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78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7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45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67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81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70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508" w:hRule="exact"/>
          <w:jc w:val="center"/>
        </w:trPr>
        <w:tc>
          <w:tcPr>
            <w:tcW w:w="81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年度总体目标</w:t>
            </w:r>
          </w:p>
        </w:tc>
        <w:tc>
          <w:tcPr>
            <w:tcW w:w="504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预期目标</w:t>
            </w:r>
          </w:p>
        </w:tc>
        <w:tc>
          <w:tcPr>
            <w:tcW w:w="3645"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2981" w:hRule="exact"/>
          <w:jc w:val="center"/>
        </w:trPr>
        <w:tc>
          <w:tcPr>
            <w:tcW w:w="81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5040" w:type="dxa"/>
            <w:gridSpan w:val="5"/>
            <w:tcBorders>
              <w:top w:val="single" w:color="auto" w:sz="4" w:space="0"/>
              <w:left w:val="nil"/>
              <w:bottom w:val="single" w:color="auto" w:sz="4" w:space="0"/>
              <w:right w:val="single" w:color="auto" w:sz="4" w:space="0"/>
            </w:tcBorders>
            <w:vAlign w:val="center"/>
          </w:tcPr>
          <w:p>
            <w:pPr>
              <w:widowControl/>
              <w:spacing w:line="240" w:lineRule="exact"/>
              <w:ind w:left="360" w:hanging="360" w:hangingChars="200"/>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 1.畜禽良种繁育体系不断健全，种畜场管理规范化，种畜禽生产能力稳步提升，畜禽良种化率不断提高。</w:t>
            </w:r>
          </w:p>
          <w:p>
            <w:pPr>
              <w:widowControl/>
              <w:spacing w:line="240" w:lineRule="exact"/>
              <w:ind w:left="360" w:hanging="360" w:hangingChars="200"/>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 2.畜禽遗传资源保护体系更加健全，畜禽遗传资源得到有效保护，基因库遗传物质库存增加。</w:t>
            </w:r>
          </w:p>
          <w:p>
            <w:pPr>
              <w:widowControl/>
              <w:spacing w:line="240" w:lineRule="exact"/>
              <w:ind w:left="180" w:hanging="180" w:hangingChars="100"/>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 3.畜牧养殖“四良一规范”等主推实用技术不断普及，全区养殖生产水平加快提升。</w:t>
            </w:r>
          </w:p>
          <w:p>
            <w:pPr>
              <w:widowControl/>
              <w:spacing w:line="240" w:lineRule="exact"/>
              <w:jc w:val="both"/>
              <w:rPr>
                <w:rFonts w:hint="eastAsia" w:ascii="宋体" w:hAnsi="宋体" w:eastAsia="宋体" w:cs="宋体"/>
                <w:kern w:val="0"/>
                <w:sz w:val="18"/>
                <w:szCs w:val="18"/>
              </w:rPr>
            </w:pPr>
            <w:r>
              <w:rPr>
                <w:rFonts w:hint="eastAsia" w:ascii="宋体" w:hAnsi="宋体" w:eastAsia="宋体" w:cs="宋体"/>
                <w:kern w:val="0"/>
                <w:sz w:val="18"/>
                <w:szCs w:val="18"/>
              </w:rPr>
              <w:t xml:space="preserve"> 4.畜禽养殖备案管理更加规范，畜牧信息化管理水平快速提升。</w:t>
            </w:r>
          </w:p>
          <w:p>
            <w:pPr>
              <w:widowControl/>
              <w:spacing w:line="240" w:lineRule="exact"/>
              <w:ind w:left="180" w:hanging="180" w:hangingChars="100"/>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 5.畜牧业统计监测体系不断完善，增强统计监测工作对畜牧业发展的技术支撑作用。 </w:t>
            </w:r>
          </w:p>
        </w:tc>
        <w:tc>
          <w:tcPr>
            <w:tcW w:w="3645" w:type="dxa"/>
            <w:gridSpan w:val="5"/>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 1.畜禽良种繁育体系不断健全，种畜场管理规范化，种畜禽生产能力稳步提升，畜禽良种化率不断提高。</w:t>
            </w:r>
          </w:p>
          <w:p>
            <w:pPr>
              <w:widowControl/>
              <w:spacing w:line="24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  2.畜禽遗传资源保护体系更加健全，畜禽遗传资源得到有效保护，基因库遗传物质库存增加。</w:t>
            </w:r>
          </w:p>
          <w:p>
            <w:pPr>
              <w:widowControl/>
              <w:spacing w:line="24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  3.畜牧养殖“四良一规范”等主推实用技术不断普及，全区养殖生产水平加快提升。</w:t>
            </w:r>
          </w:p>
          <w:p>
            <w:pPr>
              <w:widowControl/>
              <w:spacing w:line="24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  4.畜禽养殖备案管理更加规范，畜牧信息化管理水平快速提升。</w:t>
            </w:r>
          </w:p>
          <w:p>
            <w:pPr>
              <w:widowControl/>
              <w:spacing w:line="24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  5.畜牧业统计监测体系不断完善，增强统计监测工作对畜牧业发展的技术支撑作用。 </w:t>
            </w:r>
          </w:p>
        </w:tc>
      </w:tr>
      <w:tr>
        <w:tblPrEx>
          <w:tblCellMar>
            <w:top w:w="0" w:type="dxa"/>
            <w:left w:w="108" w:type="dxa"/>
            <w:bottom w:w="0" w:type="dxa"/>
            <w:right w:w="108" w:type="dxa"/>
          </w:tblCellMar>
        </w:tblPrEx>
        <w:trPr>
          <w:trHeight w:val="533" w:hRule="exact"/>
          <w:jc w:val="center"/>
        </w:trPr>
        <w:tc>
          <w:tcPr>
            <w:tcW w:w="811"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一级指标</w:t>
            </w:r>
          </w:p>
        </w:tc>
        <w:tc>
          <w:tcPr>
            <w:tcW w:w="99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二级指标</w:t>
            </w:r>
          </w:p>
        </w:tc>
        <w:tc>
          <w:tcPr>
            <w:tcW w:w="193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三级指标</w:t>
            </w: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指标值</w:t>
            </w:r>
          </w:p>
        </w:tc>
        <w:tc>
          <w:tcPr>
            <w:tcW w:w="82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完成值</w:t>
            </w:r>
          </w:p>
        </w:tc>
        <w:tc>
          <w:tcPr>
            <w:tcW w:w="63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分值</w:t>
            </w:r>
          </w:p>
        </w:tc>
        <w:tc>
          <w:tcPr>
            <w:tcW w:w="67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得分</w:t>
            </w:r>
          </w:p>
        </w:tc>
        <w:tc>
          <w:tcPr>
            <w:tcW w:w="151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709" w:hRule="exact"/>
          <w:jc w:val="center"/>
        </w:trPr>
        <w:tc>
          <w:tcPr>
            <w:tcW w:w="81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75"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产出指标</w:t>
            </w:r>
          </w:p>
        </w:tc>
        <w:tc>
          <w:tcPr>
            <w:tcW w:w="990"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数量指标</w:t>
            </w:r>
          </w:p>
        </w:tc>
        <w:tc>
          <w:tcPr>
            <w:tcW w:w="193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现代种业提升牛羊马种业育种核心群数量</w:t>
            </w: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≥10000头（只、匹）</w:t>
            </w:r>
          </w:p>
        </w:tc>
        <w:tc>
          <w:tcPr>
            <w:tcW w:w="82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15000头</w:t>
            </w:r>
            <w:r>
              <w:rPr>
                <w:rFonts w:hint="eastAsia" w:ascii="宋体" w:hAnsi="宋体" w:eastAsia="宋体" w:cs="宋体"/>
                <w:kern w:val="0"/>
                <w:sz w:val="18"/>
                <w:szCs w:val="18"/>
                <w:lang w:val="en-US" w:eastAsia="zh-Hans"/>
              </w:rPr>
              <w:t>（</w:t>
            </w:r>
            <w:r>
              <w:rPr>
                <w:rFonts w:hint="eastAsia" w:ascii="宋体" w:hAnsi="宋体" w:eastAsia="宋体" w:cs="宋体"/>
                <w:kern w:val="0"/>
                <w:sz w:val="18"/>
                <w:szCs w:val="18"/>
                <w:lang w:val="en-US" w:eastAsia="zh-CN"/>
              </w:rPr>
              <w:t>只、匹</w:t>
            </w:r>
            <w:r>
              <w:rPr>
                <w:rFonts w:hint="eastAsia" w:ascii="宋体" w:hAnsi="宋体" w:eastAsia="宋体" w:cs="宋体"/>
                <w:kern w:val="0"/>
                <w:sz w:val="18"/>
                <w:szCs w:val="18"/>
                <w:lang w:val="en-US" w:eastAsia="zh-Hans"/>
              </w:rPr>
              <w:t>）</w:t>
            </w:r>
          </w:p>
        </w:tc>
        <w:tc>
          <w:tcPr>
            <w:tcW w:w="63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67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151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558" w:hRule="exact"/>
          <w:jc w:val="center"/>
        </w:trPr>
        <w:tc>
          <w:tcPr>
            <w:tcW w:w="81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90"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93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畜禽遗传资源保种场保护区基因库数量</w:t>
            </w:r>
          </w:p>
        </w:tc>
        <w:tc>
          <w:tcPr>
            <w:tcW w:w="114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≥15个</w:t>
            </w:r>
          </w:p>
        </w:tc>
        <w:tc>
          <w:tcPr>
            <w:tcW w:w="82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15个</w:t>
            </w:r>
          </w:p>
        </w:tc>
        <w:tc>
          <w:tcPr>
            <w:tcW w:w="63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67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151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526" w:hRule="exact"/>
          <w:jc w:val="center"/>
        </w:trPr>
        <w:tc>
          <w:tcPr>
            <w:tcW w:w="81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90"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93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遗传材料数量</w:t>
            </w:r>
          </w:p>
        </w:tc>
        <w:tc>
          <w:tcPr>
            <w:tcW w:w="11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≥5000个</w:t>
            </w:r>
          </w:p>
        </w:tc>
        <w:tc>
          <w:tcPr>
            <w:tcW w:w="8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5000个</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151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526" w:hRule="exact"/>
          <w:jc w:val="center"/>
        </w:trPr>
        <w:tc>
          <w:tcPr>
            <w:tcW w:w="81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90"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93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优良畜禽品种登记、测算数量</w:t>
            </w:r>
          </w:p>
        </w:tc>
        <w:tc>
          <w:tcPr>
            <w:tcW w:w="11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≥5000头（只、匹）</w:t>
            </w:r>
          </w:p>
        </w:tc>
        <w:tc>
          <w:tcPr>
            <w:tcW w:w="8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5000个</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151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531" w:hRule="exact"/>
          <w:jc w:val="center"/>
        </w:trPr>
        <w:tc>
          <w:tcPr>
            <w:tcW w:w="81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90"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93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畜禽养殖场（小区）登记备案数量</w:t>
            </w:r>
          </w:p>
        </w:tc>
        <w:tc>
          <w:tcPr>
            <w:tcW w:w="11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≥4000个</w:t>
            </w:r>
          </w:p>
        </w:tc>
        <w:tc>
          <w:tcPr>
            <w:tcW w:w="8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4000个</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151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422" w:hRule="exact"/>
          <w:jc w:val="center"/>
        </w:trPr>
        <w:tc>
          <w:tcPr>
            <w:tcW w:w="81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9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93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畜禽统计监测点数量</w:t>
            </w:r>
          </w:p>
        </w:tc>
        <w:tc>
          <w:tcPr>
            <w:tcW w:w="11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≥500个</w:t>
            </w:r>
          </w:p>
        </w:tc>
        <w:tc>
          <w:tcPr>
            <w:tcW w:w="8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500个</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151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715" w:hRule="exact"/>
          <w:jc w:val="center"/>
        </w:trPr>
        <w:tc>
          <w:tcPr>
            <w:tcW w:w="81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9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质量指标</w:t>
            </w:r>
          </w:p>
        </w:tc>
        <w:tc>
          <w:tcPr>
            <w:tcW w:w="193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畜禽保种场与保护区保种群体合格率</w:t>
            </w:r>
          </w:p>
        </w:tc>
        <w:tc>
          <w:tcPr>
            <w:tcW w:w="11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w:t>
            </w:r>
          </w:p>
        </w:tc>
        <w:tc>
          <w:tcPr>
            <w:tcW w:w="8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151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491" w:hRule="exact"/>
          <w:jc w:val="center"/>
        </w:trPr>
        <w:tc>
          <w:tcPr>
            <w:tcW w:w="81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93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 xml:space="preserve"> 畜禽遗传物质制作合格率</w:t>
            </w:r>
          </w:p>
        </w:tc>
        <w:tc>
          <w:tcPr>
            <w:tcW w:w="11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w:t>
            </w:r>
          </w:p>
        </w:tc>
        <w:tc>
          <w:tcPr>
            <w:tcW w:w="8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151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491" w:hRule="exact"/>
          <w:jc w:val="center"/>
        </w:trPr>
        <w:tc>
          <w:tcPr>
            <w:tcW w:w="81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93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育种场出栏种畜禽合格率</w:t>
            </w:r>
          </w:p>
        </w:tc>
        <w:tc>
          <w:tcPr>
            <w:tcW w:w="11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w:t>
            </w:r>
          </w:p>
        </w:tc>
        <w:tc>
          <w:tcPr>
            <w:tcW w:w="8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151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491" w:hRule="exact"/>
          <w:jc w:val="center"/>
        </w:trPr>
        <w:tc>
          <w:tcPr>
            <w:tcW w:w="81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93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畜禽统计监测点数据采集正确率</w:t>
            </w:r>
          </w:p>
        </w:tc>
        <w:tc>
          <w:tcPr>
            <w:tcW w:w="11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8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151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473" w:hRule="exact"/>
          <w:jc w:val="center"/>
        </w:trPr>
        <w:tc>
          <w:tcPr>
            <w:tcW w:w="81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时效指标</w:t>
            </w:r>
          </w:p>
        </w:tc>
        <w:tc>
          <w:tcPr>
            <w:tcW w:w="193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项目按期计划完成率</w:t>
            </w:r>
          </w:p>
          <w:p>
            <w:pPr>
              <w:widowControl/>
              <w:spacing w:line="240" w:lineRule="exact"/>
              <w:jc w:val="center"/>
              <w:rPr>
                <w:rFonts w:hint="eastAsia" w:ascii="宋体" w:hAnsi="宋体" w:eastAsia="宋体" w:cs="宋体"/>
                <w:kern w:val="0"/>
                <w:sz w:val="18"/>
                <w:szCs w:val="18"/>
                <w:lang w:val="en-US"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8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w:t>
            </w: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w:t>
            </w:r>
          </w:p>
        </w:tc>
        <w:tc>
          <w:tcPr>
            <w:tcW w:w="151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712" w:hRule="exact"/>
          <w:jc w:val="center"/>
        </w:trPr>
        <w:tc>
          <w:tcPr>
            <w:tcW w:w="81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9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成本指标</w:t>
            </w:r>
          </w:p>
        </w:tc>
        <w:tc>
          <w:tcPr>
            <w:tcW w:w="193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畜禽良种繁育推广与应用成本</w:t>
            </w:r>
          </w:p>
        </w:tc>
        <w:tc>
          <w:tcPr>
            <w:tcW w:w="11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default" w:ascii="Arial" w:hAnsi="Arial" w:eastAsia="宋体" w:cs="Arial"/>
                <w:kern w:val="0"/>
                <w:sz w:val="18"/>
                <w:szCs w:val="18"/>
                <w:lang w:val="en-US" w:eastAsia="zh-CN"/>
              </w:rPr>
              <w:t>≤</w:t>
            </w:r>
            <w:r>
              <w:rPr>
                <w:rFonts w:hint="eastAsia" w:ascii="宋体" w:hAnsi="宋体" w:eastAsia="宋体" w:cs="宋体"/>
                <w:kern w:val="0"/>
                <w:sz w:val="18"/>
                <w:szCs w:val="18"/>
                <w:lang w:val="en-US" w:eastAsia="zh-CN"/>
              </w:rPr>
              <w:t>173万</w:t>
            </w:r>
          </w:p>
        </w:tc>
        <w:tc>
          <w:tcPr>
            <w:tcW w:w="8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173万</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w:t>
            </w: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w:t>
            </w:r>
          </w:p>
        </w:tc>
        <w:tc>
          <w:tcPr>
            <w:tcW w:w="151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515" w:hRule="exact"/>
          <w:jc w:val="center"/>
        </w:trPr>
        <w:tc>
          <w:tcPr>
            <w:tcW w:w="81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93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畜禽遗传资源保护和利用成本</w:t>
            </w:r>
          </w:p>
        </w:tc>
        <w:tc>
          <w:tcPr>
            <w:tcW w:w="11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default" w:ascii="Arial" w:hAnsi="Arial" w:eastAsia="宋体" w:cs="Arial"/>
                <w:kern w:val="0"/>
                <w:sz w:val="18"/>
                <w:szCs w:val="18"/>
                <w:lang w:val="en-US" w:eastAsia="zh-CN"/>
              </w:rPr>
              <w:t>≤</w:t>
            </w:r>
            <w:r>
              <w:rPr>
                <w:rFonts w:hint="eastAsia" w:ascii="宋体" w:hAnsi="宋体" w:eastAsia="宋体" w:cs="宋体"/>
                <w:kern w:val="0"/>
                <w:sz w:val="18"/>
                <w:szCs w:val="18"/>
                <w:lang w:val="en-US" w:eastAsia="zh-CN"/>
              </w:rPr>
              <w:t>71万</w:t>
            </w:r>
          </w:p>
        </w:tc>
        <w:tc>
          <w:tcPr>
            <w:tcW w:w="8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71万</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w:t>
            </w: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w:t>
            </w:r>
          </w:p>
        </w:tc>
        <w:tc>
          <w:tcPr>
            <w:tcW w:w="151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491" w:hRule="exact"/>
          <w:jc w:val="center"/>
        </w:trPr>
        <w:tc>
          <w:tcPr>
            <w:tcW w:w="81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75"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93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饲草料生产加工利用成本</w:t>
            </w:r>
          </w:p>
        </w:tc>
        <w:tc>
          <w:tcPr>
            <w:tcW w:w="11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default" w:ascii="Arial" w:hAnsi="Arial" w:eastAsia="宋体" w:cs="Arial"/>
                <w:kern w:val="0"/>
                <w:sz w:val="18"/>
                <w:szCs w:val="18"/>
                <w:lang w:val="en-US" w:eastAsia="zh-CN"/>
              </w:rPr>
              <w:t>≤</w:t>
            </w:r>
            <w:r>
              <w:rPr>
                <w:rFonts w:hint="eastAsia" w:ascii="宋体" w:hAnsi="宋体" w:eastAsia="宋体" w:cs="宋体"/>
                <w:kern w:val="0"/>
                <w:sz w:val="18"/>
                <w:szCs w:val="18"/>
                <w:lang w:val="en-US" w:eastAsia="zh-CN"/>
              </w:rPr>
              <w:t>55.5万</w:t>
            </w:r>
          </w:p>
        </w:tc>
        <w:tc>
          <w:tcPr>
            <w:tcW w:w="8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55.5万</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w:t>
            </w: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w:t>
            </w:r>
          </w:p>
        </w:tc>
        <w:tc>
          <w:tcPr>
            <w:tcW w:w="151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491" w:hRule="exact"/>
          <w:jc w:val="center"/>
        </w:trPr>
        <w:tc>
          <w:tcPr>
            <w:tcW w:w="81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75"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93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养殖小区备案及统计监测点成本</w:t>
            </w:r>
          </w:p>
        </w:tc>
        <w:tc>
          <w:tcPr>
            <w:tcW w:w="11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default" w:ascii="Arial" w:hAnsi="Arial" w:eastAsia="宋体" w:cs="Arial"/>
                <w:kern w:val="0"/>
                <w:sz w:val="18"/>
                <w:szCs w:val="18"/>
                <w:lang w:val="en-US" w:eastAsia="zh-CN"/>
              </w:rPr>
              <w:t>≤</w:t>
            </w:r>
            <w:r>
              <w:rPr>
                <w:rFonts w:hint="eastAsia" w:ascii="宋体" w:hAnsi="宋体" w:eastAsia="宋体" w:cs="宋体"/>
                <w:kern w:val="0"/>
                <w:sz w:val="18"/>
                <w:szCs w:val="18"/>
                <w:lang w:val="en-US" w:eastAsia="zh-CN"/>
              </w:rPr>
              <w:t>46.5万元</w:t>
            </w:r>
          </w:p>
        </w:tc>
        <w:tc>
          <w:tcPr>
            <w:tcW w:w="8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46.5万元</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w:t>
            </w: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w:t>
            </w:r>
          </w:p>
        </w:tc>
        <w:tc>
          <w:tcPr>
            <w:tcW w:w="151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781" w:hRule="exact"/>
          <w:jc w:val="center"/>
        </w:trPr>
        <w:tc>
          <w:tcPr>
            <w:tcW w:w="81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效益指标</w:t>
            </w:r>
          </w:p>
        </w:tc>
        <w:tc>
          <w:tcPr>
            <w:tcW w:w="99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eastAsia="zh-CN"/>
              </w:rPr>
              <w:t>社会</w:t>
            </w:r>
            <w:r>
              <w:rPr>
                <w:rFonts w:hint="eastAsia" w:ascii="宋体" w:hAnsi="宋体" w:eastAsia="宋体" w:cs="宋体"/>
                <w:kern w:val="0"/>
                <w:sz w:val="18"/>
                <w:szCs w:val="18"/>
              </w:rPr>
              <w:t>效益</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tc>
        <w:tc>
          <w:tcPr>
            <w:tcW w:w="193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逐步提升畜禽生产性能和畜禽良种增收的能力</w:t>
            </w:r>
          </w:p>
        </w:tc>
        <w:tc>
          <w:tcPr>
            <w:tcW w:w="11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有效提升</w:t>
            </w:r>
          </w:p>
        </w:tc>
        <w:tc>
          <w:tcPr>
            <w:tcW w:w="8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有效提升</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10</w:t>
            </w: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10</w:t>
            </w:r>
          </w:p>
        </w:tc>
        <w:tc>
          <w:tcPr>
            <w:tcW w:w="151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511" w:hRule="exact"/>
          <w:jc w:val="center"/>
        </w:trPr>
        <w:tc>
          <w:tcPr>
            <w:tcW w:w="81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93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提高养殖场、养殖户生产水平</w:t>
            </w:r>
          </w:p>
        </w:tc>
        <w:tc>
          <w:tcPr>
            <w:tcW w:w="11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有效提升</w:t>
            </w:r>
          </w:p>
        </w:tc>
        <w:tc>
          <w:tcPr>
            <w:tcW w:w="8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有效提升</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10</w:t>
            </w: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10</w:t>
            </w:r>
          </w:p>
        </w:tc>
        <w:tc>
          <w:tcPr>
            <w:tcW w:w="151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549" w:hRule="exact"/>
          <w:jc w:val="center"/>
        </w:trPr>
        <w:tc>
          <w:tcPr>
            <w:tcW w:w="81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可持续影响指标</w:t>
            </w:r>
          </w:p>
        </w:tc>
        <w:tc>
          <w:tcPr>
            <w:tcW w:w="193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推进全疆畜牧业产业化发展的能力</w:t>
            </w:r>
          </w:p>
        </w:tc>
        <w:tc>
          <w:tcPr>
            <w:tcW w:w="11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长期</w:t>
            </w:r>
          </w:p>
        </w:tc>
        <w:tc>
          <w:tcPr>
            <w:tcW w:w="8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长期</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51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727" w:hRule="exact"/>
          <w:jc w:val="center"/>
        </w:trPr>
        <w:tc>
          <w:tcPr>
            <w:tcW w:w="81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both"/>
              <w:rPr>
                <w:rFonts w:hint="eastAsia" w:ascii="宋体" w:hAnsi="宋体" w:eastAsia="宋体" w:cs="宋体"/>
                <w:kern w:val="0"/>
                <w:sz w:val="18"/>
                <w:szCs w:val="18"/>
                <w:lang w:eastAsia="zh-CN"/>
              </w:rPr>
            </w:pPr>
            <w:r>
              <w:rPr>
                <w:rFonts w:hint="eastAsia" w:ascii="宋体" w:hAnsi="宋体" w:eastAsia="宋体" w:cs="宋体"/>
                <w:kern w:val="0"/>
                <w:sz w:val="18"/>
                <w:szCs w:val="18"/>
              </w:rPr>
              <w:t>满意度指标</w:t>
            </w:r>
          </w:p>
        </w:tc>
        <w:tc>
          <w:tcPr>
            <w:tcW w:w="9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193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农牧民满意度</w:t>
            </w:r>
          </w:p>
        </w:tc>
        <w:tc>
          <w:tcPr>
            <w:tcW w:w="11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　</w:t>
            </w:r>
          </w:p>
        </w:tc>
        <w:tc>
          <w:tcPr>
            <w:tcW w:w="8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51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628" w:hRule="exact"/>
          <w:jc w:val="center"/>
        </w:trPr>
        <w:tc>
          <w:tcPr>
            <w:tcW w:w="6676"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51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bl>
    <w:p>
      <w:pPr>
        <w:rPr>
          <w:rFonts w:hint="eastAsia" w:ascii="宋体" w:hAnsi="宋体" w:eastAsia="宋体" w:cs="宋体"/>
          <w:sz w:val="18"/>
          <w:szCs w:val="18"/>
        </w:rPr>
      </w:pPr>
    </w:p>
    <w:p>
      <w:pPr>
        <w:pStyle w:val="18"/>
        <w:jc w:val="both"/>
        <w:rPr>
          <w:rFonts w:ascii="Times New Roman" w:hAnsi="Times New Roman" w:eastAsia="黑体"/>
          <w:b w:val="0"/>
          <w:bCs w:val="0"/>
        </w:rPr>
      </w:pPr>
    </w:p>
    <w:p>
      <w:pPr>
        <w:pStyle w:val="18"/>
        <w:rPr>
          <w:rFonts w:ascii="Times New Roman" w:hAnsi="Times New Roman" w:eastAsia="黑体"/>
          <w:b w:val="0"/>
          <w:bCs w:val="0"/>
        </w:rPr>
      </w:pPr>
    </w:p>
    <w:p>
      <w:pPr>
        <w:pStyle w:val="18"/>
        <w:jc w:val="both"/>
        <w:rPr>
          <w:rFonts w:ascii="Times New Roman" w:hAnsi="Times New Roman"/>
        </w:rPr>
        <w:sectPr>
          <w:pgSz w:w="11906" w:h="16838"/>
          <w:pgMar w:top="1440" w:right="1558" w:bottom="1440" w:left="1800" w:header="851" w:footer="992" w:gutter="0"/>
          <w:cols w:space="425" w:num="1"/>
          <w:docGrid w:type="lines" w:linePitch="312" w:charSpace="0"/>
        </w:sectPr>
      </w:pPr>
    </w:p>
    <w:p>
      <w:pPr>
        <w:spacing w:line="600" w:lineRule="exact"/>
        <w:rPr>
          <w:bCs/>
          <w:sz w:val="32"/>
          <w:szCs w:val="32"/>
        </w:rPr>
      </w:pPr>
      <w:r>
        <w:rPr>
          <w:bCs/>
          <w:sz w:val="32"/>
          <w:szCs w:val="32"/>
        </w:rPr>
        <w:t>附件1</w:t>
      </w:r>
    </w:p>
    <w:tbl>
      <w:tblPr>
        <w:tblStyle w:val="21"/>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7"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8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8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rFonts w:hint="eastAsia"/>
                <w:b/>
                <w:bCs/>
                <w:color w:val="000000"/>
                <w:kern w:val="0"/>
                <w:sz w:val="22"/>
                <w:szCs w:val="22"/>
                <w:lang w:eastAsia="zh-CN"/>
              </w:rPr>
            </w:pPr>
            <w:r>
              <w:rPr>
                <w:rFonts w:hint="eastAsia"/>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8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rFonts w:hint="eastAsia"/>
                <w:b/>
                <w:bCs/>
                <w:color w:val="000000"/>
                <w:kern w:val="0"/>
                <w:sz w:val="22"/>
                <w:szCs w:val="22"/>
                <w:lang w:eastAsia="zh-CN"/>
              </w:rPr>
            </w:pPr>
            <w:r>
              <w:rPr>
                <w:rFonts w:hint="eastAsia"/>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b/>
                <w:bCs/>
                <w:color w:val="000000"/>
                <w:kern w:val="0"/>
                <w:sz w:val="22"/>
                <w:szCs w:val="22"/>
                <w:lang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000000" w:fill="FFFFFF"/>
            <w:vAlign w:val="center"/>
          </w:tcPr>
          <w:p>
            <w:pPr>
              <w:widowControl/>
              <w:spacing w:line="0" w:lineRule="atLeast"/>
              <w:jc w:val="center"/>
              <w:rPr>
                <w:rFonts w:hint="eastAsia"/>
                <w:b/>
                <w:bCs/>
                <w:color w:val="000000"/>
                <w:kern w:val="0"/>
                <w:sz w:val="22"/>
                <w:szCs w:val="22"/>
                <w:lang w:val="en-US" w:eastAsia="zh-CN"/>
              </w:rPr>
            </w:pPr>
            <w:r>
              <w:rPr>
                <w:rFonts w:hint="eastAsia"/>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pPr>
              <w:widowControl/>
              <w:spacing w:line="0" w:lineRule="atLeast"/>
              <w:jc w:val="center"/>
              <w:rPr>
                <w:rFonts w:hint="eastAsia"/>
                <w:b/>
                <w:bCs/>
                <w:color w:val="000000"/>
                <w:kern w:val="0"/>
                <w:sz w:val="22"/>
                <w:szCs w:val="22"/>
                <w:lang w:val="en-US"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rFonts w:hint="eastAsia"/>
                <w:b/>
                <w:bCs/>
                <w:color w:val="000000"/>
                <w:kern w:val="0"/>
                <w:sz w:val="22"/>
                <w:szCs w:val="22"/>
                <w:lang w:val="en-US" w:eastAsia="zh-CN"/>
              </w:rPr>
            </w:pPr>
            <w:r>
              <w:rPr>
                <w:rFonts w:hint="eastAsia"/>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b/>
                <w:bCs/>
                <w:color w:val="000000"/>
                <w:kern w:val="0"/>
                <w:sz w:val="22"/>
                <w:szCs w:val="22"/>
                <w:lang w:val="en-US"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pPr>
              <w:widowControl/>
              <w:spacing w:line="0" w:lineRule="atLeast"/>
              <w:jc w:val="center"/>
              <w:rPr>
                <w:rFonts w:hint="eastAsia"/>
                <w:b/>
                <w:bCs/>
                <w:color w:val="000000"/>
                <w:kern w:val="0"/>
                <w:sz w:val="22"/>
                <w:szCs w:val="22"/>
                <w:lang w:val="en-US"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b/>
                <w:bCs/>
                <w:color w:val="000000"/>
                <w:kern w:val="0"/>
                <w:sz w:val="22"/>
                <w:szCs w:val="22"/>
                <w:lang w:val="en-US"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b/>
                <w:bCs/>
                <w:color w:val="000000"/>
                <w:kern w:val="0"/>
                <w:sz w:val="22"/>
                <w:szCs w:val="22"/>
                <w:lang w:val="en-US"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b/>
                <w:bCs/>
                <w:color w:val="000000"/>
                <w:kern w:val="0"/>
                <w:sz w:val="22"/>
                <w:szCs w:val="22"/>
                <w:lang w:val="en-US" w:eastAsia="zh-CN"/>
              </w:rPr>
            </w:pPr>
            <w:r>
              <w:rPr>
                <w:rFonts w:hint="eastAsia"/>
                <w:b/>
                <w:bCs/>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eastAsia"/>
                <w:b/>
                <w:bCs/>
                <w:color w:val="000000"/>
                <w:kern w:val="0"/>
                <w:sz w:val="22"/>
                <w:szCs w:val="22"/>
                <w:lang w:val="en-US" w:eastAsia="zh-CN"/>
              </w:rPr>
            </w:pPr>
            <w:r>
              <w:rPr>
                <w:rFonts w:hint="eastAsia"/>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pPr>
              <w:widowControl/>
              <w:spacing w:line="0" w:lineRule="atLeast"/>
              <w:jc w:val="center"/>
              <w:rPr>
                <w:rFonts w:hint="eastAsia"/>
                <w:b/>
                <w:bCs/>
                <w:color w:val="000000"/>
                <w:kern w:val="0"/>
                <w:sz w:val="22"/>
                <w:szCs w:val="22"/>
                <w:lang w:val="en-US" w:eastAsia="zh-CN"/>
              </w:rPr>
            </w:pPr>
            <w:r>
              <w:rPr>
                <w:rFonts w:hint="eastAsia"/>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eastAsia"/>
                <w:b/>
                <w:bCs/>
                <w:color w:val="000000"/>
                <w:kern w:val="0"/>
                <w:sz w:val="22"/>
                <w:szCs w:val="22"/>
                <w:lang w:val="en-US" w:eastAsia="zh-CN"/>
              </w:rPr>
            </w:pPr>
            <w:r>
              <w:rPr>
                <w:rFonts w:hint="eastAsia"/>
                <w:b/>
                <w:bCs/>
                <w:color w:val="000000"/>
                <w:kern w:val="0"/>
                <w:sz w:val="22"/>
                <w:szCs w:val="22"/>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15</w:t>
            </w:r>
          </w:p>
        </w:tc>
        <w:tc>
          <w:tcPr>
            <w:tcW w:w="1363" w:type="dxa"/>
            <w:shd w:val="clear" w:color="auto" w:fill="FFFFFF"/>
            <w:vAlign w:val="center"/>
          </w:tcPr>
          <w:p>
            <w:pPr>
              <w:widowControl/>
              <w:spacing w:line="0" w:lineRule="atLeast"/>
              <w:jc w:val="center"/>
              <w:rPr>
                <w:rFonts w:hint="eastAsia"/>
                <w:b/>
                <w:bCs/>
                <w:color w:val="000000"/>
                <w:kern w:val="0"/>
                <w:sz w:val="22"/>
                <w:szCs w:val="22"/>
                <w:lang w:val="en-US" w:eastAsia="zh-CN"/>
              </w:rPr>
            </w:pPr>
            <w:r>
              <w:rPr>
                <w:rFonts w:hint="eastAsia"/>
                <w:b/>
                <w:bCs/>
                <w:color w:val="000000"/>
                <w:kern w:val="0"/>
                <w:sz w:val="22"/>
                <w:szCs w:val="22"/>
                <w:lang w:val="en-US" w:eastAsia="zh-CN"/>
              </w:rPr>
              <w:t>14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5</w:t>
            </w:r>
          </w:p>
        </w:tc>
        <w:tc>
          <w:tcPr>
            <w:tcW w:w="1363" w:type="dxa"/>
            <w:shd w:val="clear" w:color="000000" w:fill="FFFFFF"/>
            <w:vAlign w:val="center"/>
          </w:tcPr>
          <w:p>
            <w:pPr>
              <w:widowControl/>
              <w:spacing w:line="0" w:lineRule="atLeast"/>
              <w:jc w:val="center"/>
              <w:rPr>
                <w:rFonts w:hint="eastAsia"/>
                <w:b/>
                <w:bCs/>
                <w:color w:val="000000"/>
                <w:kern w:val="0"/>
                <w:sz w:val="22"/>
                <w:szCs w:val="22"/>
                <w:lang w:val="en-US" w:eastAsia="zh-CN"/>
              </w:rPr>
            </w:pPr>
            <w:r>
              <w:rPr>
                <w:rFonts w:hint="eastAsia"/>
                <w:b/>
                <w:bCs/>
                <w:color w:val="000000"/>
                <w:kern w:val="0"/>
                <w:sz w:val="22"/>
                <w:szCs w:val="22"/>
                <w:lang w:val="en-US" w:eastAsia="zh-CN"/>
              </w:rPr>
              <w:t>5</w:t>
            </w:r>
          </w:p>
        </w:tc>
      </w:tr>
    </w:tbl>
    <w:p>
      <w:pPr>
        <w:pStyle w:val="18"/>
        <w:rPr>
          <w:rFonts w:ascii="Times New Roman" w:hAnsi="Times New Roman"/>
        </w:rPr>
      </w:pPr>
    </w:p>
    <w:p/>
    <w:p>
      <w:pPr>
        <w:spacing w:line="540" w:lineRule="exact"/>
        <w:ind w:firstLine="640"/>
        <w:rPr>
          <w:rStyle w:val="23"/>
          <w:rFonts w:eastAsia="黑体"/>
          <w:bCs w:val="0"/>
          <w:spacing w:val="-4"/>
          <w:sz w:val="32"/>
          <w:szCs w:val="32"/>
        </w:rPr>
      </w:pPr>
    </w:p>
    <w:p>
      <w:pPr>
        <w:spacing w:line="540" w:lineRule="exact"/>
        <w:ind w:firstLine="640"/>
        <w:rPr>
          <w:rStyle w:val="23"/>
          <w:rFonts w:eastAsia="黑体"/>
          <w:bCs w:val="0"/>
          <w:spacing w:val="-4"/>
          <w:sz w:val="32"/>
          <w:szCs w:val="32"/>
        </w:rPr>
      </w:pPr>
    </w:p>
    <w:p>
      <w:pPr>
        <w:spacing w:line="540" w:lineRule="exact"/>
        <w:ind w:firstLine="640"/>
        <w:rPr>
          <w:rStyle w:val="23"/>
          <w:rFonts w:eastAsia="黑体"/>
          <w:bCs w:val="0"/>
          <w:spacing w:val="-4"/>
          <w:sz w:val="32"/>
          <w:szCs w:val="32"/>
        </w:rPr>
      </w:pPr>
    </w:p>
    <w:p>
      <w:pPr>
        <w:spacing w:line="540" w:lineRule="exact"/>
        <w:ind w:firstLine="640"/>
        <w:rPr>
          <w:rStyle w:val="23"/>
          <w:rFonts w:eastAsia="黑体"/>
          <w:bCs w:val="0"/>
          <w:spacing w:val="-4"/>
          <w:sz w:val="32"/>
          <w:szCs w:val="32"/>
        </w:rPr>
      </w:pPr>
    </w:p>
    <w:p>
      <w:pPr>
        <w:spacing w:line="540" w:lineRule="exact"/>
        <w:ind w:firstLine="640"/>
        <w:rPr>
          <w:rStyle w:val="23"/>
          <w:rFonts w:eastAsia="黑体"/>
          <w:bCs w:val="0"/>
          <w:spacing w:val="-4"/>
          <w:sz w:val="32"/>
          <w:szCs w:val="32"/>
        </w:rPr>
      </w:pPr>
    </w:p>
    <w:p>
      <w:pPr>
        <w:spacing w:line="540" w:lineRule="exact"/>
        <w:ind w:firstLine="640"/>
        <w:rPr>
          <w:rStyle w:val="23"/>
          <w:rFonts w:eastAsia="黑体"/>
          <w:bCs w:val="0"/>
          <w:spacing w:val="-4"/>
          <w:sz w:val="32"/>
          <w:szCs w:val="32"/>
        </w:rPr>
      </w:pPr>
    </w:p>
    <w:p>
      <w:pPr>
        <w:spacing w:line="540" w:lineRule="exact"/>
        <w:rPr>
          <w:rStyle w:val="23"/>
          <w:rFonts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altName w:val="Arial Unicode MS"/>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5"/>
          <w:jc w:val="center"/>
        </w:pPr>
        <w:r>
          <w:fldChar w:fldCharType="begin"/>
        </w:r>
        <w:r>
          <w:instrText xml:space="preserve">PAGE   \* MERGEFORMAT</w:instrText>
        </w:r>
        <w:r>
          <w:fldChar w:fldCharType="separate"/>
        </w:r>
        <w:r>
          <w:rPr>
            <w:lang w:val="zh-CN"/>
          </w:rPr>
          <w:t>17</w:t>
        </w:r>
        <w:r>
          <w:fldChar w:fldCharType="end"/>
        </w:r>
      </w:p>
    </w:sdtContent>
  </w:sdt>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8F0C646"/>
    <w:multiLevelType w:val="singleLevel"/>
    <w:tmpl w:val="38F0C646"/>
    <w:lvl w:ilvl="0" w:tentative="0">
      <w:start w:val="1"/>
      <w:numFmt w:val="decimal"/>
      <w:suff w:val="nothing"/>
      <w:lvlText w:val="%1、"/>
      <w:lvlJc w:val="left"/>
    </w:lvl>
  </w:abstractNum>
  <w:num w:numId="1">
    <w:abstractNumId w:val="1"/>
  </w:num>
  <w:num w:numId="2">
    <w:abstractNumId w:val="4"/>
  </w:num>
  <w:num w:numId="3">
    <w:abstractNumId w:val="5"/>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E4OGVhYjU4MjRmMzYwODE4NDhmNmQ5NjQwZGFjMzA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51A56F5"/>
    <w:rsid w:val="066D6EAA"/>
    <w:rsid w:val="06DC1681"/>
    <w:rsid w:val="08C662D4"/>
    <w:rsid w:val="09420572"/>
    <w:rsid w:val="09BD4D95"/>
    <w:rsid w:val="0B0F58D6"/>
    <w:rsid w:val="0D2E5D2F"/>
    <w:rsid w:val="0F8D41CB"/>
    <w:rsid w:val="0FEE2F21"/>
    <w:rsid w:val="11C75270"/>
    <w:rsid w:val="12277972"/>
    <w:rsid w:val="12637CC3"/>
    <w:rsid w:val="12E657C5"/>
    <w:rsid w:val="133C6E2A"/>
    <w:rsid w:val="167C7687"/>
    <w:rsid w:val="168B3546"/>
    <w:rsid w:val="1A2374E0"/>
    <w:rsid w:val="1C317CE2"/>
    <w:rsid w:val="1DD45808"/>
    <w:rsid w:val="1DED42AC"/>
    <w:rsid w:val="20005763"/>
    <w:rsid w:val="20AC6C48"/>
    <w:rsid w:val="20FB313D"/>
    <w:rsid w:val="220B4804"/>
    <w:rsid w:val="278B653F"/>
    <w:rsid w:val="282475E3"/>
    <w:rsid w:val="29E421D9"/>
    <w:rsid w:val="29FB76B7"/>
    <w:rsid w:val="2C6100C1"/>
    <w:rsid w:val="3235157C"/>
    <w:rsid w:val="3264220D"/>
    <w:rsid w:val="32A83563"/>
    <w:rsid w:val="34B42E6E"/>
    <w:rsid w:val="38872456"/>
    <w:rsid w:val="3963178C"/>
    <w:rsid w:val="3BA5236D"/>
    <w:rsid w:val="3CED0699"/>
    <w:rsid w:val="3EB02FD6"/>
    <w:rsid w:val="41CC2676"/>
    <w:rsid w:val="46B21672"/>
    <w:rsid w:val="4C7B0FFD"/>
    <w:rsid w:val="4F552460"/>
    <w:rsid w:val="4FCC6863"/>
    <w:rsid w:val="500A214A"/>
    <w:rsid w:val="522D604D"/>
    <w:rsid w:val="5297585E"/>
    <w:rsid w:val="52AD7D6F"/>
    <w:rsid w:val="5549519D"/>
    <w:rsid w:val="5557596B"/>
    <w:rsid w:val="556A433B"/>
    <w:rsid w:val="5B596DFC"/>
    <w:rsid w:val="5DAE6D00"/>
    <w:rsid w:val="5DF03945"/>
    <w:rsid w:val="5F03526B"/>
    <w:rsid w:val="62E515AF"/>
    <w:rsid w:val="637C2815"/>
    <w:rsid w:val="666B4FDC"/>
    <w:rsid w:val="67FF13C8"/>
    <w:rsid w:val="682144B7"/>
    <w:rsid w:val="6B503F77"/>
    <w:rsid w:val="6E311968"/>
    <w:rsid w:val="78080EC0"/>
    <w:rsid w:val="795419A7"/>
    <w:rsid w:val="7A353D0B"/>
    <w:rsid w:val="7CB927D8"/>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7"/>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8"/>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9"/>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0"/>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1"/>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2"/>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3"/>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rPr>
      <w:rFonts w:ascii="Times New Roman" w:hAnsi="Times New Roman" w:cs="Times New Roman"/>
    </w:rPr>
  </w:style>
  <w:style w:type="paragraph" w:styleId="12">
    <w:name w:val="Body Text"/>
    <w:basedOn w:val="1"/>
    <w:qFormat/>
    <w:uiPriority w:val="0"/>
    <w:pPr>
      <w:spacing w:after="120"/>
    </w:pPr>
  </w:style>
  <w:style w:type="paragraph" w:styleId="13">
    <w:name w:val="Body Text Indent"/>
    <w:basedOn w:val="1"/>
    <w:qFormat/>
    <w:uiPriority w:val="0"/>
    <w:pPr>
      <w:spacing w:after="120"/>
      <w:ind w:left="420" w:leftChars="200"/>
    </w:pPr>
    <w:rPr>
      <w:rFonts w:ascii="Calibri" w:hAnsi="Calibri"/>
    </w:rPr>
  </w:style>
  <w:style w:type="paragraph" w:styleId="14">
    <w:name w:val="Balloon Text"/>
    <w:basedOn w:val="1"/>
    <w:link w:val="50"/>
    <w:unhideWhenUsed/>
    <w:qFormat/>
    <w:uiPriority w:val="99"/>
    <w:rPr>
      <w:sz w:val="18"/>
      <w:szCs w:val="18"/>
    </w:rPr>
  </w:style>
  <w:style w:type="paragraph" w:styleId="15">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5"/>
    <w:qFormat/>
    <w:uiPriority w:val="11"/>
    <w:pPr>
      <w:widowControl/>
      <w:spacing w:after="60"/>
      <w:jc w:val="center"/>
      <w:outlineLvl w:val="1"/>
    </w:pPr>
    <w:rPr>
      <w:rFonts w:asciiTheme="majorHAnsi" w:hAnsiTheme="majorHAnsi" w:eastAsiaTheme="majorEastAsia"/>
      <w:kern w:val="0"/>
      <w:sz w:val="24"/>
    </w:rPr>
  </w:style>
  <w:style w:type="paragraph" w:styleId="18">
    <w:name w:val="Title"/>
    <w:basedOn w:val="1"/>
    <w:next w:val="1"/>
    <w:link w:val="34"/>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9">
    <w:name w:val="Body Text First Indent"/>
    <w:basedOn w:val="12"/>
    <w:qFormat/>
    <w:uiPriority w:val="0"/>
    <w:pPr>
      <w:spacing w:after="0"/>
      <w:ind w:firstLine="200" w:firstLineChars="200"/>
    </w:pPr>
  </w:style>
  <w:style w:type="paragraph" w:styleId="20">
    <w:name w:val="Body Text First Indent 2"/>
    <w:basedOn w:val="13"/>
    <w:qFormat/>
    <w:uiPriority w:val="0"/>
    <w:pPr>
      <w:ind w:firstLine="420" w:firstLineChars="200"/>
    </w:pPr>
  </w:style>
  <w:style w:type="character" w:styleId="23">
    <w:name w:val="Strong"/>
    <w:basedOn w:val="22"/>
    <w:qFormat/>
    <w:uiPriority w:val="0"/>
    <w:rPr>
      <w:b/>
      <w:bCs/>
    </w:rPr>
  </w:style>
  <w:style w:type="character" w:styleId="24">
    <w:name w:val="Emphasis"/>
    <w:basedOn w:val="22"/>
    <w:qFormat/>
    <w:uiPriority w:val="20"/>
    <w:rPr>
      <w:rFonts w:asciiTheme="minorHAnsi" w:hAnsiTheme="minorHAnsi"/>
      <w:b/>
      <w:i/>
      <w:iCs/>
    </w:rPr>
  </w:style>
  <w:style w:type="character" w:customStyle="1" w:styleId="25">
    <w:name w:val="标题 1 字符"/>
    <w:basedOn w:val="22"/>
    <w:link w:val="3"/>
    <w:qFormat/>
    <w:uiPriority w:val="9"/>
    <w:rPr>
      <w:rFonts w:asciiTheme="majorHAnsi" w:hAnsiTheme="majorHAnsi" w:eastAsiaTheme="majorEastAsia"/>
      <w:b/>
      <w:bCs/>
      <w:kern w:val="32"/>
      <w:sz w:val="32"/>
      <w:szCs w:val="32"/>
    </w:rPr>
  </w:style>
  <w:style w:type="character" w:customStyle="1" w:styleId="26">
    <w:name w:val="标题 2 字符"/>
    <w:basedOn w:val="22"/>
    <w:link w:val="4"/>
    <w:semiHidden/>
    <w:qFormat/>
    <w:uiPriority w:val="9"/>
    <w:rPr>
      <w:rFonts w:asciiTheme="majorHAnsi" w:hAnsiTheme="majorHAnsi" w:eastAsiaTheme="majorEastAsia"/>
      <w:b/>
      <w:bCs/>
      <w:i/>
      <w:iCs/>
      <w:sz w:val="28"/>
      <w:szCs w:val="28"/>
    </w:rPr>
  </w:style>
  <w:style w:type="character" w:customStyle="1" w:styleId="27">
    <w:name w:val="标题 3 字符"/>
    <w:basedOn w:val="22"/>
    <w:link w:val="5"/>
    <w:semiHidden/>
    <w:qFormat/>
    <w:uiPriority w:val="9"/>
    <w:rPr>
      <w:rFonts w:asciiTheme="majorHAnsi" w:hAnsiTheme="majorHAnsi" w:eastAsiaTheme="majorEastAsia"/>
      <w:b/>
      <w:bCs/>
      <w:sz w:val="26"/>
      <w:szCs w:val="26"/>
    </w:rPr>
  </w:style>
  <w:style w:type="character" w:customStyle="1" w:styleId="28">
    <w:name w:val="标题 4 字符"/>
    <w:basedOn w:val="22"/>
    <w:link w:val="6"/>
    <w:semiHidden/>
    <w:qFormat/>
    <w:uiPriority w:val="9"/>
    <w:rPr>
      <w:b/>
      <w:bCs/>
      <w:sz w:val="28"/>
      <w:szCs w:val="28"/>
    </w:rPr>
  </w:style>
  <w:style w:type="character" w:customStyle="1" w:styleId="29">
    <w:name w:val="标题 5 字符"/>
    <w:basedOn w:val="22"/>
    <w:link w:val="7"/>
    <w:semiHidden/>
    <w:qFormat/>
    <w:uiPriority w:val="9"/>
    <w:rPr>
      <w:b/>
      <w:bCs/>
      <w:i/>
      <w:iCs/>
      <w:sz w:val="26"/>
      <w:szCs w:val="26"/>
    </w:rPr>
  </w:style>
  <w:style w:type="character" w:customStyle="1" w:styleId="30">
    <w:name w:val="标题 6 字符"/>
    <w:basedOn w:val="22"/>
    <w:link w:val="8"/>
    <w:semiHidden/>
    <w:qFormat/>
    <w:uiPriority w:val="9"/>
    <w:rPr>
      <w:b/>
      <w:bCs/>
    </w:rPr>
  </w:style>
  <w:style w:type="character" w:customStyle="1" w:styleId="31">
    <w:name w:val="标题 7 字符"/>
    <w:basedOn w:val="22"/>
    <w:link w:val="9"/>
    <w:semiHidden/>
    <w:qFormat/>
    <w:uiPriority w:val="9"/>
    <w:rPr>
      <w:sz w:val="24"/>
      <w:szCs w:val="24"/>
    </w:rPr>
  </w:style>
  <w:style w:type="character" w:customStyle="1" w:styleId="32">
    <w:name w:val="标题 8 字符"/>
    <w:basedOn w:val="22"/>
    <w:link w:val="10"/>
    <w:semiHidden/>
    <w:qFormat/>
    <w:uiPriority w:val="9"/>
    <w:rPr>
      <w:i/>
      <w:iCs/>
      <w:sz w:val="24"/>
      <w:szCs w:val="24"/>
    </w:rPr>
  </w:style>
  <w:style w:type="character" w:customStyle="1" w:styleId="33">
    <w:name w:val="标题 9 字符"/>
    <w:basedOn w:val="22"/>
    <w:link w:val="11"/>
    <w:semiHidden/>
    <w:qFormat/>
    <w:uiPriority w:val="9"/>
    <w:rPr>
      <w:rFonts w:asciiTheme="majorHAnsi" w:hAnsiTheme="majorHAnsi" w:eastAsiaTheme="majorEastAsia"/>
    </w:rPr>
  </w:style>
  <w:style w:type="character" w:customStyle="1" w:styleId="34">
    <w:name w:val="标题 字符"/>
    <w:basedOn w:val="22"/>
    <w:link w:val="18"/>
    <w:qFormat/>
    <w:uiPriority w:val="10"/>
    <w:rPr>
      <w:rFonts w:asciiTheme="majorHAnsi" w:hAnsiTheme="majorHAnsi" w:eastAsiaTheme="majorEastAsia"/>
      <w:b/>
      <w:bCs/>
      <w:kern w:val="28"/>
      <w:sz w:val="32"/>
      <w:szCs w:val="32"/>
    </w:rPr>
  </w:style>
  <w:style w:type="character" w:customStyle="1" w:styleId="35">
    <w:name w:val="副标题 字符"/>
    <w:basedOn w:val="22"/>
    <w:link w:val="17"/>
    <w:qFormat/>
    <w:uiPriority w:val="11"/>
    <w:rPr>
      <w:rFonts w:asciiTheme="majorHAnsi" w:hAnsiTheme="majorHAnsi" w:eastAsiaTheme="majorEastAsia"/>
      <w:sz w:val="24"/>
      <w:szCs w:val="24"/>
    </w:rPr>
  </w:style>
  <w:style w:type="paragraph" w:customStyle="1" w:styleId="36">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字符"/>
    <w:basedOn w:val="22"/>
    <w:link w:val="38"/>
    <w:qFormat/>
    <w:uiPriority w:val="29"/>
    <w:rPr>
      <w:i/>
      <w:sz w:val="24"/>
      <w:szCs w:val="24"/>
    </w:rPr>
  </w:style>
  <w:style w:type="paragraph" w:customStyle="1"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字符"/>
    <w:basedOn w:val="22"/>
    <w:link w:val="40"/>
    <w:qFormat/>
    <w:uiPriority w:val="30"/>
    <w:rPr>
      <w:b/>
      <w:i/>
      <w:sz w:val="24"/>
    </w:rPr>
  </w:style>
  <w:style w:type="character" w:customStyle="1" w:styleId="42">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明显强调1"/>
    <w:basedOn w:val="22"/>
    <w:qFormat/>
    <w:uiPriority w:val="21"/>
    <w:rPr>
      <w:b/>
      <w:i/>
      <w:sz w:val="24"/>
      <w:szCs w:val="24"/>
      <w:u w:val="single"/>
    </w:rPr>
  </w:style>
  <w:style w:type="character" w:customStyle="1" w:styleId="44">
    <w:name w:val="不明显参考1"/>
    <w:basedOn w:val="22"/>
    <w:qFormat/>
    <w:uiPriority w:val="31"/>
    <w:rPr>
      <w:sz w:val="24"/>
      <w:szCs w:val="24"/>
      <w:u w:val="single"/>
    </w:rPr>
  </w:style>
  <w:style w:type="character" w:customStyle="1" w:styleId="45">
    <w:name w:val="明显参考1"/>
    <w:basedOn w:val="22"/>
    <w:qFormat/>
    <w:uiPriority w:val="32"/>
    <w:rPr>
      <w:b/>
      <w:sz w:val="24"/>
      <w:u w:val="single"/>
    </w:rPr>
  </w:style>
  <w:style w:type="character" w:customStyle="1" w:styleId="46">
    <w:name w:val="书籍标题1"/>
    <w:basedOn w:val="22"/>
    <w:qFormat/>
    <w:uiPriority w:val="33"/>
    <w:rPr>
      <w:rFonts w:asciiTheme="majorHAnsi" w:hAnsiTheme="majorHAnsi" w:eastAsiaTheme="majorEastAsia"/>
      <w:b/>
      <w:i/>
      <w:sz w:val="24"/>
      <w:szCs w:val="24"/>
    </w:rPr>
  </w:style>
  <w:style w:type="paragraph" w:customStyle="1" w:styleId="47">
    <w:name w:val="TOC 标题1"/>
    <w:basedOn w:val="3"/>
    <w:next w:val="1"/>
    <w:unhideWhenUsed/>
    <w:qFormat/>
    <w:uiPriority w:val="39"/>
    <w:pPr>
      <w:outlineLvl w:val="9"/>
    </w:pPr>
    <w:rPr>
      <w:lang w:eastAsia="en-US" w:bidi="en-US"/>
    </w:rPr>
  </w:style>
  <w:style w:type="character" w:customStyle="1" w:styleId="48">
    <w:name w:val="页眉 字符"/>
    <w:basedOn w:val="22"/>
    <w:link w:val="16"/>
    <w:qFormat/>
    <w:uiPriority w:val="99"/>
    <w:rPr>
      <w:rFonts w:ascii="Calibri" w:hAnsi="Calibri" w:eastAsia="宋体"/>
      <w:kern w:val="2"/>
      <w:sz w:val="18"/>
      <w:szCs w:val="18"/>
    </w:rPr>
  </w:style>
  <w:style w:type="character" w:customStyle="1" w:styleId="49">
    <w:name w:val="页脚 字符"/>
    <w:basedOn w:val="22"/>
    <w:link w:val="15"/>
    <w:qFormat/>
    <w:uiPriority w:val="99"/>
    <w:rPr>
      <w:rFonts w:ascii="Calibri" w:hAnsi="Calibri" w:eastAsia="宋体"/>
      <w:kern w:val="2"/>
      <w:sz w:val="18"/>
      <w:szCs w:val="18"/>
    </w:rPr>
  </w:style>
  <w:style w:type="character" w:customStyle="1" w:styleId="50">
    <w:name w:val="批注框文本 字符"/>
    <w:basedOn w:val="22"/>
    <w:link w:val="14"/>
    <w:semiHidden/>
    <w:qFormat/>
    <w:uiPriority w:val="99"/>
    <w:rPr>
      <w:rFonts w:ascii="Times New Roman" w:hAnsi="Times New Roman" w:eastAsia="宋体"/>
      <w:kern w:val="2"/>
      <w:sz w:val="18"/>
      <w:szCs w:val="18"/>
    </w:rPr>
  </w:style>
  <w:style w:type="paragraph" w:customStyle="1" w:styleId="51">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29</Pages>
  <Words>13015</Words>
  <Characters>13656</Characters>
  <Lines>50</Lines>
  <Paragraphs>14</Paragraphs>
  <TotalTime>5</TotalTime>
  <ScaleCrop>false</ScaleCrop>
  <LinksUpToDate>false</LinksUpToDate>
  <CharactersWithSpaces>13738</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ljl</cp:lastModifiedBy>
  <cp:lastPrinted>2019-12-31T08:02:00Z</cp:lastPrinted>
  <dcterms:modified xsi:type="dcterms:W3CDTF">2023-08-18T15:20:45Z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4AABD054E0634D438DA4046879B8FCEA</vt:lpwstr>
  </property>
  <property fmtid="{D5CDD505-2E9C-101B-9397-08002B2CF9AE}" pid="4" name="KSOSaveFontToCloudKey">
    <vt:lpwstr>0_btnclosed</vt:lpwstr>
  </property>
</Properties>
</file>