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黑体" w:hAnsi="黑体" w:eastAsia="黑体" w:cs="黑体"/>
          <w:bCs/>
          <w:kern w:val="0"/>
          <w:sz w:val="32"/>
          <w:szCs w:val="32"/>
        </w:rPr>
      </w:pPr>
      <w:r>
        <w:rPr>
          <w:rFonts w:hint="eastAsia" w:ascii="黑体" w:hAnsi="黑体" w:eastAsia="黑体" w:cs="黑体"/>
          <w:bCs/>
          <w:kern w:val="0"/>
          <w:sz w:val="32"/>
          <w:szCs w:val="32"/>
        </w:rPr>
        <w:t>附件4：</w:t>
      </w:r>
    </w:p>
    <w:p>
      <w:pPr>
        <w:spacing w:line="540" w:lineRule="exact"/>
        <w:rPr>
          <w:rFonts w:eastAsia="华文中宋"/>
          <w:b/>
          <w:kern w:val="0"/>
          <w:sz w:val="72"/>
          <w:szCs w:val="7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rPr>
        <w:t>自治区动物防疫等补助资金（兽医局重大疫病指挥部等工作补助经费及动物疫病综合防控经费）</w:t>
      </w:r>
      <w:r>
        <w:rPr>
          <w:rFonts w:eastAsia="方正小标宋_GBK"/>
          <w:kern w:val="0"/>
          <w:sz w:val="48"/>
          <w:szCs w:val="48"/>
        </w:rPr>
        <w:t>资金项目支出绩效评价</w:t>
      </w:r>
    </w:p>
    <w:p>
      <w:pPr>
        <w:spacing w:line="540" w:lineRule="exact"/>
        <w:jc w:val="center"/>
        <w:rPr>
          <w:rFonts w:eastAsia="方正小标宋_GBK"/>
          <w:kern w:val="0"/>
          <w:sz w:val="48"/>
          <w:szCs w:val="48"/>
        </w:rPr>
      </w:pPr>
      <w:r>
        <w:rPr>
          <w:rFonts w:eastAsia="方正小标宋_GBK"/>
          <w:kern w:val="0"/>
          <w:sz w:val="48"/>
          <w:szCs w:val="48"/>
        </w:rPr>
        <w:t>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rPr>
        <w:t>2</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left="3236" w:leftChars="684" w:hanging="1800" w:hangingChars="5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自治区动物防疫等补助资金（兽医局重大疫病指挥部等工作补助经费及动物疫病综合防控经费）</w:t>
      </w:r>
    </w:p>
    <w:p>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hAnsi="宋体" w:eastAsia="仿宋_GB2312" w:cs="宋体"/>
          <w:kern w:val="0"/>
          <w:sz w:val="36"/>
          <w:szCs w:val="36"/>
        </w:rPr>
        <w:t>自治区畜牧兽医局办公室</w:t>
      </w:r>
    </w:p>
    <w:p>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r>
        <w:rPr>
          <w:rFonts w:hint="eastAsia" w:hAnsi="宋体" w:eastAsia="仿宋_GB2312" w:cs="宋体"/>
          <w:kern w:val="0"/>
          <w:sz w:val="36"/>
          <w:szCs w:val="36"/>
        </w:rPr>
        <w:t>自治区畜牧兽医局</w:t>
      </w:r>
    </w:p>
    <w:p>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hAnsi="宋体" w:eastAsia="仿宋_GB2312" w:cs="宋体"/>
          <w:kern w:val="0"/>
          <w:sz w:val="36"/>
          <w:szCs w:val="36"/>
        </w:rPr>
        <w:t>刘英豪</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2023</w:t>
      </w:r>
      <w:r>
        <w:rPr>
          <w:rFonts w:eastAsia="仿宋_GB2312"/>
          <w:kern w:val="0"/>
          <w:sz w:val="36"/>
          <w:szCs w:val="36"/>
        </w:rPr>
        <w:t>年</w:t>
      </w:r>
      <w:r>
        <w:rPr>
          <w:rFonts w:hint="eastAsia" w:eastAsia="仿宋_GB2312"/>
          <w:kern w:val="0"/>
          <w:sz w:val="36"/>
          <w:szCs w:val="36"/>
        </w:rPr>
        <w:t>1</w:t>
      </w:r>
      <w:r>
        <w:rPr>
          <w:rFonts w:eastAsia="仿宋_GB2312"/>
          <w:kern w:val="0"/>
          <w:sz w:val="36"/>
          <w:szCs w:val="36"/>
        </w:rPr>
        <w:t>月</w:t>
      </w:r>
      <w:r>
        <w:rPr>
          <w:rFonts w:hint="eastAsia" w:eastAsia="仿宋_GB2312"/>
          <w:kern w:val="0"/>
          <w:sz w:val="36"/>
          <w:szCs w:val="36"/>
        </w:rPr>
        <w:t>18</w:t>
      </w:r>
      <w:r>
        <w:rPr>
          <w:rFonts w:eastAsia="仿宋_GB2312"/>
          <w:kern w:val="0"/>
          <w:sz w:val="36"/>
          <w:szCs w:val="36"/>
        </w:rPr>
        <w:t>日</w:t>
      </w:r>
    </w:p>
    <w:p>
      <w:pPr>
        <w:spacing w:line="600" w:lineRule="exact"/>
        <w:rPr>
          <w:rFonts w:eastAsia="黑体"/>
          <w:bCs/>
          <w:sz w:val="32"/>
          <w:szCs w:val="32"/>
        </w:rPr>
      </w:pPr>
    </w:p>
    <w:p>
      <w:pPr>
        <w:spacing w:line="600" w:lineRule="exact"/>
        <w:rPr>
          <w:rFonts w:eastAsia="黑体"/>
          <w:bCs/>
          <w:sz w:val="32"/>
          <w:szCs w:val="32"/>
        </w:rPr>
      </w:pPr>
      <w:r>
        <w:rPr>
          <w:rFonts w:eastAsia="黑体"/>
          <w:bCs/>
          <w:sz w:val="32"/>
          <w:szCs w:val="32"/>
        </w:rPr>
        <w:t>一、基本情况</w:t>
      </w:r>
    </w:p>
    <w:p>
      <w:pPr>
        <w:spacing w:line="600" w:lineRule="exact"/>
        <w:ind w:firstLine="641"/>
        <w:rPr>
          <w:rFonts w:eastAsia="楷体_GB2312"/>
          <w:b/>
          <w:bCs/>
          <w:sz w:val="32"/>
          <w:szCs w:val="32"/>
        </w:rPr>
      </w:pPr>
      <w:r>
        <w:rPr>
          <w:rFonts w:eastAsia="楷体_GB2312"/>
          <w:b/>
          <w:bCs/>
          <w:sz w:val="32"/>
          <w:szCs w:val="32"/>
        </w:rPr>
        <w:t>（一）项目概况</w:t>
      </w:r>
    </w:p>
    <w:p>
      <w:pPr>
        <w:shd w:val="clear" w:color="auto"/>
        <w:spacing w:line="600" w:lineRule="exact"/>
        <w:ind w:firstLine="641"/>
        <w:rPr>
          <w:rFonts w:eastAsia="仿宋_GB2312"/>
          <w:b/>
          <w:bCs/>
          <w:sz w:val="32"/>
          <w:szCs w:val="32"/>
        </w:rPr>
      </w:pPr>
      <w:r>
        <w:rPr>
          <w:rFonts w:eastAsia="仿宋_GB2312"/>
          <w:b/>
          <w:bCs/>
          <w:sz w:val="32"/>
          <w:szCs w:val="32"/>
        </w:rPr>
        <w:t>1、项目背景</w:t>
      </w:r>
    </w:p>
    <w:p>
      <w:pPr>
        <w:pStyle w:val="21"/>
        <w:shd w:val="clear" w:color="auto"/>
        <w:spacing w:before="0" w:after="0" w:line="600" w:lineRule="exact"/>
        <w:ind w:firstLine="640" w:firstLineChars="200"/>
        <w:jc w:val="both"/>
        <w:rPr>
          <w:rFonts w:ascii="Times New Roman" w:hAnsi="Times New Roman" w:eastAsia="仿宋_GB2312"/>
          <w:b w:val="0"/>
          <w:bCs w:val="0"/>
          <w:color w:val="000000" w:themeColor="text1"/>
          <w:kern w:val="2"/>
          <w:shd w:val="clear" w:color="auto" w:fill="FFFFFF"/>
          <w14:textFill>
            <w14:solidFill>
              <w14:schemeClr w14:val="tx1"/>
            </w14:solidFill>
          </w14:textFill>
        </w:rPr>
      </w:pPr>
      <w:r>
        <w:rPr>
          <w:rFonts w:ascii="Times New Roman" w:hAnsi="Times New Roman" w:eastAsia="仿宋_GB2312"/>
          <w:b w:val="0"/>
          <w:bCs w:val="0"/>
          <w:color w:val="000000" w:themeColor="text1"/>
          <w:kern w:val="2"/>
          <w:shd w:val="clear" w:color="auto" w:fill="FFFFFF"/>
          <w14:textFill>
            <w14:solidFill>
              <w14:schemeClr w14:val="tx1"/>
            </w14:solidFill>
          </w14:textFill>
        </w:rPr>
        <w:t>自治区防治重大动物疫病指挥部办公室是我区防治动物重大动物疫病指挥部的日常办事机构，设在自治区畜牧兽医局，负责处理自治区防治重大动物疫病指挥部的日常工作，落实指挥部关于重大动物疫病防控工作的各项决议、决定和部署要求。当前我区畜牧业产业化、集约化程度不高，流行动物疫病种类多（全疆已查明的动物传染病、寄生虫病多达200余种），跨区域调运牲畜频繁，动物防疫工作存在“点多、线长、面广、任务重、工作难度大、行政成本高”的特点。自治区动物防疫等补助资金（兽医局重大疫病指挥部等工作补助经费及动物疫病综合防控经费）有力地支持了全区动物疫病防控工作，保障了自治区防治重大动物疫病指挥部办公室的正常运行，对维护畜牧业生产安全、生物安全、公共卫生安全和动物源性食品安全，促进新疆畜牧业高质量发展，助力乡村振兴，夯实新疆</w:t>
      </w:r>
      <w:r>
        <w:rPr>
          <w:rFonts w:hint="eastAsia" w:ascii="Times New Roman" w:hAnsi="Times New Roman" w:eastAsia="仿宋_GB2312"/>
          <w:b w:val="0"/>
          <w:bCs w:val="0"/>
          <w:color w:val="000000" w:themeColor="text1"/>
          <w:kern w:val="2"/>
          <w:shd w:val="clear" w:color="auto" w:fill="FFFFFF"/>
          <w14:textFill>
            <w14:solidFill>
              <w14:schemeClr w14:val="tx1"/>
            </w14:solidFill>
          </w14:textFill>
        </w:rPr>
        <w:t>长治久安的根基发挥了重要作用。</w:t>
      </w:r>
    </w:p>
    <w:p>
      <w:pPr>
        <w:shd w:val="clear" w:color="auto"/>
        <w:spacing w:line="600" w:lineRule="exact"/>
        <w:ind w:firstLine="641"/>
        <w:rPr>
          <w:rFonts w:eastAsia="仿宋_GB2312"/>
        </w:rPr>
      </w:pPr>
      <w:r>
        <w:rPr>
          <w:rFonts w:hint="eastAsia" w:eastAsia="仿宋_GB2312"/>
          <w:b/>
          <w:bCs/>
          <w:sz w:val="32"/>
          <w:szCs w:val="32"/>
        </w:rPr>
        <w:t>2</w:t>
      </w:r>
      <w:r>
        <w:rPr>
          <w:rFonts w:eastAsia="仿宋_GB2312"/>
          <w:b/>
          <w:bCs/>
          <w:sz w:val="32"/>
          <w:szCs w:val="32"/>
        </w:rPr>
        <w:t>、</w:t>
      </w:r>
      <w:r>
        <w:rPr>
          <w:rFonts w:hint="eastAsia" w:eastAsia="仿宋_GB2312"/>
          <w:b/>
          <w:bCs/>
          <w:sz w:val="32"/>
          <w:szCs w:val="32"/>
        </w:rPr>
        <w:t>项目主要内容</w:t>
      </w:r>
    </w:p>
    <w:p>
      <w:pPr>
        <w:widowControl/>
        <w:shd w:val="clear" w:color="auto"/>
        <w:spacing w:line="560" w:lineRule="exact"/>
        <w:ind w:firstLine="640" w:firstLineChars="200"/>
        <w:rPr>
          <w:rFonts w:eastAsia="仿宋_GB2312"/>
          <w:color w:val="000000" w:themeColor="text1"/>
          <w:sz w:val="32"/>
          <w:szCs w:val="32"/>
          <w:shd w:val="clear" w:color="auto" w:fill="FFFFFF"/>
          <w14:textFill>
            <w14:solidFill>
              <w14:schemeClr w14:val="tx1"/>
            </w14:solidFill>
          </w14:textFill>
        </w:rPr>
      </w:pPr>
      <w:r>
        <w:rPr>
          <w:rFonts w:eastAsia="仿宋_GB2312"/>
          <w:color w:val="000000" w:themeColor="text1"/>
          <w:kern w:val="0"/>
          <w:sz w:val="32"/>
          <w:szCs w:val="32"/>
          <w14:textFill>
            <w14:solidFill>
              <w14:schemeClr w14:val="tx1"/>
            </w14:solidFill>
          </w14:textFill>
        </w:rPr>
        <w:t>保障</w:t>
      </w:r>
      <w:r>
        <w:rPr>
          <w:rFonts w:eastAsia="仿宋_GB2312"/>
          <w:color w:val="000000" w:themeColor="text1"/>
          <w:sz w:val="32"/>
          <w:szCs w:val="32"/>
          <w:shd w:val="clear" w:color="auto" w:fill="FFFFFF"/>
          <w14:textFill>
            <w14:solidFill>
              <w14:schemeClr w14:val="tx1"/>
            </w14:solidFill>
          </w14:textFill>
        </w:rPr>
        <w:t>自治区防治重大动物疫病指挥部办公室</w:t>
      </w:r>
      <w:r>
        <w:rPr>
          <w:rFonts w:eastAsia="仿宋_GB2312"/>
          <w:color w:val="000000" w:themeColor="text1"/>
          <w:kern w:val="0"/>
          <w:sz w:val="32"/>
          <w:szCs w:val="32"/>
          <w14:textFill>
            <w14:solidFill>
              <w14:schemeClr w14:val="tx1"/>
            </w14:solidFill>
          </w14:textFill>
        </w:rPr>
        <w:t>业务正常开展，有效预防、控制重大动物疫病的传播和流行，确保发生重大动物疫病时，能够及时、高效、有序、依法依规进行应急处置，最大限度的减少重大动物疫病带来的损失。</w:t>
      </w:r>
      <w:r>
        <w:rPr>
          <w:rFonts w:eastAsia="仿宋_GB2312"/>
          <w:color w:val="000000" w:themeColor="text1"/>
          <w:sz w:val="32"/>
          <w:szCs w:val="32"/>
          <w:shd w:val="clear" w:color="auto" w:fill="FFFFFF"/>
          <w14:textFill>
            <w14:solidFill>
              <w14:schemeClr w14:val="tx1"/>
            </w14:solidFill>
          </w14:textFill>
        </w:rPr>
        <w:t>强制免疫密度达到90%以上，口蹄疫、高致病性禽流感、小反刍兽疫免疫抗体合格率常年保持70%以上；依法对重大动物疫情处置率为100%；确保全区不发生区域性重大动物疫情。</w:t>
      </w:r>
    </w:p>
    <w:p>
      <w:pPr>
        <w:spacing w:line="600" w:lineRule="exact"/>
        <w:ind w:firstLine="640" w:firstLineChars="200"/>
        <w:rPr>
          <w:rFonts w:eastAsia="仿宋_GB2312"/>
          <w:sz w:val="32"/>
          <w:szCs w:val="32"/>
        </w:rPr>
      </w:pPr>
      <w:r>
        <w:rPr>
          <w:rFonts w:eastAsia="仿宋_GB2312"/>
          <w:sz w:val="32"/>
          <w:szCs w:val="32"/>
        </w:rPr>
        <w:t>本项目总投资</w:t>
      </w:r>
      <w:r>
        <w:rPr>
          <w:rFonts w:hint="eastAsia" w:eastAsia="仿宋_GB2312"/>
          <w:sz w:val="32"/>
          <w:szCs w:val="32"/>
        </w:rPr>
        <w:t>200</w:t>
      </w:r>
      <w:r>
        <w:rPr>
          <w:rFonts w:eastAsia="仿宋_GB2312"/>
          <w:sz w:val="32"/>
          <w:szCs w:val="32"/>
        </w:rPr>
        <w:t>万元，其中：财政本级资金</w:t>
      </w:r>
      <w:r>
        <w:rPr>
          <w:rFonts w:hint="eastAsia" w:eastAsia="仿宋_GB2312"/>
          <w:sz w:val="32"/>
          <w:szCs w:val="32"/>
        </w:rPr>
        <w:t>160</w:t>
      </w:r>
      <w:r>
        <w:rPr>
          <w:rFonts w:eastAsia="仿宋_GB2312"/>
          <w:sz w:val="32"/>
          <w:szCs w:val="32"/>
        </w:rPr>
        <w:t>万元</w:t>
      </w:r>
      <w:r>
        <w:rPr>
          <w:rFonts w:hint="eastAsia" w:eastAsia="仿宋_GB2312"/>
          <w:sz w:val="32"/>
          <w:szCs w:val="32"/>
        </w:rPr>
        <w:t>，其他资金</w:t>
      </w:r>
      <w:r>
        <w:rPr>
          <w:rFonts w:eastAsia="仿宋_GB2312"/>
          <w:sz w:val="32"/>
          <w:szCs w:val="32"/>
        </w:rPr>
        <w:t>40</w:t>
      </w:r>
      <w:r>
        <w:rPr>
          <w:rFonts w:hint="eastAsia" w:eastAsia="仿宋_GB2312"/>
          <w:sz w:val="32"/>
          <w:szCs w:val="32"/>
        </w:rPr>
        <w:t>万元</w:t>
      </w:r>
      <w:r>
        <w:rPr>
          <w:rFonts w:eastAsia="仿宋_GB2312"/>
          <w:sz w:val="32"/>
          <w:szCs w:val="32"/>
        </w:rPr>
        <w:t>。项目实际支出</w:t>
      </w:r>
      <w:r>
        <w:rPr>
          <w:rFonts w:hint="eastAsia" w:eastAsia="仿宋_GB2312"/>
          <w:sz w:val="32"/>
          <w:szCs w:val="32"/>
        </w:rPr>
        <w:t>160</w:t>
      </w:r>
      <w:r>
        <w:rPr>
          <w:rFonts w:eastAsia="仿宋_GB2312"/>
          <w:sz w:val="32"/>
          <w:szCs w:val="32"/>
        </w:rPr>
        <w:t>万元，支出率为</w:t>
      </w:r>
      <w:r>
        <w:rPr>
          <w:rFonts w:hint="eastAsia" w:eastAsia="仿宋_GB2312"/>
          <w:sz w:val="32"/>
          <w:szCs w:val="32"/>
        </w:rPr>
        <w:t>80</w:t>
      </w:r>
      <w:r>
        <w:rPr>
          <w:rFonts w:eastAsia="仿宋_GB2312"/>
          <w:sz w:val="32"/>
          <w:szCs w:val="32"/>
        </w:rPr>
        <w:t>%。</w:t>
      </w:r>
    </w:p>
    <w:p>
      <w:pPr>
        <w:spacing w:line="600" w:lineRule="exact"/>
        <w:ind w:firstLine="643" w:firstLineChars="200"/>
        <w:rPr>
          <w:rFonts w:eastAsia="仿宋_GB2312"/>
          <w:b/>
          <w:bCs/>
          <w:sz w:val="32"/>
          <w:szCs w:val="32"/>
        </w:rPr>
      </w:pPr>
      <w:r>
        <w:rPr>
          <w:rFonts w:eastAsia="仿宋_GB2312"/>
          <w:b/>
          <w:bCs/>
          <w:sz w:val="32"/>
          <w:szCs w:val="32"/>
        </w:rPr>
        <w:t>3、资金投入和使用情况</w:t>
      </w:r>
    </w:p>
    <w:p>
      <w:pPr>
        <w:spacing w:line="600" w:lineRule="exact"/>
        <w:ind w:firstLine="640" w:firstLineChars="200"/>
        <w:rPr>
          <w:rFonts w:eastAsia="仿宋_GB2312"/>
          <w:sz w:val="20"/>
          <w:szCs w:val="20"/>
        </w:rPr>
      </w:pPr>
      <w:r>
        <w:rPr>
          <w:rFonts w:eastAsia="仿宋_GB2312"/>
          <w:sz w:val="32"/>
          <w:szCs w:val="32"/>
        </w:rPr>
        <w:t>（1）资金安排</w:t>
      </w:r>
    </w:p>
    <w:p>
      <w:pPr>
        <w:spacing w:line="600" w:lineRule="exact"/>
        <w:ind w:firstLine="640" w:firstLineChars="200"/>
        <w:rPr>
          <w:rFonts w:eastAsia="仿宋_GB2312"/>
          <w:sz w:val="32"/>
          <w:szCs w:val="32"/>
        </w:rPr>
      </w:pPr>
      <w:r>
        <w:rPr>
          <w:rFonts w:eastAsia="仿宋_GB2312"/>
          <w:sz w:val="32"/>
          <w:szCs w:val="32"/>
        </w:rPr>
        <w:t>项目总投资</w:t>
      </w:r>
      <w:r>
        <w:rPr>
          <w:rFonts w:hint="eastAsia" w:eastAsia="仿宋_GB2312"/>
          <w:sz w:val="32"/>
          <w:szCs w:val="32"/>
        </w:rPr>
        <w:t>200</w:t>
      </w:r>
      <w:r>
        <w:rPr>
          <w:rFonts w:eastAsia="仿宋_GB2312"/>
          <w:sz w:val="32"/>
          <w:szCs w:val="32"/>
        </w:rPr>
        <w:t>万元，按照单位财务制度等相关规定，资金支出符合</w:t>
      </w:r>
      <w:r>
        <w:rPr>
          <w:rFonts w:hint="eastAsia" w:eastAsia="仿宋_GB2312"/>
          <w:sz w:val="32"/>
          <w:szCs w:val="32"/>
        </w:rPr>
        <w:t>自治区动物防疫等补助资金（兽医局重大疫病指挥部等工作补助经费及动物疫病综合防控经费）</w:t>
      </w:r>
      <w:r>
        <w:rPr>
          <w:rFonts w:eastAsia="仿宋_GB2312"/>
          <w:sz w:val="32"/>
          <w:szCs w:val="32"/>
        </w:rPr>
        <w:t>专项资金费用范围，做到了专款专用。在项目资金拨付和使用过程中，为确保项目资金的安全性，提高项目资金使用效率，严格遵循</w:t>
      </w:r>
      <w:r>
        <w:rPr>
          <w:rFonts w:hint="eastAsia" w:eastAsia="仿宋_GB2312"/>
          <w:sz w:val="32"/>
          <w:szCs w:val="32"/>
        </w:rPr>
        <w:t>自治区动物防疫等补助资金（兽医局重大疫病指挥部等工作补助经费及动物疫病综合防控经费）</w:t>
      </w:r>
      <w:r>
        <w:rPr>
          <w:rFonts w:eastAsia="仿宋_GB2312"/>
          <w:sz w:val="32"/>
          <w:szCs w:val="32"/>
        </w:rPr>
        <w:t>资金的拨付程序，认真审核项目实施各阶段的相关材料和手续，根据项目实施进展情况拨付资金。</w:t>
      </w:r>
    </w:p>
    <w:p>
      <w:pPr>
        <w:spacing w:line="60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pPr>
        <w:pStyle w:val="21"/>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项目预算资金来源于</w:t>
      </w:r>
      <w:r>
        <w:rPr>
          <w:rFonts w:hint="eastAsia" w:ascii="Times New Roman" w:hAnsi="Times New Roman" w:eastAsia="仿宋_GB2312"/>
          <w:b w:val="0"/>
          <w:bCs w:val="0"/>
          <w:kern w:val="2"/>
        </w:rPr>
        <w:t>一般财政拨款资金</w:t>
      </w:r>
      <w:r>
        <w:rPr>
          <w:rFonts w:ascii="Times New Roman" w:hAnsi="Times New Roman" w:eastAsia="仿宋_GB2312"/>
          <w:b w:val="0"/>
          <w:bCs w:val="0"/>
          <w:kern w:val="2"/>
        </w:rPr>
        <w:t>，项目资金到位</w:t>
      </w:r>
      <w:r>
        <w:rPr>
          <w:rFonts w:hint="eastAsia" w:ascii="Times New Roman" w:hAnsi="Times New Roman" w:eastAsia="仿宋_GB2312"/>
          <w:b w:val="0"/>
          <w:bCs w:val="0"/>
          <w:kern w:val="2"/>
        </w:rPr>
        <w:t>200</w:t>
      </w:r>
      <w:r>
        <w:rPr>
          <w:rFonts w:ascii="Times New Roman" w:hAnsi="Times New Roman" w:eastAsia="仿宋_GB2312"/>
          <w:b w:val="0"/>
          <w:bCs w:val="0"/>
          <w:kern w:val="2"/>
        </w:rPr>
        <w:t>万元，</w:t>
      </w:r>
      <w:r>
        <w:rPr>
          <w:rFonts w:hint="eastAsia" w:ascii="Times New Roman" w:hAnsi="Times New Roman" w:eastAsia="仿宋_GB2312"/>
          <w:b w:val="0"/>
          <w:bCs w:val="0"/>
          <w:kern w:val="2"/>
        </w:rPr>
        <w:t>全年执行160万元，预算执行率为80</w:t>
      </w:r>
      <w:r>
        <w:rPr>
          <w:rFonts w:ascii="Times New Roman" w:hAnsi="Times New Roman" w:eastAsia="仿宋_GB2312"/>
          <w:b w:val="0"/>
          <w:bCs w:val="0"/>
          <w:kern w:val="2"/>
        </w:rPr>
        <w:t>%,</w:t>
      </w:r>
      <w:r>
        <w:rPr>
          <w:rFonts w:hint="eastAsia" w:ascii="Times New Roman" w:hAnsi="Times New Roman" w:eastAsia="仿宋_GB2312"/>
          <w:b w:val="0"/>
          <w:bCs w:val="0"/>
          <w:kern w:val="2"/>
        </w:rPr>
        <w:t>主要</w:t>
      </w:r>
      <w:r>
        <w:rPr>
          <w:rFonts w:ascii="Times New Roman" w:hAnsi="Times New Roman" w:eastAsia="仿宋_GB2312"/>
          <w:b w:val="0"/>
          <w:bCs w:val="0"/>
          <w:kern w:val="2"/>
        </w:rPr>
        <w:t>用于支付项目实施进程中的各项费用。</w:t>
      </w:r>
    </w:p>
    <w:p>
      <w:pPr>
        <w:spacing w:line="600" w:lineRule="exact"/>
        <w:ind w:firstLine="643" w:firstLineChars="200"/>
        <w:rPr>
          <w:rFonts w:eastAsia="楷体_GB2312"/>
          <w:b/>
          <w:bCs/>
          <w:sz w:val="32"/>
          <w:szCs w:val="32"/>
        </w:rPr>
      </w:pPr>
      <w:r>
        <w:rPr>
          <w:rFonts w:eastAsia="楷体_GB2312"/>
          <w:b/>
          <w:bCs/>
          <w:sz w:val="32"/>
          <w:szCs w:val="32"/>
        </w:rPr>
        <w:t>（二）项目绩效目标</w:t>
      </w:r>
    </w:p>
    <w:p>
      <w:pPr>
        <w:spacing w:line="600" w:lineRule="exact"/>
        <w:ind w:firstLine="640" w:firstLineChars="200"/>
        <w:rPr>
          <w:rFonts w:eastAsia="仿宋_GB2312"/>
          <w:sz w:val="32"/>
          <w:szCs w:val="32"/>
        </w:rPr>
      </w:pPr>
      <w:r>
        <w:rPr>
          <w:rFonts w:eastAsia="仿宋_GB2312"/>
          <w:sz w:val="32"/>
          <w:szCs w:val="32"/>
        </w:rPr>
        <w:t>1、总体目标</w:t>
      </w:r>
    </w:p>
    <w:p>
      <w:pPr>
        <w:shd w:val="clear" w:color="auto"/>
        <w:spacing w:line="600" w:lineRule="exact"/>
        <w:ind w:firstLine="640" w:firstLineChars="200"/>
        <w:rPr>
          <w:rFonts w:eastAsia="仿宋_GB2312"/>
          <w:sz w:val="32"/>
          <w:szCs w:val="32"/>
        </w:rPr>
      </w:pPr>
      <w:r>
        <w:rPr>
          <w:rFonts w:hint="eastAsia" w:eastAsia="仿宋_GB2312"/>
          <w:sz w:val="32"/>
          <w:szCs w:val="32"/>
        </w:rPr>
        <w:t>为加强地县乡村四级动物疫病防控网络建设，启动实施动物疫病防控能力提升工程，完善</w:t>
      </w:r>
      <w:r>
        <w:rPr>
          <w:rFonts w:hint="eastAsia" w:eastAsia="仿宋_GB2312"/>
          <w:sz w:val="32"/>
          <w:szCs w:val="32"/>
          <w:lang w:eastAsia="zh-CN"/>
        </w:rPr>
        <w:t>突发重大动物疫情</w:t>
      </w:r>
      <w:r>
        <w:rPr>
          <w:rFonts w:hint="eastAsia" w:eastAsia="仿宋_GB2312"/>
          <w:sz w:val="32"/>
          <w:szCs w:val="32"/>
        </w:rPr>
        <w:t>应急预案，提高动物疫病监测预警预报能力，提高统筹协调推进重大动物疫病、外来疫病、主要人畜共患病、常见多发动物疫病防控能力，提高突发动物疫情应急处置能力。2022年制定以下目标：1.强制免疫密度达到90%以上，口蹄疫、高致病性禽流感、小反刍兽疫免疫抗体合格率常年保持70%以上；2.依法对重大动物疫情处置率为100%；3.确保全区不发生区域性重大动物疫情。4.培训费60万元，业务经费100万元，畜牧兽医实训工作经费40万元。</w:t>
      </w:r>
    </w:p>
    <w:p>
      <w:pPr>
        <w:spacing w:line="600" w:lineRule="exact"/>
        <w:ind w:firstLine="640" w:firstLineChars="200"/>
      </w:pPr>
      <w:r>
        <w:rPr>
          <w:rFonts w:eastAsia="仿宋_GB2312"/>
          <w:sz w:val="32"/>
          <w:szCs w:val="32"/>
        </w:rPr>
        <w:t>2、阶段性目标</w:t>
      </w:r>
    </w:p>
    <w:p>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pPr>
        <w:spacing w:line="60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pPr>
        <w:spacing w:line="600" w:lineRule="exact"/>
        <w:ind w:firstLine="640" w:firstLineChars="200"/>
        <w:rPr>
          <w:rFonts w:eastAsia="黑体"/>
          <w:sz w:val="32"/>
          <w:szCs w:val="32"/>
        </w:rPr>
      </w:pPr>
      <w:r>
        <w:rPr>
          <w:rFonts w:eastAsia="黑体"/>
          <w:sz w:val="32"/>
          <w:szCs w:val="32"/>
        </w:rPr>
        <w:t>二、绩效评价工作开展情况</w:t>
      </w:r>
    </w:p>
    <w:p>
      <w:pPr>
        <w:spacing w:line="600" w:lineRule="exact"/>
        <w:ind w:firstLine="643" w:firstLineChars="200"/>
        <w:rPr>
          <w:rFonts w:eastAsia="楷体_GB2312"/>
          <w:b/>
          <w:bCs/>
          <w:sz w:val="32"/>
          <w:szCs w:val="32"/>
        </w:rPr>
      </w:pPr>
      <w:r>
        <w:rPr>
          <w:rFonts w:eastAsia="楷体_GB2312"/>
          <w:b/>
          <w:bCs/>
          <w:sz w:val="32"/>
          <w:szCs w:val="32"/>
        </w:rPr>
        <w:t>（一）绩效评价目的、对象和范围</w:t>
      </w:r>
    </w:p>
    <w:p>
      <w:pPr>
        <w:pStyle w:val="21"/>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60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600" w:lineRule="exact"/>
        <w:ind w:firstLine="640" w:firstLineChars="200"/>
        <w:rPr>
          <w:rFonts w:eastAsia="仿宋_GB2312"/>
          <w:sz w:val="32"/>
          <w:szCs w:val="32"/>
        </w:rPr>
      </w:pPr>
      <w:r>
        <w:rPr>
          <w:rFonts w:eastAsia="仿宋_GB2312"/>
          <w:sz w:val="32"/>
          <w:szCs w:val="32"/>
        </w:rPr>
        <w:t>（2）项目绩效管理财政支出运行提供及时、有效的信息。</w:t>
      </w:r>
    </w:p>
    <w:p>
      <w:pPr>
        <w:spacing w:line="600" w:lineRule="exact"/>
        <w:ind w:firstLine="640" w:firstLineChars="20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pPr>
        <w:pStyle w:val="21"/>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自治区动物防疫等补助资金（兽医局重大疫病指挥部等工作补助经费及动物疫病综合防控经费）项目所包含的全部项目建设内容。</w:t>
      </w:r>
    </w:p>
    <w:p>
      <w:pPr>
        <w:pStyle w:val="21"/>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自治区动物防疫等补助资金（兽医局重大疫病指挥部等工作补助经费及动物疫病综合防控经费）项目的决策、过程、产出、效益等。</w:t>
      </w:r>
    </w:p>
    <w:p>
      <w:pPr>
        <w:spacing w:line="600" w:lineRule="exact"/>
        <w:ind w:firstLine="643" w:firstLineChars="200"/>
      </w:pPr>
      <w:r>
        <w:rPr>
          <w:rFonts w:eastAsia="楷体_GB2312"/>
          <w:b/>
          <w:bCs/>
          <w:sz w:val="32"/>
          <w:szCs w:val="32"/>
        </w:rPr>
        <w:t>（二）绩效评价原则、评价指标体系（详情见表1）、评价方法、评价标准。</w:t>
      </w:r>
    </w:p>
    <w:p>
      <w:pPr>
        <w:pStyle w:val="21"/>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1"/>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1"/>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1"/>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1"/>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21"/>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60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eastAsia="仿宋_GB2312"/>
          <w:color w:val="000000"/>
          <w:spacing w:val="17"/>
          <w:sz w:val="32"/>
          <w:szCs w:val="32"/>
        </w:rPr>
        <w:t>20</w:t>
      </w:r>
      <w:r>
        <w:rPr>
          <w:rFonts w:eastAsia="仿宋_GB2312"/>
          <w:color w:val="000000"/>
          <w:spacing w:val="17"/>
          <w:sz w:val="32"/>
          <w:szCs w:val="32"/>
        </w:rPr>
        <w:t>分，项目过程权重为</w:t>
      </w:r>
      <w:r>
        <w:rPr>
          <w:rFonts w:hint="eastAsia" w:eastAsia="仿宋_GB2312"/>
          <w:color w:val="000000"/>
          <w:spacing w:val="17"/>
          <w:sz w:val="32"/>
          <w:szCs w:val="32"/>
        </w:rPr>
        <w:t>20</w:t>
      </w:r>
      <w:r>
        <w:rPr>
          <w:rFonts w:eastAsia="仿宋_GB2312"/>
          <w:color w:val="000000"/>
          <w:spacing w:val="17"/>
          <w:sz w:val="32"/>
          <w:szCs w:val="32"/>
        </w:rPr>
        <w:t>分，项目产出权重为</w:t>
      </w:r>
      <w:r>
        <w:rPr>
          <w:rFonts w:hint="eastAsia" w:eastAsia="仿宋_GB2312"/>
          <w:color w:val="000000"/>
          <w:spacing w:val="17"/>
          <w:sz w:val="32"/>
          <w:szCs w:val="32"/>
        </w:rPr>
        <w:t>4</w:t>
      </w:r>
      <w:r>
        <w:rPr>
          <w:rFonts w:eastAsia="仿宋_GB2312"/>
          <w:color w:val="000000"/>
          <w:spacing w:val="17"/>
          <w:sz w:val="32"/>
          <w:szCs w:val="32"/>
        </w:rPr>
        <w:t>0分，项目效益权重为</w:t>
      </w:r>
      <w:r>
        <w:rPr>
          <w:rFonts w:hint="eastAsia" w:eastAsia="仿宋_GB2312"/>
          <w:color w:val="000000"/>
          <w:spacing w:val="17"/>
          <w:sz w:val="32"/>
          <w:szCs w:val="32"/>
        </w:rPr>
        <w:t>2</w:t>
      </w:r>
      <w:r>
        <w:rPr>
          <w:rFonts w:eastAsia="仿宋_GB2312"/>
          <w:color w:val="000000"/>
          <w:spacing w:val="17"/>
          <w:sz w:val="32"/>
          <w:szCs w:val="32"/>
        </w:rPr>
        <w:t>0分。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1"/>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1"/>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21"/>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21"/>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pPr>
        <w:pStyle w:val="21"/>
        <w:numPr>
          <w:ilvl w:val="0"/>
          <w:numId w:val="2"/>
        </w:numPr>
        <w:spacing w:before="0" w:after="0" w:line="60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numPr>
          <w:ilvl w:val="0"/>
          <w:numId w:val="3"/>
        </w:numPr>
        <w:spacing w:line="60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3"/>
        </w:numPr>
        <w:spacing w:line="60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3"/>
        </w:numPr>
        <w:spacing w:line="60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4"/>
        </w:numPr>
        <w:spacing w:line="600" w:lineRule="exact"/>
        <w:ind w:firstLine="640" w:firstLineChars="200"/>
        <w:rPr>
          <w:rFonts w:eastAsia="黑体"/>
          <w:sz w:val="32"/>
          <w:szCs w:val="32"/>
        </w:rPr>
      </w:pPr>
      <w:r>
        <w:rPr>
          <w:rFonts w:eastAsia="黑体"/>
          <w:sz w:val="32"/>
          <w:szCs w:val="32"/>
        </w:rPr>
        <w:t>综合评价情况及评价结论（附相关评分表）</w:t>
      </w:r>
    </w:p>
    <w:p>
      <w:pPr>
        <w:pStyle w:val="21"/>
        <w:widowControl w:val="0"/>
        <w:spacing w:before="0" w:after="0" w:line="600" w:lineRule="exact"/>
        <w:ind w:firstLine="640" w:firstLineChars="200"/>
        <w:jc w:val="both"/>
        <w:outlineLvl w:val="9"/>
        <w:rPr>
          <w:rFonts w:ascii="Times New Roman" w:hAnsi="Times New Roman" w:eastAsia="仿宋_GB2312"/>
          <w:sz w:val="30"/>
          <w:szCs w:val="30"/>
        </w:rPr>
      </w:pPr>
      <w:r>
        <w:rPr>
          <w:rFonts w:ascii="Times New Roman" w:hAnsi="Times New Roman" w:eastAsia="仿宋_GB2312"/>
          <w:b w:val="0"/>
          <w:bCs w:val="0"/>
        </w:rPr>
        <w:t>对</w:t>
      </w:r>
      <w:r>
        <w:rPr>
          <w:rFonts w:hint="eastAsia" w:ascii="Times New Roman" w:hAnsi="Times New Roman" w:eastAsia="仿宋_GB2312"/>
          <w:b w:val="0"/>
          <w:bCs w:val="0"/>
        </w:rPr>
        <w:t>自治区动物防疫等补助资金（兽医局重大疫病指挥部等工作补助经费及动物疫病综合防控经费）</w:t>
      </w:r>
      <w:r>
        <w:rPr>
          <w:rFonts w:ascii="Times New Roman" w:hAnsi="Times New Roman" w:eastAsia="仿宋_GB2312"/>
          <w:b w:val="0"/>
          <w:bCs w:val="0"/>
        </w:rPr>
        <w:t>项目进行客观评价，最终评分结果：总得分为99.2</w:t>
      </w:r>
      <w:r>
        <w:rPr>
          <w:rFonts w:hint="eastAsia" w:ascii="Times New Roman" w:hAnsi="Times New Roman" w:eastAsia="仿宋_GB2312"/>
          <w:b w:val="0"/>
          <w:bCs w:val="0"/>
        </w:rPr>
        <w:t>分</w:t>
      </w:r>
      <w:r>
        <w:rPr>
          <w:rFonts w:ascii="Times New Roman" w:hAnsi="Times New Roman" w:eastAsia="仿宋_GB2312"/>
          <w:b w:val="0"/>
          <w:bCs w:val="0"/>
        </w:rPr>
        <w:t>，属于“优”。其中，项目决策类指标权重为</w:t>
      </w:r>
      <w:r>
        <w:rPr>
          <w:rFonts w:hint="eastAsia" w:ascii="Times New Roman" w:hAnsi="Times New Roman" w:eastAsia="仿宋_GB2312"/>
          <w:b w:val="0"/>
          <w:bCs w:val="0"/>
        </w:rPr>
        <w:t>20</w:t>
      </w:r>
      <w:r>
        <w:rPr>
          <w:rFonts w:ascii="Times New Roman" w:hAnsi="Times New Roman" w:eastAsia="仿宋_GB2312"/>
          <w:b w:val="0"/>
          <w:bCs w:val="0"/>
        </w:rPr>
        <w:t xml:space="preserve">分，得分为 </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%。项目过程类指标权重为</w:t>
      </w:r>
      <w:r>
        <w:rPr>
          <w:rFonts w:hint="eastAsia" w:ascii="Times New Roman" w:hAnsi="Times New Roman" w:eastAsia="仿宋_GB2312"/>
          <w:b w:val="0"/>
          <w:bCs w:val="0"/>
        </w:rPr>
        <w:t>20</w:t>
      </w:r>
      <w:r>
        <w:rPr>
          <w:rFonts w:ascii="Times New Roman" w:hAnsi="Times New Roman" w:eastAsia="仿宋_GB2312"/>
          <w:b w:val="0"/>
          <w:bCs w:val="0"/>
        </w:rPr>
        <w:t>分，得分为</w:t>
      </w:r>
      <w:r>
        <w:rPr>
          <w:rFonts w:hint="eastAsia" w:ascii="Times New Roman" w:hAnsi="Times New Roman" w:eastAsia="仿宋_GB2312"/>
          <w:b w:val="0"/>
          <w:bCs w:val="0"/>
        </w:rPr>
        <w:t>19.2</w:t>
      </w:r>
      <w:r>
        <w:rPr>
          <w:rFonts w:ascii="Times New Roman" w:hAnsi="Times New Roman" w:eastAsia="仿宋_GB2312"/>
          <w:b w:val="0"/>
          <w:bCs w:val="0"/>
        </w:rPr>
        <w:t xml:space="preserve">分，得分率为 </w:t>
      </w:r>
      <w:r>
        <w:rPr>
          <w:rFonts w:hint="eastAsia" w:ascii="Times New Roman" w:hAnsi="Times New Roman" w:eastAsia="仿宋_GB2312"/>
          <w:b w:val="0"/>
          <w:bCs w:val="0"/>
        </w:rPr>
        <w:t>96</w:t>
      </w:r>
      <w:r>
        <w:rPr>
          <w:rFonts w:ascii="Times New Roman" w:hAnsi="Times New Roman" w:eastAsia="仿宋_GB2312"/>
          <w:b w:val="0"/>
          <w:bCs w:val="0"/>
        </w:rPr>
        <w:t>%。项目产出类指标权重为</w:t>
      </w:r>
      <w:r>
        <w:rPr>
          <w:rFonts w:hint="eastAsia" w:ascii="Times New Roman" w:hAnsi="Times New Roman" w:eastAsia="仿宋_GB2312"/>
          <w:b w:val="0"/>
          <w:bCs w:val="0"/>
        </w:rPr>
        <w:t>40</w:t>
      </w:r>
      <w:r>
        <w:rPr>
          <w:rFonts w:ascii="Times New Roman" w:hAnsi="Times New Roman" w:eastAsia="仿宋_GB2312"/>
          <w:b w:val="0"/>
          <w:bCs w:val="0"/>
        </w:rPr>
        <w:t>分，得分为</w:t>
      </w:r>
      <w:r>
        <w:rPr>
          <w:rFonts w:hint="eastAsia" w:ascii="Times New Roman" w:hAnsi="Times New Roman" w:eastAsia="仿宋_GB2312"/>
          <w:b w:val="0"/>
          <w:bCs w:val="0"/>
        </w:rPr>
        <w:t>40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%。项目效益类指标权重为</w:t>
      </w:r>
      <w:r>
        <w:rPr>
          <w:rFonts w:hint="eastAsia" w:ascii="Times New Roman" w:hAnsi="Times New Roman" w:eastAsia="仿宋_GB2312"/>
          <w:b w:val="0"/>
          <w:bCs w:val="0"/>
        </w:rPr>
        <w:t>20</w:t>
      </w:r>
      <w:r>
        <w:rPr>
          <w:rFonts w:ascii="Times New Roman" w:hAnsi="Times New Roman" w:eastAsia="仿宋_GB2312"/>
          <w:b w:val="0"/>
          <w:bCs w:val="0"/>
        </w:rPr>
        <w:t>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w:t>
      </w:r>
    </w:p>
    <w:p>
      <w:pPr>
        <w:pStyle w:val="21"/>
      </w:pPr>
      <w:r>
        <w:rPr>
          <w:rFonts w:ascii="Times New Roman" w:hAnsi="Times New Roman" w:eastAsia="仿宋_GB2312"/>
          <w:sz w:val="30"/>
          <w:szCs w:val="30"/>
        </w:rPr>
        <w:t>表1综合评分表</w:t>
      </w:r>
    </w:p>
    <w:p/>
    <w:tbl>
      <w:tblPr>
        <w:tblStyle w:val="25"/>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80</w:t>
            </w:r>
            <w:r>
              <w:rPr>
                <w:color w:val="000000"/>
                <w:kern w:val="0"/>
                <w:sz w:val="22"/>
                <w:szCs w:val="22"/>
              </w:rPr>
              <w:t>%</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80%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w:t>
            </w:r>
            <w:r>
              <w:rPr>
                <w:rFonts w:hint="eastAsia"/>
                <w:color w:val="000000"/>
                <w:kern w:val="0"/>
                <w:sz w:val="22"/>
                <w:szCs w:val="22"/>
              </w:rPr>
              <w:t>90</w:t>
            </w:r>
            <w:r>
              <w:rPr>
                <w:color w:val="000000"/>
                <w:kern w:val="0"/>
                <w:sz w:val="22"/>
                <w:szCs w:val="22"/>
              </w:rPr>
              <w:t>%</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90</w:t>
            </w:r>
            <w:r>
              <w:rPr>
                <w:color w:val="000000"/>
                <w:kern w:val="0"/>
                <w:sz w:val="22"/>
                <w:szCs w:val="22"/>
              </w:rPr>
              <w:t>%</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5</w:t>
            </w:r>
          </w:p>
        </w:tc>
      </w:tr>
    </w:tbl>
    <w:p>
      <w:pPr>
        <w:spacing w:line="600" w:lineRule="exact"/>
        <w:ind w:firstLine="320" w:firstLineChars="100"/>
        <w:rPr>
          <w:rFonts w:eastAsia="黑体"/>
          <w:sz w:val="32"/>
          <w:szCs w:val="32"/>
        </w:rPr>
      </w:pPr>
      <w:r>
        <w:rPr>
          <w:rFonts w:eastAsia="黑体"/>
          <w:sz w:val="32"/>
          <w:szCs w:val="32"/>
        </w:rPr>
        <w:t>四、绩效评价指标分析</w:t>
      </w:r>
    </w:p>
    <w:p>
      <w:pPr>
        <w:pStyle w:val="21"/>
        <w:ind w:firstLine="321" w:firstLineChars="1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21"/>
        <w:ind w:firstLine="321" w:firstLineChars="100"/>
        <w:jc w:val="both"/>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21"/>
        <w:ind w:firstLine="321" w:firstLineChars="100"/>
        <w:jc w:val="both"/>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数量指标方面：</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a.动物防疫督导检查工作范围指标，指标值为14个地州，实际完成值为14个地州，完成率100%，偏差率0%。</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b.动物防疫培训人数指标，指标值为≥300人次，实际完成值为300人次，完成率100%，偏差率0%。</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c.开展实操实训畜牧兽医实训基地个数指标，指标值为2个，实际完成值2个，完成率100%，偏差率0%。</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d.培训次数指标，指标值为≥3次，实际完成值为3次，完成率100%，偏差率0%</w:t>
      </w:r>
      <w:r>
        <w:rPr>
          <w:rStyle w:val="53"/>
          <w:rFonts w:hint="eastAsia" w:ascii="Times New Roman" w:hAnsi="Times New Roman" w:cs="Times New Roman"/>
          <w:color w:val="auto"/>
        </w:rPr>
        <w:tab/>
      </w:r>
      <w:r>
        <w:rPr>
          <w:rStyle w:val="53"/>
          <w:rFonts w:hint="eastAsia" w:ascii="Times New Roman" w:hAnsi="Times New Roman" w:cs="Times New Roman"/>
          <w:color w:val="auto"/>
        </w:rPr>
        <w:t>。</w:t>
      </w:r>
    </w:p>
    <w:p>
      <w:pPr>
        <w:spacing w:line="600" w:lineRule="exact"/>
        <w:ind w:firstLine="640" w:firstLineChars="200"/>
      </w:pPr>
      <w:r>
        <w:rPr>
          <w:rStyle w:val="53"/>
          <w:rFonts w:hint="eastAsia" w:ascii="Times New Roman" w:hAnsi="Times New Roman" w:cs="Times New Roman"/>
          <w:color w:val="auto"/>
        </w:rPr>
        <w:t>e.培训天数指标，指标值为≥15天，实际完成值为15个，完成率100%，偏差率0%。</w:t>
      </w:r>
    </w:p>
    <w:p>
      <w:pPr>
        <w:spacing w:line="600" w:lineRule="exact"/>
        <w:ind w:firstLine="640" w:firstLineChars="200"/>
        <w:rPr>
          <w:rStyle w:val="53"/>
          <w:rFonts w:ascii="Times New Roman" w:hAnsi="Times New Roman" w:cs="Times New Roman"/>
          <w:color w:val="auto"/>
        </w:rPr>
      </w:pPr>
      <w:r>
        <w:rPr>
          <w:rStyle w:val="53"/>
          <w:rFonts w:ascii="Times New Roman" w:hAnsi="Times New Roman" w:cs="Times New Roman"/>
          <w:color w:val="auto"/>
        </w:rPr>
        <w:t>质量指标方面：</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a.重大疫情处置率指标，指标值为100%，实际完成值为100%，完成率100%，偏差率0%。</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b.强制免疫病种应免畜禽的免疫密度指标，指标值为≥90%，实际完成值为90%，完成率100%，偏差率0%。</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c.免疫抗体合格率指标，指标值为≥70%，实际完成值为70%，完成率100%，偏差率0%。</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d.培训出勤率指标，指标值为≥95%，实际完成值为95%，完成率100%，偏差率0%。</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成本指标方面：</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a.人均培训费指标，指标值为≤400元/天，实际完成值为400元/天，完成率100%，偏差率0%。</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b.业务工作经费指标，指标值为≤100万元，实际完成值为60万元，完成率60%，偏差率</w:t>
      </w:r>
      <w:r>
        <w:rPr>
          <w:rStyle w:val="53"/>
          <w:rFonts w:ascii="Times New Roman" w:hAnsi="Times New Roman" w:cs="Times New Roman"/>
          <w:color w:val="auto"/>
        </w:rPr>
        <w:t>40</w:t>
      </w:r>
      <w:r>
        <w:rPr>
          <w:rStyle w:val="53"/>
          <w:rFonts w:hint="eastAsia" w:ascii="Times New Roman" w:hAnsi="Times New Roman" w:cs="Times New Roman"/>
          <w:color w:val="auto"/>
        </w:rPr>
        <w:t>%。偏差原因是疫情停工导致部分业务未开展。</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c.畜牧兽医实训工作经费指标，指标值为≤40万元，实际完成值为40万元，完成率100%，偏差率0%。</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时效指标方面：</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a.培训按期完成率指标，指标值为≥98%，实际完成值为98%，完成率100%，偏差率0%。</w:t>
      </w:r>
    </w:p>
    <w:p>
      <w:pPr>
        <w:pStyle w:val="21"/>
        <w:ind w:firstLine="321" w:firstLineChars="100"/>
        <w:jc w:val="both"/>
        <w:rPr>
          <w:rFonts w:ascii="Times New Roman" w:hAnsi="Times New Roman" w:eastAsia="楷体_GB2312"/>
        </w:rPr>
      </w:pPr>
      <w:r>
        <w:rPr>
          <w:rFonts w:hint="eastAsia" w:ascii="Times New Roman" w:hAnsi="Times New Roman" w:eastAsia="楷体_GB2312"/>
        </w:rPr>
        <w:t>（四）</w:t>
      </w:r>
      <w:r>
        <w:rPr>
          <w:rFonts w:ascii="Times New Roman" w:hAnsi="Times New Roman" w:eastAsia="楷体_GB2312"/>
        </w:rPr>
        <w:t>效益情况</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社会效益指标方面：</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a.保障重大动物疫病防治工作正常有序开展指标，指标值为有效保障，实际完成值为有效保障，完成率100%，偏差率0%。</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生态效益指标方面：</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a.确保生猪养殖重点区域不发生大规模随意抛弃病死猪事件指标，指标值为有效确保，实际完成值为有效确保，完成率100%，偏差率0%。</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满意度指标方面：</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a.接受培训（实训）人员满意度指标，指标值为≥90%，实际完成值为90%，完成率100%，偏差率0%。</w:t>
      </w:r>
    </w:p>
    <w:p>
      <w:pPr>
        <w:spacing w:line="600" w:lineRule="exact"/>
        <w:ind w:firstLine="640" w:firstLineChars="200"/>
        <w:rPr>
          <w:rStyle w:val="53"/>
          <w:rFonts w:ascii="Times New Roman" w:hAnsi="Times New Roman" w:cs="Times New Roman"/>
          <w:color w:val="auto"/>
        </w:rPr>
      </w:pPr>
      <w:r>
        <w:rPr>
          <w:rStyle w:val="53"/>
          <w:rFonts w:hint="eastAsia" w:ascii="Times New Roman" w:hAnsi="Times New Roman" w:cs="Times New Roman"/>
          <w:color w:val="auto"/>
        </w:rPr>
        <w:t>b.农牧民等服务对象满意度指标，指标值为≥85%，实际完成值为85%，完成率100%，偏差率0%。</w:t>
      </w:r>
    </w:p>
    <w:p>
      <w:pPr>
        <w:spacing w:line="600" w:lineRule="exact"/>
        <w:ind w:firstLine="640" w:firstLineChars="200"/>
        <w:rPr>
          <w:rStyle w:val="53"/>
          <w:rFonts w:ascii="Times New Roman" w:hAnsi="Times New Roman" w:cs="Times New Roman"/>
          <w:color w:val="auto"/>
        </w:rPr>
      </w:pPr>
      <w:r>
        <w:rPr>
          <w:rFonts w:eastAsia="黑体"/>
          <w:sz w:val="32"/>
          <w:szCs w:val="32"/>
        </w:rPr>
        <w:t>五、主要经验及做法、存在的问题及原因分析</w:t>
      </w:r>
    </w:p>
    <w:p>
      <w:pPr>
        <w:spacing w:line="600" w:lineRule="exact"/>
        <w:ind w:firstLine="627" w:firstLineChars="200"/>
        <w:rPr>
          <w:rFonts w:eastAsia="楷体"/>
          <w:b/>
          <w:spacing w:val="-4"/>
          <w:sz w:val="32"/>
          <w:szCs w:val="32"/>
        </w:rPr>
      </w:pPr>
      <w:r>
        <w:rPr>
          <w:rFonts w:eastAsia="楷体"/>
          <w:b/>
          <w:spacing w:val="-4"/>
          <w:sz w:val="32"/>
          <w:szCs w:val="32"/>
        </w:rPr>
        <w:t>（一）主要经验及做法</w:t>
      </w:r>
    </w:p>
    <w:p>
      <w:pPr>
        <w:spacing w:line="60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1"/>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600" w:lineRule="exact"/>
        <w:ind w:firstLine="643" w:firstLineChars="200"/>
        <w:rPr>
          <w:rFonts w:eastAsia="楷体_GB2312"/>
          <w:b/>
          <w:bCs/>
          <w:sz w:val="32"/>
          <w:szCs w:val="32"/>
        </w:rPr>
      </w:pPr>
      <w:r>
        <w:rPr>
          <w:rFonts w:eastAsia="楷体_GB2312"/>
          <w:b/>
          <w:bCs/>
          <w:sz w:val="32"/>
          <w:szCs w:val="32"/>
        </w:rPr>
        <w:t>存在的问题及原因分析</w:t>
      </w:r>
    </w:p>
    <w:p>
      <w:pPr>
        <w:pStyle w:val="21"/>
        <w:shd w:val="clear" w:color="auto"/>
        <w:spacing w:before="0" w:after="0" w:line="600" w:lineRule="exact"/>
        <w:ind w:firstLine="640" w:firstLineChars="200"/>
        <w:jc w:val="both"/>
        <w:rPr>
          <w:rFonts w:ascii="Times New Roman" w:hAnsi="Times New Roman" w:eastAsia="仿宋_GB2312"/>
          <w:b w:val="0"/>
          <w:bCs w:val="0"/>
          <w:color w:val="auto"/>
          <w:kern w:val="2"/>
        </w:rPr>
      </w:pPr>
      <w:r>
        <w:rPr>
          <w:rFonts w:ascii="Times New Roman" w:hAnsi="Times New Roman" w:eastAsia="仿宋_GB2312"/>
          <w:b w:val="0"/>
          <w:bCs w:val="0"/>
          <w:color w:val="auto"/>
          <w:kern w:val="2"/>
        </w:rPr>
        <w:t>存在的问题</w:t>
      </w:r>
      <w:r>
        <w:rPr>
          <w:rFonts w:hint="eastAsia" w:ascii="Times New Roman" w:hAnsi="Times New Roman" w:eastAsia="仿宋_GB2312"/>
          <w:b w:val="0"/>
          <w:bCs w:val="0"/>
          <w:color w:val="auto"/>
          <w:kern w:val="2"/>
        </w:rPr>
        <w:t>及</w:t>
      </w:r>
      <w:r>
        <w:rPr>
          <w:rFonts w:ascii="Times New Roman" w:hAnsi="Times New Roman" w:eastAsia="仿宋_GB2312"/>
          <w:b w:val="0"/>
          <w:bCs w:val="0"/>
          <w:color w:val="auto"/>
          <w:kern w:val="2"/>
        </w:rPr>
        <w:t>原因分析</w:t>
      </w:r>
      <w:r>
        <w:rPr>
          <w:rFonts w:hint="eastAsia" w:ascii="Times New Roman" w:hAnsi="Times New Roman" w:eastAsia="仿宋_GB2312"/>
          <w:b w:val="0"/>
          <w:bCs w:val="0"/>
          <w:color w:val="auto"/>
          <w:kern w:val="2"/>
        </w:rPr>
        <w:t>：通过绩效自评发现</w:t>
      </w:r>
      <w:r>
        <w:rPr>
          <w:rFonts w:hint="default" w:ascii="Times New Roman PS Pro" w:hAnsi="Times New Roman PS Pro" w:eastAsia="仿宋_GB2312" w:cs="Times New Roman PS Pro"/>
          <w:b w:val="0"/>
          <w:bCs w:val="0"/>
          <w:color w:val="auto"/>
          <w:kern w:val="2"/>
        </w:rPr>
        <w:t>2022年预算管理存在的主要问题为：</w:t>
      </w:r>
      <w:r>
        <w:rPr>
          <w:rFonts w:hint="default" w:ascii="Times New Roman PS Pro" w:hAnsi="Times New Roman PS Pro" w:eastAsia="仿宋_GB2312" w:cs="Times New Roman PS Pro"/>
          <w:b w:val="0"/>
          <w:bCs w:val="0"/>
          <w:color w:val="auto"/>
          <w:kern w:val="2"/>
          <w:lang w:eastAsia="zh-CN"/>
        </w:rPr>
        <w:t>受新冠疫情防控静默管理</w:t>
      </w:r>
      <w:r>
        <w:rPr>
          <w:rFonts w:hint="eastAsia" w:ascii="Times New Roman PS Pro" w:hAnsi="Times New Roman PS Pro" w:eastAsia="仿宋_GB2312" w:cs="Times New Roman PS Pro"/>
          <w:b w:val="0"/>
          <w:bCs w:val="0"/>
          <w:color w:val="auto"/>
          <w:kern w:val="2"/>
          <w:lang w:eastAsia="zh-CN"/>
        </w:rPr>
        <w:t>长达近</w:t>
      </w:r>
      <w:r>
        <w:rPr>
          <w:rFonts w:hint="default" w:ascii="Times New Roman PS Pro" w:hAnsi="Times New Roman PS Pro" w:eastAsia="仿宋_GB2312" w:cs="Times New Roman PS Pro"/>
          <w:b w:val="0"/>
          <w:bCs w:val="0"/>
          <w:color w:val="auto"/>
          <w:kern w:val="2"/>
        </w:rPr>
        <w:t>四个月</w:t>
      </w:r>
      <w:r>
        <w:rPr>
          <w:rFonts w:hint="default" w:ascii="Times New Roman PS Pro" w:hAnsi="Times New Roman PS Pro" w:eastAsia="仿宋_GB2312" w:cs="Times New Roman PS Pro"/>
          <w:b w:val="0"/>
          <w:bCs w:val="0"/>
          <w:color w:val="auto"/>
          <w:kern w:val="2"/>
          <w:lang w:eastAsia="zh-CN"/>
        </w:rPr>
        <w:t>（</w:t>
      </w:r>
      <w:r>
        <w:rPr>
          <w:rFonts w:hint="default" w:ascii="Times New Roman PS Pro" w:hAnsi="Times New Roman PS Pro" w:eastAsia="仿宋_GB2312" w:cs="Times New Roman PS Pro"/>
          <w:b w:val="0"/>
          <w:bCs w:val="0"/>
          <w:color w:val="auto"/>
          <w:kern w:val="2"/>
          <w:lang w:val="en-US" w:eastAsia="zh-CN"/>
        </w:rPr>
        <w:t>8-11月</w:t>
      </w:r>
      <w:r>
        <w:rPr>
          <w:rFonts w:hint="default" w:ascii="Times New Roman PS Pro" w:hAnsi="Times New Roman PS Pro" w:eastAsia="仿宋_GB2312" w:cs="Times New Roman PS Pro"/>
          <w:b w:val="0"/>
          <w:bCs w:val="0"/>
          <w:color w:val="auto"/>
          <w:kern w:val="2"/>
          <w:lang w:eastAsia="zh-CN"/>
        </w:rPr>
        <w:t>）</w:t>
      </w:r>
      <w:r>
        <w:rPr>
          <w:rFonts w:hint="eastAsia" w:ascii="Times New Roman PS Pro" w:hAnsi="Times New Roman PS Pro" w:eastAsia="仿宋_GB2312" w:cs="Times New Roman PS Pro"/>
          <w:b w:val="0"/>
          <w:bCs w:val="0"/>
          <w:color w:val="auto"/>
          <w:kern w:val="2"/>
          <w:lang w:eastAsia="zh-CN"/>
        </w:rPr>
        <w:t>的</w:t>
      </w:r>
      <w:r>
        <w:rPr>
          <w:rFonts w:hint="default" w:ascii="Times New Roman PS Pro" w:hAnsi="Times New Roman PS Pro" w:eastAsia="仿宋_GB2312" w:cs="Times New Roman PS Pro"/>
          <w:b w:val="0"/>
          <w:bCs w:val="0"/>
          <w:color w:val="auto"/>
          <w:kern w:val="2"/>
          <w:lang w:eastAsia="zh-CN"/>
        </w:rPr>
        <w:t>影响，</w:t>
      </w:r>
      <w:r>
        <w:rPr>
          <w:rFonts w:hint="default" w:ascii="Times New Roman PS Pro" w:hAnsi="Times New Roman PS Pro" w:eastAsia="仿宋_GB2312" w:cs="Times New Roman PS Pro"/>
          <w:b w:val="0"/>
          <w:bCs w:val="0"/>
          <w:color w:val="auto"/>
          <w:kern w:val="2"/>
        </w:rPr>
        <w:t>部分资金支出缓慢，</w:t>
      </w:r>
      <w:r>
        <w:rPr>
          <w:rFonts w:hint="default" w:ascii="Times New Roman PS Pro" w:hAnsi="Times New Roman PS Pro" w:eastAsia="仿宋_GB2312" w:cs="Times New Roman PS Pro"/>
          <w:b w:val="0"/>
          <w:bCs w:val="0"/>
          <w:color w:val="auto"/>
          <w:kern w:val="2"/>
          <w:lang w:eastAsia="zh-CN"/>
        </w:rPr>
        <w:t>待</w:t>
      </w:r>
      <w:r>
        <w:rPr>
          <w:rFonts w:hint="eastAsia" w:ascii="Times New Roman PS Pro" w:hAnsi="Times New Roman PS Pro" w:eastAsia="仿宋_GB2312" w:cs="Times New Roman PS Pro"/>
          <w:b w:val="0"/>
          <w:bCs w:val="0"/>
          <w:color w:val="auto"/>
          <w:kern w:val="2"/>
          <w:lang w:eastAsia="zh-CN"/>
        </w:rPr>
        <w:t>恢复正常办公后到</w:t>
      </w:r>
      <w:r>
        <w:rPr>
          <w:rFonts w:hint="default" w:ascii="Times New Roman PS Pro" w:hAnsi="Times New Roman PS Pro" w:eastAsia="仿宋_GB2312" w:cs="Times New Roman PS Pro"/>
          <w:b w:val="0"/>
          <w:bCs w:val="0"/>
          <w:color w:val="auto"/>
          <w:kern w:val="2"/>
        </w:rPr>
        <w:t>12月份才完成支出。</w:t>
      </w:r>
    </w:p>
    <w:p>
      <w:pPr>
        <w:pStyle w:val="21"/>
        <w:shd w:val="clear" w:color="auto"/>
        <w:spacing w:before="0" w:after="0" w:line="600" w:lineRule="exact"/>
        <w:ind w:firstLine="640" w:firstLineChars="200"/>
        <w:jc w:val="both"/>
        <w:rPr>
          <w:color w:val="auto"/>
        </w:rPr>
      </w:pPr>
      <w:r>
        <w:rPr>
          <w:rFonts w:hint="eastAsia" w:ascii="Times New Roman" w:hAnsi="Times New Roman" w:eastAsia="仿宋_GB2312"/>
          <w:b w:val="0"/>
          <w:bCs w:val="0"/>
          <w:color w:val="auto"/>
          <w:kern w:val="2"/>
        </w:rPr>
        <w:t>在后续项目支出预算编制工作中，充分借鉴以往经验，进一步完善、细化预算科目，强化预算编制的准确性、科学性。同时，在2023年预算执行过程中，加强日常财务管理，督促资金使用相关处室</w:t>
      </w:r>
      <w:r>
        <w:rPr>
          <w:rFonts w:hint="eastAsia" w:ascii="Times New Roman" w:hAnsi="Times New Roman" w:eastAsia="仿宋_GB2312"/>
          <w:b w:val="0"/>
          <w:bCs w:val="0"/>
          <w:color w:val="auto"/>
          <w:kern w:val="2"/>
          <w:lang w:eastAsia="zh-CN"/>
        </w:rPr>
        <w:t>做好工作计划，有序推进</w:t>
      </w:r>
      <w:r>
        <w:rPr>
          <w:rFonts w:hint="eastAsia" w:ascii="Times New Roman" w:hAnsi="Times New Roman" w:eastAsia="仿宋_GB2312"/>
          <w:b w:val="0"/>
          <w:bCs w:val="0"/>
          <w:color w:val="auto"/>
          <w:kern w:val="2"/>
        </w:rPr>
        <w:t>项目实施</w:t>
      </w:r>
      <w:r>
        <w:rPr>
          <w:rFonts w:hint="eastAsia" w:ascii="Times New Roman" w:hAnsi="Times New Roman" w:eastAsia="仿宋_GB2312"/>
          <w:b w:val="0"/>
          <w:bCs w:val="0"/>
          <w:color w:val="auto"/>
          <w:kern w:val="2"/>
          <w:lang w:eastAsia="zh-CN"/>
        </w:rPr>
        <w:t>，按序时进度要求及时支付项目资金</w:t>
      </w:r>
      <w:r>
        <w:rPr>
          <w:rFonts w:hint="eastAsia" w:ascii="Times New Roman" w:hAnsi="Times New Roman" w:eastAsia="仿宋_GB2312"/>
          <w:b w:val="0"/>
          <w:bCs w:val="0"/>
          <w:color w:val="auto"/>
          <w:kern w:val="2"/>
        </w:rPr>
        <w:t>，切实提高资金使用效率。</w:t>
      </w:r>
    </w:p>
    <w:p>
      <w:pPr>
        <w:numPr>
          <w:ilvl w:val="0"/>
          <w:numId w:val="6"/>
        </w:numPr>
        <w:spacing w:line="600" w:lineRule="exact"/>
        <w:ind w:firstLine="640" w:firstLineChars="200"/>
        <w:rPr>
          <w:rFonts w:eastAsia="黑体"/>
          <w:sz w:val="32"/>
          <w:szCs w:val="32"/>
        </w:rPr>
      </w:pPr>
      <w:r>
        <w:rPr>
          <w:rFonts w:eastAsia="黑体"/>
          <w:sz w:val="32"/>
          <w:szCs w:val="32"/>
        </w:rPr>
        <w:t>有关建议</w:t>
      </w:r>
    </w:p>
    <w:p>
      <w:pPr>
        <w:spacing w:line="600" w:lineRule="exact"/>
        <w:ind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w:t>
      </w:r>
      <w:r>
        <w:rPr>
          <w:rFonts w:hint="eastAsia" w:ascii="仿宋_GB2312" w:hAnsi="仿宋_GB2312" w:eastAsia="仿宋_GB2312" w:cs="仿宋_GB2312"/>
          <w:color w:val="auto"/>
          <w:sz w:val="32"/>
          <w:szCs w:val="28"/>
          <w:lang w:eastAsia="zh-CN"/>
        </w:rPr>
        <w:t>进一步建立健全</w:t>
      </w:r>
      <w:r>
        <w:rPr>
          <w:rFonts w:hint="eastAsia" w:ascii="仿宋_GB2312" w:hAnsi="仿宋_GB2312" w:eastAsia="仿宋_GB2312" w:cs="仿宋_GB2312"/>
          <w:color w:val="auto"/>
          <w:sz w:val="32"/>
          <w:szCs w:val="28"/>
        </w:rPr>
        <w:t>绩效</w:t>
      </w:r>
      <w:r>
        <w:rPr>
          <w:rFonts w:hint="eastAsia" w:ascii="仿宋_GB2312" w:hAnsi="仿宋_GB2312" w:eastAsia="仿宋_GB2312" w:cs="仿宋_GB2312"/>
          <w:sz w:val="32"/>
          <w:szCs w:val="28"/>
        </w:rPr>
        <w:t>工作考核制度，加大全局对全面实施预算绩效管理和绩效管理工作的学习力度，让“花钱必问效，无效必问责”的理念深入工作每个环节。</w:t>
      </w:r>
    </w:p>
    <w:p>
      <w:pPr>
        <w:numPr>
          <w:ilvl w:val="0"/>
          <w:numId w:val="6"/>
        </w:numPr>
        <w:spacing w:line="600" w:lineRule="exact"/>
        <w:ind w:firstLine="640" w:firstLineChars="200"/>
        <w:rPr>
          <w:rFonts w:eastAsia="黑体"/>
          <w:sz w:val="32"/>
          <w:szCs w:val="32"/>
        </w:rPr>
      </w:pPr>
      <w:r>
        <w:rPr>
          <w:rFonts w:eastAsia="黑体"/>
          <w:sz w:val="32"/>
          <w:szCs w:val="32"/>
        </w:rPr>
        <w:t>其他需要说</w:t>
      </w:r>
      <w:bookmarkStart w:id="1" w:name="page8"/>
      <w:bookmarkEnd w:id="1"/>
      <w:r>
        <w:rPr>
          <w:rFonts w:eastAsia="黑体"/>
          <w:sz w:val="32"/>
          <w:szCs w:val="32"/>
        </w:rPr>
        <w:t>明的问题</w:t>
      </w:r>
    </w:p>
    <w:p>
      <w:pPr>
        <w:pStyle w:val="18"/>
        <w:ind w:firstLine="320" w:firstLineChars="100"/>
        <w:rPr>
          <w:rFonts w:ascii="Times New Roman" w:hAnsi="Times New Roman" w:eastAsia="方正小标宋简体"/>
          <w:b/>
          <w:kern w:val="0"/>
          <w:sz w:val="32"/>
          <w:szCs w:val="32"/>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rPr>
        <w:t>无。</w:t>
      </w:r>
    </w:p>
    <w:tbl>
      <w:tblPr>
        <w:tblStyle w:val="25"/>
        <w:tblW w:w="8834" w:type="dxa"/>
        <w:tblInd w:w="0" w:type="dxa"/>
        <w:tblLayout w:type="fixed"/>
        <w:tblCellMar>
          <w:top w:w="0" w:type="dxa"/>
          <w:left w:w="0" w:type="dxa"/>
          <w:bottom w:w="0" w:type="dxa"/>
          <w:right w:w="0" w:type="dxa"/>
        </w:tblCellMar>
      </w:tblPr>
      <w:tblGrid>
        <w:gridCol w:w="798"/>
        <w:gridCol w:w="984"/>
        <w:gridCol w:w="1430"/>
        <w:gridCol w:w="1523"/>
        <w:gridCol w:w="1268"/>
        <w:gridCol w:w="1348"/>
        <w:gridCol w:w="1483"/>
      </w:tblGrid>
      <w:tr>
        <w:tblPrEx>
          <w:tblLayout w:type="fixed"/>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pPr>
              <w:widowControl/>
              <w:jc w:val="center"/>
              <w:textAlignment w:val="center"/>
              <w:rPr>
                <w:rFonts w:eastAsia="方正小标宋简体"/>
                <w:b/>
                <w:sz w:val="32"/>
                <w:szCs w:val="32"/>
                <w:u w:val="single"/>
              </w:rPr>
            </w:pPr>
            <w:r>
              <w:rPr>
                <w:rFonts w:eastAsia="方正小标宋简体"/>
                <w:b/>
                <w:kern w:val="0"/>
                <w:sz w:val="32"/>
                <w:szCs w:val="32"/>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22"/>
                <w:szCs w:val="22"/>
              </w:rPr>
            </w:pPr>
            <w:r>
              <w:rPr>
                <w:kern w:val="0"/>
                <w:sz w:val="22"/>
                <w:szCs w:val="22"/>
              </w:rPr>
              <w:t>（202</w:t>
            </w:r>
            <w:r>
              <w:rPr>
                <w:rFonts w:hint="eastAsia"/>
                <w:kern w:val="0"/>
                <w:sz w:val="22"/>
                <w:szCs w:val="22"/>
              </w:rPr>
              <w:t>2</w:t>
            </w:r>
            <w:r>
              <w:rPr>
                <w:kern w:val="0"/>
                <w:sz w:val="22"/>
                <w:szCs w:val="22"/>
              </w:rPr>
              <w:t>年度）</w:t>
            </w:r>
          </w:p>
        </w:tc>
      </w:tr>
      <w:tr>
        <w:tblPrEx>
          <w:tblLayout w:type="fixed"/>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项目名称</w:t>
            </w:r>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自治区动物防疫等补助资金（兽医局重大疫病指挥部等工作补助经费及动物疫病综合防控经费）　</w:t>
            </w:r>
          </w:p>
        </w:tc>
      </w:tr>
      <w:tr>
        <w:tblPrEx>
          <w:tblLayout w:type="fixed"/>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主管部门</w:t>
            </w: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自治区畜牧兽医局</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实施单位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自治区畜牧兽医局办公室　</w:t>
            </w:r>
          </w:p>
        </w:tc>
      </w:tr>
      <w:tr>
        <w:tblPrEx>
          <w:tblLayout w:type="fixed"/>
          <w:tblCellMar>
            <w:top w:w="0" w:type="dxa"/>
            <w:left w:w="0" w:type="dxa"/>
            <w:bottom w:w="0" w:type="dxa"/>
            <w:right w:w="0" w:type="dxa"/>
          </w:tblCellMar>
        </w:tblPrEx>
        <w:trPr>
          <w:trHeight w:val="276" w:hRule="atLeast"/>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项目资金</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年初预算数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全年预算数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全年执行数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执行率</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kern w:val="0"/>
                <w:sz w:val="18"/>
                <w:szCs w:val="18"/>
              </w:rPr>
              <w:t>年度资金总额</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200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200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160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80%</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其中：当年财政拨款</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160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160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160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sz w:val="18"/>
                <w:szCs w:val="18"/>
              </w:rPr>
              <w:t>-</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上年结转资金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 xml:space="preserve">  其他资金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40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40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rPr>
              <w:t>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sz w:val="18"/>
                <w:szCs w:val="18"/>
              </w:rPr>
              <w:t>-</w:t>
            </w:r>
          </w:p>
        </w:tc>
      </w:tr>
      <w:tr>
        <w:tblPrEx>
          <w:tblLayout w:type="fixed"/>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年度总体目标</w:t>
            </w: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预期目标</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实际完成情况</w:t>
            </w:r>
          </w:p>
        </w:tc>
      </w:tr>
      <w:tr>
        <w:tblPrEx>
          <w:tblLayout w:type="fixed"/>
          <w:tblCellMar>
            <w:top w:w="0" w:type="dxa"/>
            <w:left w:w="0" w:type="dxa"/>
            <w:bottom w:w="0" w:type="dxa"/>
            <w:right w:w="0" w:type="dxa"/>
          </w:tblCellMar>
        </w:tblPrEx>
        <w:trPr>
          <w:trHeight w:val="7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rFonts w:hint="eastAsia"/>
                <w:sz w:val="18"/>
                <w:szCs w:val="18"/>
              </w:rPr>
              <w:t>为加强地县乡村四级动物疫病防控网络建设，启动实施动物疫病防控能力提升工程，完善动物疫病应急预案，提高动物疫病监测预警预报能力，提高统筹协调推进重大动物疫病、外来疫病、主要人畜共患病、常见多发动物疫病防控能力，提高突发动物疫情应急处置能力。2022年制定以下目标：1.强制免疫密度达到90%以上，口蹄疫、高致病性禽流感、小反刍兽疫免疫抗体合格率常年保持70%以上；2.依法对重大动物疫情处置率为100%；3.确保全区不发生区域性重大动物疫情。4.培训费60万元，业务经费100万元，畜牧兽医实训工作经费40万元。</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b w:val="0"/>
                <w:bCs w:val="0"/>
                <w:color w:val="auto"/>
                <w:sz w:val="18"/>
                <w:szCs w:val="18"/>
                <w:u w:val="none"/>
              </w:rPr>
            </w:pPr>
            <w:r>
              <w:rPr>
                <w:rFonts w:hint="eastAsia"/>
                <w:sz w:val="18"/>
                <w:szCs w:val="18"/>
              </w:rPr>
              <w:t>1</w:t>
            </w:r>
            <w:r>
              <w:rPr>
                <w:rFonts w:hint="eastAsia"/>
                <w:b w:val="0"/>
                <w:bCs w:val="0"/>
                <w:color w:val="auto"/>
                <w:sz w:val="18"/>
                <w:szCs w:val="18"/>
                <w:u w:val="none"/>
              </w:rPr>
              <w:t>.</w:t>
            </w:r>
            <w:r>
              <w:rPr>
                <w:rFonts w:hint="eastAsia" w:ascii="宋体" w:hAnsi="宋体" w:eastAsia="宋体" w:cs="宋体"/>
                <w:color w:val="000000"/>
                <w:kern w:val="0"/>
                <w:sz w:val="18"/>
                <w:szCs w:val="18"/>
              </w:rPr>
              <w:t>强制免疫密度达到90%以上，口蹄疫、高致病性禽流感、小反刍兽疫免疫抗体合格率常年保持70%以上；</w:t>
            </w:r>
          </w:p>
          <w:p>
            <w:pPr>
              <w:widowControl/>
              <w:jc w:val="left"/>
              <w:textAlignment w:val="center"/>
              <w:rPr>
                <w:b w:val="0"/>
                <w:bCs w:val="0"/>
                <w:color w:val="auto"/>
                <w:sz w:val="18"/>
                <w:szCs w:val="18"/>
                <w:u w:val="none"/>
              </w:rPr>
            </w:pPr>
            <w:r>
              <w:rPr>
                <w:rFonts w:hint="eastAsia"/>
                <w:b w:val="0"/>
                <w:bCs w:val="0"/>
                <w:color w:val="auto"/>
                <w:sz w:val="18"/>
                <w:szCs w:val="18"/>
                <w:u w:val="none"/>
              </w:rPr>
              <w:t>2.重大动物疫情</w:t>
            </w:r>
            <w:r>
              <w:rPr>
                <w:rFonts w:hint="eastAsia"/>
                <w:b w:val="0"/>
                <w:bCs w:val="0"/>
                <w:color w:val="auto"/>
                <w:sz w:val="18"/>
                <w:szCs w:val="18"/>
                <w:u w:val="none"/>
                <w:lang w:eastAsia="zh-CN"/>
              </w:rPr>
              <w:t>报告发生</w:t>
            </w:r>
            <w:r>
              <w:rPr>
                <w:rFonts w:hint="eastAsia"/>
                <w:b w:val="0"/>
                <w:bCs w:val="0"/>
                <w:color w:val="auto"/>
                <w:sz w:val="18"/>
                <w:szCs w:val="18"/>
                <w:u w:val="none"/>
                <w:lang w:val="en-US" w:eastAsia="zh-CN"/>
              </w:rPr>
              <w:t>2起，</w:t>
            </w:r>
            <w:r>
              <w:rPr>
                <w:rFonts w:hint="eastAsia"/>
                <w:b w:val="0"/>
                <w:bCs w:val="0"/>
                <w:color w:val="auto"/>
                <w:sz w:val="18"/>
                <w:szCs w:val="18"/>
                <w:u w:val="none"/>
              </w:rPr>
              <w:t>依法处置</w:t>
            </w:r>
            <w:r>
              <w:rPr>
                <w:rFonts w:hint="eastAsia"/>
                <w:b w:val="0"/>
                <w:bCs w:val="0"/>
                <w:color w:val="auto"/>
                <w:sz w:val="18"/>
                <w:szCs w:val="18"/>
                <w:u w:val="none"/>
                <w:lang w:val="en-US" w:eastAsia="zh-CN"/>
              </w:rPr>
              <w:t>2起，处置率为100%</w:t>
            </w:r>
            <w:r>
              <w:rPr>
                <w:rFonts w:hint="eastAsia"/>
                <w:b w:val="0"/>
                <w:bCs w:val="0"/>
                <w:color w:val="auto"/>
                <w:sz w:val="18"/>
                <w:szCs w:val="18"/>
                <w:u w:val="none"/>
              </w:rPr>
              <w:t>；</w:t>
            </w:r>
          </w:p>
          <w:p>
            <w:pPr>
              <w:widowControl/>
              <w:jc w:val="left"/>
              <w:textAlignment w:val="center"/>
              <w:rPr>
                <w:b w:val="0"/>
                <w:bCs w:val="0"/>
                <w:color w:val="auto"/>
                <w:sz w:val="18"/>
                <w:szCs w:val="18"/>
                <w:u w:val="none"/>
              </w:rPr>
            </w:pPr>
            <w:r>
              <w:rPr>
                <w:rFonts w:hint="eastAsia"/>
                <w:b w:val="0"/>
                <w:bCs w:val="0"/>
                <w:color w:val="auto"/>
                <w:sz w:val="18"/>
                <w:szCs w:val="18"/>
                <w:u w:val="none"/>
              </w:rPr>
              <w:t>3.全区</w:t>
            </w:r>
            <w:r>
              <w:rPr>
                <w:rFonts w:hint="eastAsia"/>
                <w:b w:val="0"/>
                <w:bCs w:val="0"/>
                <w:color w:val="auto"/>
                <w:sz w:val="18"/>
                <w:szCs w:val="18"/>
                <w:u w:val="none"/>
                <w:lang w:eastAsia="zh-CN"/>
              </w:rPr>
              <w:t>未发生</w:t>
            </w:r>
            <w:r>
              <w:rPr>
                <w:rFonts w:hint="eastAsia"/>
                <w:b w:val="0"/>
                <w:bCs w:val="0"/>
                <w:color w:val="auto"/>
                <w:sz w:val="18"/>
                <w:szCs w:val="18"/>
                <w:u w:val="none"/>
              </w:rPr>
              <w:t>区域性重大动物疫情。</w:t>
            </w:r>
          </w:p>
          <w:p>
            <w:pPr>
              <w:widowControl/>
              <w:jc w:val="left"/>
              <w:textAlignment w:val="center"/>
              <w:rPr>
                <w:sz w:val="18"/>
                <w:szCs w:val="18"/>
              </w:rPr>
            </w:pPr>
            <w:r>
              <w:rPr>
                <w:rFonts w:hint="eastAsia"/>
                <w:b w:val="0"/>
                <w:bCs w:val="0"/>
                <w:color w:val="auto"/>
                <w:sz w:val="18"/>
                <w:szCs w:val="18"/>
                <w:u w:val="none"/>
              </w:rPr>
              <w:t>4.培训费</w:t>
            </w:r>
            <w:r>
              <w:rPr>
                <w:rFonts w:hint="eastAsia"/>
                <w:b w:val="0"/>
                <w:bCs w:val="0"/>
                <w:color w:val="auto"/>
                <w:sz w:val="18"/>
                <w:szCs w:val="18"/>
                <w:u w:val="none"/>
                <w:lang w:eastAsia="zh-CN"/>
              </w:rPr>
              <w:t>支出</w:t>
            </w:r>
            <w:r>
              <w:rPr>
                <w:rFonts w:hint="eastAsia"/>
                <w:b w:val="0"/>
                <w:bCs w:val="0"/>
                <w:color w:val="auto"/>
                <w:sz w:val="18"/>
                <w:szCs w:val="18"/>
                <w:u w:val="none"/>
                <w:lang w:val="en-US" w:eastAsia="zh-CN"/>
              </w:rPr>
              <w:t>48</w:t>
            </w:r>
            <w:r>
              <w:rPr>
                <w:rFonts w:hint="eastAsia"/>
                <w:b w:val="0"/>
                <w:bCs w:val="0"/>
                <w:color w:val="auto"/>
                <w:sz w:val="18"/>
                <w:szCs w:val="18"/>
                <w:u w:val="none"/>
              </w:rPr>
              <w:t>万元，业务经费</w:t>
            </w:r>
            <w:r>
              <w:rPr>
                <w:rFonts w:hint="eastAsia"/>
                <w:b w:val="0"/>
                <w:bCs w:val="0"/>
                <w:color w:val="auto"/>
                <w:sz w:val="18"/>
                <w:szCs w:val="18"/>
                <w:u w:val="none"/>
                <w:lang w:eastAsia="zh-CN"/>
              </w:rPr>
              <w:t>支出</w:t>
            </w:r>
            <w:r>
              <w:rPr>
                <w:rFonts w:hint="eastAsia"/>
                <w:b w:val="0"/>
                <w:bCs w:val="0"/>
                <w:color w:val="auto"/>
                <w:sz w:val="18"/>
                <w:szCs w:val="18"/>
                <w:u w:val="none"/>
                <w:lang w:val="en-US" w:eastAsia="zh-CN"/>
              </w:rPr>
              <w:t>80</w:t>
            </w:r>
            <w:r>
              <w:rPr>
                <w:rFonts w:hint="eastAsia"/>
                <w:b w:val="0"/>
                <w:bCs w:val="0"/>
                <w:color w:val="auto"/>
                <w:sz w:val="18"/>
                <w:szCs w:val="18"/>
                <w:u w:val="none"/>
              </w:rPr>
              <w:t>万元，畜牧兽医实训工作经费</w:t>
            </w:r>
            <w:r>
              <w:rPr>
                <w:rFonts w:hint="eastAsia"/>
                <w:b w:val="0"/>
                <w:bCs w:val="0"/>
                <w:color w:val="auto"/>
                <w:sz w:val="18"/>
                <w:szCs w:val="18"/>
                <w:u w:val="none"/>
                <w:lang w:eastAsia="zh-CN"/>
              </w:rPr>
              <w:t>支出</w:t>
            </w:r>
            <w:r>
              <w:rPr>
                <w:rFonts w:hint="eastAsia"/>
                <w:b w:val="0"/>
                <w:bCs w:val="0"/>
                <w:color w:val="auto"/>
                <w:sz w:val="18"/>
                <w:szCs w:val="18"/>
                <w:u w:val="none"/>
                <w:lang w:val="en-US" w:eastAsia="zh-CN"/>
              </w:rPr>
              <w:t>32</w:t>
            </w:r>
            <w:r>
              <w:rPr>
                <w:rFonts w:hint="eastAsia"/>
                <w:b w:val="0"/>
                <w:bCs w:val="0"/>
                <w:color w:val="auto"/>
                <w:sz w:val="18"/>
                <w:szCs w:val="18"/>
                <w:u w:val="none"/>
              </w:rPr>
              <w:t>万元。</w:t>
            </w:r>
          </w:p>
        </w:tc>
      </w:tr>
      <w:tr>
        <w:tblPrEx>
          <w:tblLayout w:type="fixed"/>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年度</w:t>
            </w:r>
            <w:r>
              <w:rPr>
                <w:kern w:val="0"/>
                <w:sz w:val="18"/>
                <w:szCs w:val="18"/>
              </w:rPr>
              <w:br w:type="textWrapping"/>
            </w:r>
            <w:r>
              <w:rPr>
                <w:kern w:val="0"/>
                <w:sz w:val="18"/>
                <w:szCs w:val="18"/>
              </w:rPr>
              <w:t>绩效</w:t>
            </w:r>
            <w:r>
              <w:rPr>
                <w:kern w:val="0"/>
                <w:sz w:val="18"/>
                <w:szCs w:val="18"/>
              </w:rPr>
              <w:br w:type="textWrapping"/>
            </w:r>
            <w:r>
              <w:rPr>
                <w:kern w:val="0"/>
                <w:sz w:val="18"/>
                <w:szCs w:val="18"/>
              </w:rPr>
              <w:t>指标</w:t>
            </w:r>
            <w:r>
              <w:rPr>
                <w:kern w:val="0"/>
                <w:sz w:val="18"/>
                <w:szCs w:val="18"/>
              </w:rPr>
              <w:br w:type="textWrapping"/>
            </w:r>
            <w:r>
              <w:rPr>
                <w:kern w:val="0"/>
                <w:sz w:val="18"/>
                <w:szCs w:val="18"/>
              </w:rPr>
              <w:t>完成</w:t>
            </w:r>
            <w:r>
              <w:rPr>
                <w:kern w:val="0"/>
                <w:sz w:val="18"/>
                <w:szCs w:val="18"/>
              </w:rPr>
              <w:br w:type="textWrapping"/>
            </w:r>
            <w:r>
              <w:rPr>
                <w:kern w:val="0"/>
                <w:sz w:val="18"/>
                <w:szCs w:val="18"/>
              </w:rPr>
              <w:t>情况</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一级</w:t>
            </w:r>
            <w:r>
              <w:rPr>
                <w:kern w:val="0"/>
                <w:sz w:val="18"/>
                <w:szCs w:val="18"/>
              </w:rPr>
              <w:br w:type="textWrapping"/>
            </w:r>
            <w:r>
              <w:rPr>
                <w:kern w:val="0"/>
                <w:sz w:val="18"/>
                <w:szCs w:val="18"/>
              </w:rPr>
              <w:t>指标</w:t>
            </w: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二级指标</w:t>
            </w:r>
          </w:p>
        </w:tc>
        <w:tc>
          <w:tcPr>
            <w:tcW w:w="1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三级指标</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年度指标值</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实际完成值</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rPr>
              <w:t>偏差原因分析及改进措施</w:t>
            </w:r>
          </w:p>
        </w:tc>
      </w:tr>
      <w:tr>
        <w:tblPrEx>
          <w:tblLayout w:type="fixed"/>
          <w:tblCellMar>
            <w:top w:w="0" w:type="dxa"/>
            <w:left w:w="0" w:type="dxa"/>
            <w:bottom w:w="0" w:type="dxa"/>
            <w:right w:w="0" w:type="dxa"/>
          </w:tblCellMar>
        </w:tblPrEx>
        <w:trPr>
          <w:trHeight w:val="40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项目完成指标</w:t>
            </w: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数量指标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动物防疫等调研督导工作范围</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14</w:t>
            </w:r>
            <w:r>
              <w:rPr>
                <w:rFonts w:hint="eastAsia"/>
                <w:kern w:val="0"/>
                <w:sz w:val="18"/>
                <w:szCs w:val="18"/>
              </w:rPr>
              <w:t>个地州</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14</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培训人数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w:t>
            </w:r>
            <w:r>
              <w:rPr>
                <w:kern w:val="0"/>
                <w:sz w:val="18"/>
                <w:szCs w:val="18"/>
              </w:rPr>
              <w:t>300</w:t>
            </w:r>
            <w:r>
              <w:rPr>
                <w:rFonts w:hint="eastAsia"/>
                <w:kern w:val="0"/>
                <w:sz w:val="18"/>
                <w:szCs w:val="18"/>
              </w:rPr>
              <w:t>人次</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300</w:t>
            </w:r>
            <w:r>
              <w:rPr>
                <w:rFonts w:hint="eastAsia"/>
                <w:kern w:val="0"/>
                <w:sz w:val="18"/>
                <w:szCs w:val="18"/>
              </w:rPr>
              <w:t>人次</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0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开展实操实训畜牧兽医实训基地个数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2</w:t>
            </w:r>
            <w:r>
              <w:rPr>
                <w:rFonts w:hint="eastAsia"/>
                <w:kern w:val="0"/>
                <w:sz w:val="18"/>
                <w:szCs w:val="18"/>
              </w:rPr>
              <w:t>个</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2</w:t>
            </w:r>
            <w:r>
              <w:rPr>
                <w:rFonts w:hint="eastAsia"/>
                <w:kern w:val="0"/>
                <w:sz w:val="18"/>
                <w:szCs w:val="18"/>
              </w:rPr>
              <w:t>个</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6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培训次数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w:t>
            </w:r>
            <w:r>
              <w:rPr>
                <w:kern w:val="0"/>
                <w:sz w:val="18"/>
                <w:szCs w:val="18"/>
              </w:rPr>
              <w:t>3</w:t>
            </w:r>
            <w:r>
              <w:rPr>
                <w:rFonts w:hint="eastAsia"/>
                <w:kern w:val="0"/>
                <w:sz w:val="18"/>
                <w:szCs w:val="18"/>
              </w:rPr>
              <w:t>次</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3</w:t>
            </w:r>
            <w:r>
              <w:rPr>
                <w:rFonts w:hint="eastAsia"/>
                <w:kern w:val="0"/>
                <w:sz w:val="18"/>
                <w:szCs w:val="18"/>
              </w:rPr>
              <w:t>次</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培训天数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w:t>
            </w:r>
            <w:r>
              <w:rPr>
                <w:kern w:val="0"/>
                <w:sz w:val="18"/>
                <w:szCs w:val="18"/>
              </w:rPr>
              <w:t>15</w:t>
            </w:r>
            <w:r>
              <w:rPr>
                <w:rFonts w:hint="eastAsia"/>
                <w:kern w:val="0"/>
                <w:sz w:val="18"/>
                <w:szCs w:val="18"/>
              </w:rPr>
              <w:t>天</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15</w:t>
            </w:r>
            <w:r>
              <w:rPr>
                <w:rFonts w:hint="eastAsia"/>
                <w:kern w:val="0"/>
                <w:sz w:val="18"/>
                <w:szCs w:val="18"/>
              </w:rPr>
              <w:t>天</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质量指标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tcPr>
          <w:p>
            <w:pPr>
              <w:widowControl/>
              <w:jc w:val="center"/>
              <w:textAlignment w:val="center"/>
              <w:rPr>
                <w:kern w:val="0"/>
                <w:sz w:val="18"/>
                <w:szCs w:val="18"/>
              </w:rPr>
            </w:pPr>
            <w:r>
              <w:rPr>
                <w:rFonts w:hint="eastAsia"/>
                <w:kern w:val="0"/>
                <w:sz w:val="18"/>
                <w:szCs w:val="18"/>
              </w:rPr>
              <w:t>重大疫情处置率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tcPr>
          <w:p>
            <w:pPr>
              <w:widowControl/>
              <w:jc w:val="center"/>
              <w:textAlignment w:val="center"/>
              <w:rPr>
                <w:kern w:val="0"/>
                <w:sz w:val="18"/>
                <w:szCs w:val="18"/>
              </w:rPr>
            </w:pPr>
            <w:r>
              <w:rPr>
                <w:rFonts w:hint="eastAsia"/>
                <w:kern w:val="0"/>
                <w:sz w:val="18"/>
                <w:szCs w:val="18"/>
              </w:rPr>
              <w:t>强制免疫病种应免畜禽的免疫密度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w:t>
            </w:r>
            <w:r>
              <w:rPr>
                <w:kern w:val="0"/>
                <w:sz w:val="18"/>
                <w:szCs w:val="18"/>
              </w:rPr>
              <w: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90%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2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tcPr>
          <w:p>
            <w:pPr>
              <w:widowControl/>
              <w:jc w:val="center"/>
              <w:textAlignment w:val="center"/>
              <w:rPr>
                <w:kern w:val="0"/>
                <w:sz w:val="18"/>
                <w:szCs w:val="18"/>
              </w:rPr>
            </w:pPr>
            <w:r>
              <w:rPr>
                <w:rFonts w:hint="eastAsia"/>
                <w:kern w:val="0"/>
                <w:sz w:val="18"/>
                <w:szCs w:val="18"/>
              </w:rPr>
              <w:t>免疫抗体合格率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w:t>
            </w:r>
            <w:r>
              <w:rPr>
                <w:kern w:val="0"/>
                <w:sz w:val="18"/>
                <w:szCs w:val="18"/>
              </w:rPr>
              <w:t>70%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70%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培训出勤率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w:t>
            </w:r>
            <w:r>
              <w:rPr>
                <w:kern w:val="0"/>
                <w:sz w:val="18"/>
                <w:szCs w:val="18"/>
              </w:rPr>
              <w:t>95%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95%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时效指标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tcPr>
          <w:p>
            <w:pPr>
              <w:widowControl/>
              <w:jc w:val="center"/>
              <w:textAlignment w:val="center"/>
              <w:rPr>
                <w:kern w:val="0"/>
                <w:sz w:val="18"/>
                <w:szCs w:val="18"/>
              </w:rPr>
            </w:pPr>
            <w:r>
              <w:rPr>
                <w:rFonts w:hint="eastAsia"/>
                <w:kern w:val="0"/>
                <w:sz w:val="18"/>
                <w:szCs w:val="18"/>
              </w:rPr>
              <w:t>培训按期完成率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w:t>
            </w:r>
            <w:r>
              <w:rPr>
                <w:kern w:val="0"/>
                <w:sz w:val="18"/>
                <w:szCs w:val="18"/>
              </w:rPr>
              <w:t>98%</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98%</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bookmarkStart w:id="2" w:name="_GoBack" w:colFirst="6" w:colLast="6"/>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成本指标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人均培训费</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w:t>
            </w:r>
            <w:r>
              <w:rPr>
                <w:kern w:val="0"/>
                <w:sz w:val="18"/>
                <w:szCs w:val="18"/>
              </w:rPr>
              <w:t>400</w:t>
            </w:r>
            <w:r>
              <w:rPr>
                <w:rFonts w:hint="eastAsia"/>
                <w:kern w:val="0"/>
                <w:sz w:val="18"/>
                <w:szCs w:val="18"/>
              </w:rPr>
              <w:t>元/天</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lang w:val="en-US" w:eastAsia="zh-CN"/>
              </w:rPr>
              <w:t>320</w:t>
            </w:r>
            <w:r>
              <w:rPr>
                <w:rFonts w:hint="eastAsia"/>
                <w:kern w:val="0"/>
                <w:sz w:val="18"/>
                <w:szCs w:val="18"/>
              </w:rPr>
              <w:t>元/天</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sz w:val="18"/>
                <w:szCs w:val="18"/>
              </w:rPr>
            </w:pPr>
            <w:r>
              <w:rPr>
                <w:rFonts w:hint="eastAsia"/>
                <w:color w:val="auto"/>
                <w:sz w:val="18"/>
                <w:szCs w:val="18"/>
                <w:lang w:eastAsia="zh-CN"/>
              </w:rPr>
              <w:t>因新冠疫情防控静默管理，</w:t>
            </w:r>
            <w:r>
              <w:rPr>
                <w:rFonts w:hint="eastAsia"/>
                <w:color w:val="auto"/>
                <w:sz w:val="18"/>
                <w:szCs w:val="18"/>
              </w:rPr>
              <w:t>导致部分业务未</w:t>
            </w:r>
            <w:r>
              <w:rPr>
                <w:rFonts w:hint="eastAsia"/>
                <w:color w:val="auto"/>
                <w:sz w:val="18"/>
                <w:szCs w:val="18"/>
                <w:lang w:eastAsia="zh-CN"/>
              </w:rPr>
              <w:t>能按期</w:t>
            </w:r>
            <w:r>
              <w:rPr>
                <w:rFonts w:hint="eastAsia"/>
                <w:color w:val="auto"/>
                <w:sz w:val="18"/>
                <w:szCs w:val="18"/>
              </w:rPr>
              <w:t>开展,在后续预算执行过程中严格把控进度。</w:t>
            </w:r>
          </w:p>
        </w:tc>
      </w:tr>
      <w:tr>
        <w:tblPrEx>
          <w:tblLayout w:type="fixed"/>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业务工作经费</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w:t>
            </w:r>
            <w:r>
              <w:rPr>
                <w:kern w:val="0"/>
                <w:sz w:val="18"/>
                <w:szCs w:val="18"/>
              </w:rPr>
              <w:t>100</w:t>
            </w:r>
            <w:r>
              <w:rPr>
                <w:rFonts w:hint="eastAsia"/>
                <w:kern w:val="0"/>
                <w:sz w:val="18"/>
                <w:szCs w:val="18"/>
              </w:rPr>
              <w:t>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lang w:val="en-US" w:eastAsia="zh-CN"/>
              </w:rPr>
              <w:t>80</w:t>
            </w:r>
            <w:r>
              <w:rPr>
                <w:rFonts w:hint="eastAsia"/>
                <w:kern w:val="0"/>
                <w:sz w:val="18"/>
                <w:szCs w:val="18"/>
              </w:rPr>
              <w:t>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sz w:val="18"/>
                <w:szCs w:val="18"/>
              </w:rPr>
            </w:pPr>
            <w:r>
              <w:rPr>
                <w:rFonts w:hint="eastAsia"/>
                <w:color w:val="auto"/>
                <w:sz w:val="18"/>
                <w:szCs w:val="18"/>
                <w:lang w:eastAsia="zh-CN"/>
              </w:rPr>
              <w:t>因新冠疫情防控静默管理，</w:t>
            </w:r>
            <w:r>
              <w:rPr>
                <w:rFonts w:hint="eastAsia"/>
                <w:color w:val="auto"/>
                <w:sz w:val="18"/>
                <w:szCs w:val="18"/>
              </w:rPr>
              <w:t>导致部分业务未</w:t>
            </w:r>
            <w:r>
              <w:rPr>
                <w:rFonts w:hint="eastAsia"/>
                <w:color w:val="auto"/>
                <w:sz w:val="18"/>
                <w:szCs w:val="18"/>
                <w:lang w:eastAsia="zh-CN"/>
              </w:rPr>
              <w:t>能按期</w:t>
            </w:r>
            <w:r>
              <w:rPr>
                <w:rFonts w:hint="eastAsia"/>
                <w:color w:val="auto"/>
                <w:sz w:val="18"/>
                <w:szCs w:val="18"/>
              </w:rPr>
              <w:t>开展,在后续预算执行过程中严格把控进度。</w:t>
            </w:r>
          </w:p>
        </w:tc>
      </w:tr>
      <w:tr>
        <w:tblPrEx>
          <w:tblLayout w:type="fixed"/>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畜牧兽医实训工作经费</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w:t>
            </w:r>
            <w:r>
              <w:rPr>
                <w:kern w:val="0"/>
                <w:sz w:val="18"/>
                <w:szCs w:val="18"/>
              </w:rPr>
              <w:t>40</w:t>
            </w:r>
            <w:r>
              <w:rPr>
                <w:rFonts w:hint="eastAsia"/>
                <w:kern w:val="0"/>
                <w:sz w:val="18"/>
                <w:szCs w:val="18"/>
              </w:rPr>
              <w:t>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lang w:val="en-US" w:eastAsia="zh-CN"/>
              </w:rPr>
              <w:t>32</w:t>
            </w:r>
            <w:r>
              <w:rPr>
                <w:rFonts w:hint="eastAsia"/>
                <w:kern w:val="0"/>
                <w:sz w:val="18"/>
                <w:szCs w:val="18"/>
              </w:rPr>
              <w:t>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sz w:val="18"/>
                <w:szCs w:val="18"/>
              </w:rPr>
            </w:pPr>
            <w:r>
              <w:rPr>
                <w:rFonts w:hint="eastAsia"/>
                <w:color w:val="auto"/>
                <w:sz w:val="18"/>
                <w:szCs w:val="18"/>
                <w:lang w:eastAsia="zh-CN"/>
              </w:rPr>
              <w:t>因新冠疫情防控静默管理，</w:t>
            </w:r>
            <w:r>
              <w:rPr>
                <w:rFonts w:hint="eastAsia"/>
                <w:color w:val="auto"/>
                <w:sz w:val="18"/>
                <w:szCs w:val="18"/>
              </w:rPr>
              <w:t>导致部分业务未</w:t>
            </w:r>
            <w:r>
              <w:rPr>
                <w:rFonts w:hint="eastAsia"/>
                <w:color w:val="auto"/>
                <w:sz w:val="18"/>
                <w:szCs w:val="18"/>
                <w:lang w:eastAsia="zh-CN"/>
              </w:rPr>
              <w:t>能按期</w:t>
            </w:r>
            <w:r>
              <w:rPr>
                <w:rFonts w:hint="eastAsia"/>
                <w:color w:val="auto"/>
                <w:sz w:val="18"/>
                <w:szCs w:val="18"/>
              </w:rPr>
              <w:t>开展,在后续预算执行过程中严格把控进度。</w:t>
            </w:r>
          </w:p>
        </w:tc>
      </w:tr>
      <w:bookmarkEnd w:id="2"/>
      <w:tr>
        <w:tblPrEx>
          <w:tblLayout w:type="fixed"/>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项目效果指标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社会效益指标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tcPr>
          <w:p>
            <w:pPr>
              <w:widowControl/>
              <w:jc w:val="center"/>
              <w:textAlignment w:val="center"/>
              <w:rPr>
                <w:kern w:val="0"/>
                <w:sz w:val="18"/>
                <w:szCs w:val="18"/>
              </w:rPr>
            </w:pPr>
            <w:r>
              <w:rPr>
                <w:rFonts w:hint="eastAsia"/>
                <w:kern w:val="0"/>
                <w:sz w:val="18"/>
                <w:szCs w:val="18"/>
              </w:rPr>
              <w:t>保障重大动物疫病防治工作正常有序开展</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有效保障</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有效保障</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生态效益指标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确保生猪养殖重点区域不发生大规模随意抛弃病死猪事件</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有效确保</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有效确保</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满意度指标</w:t>
            </w: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满意度</w:t>
            </w:r>
            <w:r>
              <w:rPr>
                <w:kern w:val="0"/>
                <w:sz w:val="18"/>
                <w:szCs w:val="18"/>
              </w:rPr>
              <w:br w:type="textWrapping"/>
            </w:r>
            <w:r>
              <w:rPr>
                <w:kern w:val="0"/>
                <w:sz w:val="18"/>
                <w:szCs w:val="18"/>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接受培训（实训）人员满意度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w:t>
            </w:r>
            <w:r>
              <w:rPr>
                <w:kern w:val="0"/>
                <w:sz w:val="18"/>
                <w:szCs w:val="18"/>
              </w:rPr>
              <w: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90%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农牧民等服务对象满意度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rFonts w:hint="eastAsia"/>
                <w:kern w:val="0"/>
                <w:sz w:val="18"/>
                <w:szCs w:val="18"/>
              </w:rPr>
              <w:t>≥</w:t>
            </w:r>
            <w:r>
              <w:rPr>
                <w:kern w:val="0"/>
                <w:sz w:val="18"/>
                <w:szCs w:val="18"/>
              </w:rPr>
              <w:t>85%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rPr>
            </w:pPr>
            <w:r>
              <w:rPr>
                <w:kern w:val="0"/>
                <w:sz w:val="18"/>
                <w:szCs w:val="18"/>
              </w:rPr>
              <w:t>85%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bl>
    <w:p>
      <w:pPr>
        <w:pStyle w:val="21"/>
        <w:jc w:val="both"/>
        <w:rPr>
          <w:rFonts w:ascii="Times New Roman" w:hAnsi="Times New Roman" w:eastAsia="黑体"/>
          <w:b w:val="0"/>
          <w:bCs w:val="0"/>
        </w:rPr>
      </w:pPr>
    </w:p>
    <w:p>
      <w:pPr>
        <w:pStyle w:val="21"/>
        <w:rPr>
          <w:rFonts w:ascii="Times New Roman" w:hAnsi="Times New Roman" w:eastAsia="黑体"/>
          <w:b w:val="0"/>
          <w:bCs w:val="0"/>
        </w:rPr>
      </w:pPr>
    </w:p>
    <w:p>
      <w:pPr>
        <w:pStyle w:val="21"/>
        <w:jc w:val="both"/>
        <w:rPr>
          <w:rFonts w:ascii="Times New Roman" w:hAnsi="Times New Roman"/>
        </w:rPr>
        <w:sectPr>
          <w:pgSz w:w="11906" w:h="16838"/>
          <w:pgMar w:top="1440" w:right="1558" w:bottom="1440" w:left="1800" w:header="851" w:footer="992" w:gutter="0"/>
          <w:cols w:space="425" w:num="1"/>
          <w:docGrid w:type="lines" w:linePitch="312" w:charSpace="0"/>
        </w:sectPr>
      </w:pPr>
    </w:p>
    <w:p>
      <w:pPr>
        <w:spacing w:line="600" w:lineRule="exact"/>
        <w:rPr>
          <w:bCs/>
          <w:sz w:val="32"/>
          <w:szCs w:val="32"/>
        </w:rPr>
      </w:pPr>
      <w:r>
        <w:rPr>
          <w:bCs/>
          <w:sz w:val="32"/>
          <w:szCs w:val="32"/>
        </w:rPr>
        <w:t>附件1</w:t>
      </w:r>
    </w:p>
    <w:tbl>
      <w:tblPr>
        <w:tblStyle w:val="25"/>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7"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8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1942"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color w:val="000000"/>
                <w:kern w:val="0"/>
                <w:sz w:val="22"/>
                <w:szCs w:val="22"/>
              </w:rPr>
              <w:t>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1769"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b/>
                <w:bCs/>
                <w:color w:val="000000"/>
                <w:kern w:val="0"/>
                <w:sz w:val="22"/>
                <w:szCs w:val="22"/>
              </w:rPr>
            </w:pPr>
            <w:r>
              <w:rPr>
                <w:color w:val="000000"/>
                <w:kern w:val="0"/>
                <w:sz w:val="22"/>
                <w:szCs w:val="22"/>
              </w:rPr>
              <w:t>1</w:t>
            </w:r>
            <w:r>
              <w:rPr>
                <w:rFonts w:hint="eastAsia"/>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color w:val="000000"/>
                <w:kern w:val="0"/>
                <w:sz w:val="22"/>
                <w:szCs w:val="22"/>
              </w:rPr>
            </w:pPr>
          </w:p>
        </w:tc>
        <w:tc>
          <w:tcPr>
            <w:tcW w:w="767"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pPr>
              <w:widowControl/>
              <w:spacing w:line="0" w:lineRule="atLeast"/>
              <w:jc w:val="center"/>
              <w:rPr>
                <w:b/>
                <w:bCs/>
                <w:color w:val="000000"/>
                <w:kern w:val="0"/>
                <w:sz w:val="22"/>
                <w:szCs w:val="22"/>
              </w:rPr>
            </w:pPr>
            <w:r>
              <w:rPr>
                <w:color w:val="000000"/>
                <w:kern w:val="0"/>
                <w:sz w:val="22"/>
                <w:szCs w:val="22"/>
              </w:rPr>
              <w:t>1</w:t>
            </w:r>
            <w:r>
              <w:rPr>
                <w:rFonts w:hint="eastAsia"/>
                <w:color w:val="000000"/>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7"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8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15</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1137" w:hRule="atLeast"/>
          <w:jc w:val="center"/>
        </w:trPr>
        <w:tc>
          <w:tcPr>
            <w:tcW w:w="839" w:type="dxa"/>
            <w:vMerge w:val="continue"/>
            <w:shd w:val="clear" w:color="auto" w:fill="FFFFFF"/>
            <w:vAlign w:val="center"/>
          </w:tcPr>
          <w:p>
            <w:pPr>
              <w:widowControl/>
              <w:spacing w:line="0" w:lineRule="atLeast"/>
              <w:jc w:val="center"/>
              <w:rPr>
                <w:color w:val="000000"/>
                <w:kern w:val="0"/>
                <w:sz w:val="22"/>
                <w:szCs w:val="22"/>
              </w:rPr>
            </w:pPr>
          </w:p>
        </w:tc>
        <w:tc>
          <w:tcPr>
            <w:tcW w:w="767"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8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5</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color w:val="000000"/>
                <w:kern w:val="0"/>
                <w:sz w:val="22"/>
                <w:szCs w:val="22"/>
              </w:rPr>
              <w:t>5</w:t>
            </w:r>
          </w:p>
        </w:tc>
      </w:tr>
    </w:tbl>
    <w:p>
      <w:pPr>
        <w:pStyle w:val="21"/>
        <w:rPr>
          <w:rFonts w:ascii="Times New Roman" w:hAnsi="Times New Roman"/>
        </w:rPr>
      </w:pPr>
    </w:p>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rPr>
          <w:rStyle w:val="23"/>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00007A87" w:usb1="80000000" w:usb2="00000008"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宋体"/>
    <w:panose1 w:val="02000000000000000000"/>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Times New Roman PS Pro">
    <w:altName w:val="Times New Roman"/>
    <w:panose1 w:val="02020603050405020304"/>
    <w:charset w:val="00"/>
    <w:family w:val="auto"/>
    <w:pitch w:val="default"/>
    <w:sig w:usb0="00000000" w:usb1="00000000" w:usb2="00000000" w:usb3="00000000" w:csb0="20000093" w:csb1="00000000"/>
  </w:font>
  <w:font w:name="方正小标宋简体">
    <w:altName w:val="仿宋_GB2312"/>
    <w:panose1 w:val="02000000000000000000"/>
    <w:charset w:val="86"/>
    <w:family w:val="auto"/>
    <w:pitch w:val="default"/>
    <w:sig w:usb0="00000000" w:usb1="00000000" w:usb2="00000012" w:usb3="00000000" w:csb0="00040001" w:csb1="00000000"/>
  </w:font>
  <w:font w:name="仿宋">
    <w:altName w:val="宋体"/>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7"/>
          <w:jc w:val="center"/>
        </w:pPr>
        <w:r>
          <w:fldChar w:fldCharType="begin"/>
        </w:r>
        <w:r>
          <w:instrText xml:space="preserve">PAGE   \* MERGEFORMAT</w:instrText>
        </w:r>
        <w:r>
          <w:fldChar w:fldCharType="separate"/>
        </w:r>
        <w:r>
          <w:rPr>
            <w:lang w:val="zh-CN"/>
          </w:rPr>
          <w:t>15</w:t>
        </w:r>
        <w:r>
          <w:fldChar w:fldCharType="end"/>
        </w:r>
      </w:p>
    </w:sdtContent>
  </w:sdt>
  <w:p>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kMTgzZDBhZGY1ZDM5YjA5NDQwMTU2MjYxODE5ODQifQ=="/>
  </w:docVars>
  <w:rsids>
    <w:rsidRoot w:val="00CA6457"/>
    <w:rsid w:val="00056465"/>
    <w:rsid w:val="000E50F0"/>
    <w:rsid w:val="000E586C"/>
    <w:rsid w:val="00121AE4"/>
    <w:rsid w:val="00146AAD"/>
    <w:rsid w:val="001B3A40"/>
    <w:rsid w:val="00200850"/>
    <w:rsid w:val="003748BB"/>
    <w:rsid w:val="003C18BC"/>
    <w:rsid w:val="003C1DDE"/>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0FD284F"/>
    <w:rsid w:val="051A56F5"/>
    <w:rsid w:val="062323E0"/>
    <w:rsid w:val="066D6EAA"/>
    <w:rsid w:val="06DC1681"/>
    <w:rsid w:val="08C662D4"/>
    <w:rsid w:val="09BD4D95"/>
    <w:rsid w:val="0B0F58D6"/>
    <w:rsid w:val="0EFD205D"/>
    <w:rsid w:val="0F8D41CB"/>
    <w:rsid w:val="0FEE2F21"/>
    <w:rsid w:val="11C75270"/>
    <w:rsid w:val="12637CC3"/>
    <w:rsid w:val="12E657C5"/>
    <w:rsid w:val="133C6E2A"/>
    <w:rsid w:val="167C7687"/>
    <w:rsid w:val="168B3546"/>
    <w:rsid w:val="16905557"/>
    <w:rsid w:val="1A2374E0"/>
    <w:rsid w:val="1B9C3DE9"/>
    <w:rsid w:val="1C317CE2"/>
    <w:rsid w:val="1DD45808"/>
    <w:rsid w:val="1DED42AC"/>
    <w:rsid w:val="1FCC1AAE"/>
    <w:rsid w:val="20005763"/>
    <w:rsid w:val="20FB313D"/>
    <w:rsid w:val="220B4804"/>
    <w:rsid w:val="278B653F"/>
    <w:rsid w:val="282475E3"/>
    <w:rsid w:val="29E421D9"/>
    <w:rsid w:val="2C6100C1"/>
    <w:rsid w:val="3235157C"/>
    <w:rsid w:val="3264220D"/>
    <w:rsid w:val="32A83563"/>
    <w:rsid w:val="33497AED"/>
    <w:rsid w:val="38872456"/>
    <w:rsid w:val="3963178C"/>
    <w:rsid w:val="3BA5236D"/>
    <w:rsid w:val="3CED0699"/>
    <w:rsid w:val="3DCA1603"/>
    <w:rsid w:val="3DFFE502"/>
    <w:rsid w:val="3EB02FD6"/>
    <w:rsid w:val="3F955CED"/>
    <w:rsid w:val="41CC2676"/>
    <w:rsid w:val="46B21672"/>
    <w:rsid w:val="4B060182"/>
    <w:rsid w:val="4F552460"/>
    <w:rsid w:val="4FCC6863"/>
    <w:rsid w:val="500A214A"/>
    <w:rsid w:val="522D604D"/>
    <w:rsid w:val="5297585E"/>
    <w:rsid w:val="52AD7D6F"/>
    <w:rsid w:val="5549519D"/>
    <w:rsid w:val="5557596B"/>
    <w:rsid w:val="56EE5989"/>
    <w:rsid w:val="573D4860"/>
    <w:rsid w:val="5B596DFC"/>
    <w:rsid w:val="5B87472F"/>
    <w:rsid w:val="5DAE6D00"/>
    <w:rsid w:val="5DF03945"/>
    <w:rsid w:val="5F03526B"/>
    <w:rsid w:val="62E515AF"/>
    <w:rsid w:val="637C2815"/>
    <w:rsid w:val="666B4FDC"/>
    <w:rsid w:val="67FF13C8"/>
    <w:rsid w:val="682144B7"/>
    <w:rsid w:val="68E20BA7"/>
    <w:rsid w:val="6B503F77"/>
    <w:rsid w:val="6E311968"/>
    <w:rsid w:val="6FFF4C54"/>
    <w:rsid w:val="7A353D0B"/>
    <w:rsid w:val="7B8B0281"/>
    <w:rsid w:val="7CB927D8"/>
    <w:rsid w:val="7D3A5E2F"/>
    <w:rsid w:val="7E5F1AE6"/>
    <w:rsid w:val="7FDF2570"/>
    <w:rsid w:val="EF7EF425"/>
    <w:rsid w:val="FEBF083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
    <w:basedOn w:val="1"/>
    <w:qFormat/>
    <w:uiPriority w:val="0"/>
    <w:pPr>
      <w:spacing w:after="120"/>
      <w:textAlignment w:val="baseline"/>
    </w:pPr>
  </w:style>
  <w:style w:type="paragraph" w:styleId="12">
    <w:name w:val="Body Text First Indent"/>
    <w:basedOn w:val="13"/>
    <w:qFormat/>
    <w:uiPriority w:val="0"/>
    <w:pPr>
      <w:spacing w:after="0"/>
      <w:ind w:firstLine="200" w:firstLineChars="200"/>
    </w:pPr>
  </w:style>
  <w:style w:type="paragraph" w:styleId="13">
    <w:name w:val="Body Text"/>
    <w:basedOn w:val="1"/>
    <w:qFormat/>
    <w:uiPriority w:val="0"/>
    <w:pPr>
      <w:spacing w:after="120"/>
    </w:pPr>
  </w:style>
  <w:style w:type="paragraph" w:styleId="14">
    <w:name w:val="annotation text"/>
    <w:basedOn w:val="1"/>
    <w:semiHidden/>
    <w:unhideWhenUsed/>
    <w:qFormat/>
    <w:uiPriority w:val="99"/>
    <w:pPr>
      <w:jc w:val="left"/>
    </w:pPr>
  </w:style>
  <w:style w:type="paragraph" w:styleId="15">
    <w:name w:val="Body Text Indent"/>
    <w:basedOn w:val="1"/>
    <w:qFormat/>
    <w:uiPriority w:val="0"/>
    <w:pPr>
      <w:spacing w:after="120"/>
      <w:ind w:left="420" w:leftChars="200"/>
    </w:pPr>
    <w:rPr>
      <w:rFonts w:ascii="Calibri" w:hAnsi="Calibri"/>
    </w:rPr>
  </w:style>
  <w:style w:type="paragraph" w:styleId="16">
    <w:name w:val="Balloon Text"/>
    <w:basedOn w:val="1"/>
    <w:link w:val="51"/>
    <w:semiHidden/>
    <w:unhideWhenUsed/>
    <w:qFormat/>
    <w:uiPriority w:val="99"/>
    <w:rPr>
      <w:sz w:val="18"/>
      <w:szCs w:val="18"/>
    </w:rPr>
  </w:style>
  <w:style w:type="paragraph" w:styleId="17">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8">
    <w:name w:val="Body Text First Indent 2"/>
    <w:basedOn w:val="15"/>
    <w:qFormat/>
    <w:uiPriority w:val="0"/>
    <w:pPr>
      <w:ind w:firstLine="420" w:firstLineChars="200"/>
    </w:pPr>
  </w:style>
  <w:style w:type="paragraph" w:styleId="19">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20">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21">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customStyle="1" w:styleId="26">
    <w:name w:val="标题 1 Char"/>
    <w:basedOn w:val="22"/>
    <w:link w:val="3"/>
    <w:qFormat/>
    <w:uiPriority w:val="9"/>
    <w:rPr>
      <w:rFonts w:asciiTheme="majorHAnsi" w:hAnsiTheme="majorHAnsi" w:eastAsiaTheme="majorEastAsia"/>
      <w:b/>
      <w:bCs/>
      <w:kern w:val="32"/>
      <w:sz w:val="32"/>
      <w:szCs w:val="32"/>
    </w:rPr>
  </w:style>
  <w:style w:type="character" w:customStyle="1" w:styleId="27">
    <w:name w:val="标题 2 Char"/>
    <w:basedOn w:val="22"/>
    <w:link w:val="4"/>
    <w:semiHidden/>
    <w:qFormat/>
    <w:uiPriority w:val="9"/>
    <w:rPr>
      <w:rFonts w:asciiTheme="majorHAnsi" w:hAnsiTheme="majorHAnsi" w:eastAsiaTheme="majorEastAsia"/>
      <w:b/>
      <w:bCs/>
      <w:i/>
      <w:iCs/>
      <w:sz w:val="28"/>
      <w:szCs w:val="28"/>
    </w:rPr>
  </w:style>
  <w:style w:type="character" w:customStyle="1" w:styleId="28">
    <w:name w:val="标题 3 Char"/>
    <w:basedOn w:val="22"/>
    <w:link w:val="5"/>
    <w:semiHidden/>
    <w:qFormat/>
    <w:uiPriority w:val="9"/>
    <w:rPr>
      <w:rFonts w:asciiTheme="majorHAnsi" w:hAnsiTheme="majorHAnsi" w:eastAsiaTheme="majorEastAsia"/>
      <w:b/>
      <w:bCs/>
      <w:sz w:val="26"/>
      <w:szCs w:val="26"/>
    </w:rPr>
  </w:style>
  <w:style w:type="character" w:customStyle="1" w:styleId="29">
    <w:name w:val="标题 4 Char"/>
    <w:basedOn w:val="22"/>
    <w:link w:val="6"/>
    <w:semiHidden/>
    <w:qFormat/>
    <w:uiPriority w:val="9"/>
    <w:rPr>
      <w:b/>
      <w:bCs/>
      <w:sz w:val="28"/>
      <w:szCs w:val="28"/>
    </w:rPr>
  </w:style>
  <w:style w:type="character" w:customStyle="1" w:styleId="30">
    <w:name w:val="标题 5 Char"/>
    <w:basedOn w:val="22"/>
    <w:link w:val="7"/>
    <w:semiHidden/>
    <w:qFormat/>
    <w:uiPriority w:val="9"/>
    <w:rPr>
      <w:b/>
      <w:bCs/>
      <w:i/>
      <w:iCs/>
      <w:sz w:val="26"/>
      <w:szCs w:val="26"/>
    </w:rPr>
  </w:style>
  <w:style w:type="character" w:customStyle="1" w:styleId="31">
    <w:name w:val="标题 6 Char"/>
    <w:basedOn w:val="22"/>
    <w:link w:val="8"/>
    <w:semiHidden/>
    <w:qFormat/>
    <w:uiPriority w:val="9"/>
    <w:rPr>
      <w:b/>
      <w:bCs/>
    </w:rPr>
  </w:style>
  <w:style w:type="character" w:customStyle="1" w:styleId="32">
    <w:name w:val="标题 7 Char"/>
    <w:basedOn w:val="22"/>
    <w:link w:val="9"/>
    <w:semiHidden/>
    <w:qFormat/>
    <w:uiPriority w:val="9"/>
    <w:rPr>
      <w:sz w:val="24"/>
      <w:szCs w:val="24"/>
    </w:rPr>
  </w:style>
  <w:style w:type="character" w:customStyle="1" w:styleId="33">
    <w:name w:val="标题 8 Char"/>
    <w:basedOn w:val="22"/>
    <w:link w:val="10"/>
    <w:semiHidden/>
    <w:qFormat/>
    <w:uiPriority w:val="9"/>
    <w:rPr>
      <w:i/>
      <w:iCs/>
      <w:sz w:val="24"/>
      <w:szCs w:val="24"/>
    </w:rPr>
  </w:style>
  <w:style w:type="character" w:customStyle="1" w:styleId="34">
    <w:name w:val="标题 9 Char"/>
    <w:basedOn w:val="22"/>
    <w:link w:val="11"/>
    <w:semiHidden/>
    <w:qFormat/>
    <w:uiPriority w:val="9"/>
    <w:rPr>
      <w:rFonts w:asciiTheme="majorHAnsi" w:hAnsiTheme="majorHAnsi" w:eastAsiaTheme="majorEastAsia"/>
    </w:rPr>
  </w:style>
  <w:style w:type="character" w:customStyle="1" w:styleId="35">
    <w:name w:val="标题 Char"/>
    <w:basedOn w:val="22"/>
    <w:link w:val="21"/>
    <w:qFormat/>
    <w:uiPriority w:val="10"/>
    <w:rPr>
      <w:rFonts w:asciiTheme="majorHAnsi" w:hAnsiTheme="majorHAnsi" w:eastAsiaTheme="majorEastAsia"/>
      <w:b/>
      <w:bCs/>
      <w:kern w:val="28"/>
      <w:sz w:val="32"/>
      <w:szCs w:val="32"/>
    </w:rPr>
  </w:style>
  <w:style w:type="character" w:customStyle="1" w:styleId="36">
    <w:name w:val="副标题 Char"/>
    <w:basedOn w:val="22"/>
    <w:link w:val="20"/>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Char"/>
    <w:basedOn w:val="22"/>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Char"/>
    <w:basedOn w:val="22"/>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2"/>
    <w:qFormat/>
    <w:uiPriority w:val="21"/>
    <w:rPr>
      <w:b/>
      <w:i/>
      <w:sz w:val="24"/>
      <w:szCs w:val="24"/>
      <w:u w:val="single"/>
    </w:rPr>
  </w:style>
  <w:style w:type="character" w:customStyle="1" w:styleId="45">
    <w:name w:val="不明显参考1"/>
    <w:basedOn w:val="22"/>
    <w:qFormat/>
    <w:uiPriority w:val="31"/>
    <w:rPr>
      <w:sz w:val="24"/>
      <w:szCs w:val="24"/>
      <w:u w:val="single"/>
    </w:rPr>
  </w:style>
  <w:style w:type="character" w:customStyle="1" w:styleId="46">
    <w:name w:val="明显参考1"/>
    <w:basedOn w:val="22"/>
    <w:qFormat/>
    <w:uiPriority w:val="32"/>
    <w:rPr>
      <w:b/>
      <w:sz w:val="24"/>
      <w:u w:val="single"/>
    </w:rPr>
  </w:style>
  <w:style w:type="character" w:customStyle="1" w:styleId="47">
    <w:name w:val="书籍标题1"/>
    <w:basedOn w:val="22"/>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Char"/>
    <w:basedOn w:val="22"/>
    <w:link w:val="19"/>
    <w:qFormat/>
    <w:uiPriority w:val="99"/>
    <w:rPr>
      <w:rFonts w:ascii="Calibri" w:hAnsi="Calibri" w:eastAsia="宋体"/>
      <w:kern w:val="2"/>
      <w:sz w:val="18"/>
      <w:szCs w:val="18"/>
    </w:rPr>
  </w:style>
  <w:style w:type="character" w:customStyle="1" w:styleId="50">
    <w:name w:val="页脚 Char"/>
    <w:basedOn w:val="22"/>
    <w:link w:val="17"/>
    <w:qFormat/>
    <w:uiPriority w:val="99"/>
    <w:rPr>
      <w:rFonts w:ascii="Calibri" w:hAnsi="Calibri" w:eastAsia="宋体"/>
      <w:kern w:val="2"/>
      <w:sz w:val="18"/>
      <w:szCs w:val="18"/>
    </w:rPr>
  </w:style>
  <w:style w:type="character" w:customStyle="1" w:styleId="51">
    <w:name w:val="批注框文本 Char"/>
    <w:basedOn w:val="22"/>
    <w:link w:val="16"/>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 w:type="character" w:customStyle="1" w:styleId="54">
    <w:name w:val="font51"/>
    <w:basedOn w:val="22"/>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8854</Words>
  <Characters>1230</Characters>
  <Lines>10</Lines>
  <Paragraphs>20</Paragraphs>
  <TotalTime>1</TotalTime>
  <ScaleCrop>false</ScaleCrop>
  <LinksUpToDate>false</LinksUpToDate>
  <CharactersWithSpaces>10064</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2020-07-06T00:35:00Z</dcterms:created>
  <dc:creator>赵 恺（预算处）</dc:creator>
  <cp:lastModifiedBy>Administrator</cp:lastModifiedBy>
  <cp:lastPrinted>2020-01-02T00:02:00Z</cp:lastPrinted>
  <dcterms:modified xsi:type="dcterms:W3CDTF">2008-12-31T16:49:22Z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y fmtid="{D5CDD505-2E9C-101B-9397-08002B2CF9AE}" pid="3" name="ICV">
    <vt:lpwstr>013360FACCE1418B80C968824022A9DF</vt:lpwstr>
  </property>
  <property fmtid="{D5CDD505-2E9C-101B-9397-08002B2CF9AE}" pid="4" name="KSOSaveFontToCloudKey">
    <vt:lpwstr>0_btnclosed</vt:lpwstr>
  </property>
</Properties>
</file>