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黑体" w:hAnsi="黑体" w:eastAsia="黑体" w:cs="黑体"/>
          <w:bCs/>
          <w:kern w:val="0"/>
          <w:sz w:val="32"/>
          <w:szCs w:val="32"/>
        </w:rPr>
      </w:pPr>
      <w:r>
        <w:rPr>
          <w:rFonts w:hint="eastAsia" w:ascii="黑体" w:hAnsi="黑体" w:eastAsia="黑体" w:cs="黑体"/>
          <w:bCs/>
          <w:kern w:val="0"/>
          <w:sz w:val="32"/>
          <w:szCs w:val="32"/>
        </w:rPr>
        <w:t>附件4：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自治区畜牧业生产发展资金</w:t>
      </w:r>
      <w:r>
        <w:rPr>
          <w:rFonts w:eastAsia="方正小标宋_GBK"/>
          <w:kern w:val="0"/>
          <w:sz w:val="48"/>
          <w:szCs w:val="48"/>
        </w:rPr>
        <w:t>项目支出绩效</w:t>
      </w:r>
      <w:r>
        <w:rPr>
          <w:rFonts w:hint="eastAsia" w:eastAsia="方正小标宋_GBK"/>
          <w:kern w:val="0"/>
          <w:sz w:val="48"/>
          <w:szCs w:val="48"/>
        </w:rPr>
        <w:t>（业务工作经费补助、畜产品质量安全检测、草业工作经费）</w:t>
      </w:r>
      <w:r>
        <w:rPr>
          <w:rFonts w:eastAsia="方正小标宋_GBK"/>
          <w:kern w:val="0"/>
          <w:sz w:val="48"/>
          <w:szCs w:val="48"/>
        </w:rPr>
        <w:t>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自治区畜牧业生产发展资金（业务工作经费补助、畜产品质量安全检测、草业工作经费）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自治区畜牧兽医局办公室</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自治区畜牧兽医局</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刘英豪</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2023</w:t>
      </w:r>
      <w:r>
        <w:rPr>
          <w:rFonts w:eastAsia="仿宋_GB2312"/>
          <w:kern w:val="0"/>
          <w:sz w:val="36"/>
          <w:szCs w:val="36"/>
        </w:rPr>
        <w:t>年</w:t>
      </w:r>
      <w:r>
        <w:rPr>
          <w:rFonts w:hint="eastAsia" w:eastAsia="仿宋_GB2312"/>
          <w:kern w:val="0"/>
          <w:sz w:val="36"/>
          <w:szCs w:val="36"/>
        </w:rPr>
        <w:t>1</w:t>
      </w:r>
      <w:r>
        <w:rPr>
          <w:rFonts w:eastAsia="仿宋_GB2312"/>
          <w:kern w:val="0"/>
          <w:sz w:val="36"/>
          <w:szCs w:val="36"/>
        </w:rPr>
        <w:t>月</w:t>
      </w:r>
      <w:r>
        <w:rPr>
          <w:rFonts w:hint="eastAsia" w:eastAsia="仿宋_GB2312"/>
          <w:kern w:val="0"/>
          <w:sz w:val="36"/>
          <w:szCs w:val="36"/>
        </w:rPr>
        <w:t>12</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2"/>
          <w:rFonts w:eastAsia="黑体"/>
          <w:b w:val="0"/>
          <w:spacing w:val="-4"/>
          <w:sz w:val="32"/>
          <w:szCs w:val="32"/>
        </w:rPr>
      </w:pPr>
    </w:p>
    <w:p>
      <w:pPr>
        <w:spacing w:line="540" w:lineRule="exact"/>
        <w:ind w:firstLine="640"/>
        <w:rPr>
          <w:rStyle w:val="22"/>
          <w:rFonts w:eastAsia="黑体"/>
          <w:b w:val="0"/>
          <w:spacing w:val="-4"/>
          <w:sz w:val="32"/>
          <w:szCs w:val="32"/>
        </w:rPr>
      </w:pPr>
    </w:p>
    <w:p>
      <w:pPr>
        <w:spacing w:line="540" w:lineRule="exact"/>
        <w:rPr>
          <w:rStyle w:val="22"/>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hd w:val="clear" w:color="auto"/>
        <w:spacing w:line="600" w:lineRule="exact"/>
        <w:ind w:firstLine="641"/>
        <w:rPr>
          <w:rFonts w:eastAsia="仿宋_GB2312"/>
          <w:b/>
          <w:bCs/>
          <w:sz w:val="32"/>
          <w:szCs w:val="32"/>
        </w:rPr>
      </w:pPr>
      <w:r>
        <w:rPr>
          <w:rFonts w:eastAsia="仿宋_GB2312"/>
          <w:b/>
          <w:bCs/>
          <w:sz w:val="32"/>
          <w:szCs w:val="32"/>
        </w:rPr>
        <w:t>1、项目背景</w:t>
      </w:r>
    </w:p>
    <w:p>
      <w:pPr>
        <w:shd w:val="clear" w:color="auto"/>
        <w:spacing w:line="600" w:lineRule="exact"/>
        <w:ind w:firstLine="640" w:firstLineChars="200"/>
        <w:rPr>
          <w:rFonts w:hint="eastAsia" w:eastAsia="仿宋_GB2312"/>
          <w:color w:val="auto"/>
          <w:sz w:val="32"/>
          <w:szCs w:val="32"/>
          <w:lang w:val="zh-CN"/>
        </w:rPr>
      </w:pPr>
      <w:r>
        <w:rPr>
          <w:rFonts w:hint="eastAsia" w:eastAsia="仿宋_GB2312"/>
          <w:color w:val="auto"/>
          <w:sz w:val="32"/>
          <w:szCs w:val="32"/>
          <w:lang w:val="zh-CN"/>
        </w:rPr>
        <w:t>2022年，自治区畜牧兽医局深入学习宣传贯彻党的十九大及十九届历次全会、党的二十大精神，贯彻落实习近平总书记视察新疆重要讲话重要指示精神，贯彻落实自治区党委十届三次、五次、六次全会精神，完整准确贯彻新时代党的治疆方略，牢牢扭住社会稳定和长治久安总目标，统筹疫情防控和经济社会发展，统筹发展和安全，贯彻自治区党委、政府“兴畜”决策部署和厅党组、局党组工作要求，突出重点，支持畜禽良种繁育、畜禽遗传资源保护、畜产品质量安全、优质饲草选育推广、畜牧业生产及产业化发展等畜牧业生产发展工作，做好畜产品稳产保供，为促进畜牧业高质量发展提供有力支撑。</w:t>
      </w:r>
    </w:p>
    <w:p>
      <w:pPr>
        <w:shd w:val="clear" w:color="auto"/>
        <w:spacing w:line="600" w:lineRule="exact"/>
        <w:ind w:firstLine="640" w:firstLineChars="200"/>
        <w:rPr>
          <w:rFonts w:hint="eastAsia" w:eastAsia="仿宋_GB2312"/>
          <w:color w:val="auto"/>
          <w:sz w:val="32"/>
          <w:szCs w:val="32"/>
          <w:lang w:val="zh-CN" w:eastAsia="zh-CN"/>
        </w:rPr>
      </w:pPr>
      <w:r>
        <w:rPr>
          <w:rFonts w:hint="eastAsia" w:eastAsia="仿宋_GB2312"/>
          <w:color w:val="auto"/>
          <w:sz w:val="32"/>
          <w:szCs w:val="32"/>
          <w:lang w:val="zh-CN" w:eastAsia="zh-CN"/>
        </w:rPr>
        <w:t>贯彻落实《国务院办公厅关于加强农业种质资源保护与利用的意见》（国办发〔2019〕56号）《农业农村部关于落实农业种质资源保护主体责任 开展农业种质资源登记工作的通知》（农种发〔2020〕2号）和《自治区党委办公厅、自治区人民政府办公厅印发&lt;关于促进新疆畜牧业高质量发展的意见&gt;》（新党办发〔2020〕7号）精神，大力推进畜牧科研攻关力量，加强产学研用结合，实施畜禽联合育种攻关、畜牧技术集成示范推广，提高全区畜禽良种率及供种能力，切实加强畜禽遗传资源保护与管理。</w:t>
      </w:r>
    </w:p>
    <w:p>
      <w:pPr>
        <w:shd w:val="clear" w:color="auto"/>
        <w:spacing w:line="600" w:lineRule="exact"/>
        <w:ind w:firstLine="640" w:firstLineChars="200"/>
        <w:rPr>
          <w:rFonts w:hint="eastAsia" w:eastAsia="仿宋_GB2312"/>
          <w:color w:val="auto"/>
          <w:sz w:val="32"/>
          <w:szCs w:val="32"/>
          <w:lang w:val="zh-CN" w:eastAsia="zh-CN"/>
        </w:rPr>
      </w:pPr>
      <w:r>
        <w:rPr>
          <w:rFonts w:hint="eastAsia" w:eastAsia="仿宋_GB2312"/>
          <w:color w:val="auto"/>
          <w:sz w:val="32"/>
          <w:szCs w:val="32"/>
          <w:lang w:val="zh-CN"/>
        </w:rPr>
        <w:t>2</w:t>
      </w:r>
      <w:r>
        <w:rPr>
          <w:rFonts w:hint="eastAsia" w:eastAsia="仿宋_GB2312"/>
          <w:color w:val="auto"/>
          <w:sz w:val="32"/>
          <w:szCs w:val="32"/>
          <w:lang w:val="zh-CN" w:eastAsia="zh-CN"/>
        </w:rPr>
        <w:t>020年，自治区党委办公厅、自治区人民政府办公厅《印发&lt;关于促进新疆畜牧业高质量发展的意见&gt;的通知》（新党办发〔2020〕7号）提出：大力发展饲草料产业，加快种植业结构调整，调优耕地地力保护补贴政策，扩大苜蓿、青贮玉米等优质饲草种植面积。五年全区新增饲草种植面积200万亩（其中新增全株青贮玉米120万亩、苜蓿80万亩），新增优质饲草600万吨以上。当前我区饲草产业发展存在饲草品种单一，品种区域布局不明显，种子质量不高，饲草品质低等问题，已成为制约我区饲草产业发展“卡脖子”的关键，为科学布局饲草品种，增加饲草多样性，提高饲草生产品质，特制定本项目相关指标。</w:t>
      </w:r>
    </w:p>
    <w:p>
      <w:pPr>
        <w:shd w:val="clear" w:color="auto"/>
        <w:spacing w:line="600" w:lineRule="exact"/>
        <w:ind w:firstLine="640" w:firstLineChars="200"/>
        <w:rPr>
          <w:rFonts w:hint="eastAsia" w:eastAsia="仿宋_GB2312"/>
          <w:color w:val="auto"/>
          <w:sz w:val="32"/>
          <w:szCs w:val="32"/>
          <w:lang w:val="zh-CN" w:eastAsia="zh-CN"/>
        </w:rPr>
      </w:pPr>
      <w:r>
        <w:rPr>
          <w:rFonts w:hint="eastAsia" w:eastAsia="仿宋_GB2312"/>
          <w:color w:val="auto"/>
          <w:sz w:val="32"/>
          <w:szCs w:val="32"/>
          <w:lang w:val="zh-CN" w:eastAsia="zh-CN"/>
        </w:rPr>
        <w:t>为贯彻落实《中华人民共和国食品安全法》《中华人民共和国农产品质量安全法》《生猪屠宰条例》《乳品质量安全监督管理条例》，结合全区食用畜产品生产布局情况、畜产品质量安全例行检测发现的问题情况，开展2022年畜产品质量安全监测工作，为全区畜产品质量安全监管提供技术依据，提升畜禽产品质量，保障人民群众“舌尖上的安全”。</w:t>
      </w:r>
    </w:p>
    <w:p>
      <w:pPr>
        <w:shd w:val="clear" w:color="auto"/>
        <w:spacing w:line="600" w:lineRule="exact"/>
        <w:ind w:firstLine="640" w:firstLineChars="200"/>
        <w:rPr>
          <w:lang w:val="zh-CN"/>
        </w:rPr>
      </w:pPr>
      <w:r>
        <w:rPr>
          <w:rFonts w:hint="eastAsia" w:eastAsia="仿宋_GB2312"/>
          <w:color w:val="auto"/>
          <w:sz w:val="32"/>
          <w:szCs w:val="32"/>
          <w:lang w:val="zh-CN" w:eastAsia="zh-CN"/>
        </w:rPr>
        <w:t>按照党中央、国务院及自治区关于坚决打好农业面源污染防治攻坚战安排部署，按照“源头减量、过程控制、末端利用”的治理原则，坚持“畜禽粪肥就地有效肥料化还田利用”的治理思路，助力打好农业农村污染治理攻坚战。</w:t>
      </w:r>
    </w:p>
    <w:p>
      <w:pPr>
        <w:pStyle w:val="2"/>
        <w:numPr>
          <w:ilvl w:val="0"/>
          <w:numId w:val="1"/>
        </w:numPr>
        <w:shd w:val="clear" w:color="auto"/>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hd w:val="clear" w:color="auto"/>
        <w:spacing w:line="600" w:lineRule="exact"/>
        <w:ind w:firstLine="640" w:firstLineChars="200"/>
        <w:rPr>
          <w:rFonts w:hint="eastAsia" w:eastAsia="仿宋_GB2312"/>
          <w:sz w:val="32"/>
          <w:szCs w:val="32"/>
          <w:lang w:val="zh-CN"/>
        </w:rPr>
      </w:pPr>
      <w:r>
        <w:rPr>
          <w:rFonts w:hint="eastAsia" w:eastAsia="仿宋_GB2312"/>
          <w:sz w:val="32"/>
          <w:szCs w:val="32"/>
          <w:lang w:val="zh-CN"/>
        </w:rPr>
        <w:t>畜禽遗传资源：依托我区畜禽遗传资源现有基础，加快建设完善自治区级畜禽遗传资源保种场或保护区，构建畜禽资源保护体系，防止优质畜禽种质资源的退化。</w:t>
      </w:r>
      <w:r>
        <w:rPr>
          <w:rFonts w:hint="eastAsia" w:eastAsia="仿宋_GB2312"/>
          <w:sz w:val="32"/>
          <w:szCs w:val="32"/>
          <w:lang w:val="en-US" w:eastAsia="zh-CN"/>
        </w:rPr>
        <w:t>2022年重点支持12个自治区认定的保种场（保护区）和</w:t>
      </w:r>
      <w:r>
        <w:rPr>
          <w:rFonts w:hint="eastAsia" w:eastAsia="仿宋_GB2312"/>
          <w:sz w:val="32"/>
          <w:szCs w:val="32"/>
          <w:lang w:val="zh-CN"/>
        </w:rPr>
        <w:t>自治区畜禽遗传资源库建设。开展畜禽遗传资源保种场（保护区）、畜禽遗传资源基因库建设、种群质量提升、畜禽遗传资源动态监测、畜禽种质资源确认和登记工作。通过项目建设，提高畜禽遗传资源保护的物质装备水平，积累畜禽遗传资源保护动态检测数据，为畜禽新品种选育提供素材。</w:t>
      </w:r>
    </w:p>
    <w:p>
      <w:pPr>
        <w:shd w:val="clear" w:color="auto"/>
        <w:spacing w:line="600" w:lineRule="exact"/>
        <w:ind w:firstLine="640" w:firstLineChars="200"/>
        <w:rPr>
          <w:rFonts w:hint="eastAsia" w:eastAsia="仿宋_GB2312"/>
          <w:sz w:val="32"/>
          <w:szCs w:val="32"/>
          <w:lang w:val="zh-CN"/>
        </w:rPr>
      </w:pPr>
      <w:r>
        <w:rPr>
          <w:rFonts w:hint="eastAsia" w:eastAsia="仿宋_GB2312"/>
          <w:sz w:val="32"/>
          <w:szCs w:val="32"/>
          <w:lang w:val="zh-CN"/>
        </w:rPr>
        <w:t>畜牧业生产及产业化发展：结合自治区下发《关于印发&lt;农区高效肉羊品种选育计划（2020-2025年）&gt;等5个畜禽种业提升计划2021年度实施方案的通知》（新牧畜字〔202</w:t>
      </w:r>
      <w:r>
        <w:rPr>
          <w:rFonts w:hint="eastAsia" w:eastAsia="仿宋_GB2312"/>
          <w:sz w:val="32"/>
          <w:szCs w:val="32"/>
          <w:lang w:val="en-US" w:eastAsia="zh-CN"/>
        </w:rPr>
        <w:t>1</w:t>
      </w:r>
      <w:r>
        <w:rPr>
          <w:rFonts w:hint="eastAsia" w:eastAsia="仿宋_GB2312"/>
          <w:sz w:val="32"/>
          <w:szCs w:val="32"/>
          <w:lang w:val="zh-CN"/>
        </w:rPr>
        <w:t>〕1号）要求，依托自治区农区高效肉羊品种选育推广、牧区地方肉羊品种选育推广、多浪羊品种选育推广、新疆褐牛联合育种、西门塔尔（安格斯）牛群体改良等5个产业技术体系开展工作，涉及科研院校、13个地（州、市）畜牧兽医技术推广单位、涉牧企业等共100余家，开展核心种畜场和重点养殖场种畜的育种、表型测定、品种鉴定、种畜购置等育种与生产环节及种畜鉴定、资源统计等推广工作。通过项目实施，扩大核心育种群数量，品种改良工作初见成效，供种能力显著提升。</w:t>
      </w:r>
    </w:p>
    <w:p>
      <w:pPr>
        <w:shd w:val="clear" w:color="auto"/>
        <w:spacing w:line="600" w:lineRule="exact"/>
        <w:ind w:firstLine="640" w:firstLineChars="200"/>
        <w:rPr>
          <w:rFonts w:hint="eastAsia"/>
          <w:lang w:val="zh-CN"/>
        </w:rPr>
      </w:pPr>
      <w:r>
        <w:rPr>
          <w:rFonts w:hint="eastAsia" w:eastAsia="仿宋_GB2312"/>
          <w:sz w:val="32"/>
          <w:szCs w:val="32"/>
          <w:lang w:val="zh-CN"/>
        </w:rPr>
        <w:t>畜产品质量安全：监测委托4个检测机构完成全疆畜产品质量安全定量及定性、饲料质量安全监测、兽药监测检测；对全区畜产品质量安全监测预警分析。完成地理标志登记、名特优新农产品检测，以及畜产品质量安全活动周、兽药生产企业GMP验收换证等工作。配合农业农村部委托质检机构完成对养殖环节、屠宰环节畜产品质量安全状况进行例行监测监督抽查等任务。</w:t>
      </w:r>
    </w:p>
    <w:p>
      <w:pPr>
        <w:spacing w:line="600" w:lineRule="exact"/>
        <w:ind w:firstLine="640" w:firstLineChars="200"/>
        <w:rPr>
          <w:rFonts w:hint="eastAsia" w:eastAsia="仿宋_GB2312"/>
          <w:sz w:val="32"/>
          <w:szCs w:val="32"/>
          <w:lang w:val="zh-CN"/>
        </w:rPr>
      </w:pPr>
      <w:r>
        <w:rPr>
          <w:rFonts w:hint="eastAsia" w:eastAsia="仿宋_GB2312"/>
          <w:sz w:val="32"/>
          <w:szCs w:val="32"/>
          <w:lang w:val="zh-CN"/>
        </w:rPr>
        <w:t>农区优质牧草选育推广：围绕苜蓿、青贮玉米、饲用高粱等优质饲草品种生产评比、高产栽培技术推广、营养成分快速测定3个关键环节，示范带动全区饲草产业发展。委托科研院校、自治区技术推广单位开展新成果跟踪、新技术指导。2022年计划建设不同优质饲草品种生产评比田4000亩，选择饲草品种10种以上。</w:t>
      </w:r>
    </w:p>
    <w:p>
      <w:pPr>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畜禽粪污资源化：实施好畜禽粪污资源化利用整县推进项目，抓好直联直报信息系统粪污资源化利用跟踪监测，推进规模养殖场畜禽粪污资源化利用计划和台账管理。有效利用国家兽医卫生综合信息平台病死畜禽无害化信息管理系统，做好病死畜禽无害化处理全程追溯和保险联动工作。</w:t>
      </w:r>
    </w:p>
    <w:p>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511</w:t>
      </w:r>
      <w:r>
        <w:rPr>
          <w:rFonts w:eastAsia="仿宋_GB2312"/>
          <w:sz w:val="32"/>
          <w:szCs w:val="32"/>
        </w:rPr>
        <w:t>万元，其中：财政本级资金</w:t>
      </w:r>
      <w:r>
        <w:rPr>
          <w:rFonts w:hint="eastAsia" w:eastAsia="仿宋_GB2312"/>
          <w:sz w:val="32"/>
          <w:szCs w:val="32"/>
        </w:rPr>
        <w:t>511</w:t>
      </w:r>
      <w:r>
        <w:rPr>
          <w:rFonts w:eastAsia="仿宋_GB2312"/>
          <w:sz w:val="32"/>
          <w:szCs w:val="32"/>
        </w:rPr>
        <w:t>万元。项目实际支出</w:t>
      </w:r>
      <w:r>
        <w:rPr>
          <w:rFonts w:hint="eastAsia" w:eastAsia="仿宋_GB2312"/>
          <w:sz w:val="32"/>
          <w:szCs w:val="32"/>
        </w:rPr>
        <w:t>473.21</w:t>
      </w:r>
      <w:r>
        <w:rPr>
          <w:rFonts w:eastAsia="仿宋_GB2312"/>
          <w:sz w:val="32"/>
          <w:szCs w:val="32"/>
        </w:rPr>
        <w:t>万元，支出率为</w:t>
      </w:r>
      <w:r>
        <w:rPr>
          <w:rFonts w:hint="eastAsia" w:eastAsia="仿宋_GB2312"/>
          <w:sz w:val="32"/>
          <w:szCs w:val="32"/>
        </w:rPr>
        <w:t>92.6</w:t>
      </w:r>
      <w:r>
        <w:rPr>
          <w:rFonts w:eastAsia="仿宋_GB2312"/>
          <w:sz w:val="32"/>
          <w:szCs w:val="32"/>
        </w:rPr>
        <w:t>%。</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rPr>
        <w:t>511</w:t>
      </w:r>
      <w:r>
        <w:rPr>
          <w:rFonts w:eastAsia="仿宋_GB2312"/>
          <w:sz w:val="32"/>
          <w:szCs w:val="32"/>
        </w:rPr>
        <w:t>万元，按照单位财务制度等相关规定，资金支出符合</w:t>
      </w:r>
      <w:r>
        <w:rPr>
          <w:rFonts w:hint="eastAsia" w:eastAsia="仿宋_GB2312"/>
          <w:sz w:val="32"/>
          <w:szCs w:val="32"/>
        </w:rPr>
        <w:t>自治区畜牧业生产发展资金（业务工作经费补助、畜产品质量安全检测、草业工作经费）</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自治区畜牧业生产发展资金（业务工作经费补助、畜产品质量安全检测、草业工作经费）</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一般财政拨款</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rPr>
        <w:t>511</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全年执行473.21万元，预算执行率为92.6</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hd w:val="clear" w:color="auto"/>
        <w:spacing w:line="600" w:lineRule="exact"/>
        <w:ind w:firstLine="640" w:firstLineChars="200"/>
        <w:rPr>
          <w:rFonts w:eastAsia="仿宋_GB2312"/>
          <w:sz w:val="32"/>
          <w:szCs w:val="32"/>
        </w:rPr>
      </w:pPr>
      <w:r>
        <w:rPr>
          <w:rFonts w:eastAsia="仿宋_GB2312"/>
          <w:sz w:val="32"/>
          <w:szCs w:val="32"/>
        </w:rPr>
        <w:t>1、总体目标</w:t>
      </w:r>
    </w:p>
    <w:p>
      <w:pPr>
        <w:shd w:val="clear" w:color="auto"/>
        <w:spacing w:line="540" w:lineRule="exact"/>
        <w:ind w:firstLine="640" w:firstLineChars="200"/>
        <w:rPr>
          <w:shd w:val="clear" w:color="auto" w:fill="auto"/>
        </w:rPr>
      </w:pPr>
      <w:r>
        <w:rPr>
          <w:rFonts w:hint="eastAsia" w:eastAsia="仿宋_GB2312"/>
          <w:sz w:val="32"/>
          <w:szCs w:val="32"/>
          <w:shd w:val="clear" w:color="auto" w:fill="auto"/>
        </w:rPr>
        <w:t>推进奶业振兴、加强畜禽遗传资源保护，推进种植业结构调整，开展14个地州的畜牧业振兴行动目标完成情况、国家和自治区扶持政策落实情况、示范工程实施、养殖场（小区）备案、设计规模、实际存栏、销售、粪污资源化利用等项目督导、检查、调研、绩效评价、第三方审计、行业标准的制定等工作，组织开展《畜牧法实施办法》制定和《动物防疫法实施办法》修订工作，做好政策宣传解读工作；畜牧业生产统计及畜产品价格监测、饲料行业生产统计监测政府购买服务等工作，进村入户宣讲培训、发放政策明白纸、编制畜牧业主导品种和主推技术编制推介手册等，开展畜牧业科技各类培训，加强畜产品质量安全监管体系建设，落实国家各项畜牧业发展政策，调研提出规划和政策建议，开展畜牧兽医职称评审工作等。</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600" w:lineRule="exact"/>
        <w:ind w:firstLine="640" w:firstLineChars="200"/>
        <w:rPr>
          <w:rFonts w:eastAsia="仿宋_GB2312"/>
          <w:sz w:val="32"/>
          <w:szCs w:val="32"/>
        </w:rPr>
      </w:pPr>
      <w:r>
        <w:rPr>
          <w:rFonts w:hint="eastAsia" w:eastAsia="仿宋_GB2312"/>
          <w:sz w:val="32"/>
          <w:szCs w:val="32"/>
        </w:rPr>
        <w:t>自治区畜牧业生产发展资金（业务工作经费补助、畜产品质量安全检测、草业工作经费）项目所包含的全部项目建设内容。</w:t>
      </w:r>
    </w:p>
    <w:p>
      <w:pPr>
        <w:spacing w:line="600" w:lineRule="exact"/>
        <w:ind w:firstLine="640" w:firstLineChars="200"/>
        <w:rPr>
          <w:rFonts w:eastAsia="仿宋_GB2312"/>
          <w:kern w:val="28"/>
          <w:sz w:val="32"/>
          <w:szCs w:val="32"/>
        </w:rPr>
      </w:pPr>
      <w:r>
        <w:rPr>
          <w:rFonts w:eastAsia="仿宋_GB2312"/>
          <w:kern w:val="28"/>
          <w:sz w:val="32"/>
          <w:szCs w:val="32"/>
        </w:rPr>
        <w:t>3、绩效评价的范围</w:t>
      </w:r>
    </w:p>
    <w:p>
      <w:pPr>
        <w:spacing w:line="600" w:lineRule="exact"/>
        <w:ind w:firstLine="640" w:firstLineChars="200"/>
        <w:rPr>
          <w:rFonts w:eastAsia="仿宋_GB2312"/>
          <w:sz w:val="32"/>
          <w:szCs w:val="32"/>
        </w:rPr>
      </w:pPr>
      <w:r>
        <w:rPr>
          <w:rFonts w:hint="eastAsia" w:eastAsia="仿宋_GB2312"/>
          <w:sz w:val="32"/>
          <w:szCs w:val="32"/>
        </w:rPr>
        <w:t>自治区畜牧业生产发展资金（业务工作经费补助、畜产品质量安全检测、草业工作经费）项目的决策、过程、产出、效益等。</w:t>
      </w:r>
    </w:p>
    <w:p>
      <w:pPr>
        <w:spacing w:line="60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rPr>
        <w:t>20</w:t>
      </w:r>
      <w:r>
        <w:rPr>
          <w:rFonts w:eastAsia="仿宋_GB2312"/>
          <w:color w:val="000000"/>
          <w:spacing w:val="17"/>
          <w:sz w:val="32"/>
          <w:szCs w:val="32"/>
        </w:rPr>
        <w:t>分，项目过程权重为</w:t>
      </w:r>
      <w:r>
        <w:rPr>
          <w:rFonts w:hint="eastAsia" w:eastAsia="仿宋_GB2312"/>
          <w:color w:val="000000"/>
          <w:spacing w:val="17"/>
          <w:sz w:val="32"/>
          <w:szCs w:val="32"/>
        </w:rPr>
        <w:t>20</w:t>
      </w:r>
      <w:r>
        <w:rPr>
          <w:rFonts w:eastAsia="仿宋_GB2312"/>
          <w:color w:val="000000"/>
          <w:spacing w:val="17"/>
          <w:sz w:val="32"/>
          <w:szCs w:val="32"/>
        </w:rPr>
        <w:t>分，项目产出权重为</w:t>
      </w:r>
      <w:r>
        <w:rPr>
          <w:rFonts w:hint="eastAsia" w:eastAsia="仿宋_GB2312"/>
          <w:color w:val="000000"/>
          <w:spacing w:val="17"/>
          <w:sz w:val="32"/>
          <w:szCs w:val="32"/>
        </w:rPr>
        <w:t>40</w:t>
      </w:r>
      <w:r>
        <w:rPr>
          <w:rFonts w:eastAsia="仿宋_GB2312"/>
          <w:color w:val="000000"/>
          <w:spacing w:val="17"/>
          <w:sz w:val="32"/>
          <w:szCs w:val="32"/>
        </w:rPr>
        <w:t>分，项目效益权重为</w:t>
      </w:r>
      <w:r>
        <w:rPr>
          <w:rFonts w:hint="eastAsia" w:eastAsia="仿宋_GB2312"/>
          <w:color w:val="000000"/>
          <w:spacing w:val="17"/>
          <w:sz w:val="32"/>
          <w:szCs w:val="32"/>
        </w:rPr>
        <w:t>20</w:t>
      </w:r>
      <w:r>
        <w:rPr>
          <w:rFonts w:eastAsia="仿宋_GB2312"/>
          <w:color w:val="000000"/>
          <w:spacing w:val="17"/>
          <w:sz w:val="32"/>
          <w:szCs w:val="32"/>
        </w:rPr>
        <w:t>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2"/>
        <w:numPr>
          <w:ilvl w:val="0"/>
          <w:numId w:val="3"/>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自治区畜牧业生产发展资金（业务工作经费补助、畜产品质量安全检测、草业工作经费）</w:t>
      </w:r>
      <w:r>
        <w:rPr>
          <w:rFonts w:ascii="Times New Roman" w:hAnsi="Times New Roman" w:eastAsia="仿宋_GB2312"/>
          <w:b w:val="0"/>
          <w:bCs w:val="0"/>
        </w:rPr>
        <w:t>项目进行客观评价，最终评分结果：总得分为</w:t>
      </w:r>
      <w:r>
        <w:rPr>
          <w:rFonts w:hint="eastAsia" w:ascii="Times New Roman" w:hAnsi="Times New Roman" w:eastAsia="仿宋_GB2312"/>
          <w:b w:val="0"/>
          <w:bCs w:val="0"/>
        </w:rPr>
        <w:t>99.7</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19.7</w:t>
      </w:r>
      <w:r>
        <w:rPr>
          <w:rFonts w:ascii="Times New Roman" w:hAnsi="Times New Roman" w:eastAsia="仿宋_GB2312"/>
          <w:b w:val="0"/>
          <w:bCs w:val="0"/>
        </w:rPr>
        <w:t>分，得分率为</w:t>
      </w:r>
      <w:r>
        <w:rPr>
          <w:rFonts w:hint="eastAsia" w:ascii="Times New Roman" w:hAnsi="Times New Roman" w:eastAsia="仿宋_GB2312"/>
          <w:b w:val="0"/>
          <w:bCs w:val="0"/>
        </w:rPr>
        <w:t>98.5%</w:t>
      </w:r>
      <w:r>
        <w:rPr>
          <w:rFonts w:ascii="Times New Roman" w:hAnsi="Times New Roman" w:eastAsia="仿宋_GB2312"/>
          <w:b w:val="0"/>
          <w:bCs w:val="0"/>
        </w:rPr>
        <w:t>。项目产出类指标权重为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w:t>
      </w:r>
    </w:p>
    <w:p>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4"/>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776"/>
        <w:gridCol w:w="1151"/>
        <w:gridCol w:w="2053"/>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776"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151"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205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776"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continue"/>
            <w:shd w:val="clear" w:color="auto" w:fill="FFFFFF"/>
            <w:vAlign w:val="center"/>
          </w:tcPr>
          <w:p>
            <w:pPr>
              <w:widowControl/>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continue"/>
            <w:shd w:val="clear" w:color="auto" w:fill="FFFFFF"/>
            <w:vAlign w:val="center"/>
          </w:tcPr>
          <w:p>
            <w:pPr>
              <w:widowControl/>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spacing w:line="0" w:lineRule="atLeast"/>
              <w:jc w:val="center"/>
              <w:rPr>
                <w:color w:val="000000"/>
                <w:kern w:val="0"/>
                <w:sz w:val="22"/>
                <w:szCs w:val="22"/>
              </w:rPr>
            </w:pP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continue"/>
            <w:shd w:val="clear" w:color="auto" w:fill="FFFFFF"/>
            <w:vAlign w:val="center"/>
          </w:tcPr>
          <w:p>
            <w:pPr>
              <w:widowControl/>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18"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776"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01"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spacing w:line="0" w:lineRule="atLeast"/>
              <w:jc w:val="center"/>
              <w:rPr>
                <w:color w:val="000000"/>
                <w:kern w:val="0"/>
                <w:sz w:val="22"/>
                <w:szCs w:val="22"/>
              </w:rPr>
            </w:pPr>
          </w:p>
        </w:tc>
        <w:tc>
          <w:tcPr>
            <w:tcW w:w="1151" w:type="dxa"/>
            <w:vMerge w:val="continue"/>
            <w:shd w:val="clear" w:color="auto" w:fill="FFFFFF"/>
            <w:vAlign w:val="center"/>
          </w:tcPr>
          <w:p>
            <w:pPr>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92.6</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92.6</w:t>
            </w:r>
            <w:r>
              <w:rPr>
                <w:color w:val="000000"/>
                <w:kern w:val="0"/>
                <w:sz w:val="22"/>
                <w:szCs w:val="22"/>
              </w:rPr>
              <w:t>%</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spacing w:line="0" w:lineRule="atLeast"/>
              <w:jc w:val="center"/>
              <w:rPr>
                <w:color w:val="000000"/>
                <w:kern w:val="0"/>
                <w:sz w:val="22"/>
                <w:szCs w:val="22"/>
              </w:rPr>
            </w:pP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continue"/>
            <w:shd w:val="clear" w:color="auto" w:fill="FFFFFF"/>
            <w:vAlign w:val="center"/>
          </w:tcPr>
          <w:p>
            <w:pPr>
              <w:widowControl/>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76"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15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776" w:type="dxa"/>
            <w:vMerge w:val="continue"/>
            <w:shd w:val="clear" w:color="auto" w:fill="FFFFFF"/>
            <w:vAlign w:val="center"/>
          </w:tcPr>
          <w:p>
            <w:pPr>
              <w:spacing w:line="0" w:lineRule="atLeast"/>
              <w:jc w:val="center"/>
              <w:rPr>
                <w:color w:val="000000"/>
                <w:kern w:val="0"/>
                <w:sz w:val="22"/>
                <w:szCs w:val="22"/>
              </w:rPr>
            </w:pPr>
          </w:p>
        </w:tc>
        <w:tc>
          <w:tcPr>
            <w:tcW w:w="1151"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76"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151"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76" w:type="dxa"/>
            <w:vMerge w:val="continue"/>
            <w:shd w:val="clear" w:color="auto" w:fill="FFFFFF"/>
            <w:vAlign w:val="center"/>
          </w:tcPr>
          <w:p>
            <w:pPr>
              <w:widowControl/>
              <w:spacing w:line="0" w:lineRule="atLeast"/>
              <w:jc w:val="center"/>
              <w:rPr>
                <w:color w:val="000000"/>
                <w:kern w:val="0"/>
                <w:sz w:val="22"/>
                <w:szCs w:val="22"/>
              </w:rPr>
            </w:pPr>
          </w:p>
        </w:tc>
        <w:tc>
          <w:tcPr>
            <w:tcW w:w="1151" w:type="dxa"/>
            <w:vMerge w:val="continue"/>
            <w:shd w:val="clear" w:color="auto" w:fill="FFFFFF"/>
            <w:vAlign w:val="center"/>
          </w:tcPr>
          <w:p>
            <w:pPr>
              <w:widowControl/>
              <w:spacing w:line="0" w:lineRule="atLeast"/>
              <w:jc w:val="center"/>
              <w:rPr>
                <w:color w:val="000000"/>
                <w:kern w:val="0"/>
                <w:sz w:val="22"/>
                <w:szCs w:val="22"/>
              </w:rPr>
            </w:pPr>
          </w:p>
        </w:tc>
        <w:tc>
          <w:tcPr>
            <w:tcW w:w="205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rPr>
              <w:t>90</w:t>
            </w:r>
            <w:r>
              <w:rPr>
                <w:color w:val="000000"/>
                <w:kern w:val="0"/>
                <w:sz w:val="22"/>
                <w:szCs w:val="22"/>
              </w:rPr>
              <w:t>%</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a.繁育牲畜种畜指标，指标值为≥3万头，实际完成3万头，完成率100%，偏差率0%。</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b.优质鉰草品种生产评比田建设指标，指标值为≥3000亩，实际完成3000亩，完成率100%，偏差率0%。</w:t>
      </w:r>
    </w:p>
    <w:p>
      <w:pPr>
        <w:pStyle w:val="2"/>
        <w:ind w:firstLine="640" w:firstLineChars="200"/>
        <w:jc w:val="left"/>
      </w:pPr>
      <w:r>
        <w:rPr>
          <w:rFonts w:hint="eastAsia" w:ascii="仿宋_GB2312" w:hAnsi="仿宋_GB2312" w:eastAsia="仿宋_GB2312" w:cs="仿宋_GB2312"/>
          <w:b w:val="0"/>
          <w:bCs w:val="0"/>
          <w:kern w:val="2"/>
        </w:rPr>
        <w:t>c.支持畜禽遗传保种场（保护区）指标，指标值为≥12个，实际完成12个，完成率100%，偏差率0%。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质量指标方面：</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a.畜产品质量安全率指标，指标值为98%，实际完成98%，完成率100%，偏差率0%。</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b.规模化畜禽养殖粪便综合利用率指标，指标值为≥80%，实际完成80%，完成率100%，偏差率0%。</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c.畜禽粪污资源化利用整县推进项目竣工验收合格率指标，指标值为≥95%，实际完成95%，完成率100%，偏差率0%。</w:t>
      </w:r>
    </w:p>
    <w:p>
      <w:pPr>
        <w:pStyle w:val="2"/>
        <w:ind w:firstLine="640" w:firstLineChars="200"/>
        <w:jc w:val="left"/>
        <w:rPr>
          <w:rFonts w:ascii="Times New Roman" w:hAnsi="Times New Roman"/>
        </w:rPr>
      </w:pPr>
      <w:r>
        <w:rPr>
          <w:rFonts w:hint="eastAsia" w:ascii="仿宋_GB2312" w:hAnsi="仿宋_GB2312" w:eastAsia="仿宋_GB2312" w:cs="仿宋_GB2312"/>
          <w:b w:val="0"/>
          <w:bCs w:val="0"/>
          <w:kern w:val="2"/>
        </w:rPr>
        <w:t>d.各项培训出勤率指标，指标值为≥95%，实际完成95%，完成率100%，偏差率0%。</w:t>
      </w:r>
    </w:p>
    <w:p>
      <w:pPr>
        <w:pStyle w:val="2"/>
        <w:spacing w:before="0" w:after="0" w:line="600" w:lineRule="exact"/>
        <w:ind w:firstLine="640" w:firstLineChars="200"/>
        <w:jc w:val="both"/>
        <w:rPr>
          <w:rStyle w:val="52"/>
          <w:rFonts w:ascii="Times New Roman" w:hAnsi="Times New Roman" w:cs="Times New Roman"/>
          <w:b w:val="0"/>
          <w:bCs w:val="0"/>
          <w:color w:val="auto"/>
        </w:rPr>
      </w:pPr>
      <w:r>
        <w:rPr>
          <w:rStyle w:val="52"/>
          <w:rFonts w:ascii="Times New Roman" w:hAnsi="Times New Roman" w:cs="Times New Roman"/>
          <w:b w:val="0"/>
          <w:bCs w:val="0"/>
          <w:color w:val="auto"/>
        </w:rPr>
        <w:t>成本指标方面：</w:t>
      </w:r>
    </w:p>
    <w:p>
      <w:pPr>
        <w:pStyle w:val="2"/>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a.畜牧业科技各类培训经费指标，指标值为≤68万元，实际完成68万元，完成率100%，偏差率0%。</w:t>
      </w:r>
    </w:p>
    <w:p>
      <w:pPr>
        <w:ind w:firstLine="960" w:firstLineChars="300"/>
      </w:pPr>
      <w:r>
        <w:rPr>
          <w:rFonts w:hint="eastAsia" w:ascii="仿宋_GB2312" w:hAnsi="仿宋_GB2312" w:eastAsia="仿宋_GB2312" w:cs="仿宋_GB2312"/>
          <w:sz w:val="32"/>
          <w:szCs w:val="32"/>
        </w:rPr>
        <w:t>b.畜牧业生产发展工作经费指标，指标值为≤493万元，实际完成455.21万元，完成率92.33%，偏差率7.67%。偏差原因是疫情停工导致部分业务未开展。</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时效指标方面：</w:t>
      </w:r>
    </w:p>
    <w:p>
      <w:pPr>
        <w:pStyle w:val="2"/>
        <w:ind w:firstLine="640" w:firstLineChars="200"/>
        <w:jc w:val="left"/>
        <w:rPr>
          <w:rFonts w:ascii="Times New Roman" w:hAnsi="Times New Roman"/>
        </w:rPr>
      </w:pPr>
      <w:r>
        <w:rPr>
          <w:rFonts w:hint="eastAsia" w:ascii="仿宋_GB2312" w:hAnsi="仿宋_GB2312" w:eastAsia="仿宋_GB2312" w:cs="仿宋_GB2312"/>
          <w:b w:val="0"/>
          <w:bCs w:val="0"/>
          <w:kern w:val="2"/>
        </w:rPr>
        <w:t>a.各项培训按期完成率指标，指标值为100%，实际完成100%，完成率100%，偏差率0%。</w:t>
      </w:r>
    </w:p>
    <w:p>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社会效益指标方面：</w:t>
      </w:r>
    </w:p>
    <w:p>
      <w:pPr>
        <w:pStyle w:val="2"/>
        <w:ind w:firstLine="640" w:firstLineChars="200"/>
        <w:jc w:val="left"/>
        <w:rPr>
          <w:rFonts w:ascii="Times New Roman" w:hAnsi="Times New Roman"/>
        </w:rPr>
      </w:pPr>
      <w:r>
        <w:rPr>
          <w:rFonts w:hint="eastAsia" w:ascii="仿宋_GB2312" w:hAnsi="仿宋_GB2312" w:eastAsia="仿宋_GB2312" w:cs="仿宋_GB2312"/>
          <w:b w:val="0"/>
          <w:bCs w:val="0"/>
          <w:kern w:val="2"/>
        </w:rPr>
        <w:t>a.提高农牧业技术人员应用技术水平指标，指标值为有所提高，实际完成有所提高，完成率100%，偏差率0%。</w:t>
      </w:r>
    </w:p>
    <w:p>
      <w:pPr>
        <w:spacing w:line="600" w:lineRule="exact"/>
        <w:ind w:firstLine="640" w:firstLineChars="200"/>
        <w:rPr>
          <w:rStyle w:val="52"/>
          <w:rFonts w:ascii="Times New Roman" w:hAnsi="Times New Roman" w:cs="Times New Roman"/>
          <w:color w:val="auto"/>
        </w:rPr>
      </w:pPr>
      <w:r>
        <w:rPr>
          <w:rStyle w:val="52"/>
          <w:rFonts w:hint="eastAsia" w:cs="Times New Roman"/>
          <w:color w:val="auto"/>
        </w:rPr>
        <w:t>生态效益</w:t>
      </w:r>
      <w:r>
        <w:rPr>
          <w:rStyle w:val="52"/>
          <w:rFonts w:ascii="Times New Roman" w:hAnsi="Times New Roman" w:cs="Times New Roman"/>
          <w:color w:val="auto"/>
        </w:rPr>
        <w:t>指标方面：</w:t>
      </w:r>
    </w:p>
    <w:p>
      <w:pPr>
        <w:pStyle w:val="2"/>
        <w:ind w:firstLine="640" w:firstLineChars="200"/>
        <w:jc w:val="left"/>
        <w:rPr>
          <w:rFonts w:ascii="Times New Roman" w:hAnsi="Times New Roman"/>
        </w:rPr>
      </w:pPr>
      <w:r>
        <w:rPr>
          <w:rFonts w:hint="eastAsia" w:ascii="仿宋_GB2312" w:hAnsi="仿宋_GB2312" w:eastAsia="仿宋_GB2312" w:cs="仿宋_GB2312"/>
          <w:b w:val="0"/>
          <w:bCs w:val="0"/>
          <w:kern w:val="2"/>
        </w:rPr>
        <w:t>a.畜禽粪污综合利用率较去年提高指标，指标值为≥2%，实际完成2%，完成率100%，偏差率0%。</w:t>
      </w:r>
    </w:p>
    <w:p>
      <w:pPr>
        <w:spacing w:line="600" w:lineRule="exact"/>
        <w:ind w:firstLine="640" w:firstLineChars="200"/>
        <w:rPr>
          <w:rStyle w:val="52"/>
          <w:rFonts w:cs="Times New Roman"/>
          <w:color w:val="auto"/>
        </w:rPr>
      </w:pPr>
      <w:r>
        <w:rPr>
          <w:rStyle w:val="52"/>
          <w:rFonts w:ascii="Times New Roman" w:hAnsi="Times New Roman" w:cs="Times New Roman"/>
          <w:color w:val="auto"/>
        </w:rPr>
        <w:t>满意度指标方面：</w:t>
      </w:r>
    </w:p>
    <w:p>
      <w:pPr>
        <w:pStyle w:val="2"/>
        <w:numPr>
          <w:ilvl w:val="255"/>
          <w:numId w:val="0"/>
        </w:numPr>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a.培训人员满意度指标，指标值为≥95%，实际完成95%，完成率100%，偏差率0%。</w:t>
      </w:r>
    </w:p>
    <w:p>
      <w:pPr>
        <w:pStyle w:val="2"/>
        <w:ind w:firstLine="640" w:firstLineChars="200"/>
        <w:jc w:val="left"/>
      </w:pPr>
      <w:r>
        <w:rPr>
          <w:rFonts w:hint="eastAsia" w:ascii="仿宋_GB2312" w:hAnsi="仿宋_GB2312" w:eastAsia="仿宋_GB2312" w:cs="仿宋_GB2312"/>
          <w:b w:val="0"/>
          <w:bCs w:val="0"/>
          <w:kern w:val="2"/>
        </w:rPr>
        <w:t>b.农牧民满意率指标，指标值为≥90%，实际完成90%，完成率100%，偏差率0%。</w:t>
      </w:r>
    </w:p>
    <w:p>
      <w:pPr>
        <w:spacing w:line="600" w:lineRule="exact"/>
        <w:ind w:firstLine="640" w:firstLineChars="200"/>
        <w:rPr>
          <w:rStyle w:val="52"/>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pStyle w:val="2"/>
        <w:shd w:val="clear" w:color="auto"/>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p>
    <w:p>
      <w:pPr>
        <w:pStyle w:val="2"/>
        <w:shd w:val="clear" w:color="auto"/>
        <w:spacing w:before="0" w:after="0" w:line="600" w:lineRule="exact"/>
        <w:ind w:firstLine="640" w:firstLineChars="200"/>
        <w:jc w:val="both"/>
        <w:rPr>
          <w:rFonts w:hint="eastAsia" w:ascii="Times New Roman" w:hAnsi="Times New Roman" w:eastAsia="仿宋_GB2312"/>
          <w:b w:val="0"/>
          <w:bCs w:val="0"/>
          <w:kern w:val="2"/>
        </w:rPr>
      </w:pPr>
      <w:r>
        <w:rPr>
          <w:rFonts w:hint="eastAsia" w:ascii="Times New Roman" w:hAnsi="Times New Roman" w:eastAsia="仿宋_GB2312"/>
          <w:b w:val="0"/>
          <w:bCs w:val="0"/>
          <w:kern w:val="2"/>
        </w:rPr>
        <w:t>一是大部分养殖场、保种场（区）技术人才队伍不稳定，专业技术人员培养力度不足，对基础育种技术的措施应用还不够扎实，育种软件的配备不足，数据资料的统计、分析、应用能力较弱。</w:t>
      </w:r>
    </w:p>
    <w:p>
      <w:pPr>
        <w:pStyle w:val="2"/>
        <w:shd w:val="clear" w:color="auto"/>
        <w:spacing w:before="0" w:after="0" w:line="600" w:lineRule="exact"/>
        <w:ind w:firstLine="640" w:firstLineChars="200"/>
        <w:jc w:val="both"/>
      </w:pPr>
      <w:r>
        <w:rPr>
          <w:rFonts w:hint="eastAsia" w:ascii="Times New Roman" w:hAnsi="Times New Roman" w:eastAsia="仿宋_GB2312"/>
          <w:b w:val="0"/>
          <w:bCs w:val="0"/>
          <w:kern w:val="2"/>
          <w:lang w:eastAsia="zh-CN"/>
        </w:rPr>
        <w:t>二</w:t>
      </w:r>
      <w:r>
        <w:rPr>
          <w:rFonts w:hint="eastAsia" w:ascii="Times New Roman" w:hAnsi="Times New Roman" w:eastAsia="仿宋_GB2312"/>
          <w:b w:val="0"/>
          <w:bCs w:val="0"/>
          <w:kern w:val="2"/>
        </w:rPr>
        <w:t>是产业发展方面，受饲草料等原料价格上涨、畜产品价格下滑和新冠疫情的影响，畜牧业生产成本增加，养殖效益下滑，养殖场（户）生产积极性受到一定影响。</w:t>
      </w:r>
    </w:p>
    <w:p>
      <w:pPr>
        <w:numPr>
          <w:ilvl w:val="0"/>
          <w:numId w:val="7"/>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w:t>
      </w:r>
      <w:r>
        <w:rPr>
          <w:rFonts w:hint="eastAsia" w:ascii="仿宋_GB2312" w:hAnsi="仿宋_GB2312" w:eastAsia="仿宋_GB2312" w:cs="仿宋_GB2312"/>
          <w:color w:val="auto"/>
          <w:sz w:val="32"/>
          <w:szCs w:val="28"/>
          <w:highlight w:val="none"/>
          <w:lang w:eastAsia="zh-CN"/>
        </w:rPr>
        <w:t>进一步</w:t>
      </w:r>
      <w:r>
        <w:rPr>
          <w:rFonts w:hint="eastAsia" w:ascii="仿宋_GB2312" w:hAnsi="仿宋_GB2312" w:eastAsia="仿宋_GB2312" w:cs="仿宋_GB2312"/>
          <w:color w:val="auto"/>
          <w:sz w:val="32"/>
          <w:szCs w:val="28"/>
          <w:highlight w:val="none"/>
        </w:rPr>
        <w:t>建立</w:t>
      </w:r>
      <w:r>
        <w:rPr>
          <w:rFonts w:hint="eastAsia" w:ascii="仿宋_GB2312" w:hAnsi="仿宋_GB2312" w:eastAsia="仿宋_GB2312" w:cs="仿宋_GB2312"/>
          <w:color w:val="auto"/>
          <w:sz w:val="32"/>
          <w:szCs w:val="28"/>
          <w:highlight w:val="none"/>
          <w:lang w:eastAsia="zh-CN"/>
        </w:rPr>
        <w:t>健全</w:t>
      </w:r>
      <w:r>
        <w:rPr>
          <w:rFonts w:hint="eastAsia" w:ascii="仿宋_GB2312" w:hAnsi="仿宋_GB2312" w:eastAsia="仿宋_GB2312" w:cs="仿宋_GB2312"/>
          <w:sz w:val="32"/>
          <w:szCs w:val="28"/>
        </w:rPr>
        <w:t>绩效工作考核制度，加大全局对全面实施预算绩效管理和绩效管理工作的学习力度，让“花钱必问效，无效必问责”的理念深入工作每个环节。</w:t>
      </w:r>
    </w:p>
    <w:p>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18"/>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4"/>
        <w:tblW w:w="8834" w:type="dxa"/>
        <w:tblInd w:w="0" w:type="dxa"/>
        <w:tblLayout w:type="fixed"/>
        <w:tblCellMar>
          <w:top w:w="0" w:type="dxa"/>
          <w:left w:w="0" w:type="dxa"/>
          <w:bottom w:w="0" w:type="dxa"/>
          <w:right w:w="0" w:type="dxa"/>
        </w:tblCellMar>
      </w:tblPr>
      <w:tblGrid>
        <w:gridCol w:w="798"/>
        <w:gridCol w:w="984"/>
        <w:gridCol w:w="1430"/>
        <w:gridCol w:w="1523"/>
        <w:gridCol w:w="1268"/>
        <w:gridCol w:w="1348"/>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rPr>
              <w:t>（202</w:t>
            </w:r>
            <w:r>
              <w:rPr>
                <w:rFonts w:hint="eastAsia"/>
                <w:kern w:val="0"/>
                <w:sz w:val="22"/>
                <w:szCs w:val="22"/>
              </w:rPr>
              <w:t>2</w:t>
            </w:r>
            <w:r>
              <w:rPr>
                <w:kern w:val="0"/>
                <w:sz w:val="22"/>
                <w:szCs w:val="22"/>
              </w:rPr>
              <w:t>年度）</w:t>
            </w:r>
          </w:p>
        </w:tc>
      </w:tr>
      <w:tr>
        <w:tblPrEx>
          <w:tblLayout w:type="fixed"/>
          <w:tblCellMar>
            <w:top w:w="0" w:type="dxa"/>
            <w:left w:w="0" w:type="dxa"/>
            <w:bottom w:w="0" w:type="dxa"/>
            <w:right w:w="0" w:type="dxa"/>
          </w:tblCellMar>
        </w:tblPrEx>
        <w:trPr>
          <w:trHeight w:val="303"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kern w:val="0"/>
                <w:sz w:val="18"/>
                <w:szCs w:val="18"/>
              </w:rPr>
              <w:t>自治区畜牧业生产发展资金（业务工作经费补助、畜产品质量安全检测、草业工作经费）</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kern w:val="0"/>
                <w:sz w:val="18"/>
                <w:szCs w:val="18"/>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ascii="宋体" w:hAnsi="宋体" w:cs="宋体"/>
                <w:kern w:val="0"/>
                <w:sz w:val="18"/>
                <w:szCs w:val="18"/>
              </w:rPr>
              <w:t>自治区畜牧兽医局办公室</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511</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511</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473.21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kern w:val="0"/>
                <w:sz w:val="18"/>
                <w:szCs w:val="18"/>
              </w:rPr>
              <w:t>92.6%</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511</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511</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473.21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kern w:val="0"/>
                <w:sz w:val="18"/>
                <w:szCs w:val="18"/>
              </w:rPr>
              <w:t>92.6%</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实际完成情况</w:t>
            </w:r>
          </w:p>
        </w:tc>
      </w:tr>
      <w:tr>
        <w:tblPrEx>
          <w:tblLayout w:type="fixed"/>
          <w:tblCellMar>
            <w:top w:w="0" w:type="dxa"/>
            <w:left w:w="0" w:type="dxa"/>
            <w:bottom w:w="0" w:type="dxa"/>
            <w:right w:w="0" w:type="dxa"/>
          </w:tblCellMar>
        </w:tblPrEx>
        <w:trPr>
          <w:trHeight w:val="487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ascii="宋体" w:hAnsi="宋体" w:cs="宋体"/>
                <w:kern w:val="0"/>
                <w:sz w:val="18"/>
                <w:szCs w:val="18"/>
              </w:rPr>
              <w:t>推进奶业振兴、加强畜禽遗传资源保护，推进种植业结构调整，开展14个地州的畜牧业振兴行动目标完成情况、国家和自治区扶持政策落实情况、示范工程实施、养殖场（小区）备案、设计规模、实际存栏、销售、粪污资源化利用等项目督导、检查、调研、绩效评价、第三方审计、行业标准的制定等工作，组织开展《畜牧法实施办法》制定和《动物防疫法实施办法》修订工作，做好政策宣传解读工作；畜牧业生产统计及畜产品价格监测、饲料行业生产统计监测政府购买服务等工作，进村入户宣讲培训、发放政策明白纸、编制畜牧业主导品种和主推技术编制推介手册等，开展畜牧业科技各类培训，加强畜产品质量安全监管体系建设，落实国家各项畜牧业发展政策，调研提出规划和政策建议，开展畜牧兽医职称评审工作等。</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1、支持区内12个国家级、自治区级畜禽保种场（区、库）建设，持续开展畜禽遗传资源保护及监测工作。</w:t>
            </w:r>
          </w:p>
          <w:p>
            <w:pPr>
              <w:widowControl/>
              <w:textAlignment w:val="center"/>
              <w:rPr>
                <w:rFonts w:hint="eastAsia" w:ascii="宋体" w:hAnsi="宋体" w:cs="宋体"/>
                <w:kern w:val="0"/>
                <w:sz w:val="18"/>
                <w:szCs w:val="18"/>
                <w:lang w:eastAsia="zh-CN"/>
              </w:rPr>
            </w:pPr>
            <w:r>
              <w:rPr>
                <w:rFonts w:hint="eastAsia" w:ascii="宋体" w:hAnsi="宋体" w:cs="宋体"/>
                <w:kern w:val="0"/>
                <w:sz w:val="18"/>
                <w:szCs w:val="18"/>
                <w:lang w:val="en-US" w:eastAsia="zh-CN"/>
              </w:rPr>
              <w:t>2、</w:t>
            </w:r>
            <w:r>
              <w:rPr>
                <w:rFonts w:hint="eastAsia" w:ascii="宋体" w:hAnsi="宋体" w:cs="宋体"/>
                <w:kern w:val="0"/>
                <w:sz w:val="18"/>
                <w:szCs w:val="18"/>
              </w:rPr>
              <w:t>推广优质种公羊3万只以上、优质冻精150万剂以上</w:t>
            </w:r>
            <w:r>
              <w:rPr>
                <w:rFonts w:hint="eastAsia" w:ascii="宋体" w:hAnsi="宋体" w:cs="宋体"/>
                <w:kern w:val="0"/>
                <w:sz w:val="18"/>
                <w:szCs w:val="18"/>
                <w:lang w:eastAsia="zh-CN"/>
              </w:rPr>
              <w:t>。</w:t>
            </w:r>
          </w:p>
          <w:p>
            <w:pPr>
              <w:widowControl/>
              <w:textAlignment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3、2022年建设不同优质饲草品种生产评比田4000亩，选择推荐适合全区种植的优质饲草品种10种以上。</w:t>
            </w:r>
          </w:p>
          <w:p>
            <w:pPr>
              <w:widowControl/>
              <w:textAlignment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4、畜产品质量安全率达到98%。</w:t>
            </w:r>
          </w:p>
          <w:p>
            <w:pPr>
              <w:widowControl/>
              <w:textAlignment w:val="center"/>
              <w:rPr>
                <w:rFonts w:hint="default"/>
                <w:lang w:val="en-US" w:eastAsia="zh-CN"/>
              </w:rPr>
            </w:pPr>
            <w:r>
              <w:rPr>
                <w:rFonts w:hint="eastAsia" w:ascii="宋体" w:hAnsi="宋体" w:cs="宋体"/>
                <w:kern w:val="0"/>
                <w:sz w:val="18"/>
                <w:szCs w:val="18"/>
                <w:lang w:val="en-US" w:eastAsia="zh-CN"/>
              </w:rPr>
              <w:t>5、规模化畜禽养殖粪便综合利用率达到80%；畜禽粪污资源化利用整县推进项目竣工验收合格率达到95%畜禽粪污综合利用率较去年提高2%。</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绩</w:t>
            </w:r>
          </w:p>
          <w:p>
            <w:pPr>
              <w:jc w:val="center"/>
              <w:rPr>
                <w:sz w:val="18"/>
                <w:szCs w:val="18"/>
              </w:rPr>
            </w:pPr>
          </w:p>
          <w:p>
            <w:pPr>
              <w:jc w:val="center"/>
              <w:rPr>
                <w:sz w:val="18"/>
                <w:szCs w:val="18"/>
              </w:rPr>
            </w:pPr>
            <w:r>
              <w:rPr>
                <w:rFonts w:hint="eastAsia"/>
                <w:sz w:val="18"/>
                <w:szCs w:val="18"/>
              </w:rPr>
              <w:t>效</w:t>
            </w:r>
          </w:p>
          <w:p>
            <w:pPr>
              <w:jc w:val="center"/>
              <w:rPr>
                <w:sz w:val="18"/>
                <w:szCs w:val="18"/>
              </w:rPr>
            </w:pPr>
          </w:p>
          <w:p>
            <w:pPr>
              <w:jc w:val="center"/>
              <w:rPr>
                <w:sz w:val="18"/>
                <w:szCs w:val="18"/>
              </w:rPr>
            </w:pPr>
            <w:r>
              <w:rPr>
                <w:rFonts w:hint="eastAsia"/>
                <w:sz w:val="18"/>
                <w:szCs w:val="18"/>
              </w:rPr>
              <w:t>指</w:t>
            </w:r>
          </w:p>
          <w:p>
            <w:pPr>
              <w:jc w:val="center"/>
              <w:rPr>
                <w:sz w:val="18"/>
                <w:szCs w:val="18"/>
              </w:rPr>
            </w:pPr>
          </w:p>
          <w:p>
            <w:pPr>
              <w:jc w:val="center"/>
              <w:rPr>
                <w:sz w:val="18"/>
                <w:szCs w:val="18"/>
              </w:rPr>
            </w:pPr>
            <w:r>
              <w:rPr>
                <w:rFonts w:hint="eastAsia"/>
                <w:sz w:val="18"/>
                <w:szCs w:val="18"/>
              </w:rPr>
              <w:t>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产出指标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繁育牲畜种畜</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&gt;=3万头</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3</w:t>
            </w:r>
            <w:r>
              <w:rPr>
                <w:rFonts w:hint="eastAsia" w:ascii="宋体" w:hAnsi="宋体" w:cs="宋体"/>
                <w:color w:val="000000"/>
                <w:kern w:val="0"/>
                <w:sz w:val="18"/>
                <w:szCs w:val="18"/>
              </w:rPr>
              <w:t>万头</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优质鉰草品种生产评比田建设</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&gt;=3000亩</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3000</w:t>
            </w:r>
            <w:r>
              <w:rPr>
                <w:rFonts w:hint="eastAsia" w:ascii="宋体" w:hAnsi="宋体" w:cs="宋体"/>
                <w:color w:val="000000"/>
                <w:kern w:val="0"/>
                <w:sz w:val="18"/>
                <w:szCs w:val="18"/>
              </w:rPr>
              <w:t>亩</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支持畜禽遗传保种场（保护区）</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&gt;=12个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12</w:t>
            </w:r>
            <w:r>
              <w:rPr>
                <w:rFonts w:hint="eastAsia" w:ascii="宋体" w:hAnsi="宋体" w:cs="宋体"/>
                <w:color w:val="000000"/>
                <w:kern w:val="0"/>
                <w:sz w:val="18"/>
                <w:szCs w:val="18"/>
              </w:rPr>
              <w:t>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畜产品质量安全率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=98%</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规模化畜禽养殖粪便综合利用率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&gt;=80%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80%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畜禽粪污资源化利用整县推进项目竣工验收合格率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各项培训出勤率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left"/>
              <w:rPr>
                <w:sz w:val="18"/>
                <w:szCs w:val="18"/>
              </w:rPr>
            </w:pPr>
            <w:r>
              <w:rPr>
                <w:rFonts w:hint="eastAsia" w:ascii="宋体" w:hAnsi="宋体" w:cs="宋体"/>
                <w:color w:val="000000"/>
                <w:kern w:val="0"/>
                <w:sz w:val="18"/>
                <w:szCs w:val="18"/>
              </w:rPr>
              <w:t>各项培训按期完成率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畜牧业科技各类培训经费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&lt;=68万元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68万元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cs="宋体"/>
                <w:color w:val="000000"/>
                <w:kern w:val="0"/>
                <w:sz w:val="18"/>
                <w:szCs w:val="18"/>
              </w:rPr>
              <w:t>畜牧业生产发展工作经费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color w:val="000000"/>
                <w:kern w:val="0"/>
                <w:sz w:val="18"/>
                <w:szCs w:val="18"/>
              </w:rPr>
              <w:t>&lt;=493万元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455.21万元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sz w:val="18"/>
                <w:szCs w:val="18"/>
              </w:rPr>
            </w:pPr>
            <w:bookmarkStart w:id="2" w:name="_GoBack"/>
            <w:r>
              <w:rPr>
                <w:rFonts w:hint="eastAsia" w:ascii="宋体" w:hAnsi="宋体" w:eastAsia="宋体" w:cs="宋体"/>
                <w:color w:val="000000"/>
                <w:kern w:val="0"/>
                <w:sz w:val="18"/>
                <w:szCs w:val="18"/>
              </w:rPr>
              <w:t>因新冠疫情防控静默管理，导致部分业务未能按期开展,在后续预算执行过程中严格把控进度。</w:t>
            </w:r>
            <w:bookmarkEnd w:id="2"/>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sz w:val="18"/>
                <w:szCs w:val="18"/>
              </w:rPr>
            </w:pPr>
            <w:r>
              <w:rPr>
                <w:rFonts w:hint="eastAsia" w:ascii="宋体" w:hAnsi="宋体" w:cs="宋体"/>
                <w:kern w:val="0"/>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left"/>
              <w:rPr>
                <w:sz w:val="18"/>
                <w:szCs w:val="18"/>
              </w:rPr>
            </w:pPr>
            <w:r>
              <w:rPr>
                <w:rFonts w:hint="eastAsia" w:ascii="宋体" w:hAnsi="宋体" w:cs="宋体"/>
                <w:color w:val="000000"/>
                <w:kern w:val="0"/>
                <w:sz w:val="18"/>
                <w:szCs w:val="18"/>
              </w:rPr>
              <w:t>提高农牧业技术人员应用技术水平</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有所提高</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有所提高</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sz w:val="18"/>
                <w:szCs w:val="18"/>
              </w:rPr>
            </w:pPr>
            <w:r>
              <w:rPr>
                <w:rFonts w:hint="eastAsia" w:ascii="宋体" w:hAnsi="宋体" w:cs="宋体"/>
                <w:kern w:val="0"/>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left"/>
              <w:rPr>
                <w:sz w:val="18"/>
                <w:szCs w:val="18"/>
              </w:rPr>
            </w:pPr>
            <w:r>
              <w:rPr>
                <w:rFonts w:hint="eastAsia" w:ascii="宋体" w:hAnsi="宋体" w:cs="宋体"/>
                <w:color w:val="000000"/>
                <w:kern w:val="0"/>
                <w:sz w:val="18"/>
                <w:szCs w:val="18"/>
              </w:rPr>
              <w:t>畜禽粪污综合利用率较去年提高</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≥2%</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2%</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08"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sz w:val="18"/>
                <w:szCs w:val="18"/>
              </w:rPr>
            </w:pPr>
            <w:r>
              <w:rPr>
                <w:rFonts w:hint="eastAsia" w:ascii="宋体" w:hAnsi="宋体" w:cs="宋体"/>
                <w:kern w:val="0"/>
                <w:sz w:val="18"/>
                <w:szCs w:val="18"/>
              </w:rPr>
              <w:t>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left"/>
              <w:rPr>
                <w:sz w:val="18"/>
                <w:szCs w:val="18"/>
              </w:rPr>
            </w:pPr>
            <w:r>
              <w:rPr>
                <w:rFonts w:hint="eastAsia" w:ascii="宋体" w:hAnsi="宋体" w:cs="宋体"/>
                <w:color w:val="000000"/>
                <w:kern w:val="0"/>
                <w:sz w:val="18"/>
                <w:szCs w:val="18"/>
              </w:rPr>
              <w:t>培训人员满意度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sz w:val="18"/>
                <w:szCs w:val="18"/>
              </w:rPr>
            </w:pPr>
            <w:r>
              <w:rPr>
                <w:rFonts w:hint="eastAsia" w:ascii="宋体" w:hAnsi="宋体" w:cs="宋体"/>
                <w:kern w:val="0"/>
                <w:sz w:val="18"/>
                <w:szCs w:val="18"/>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
        <w:jc w:val="both"/>
        <w:rPr>
          <w:rFonts w:ascii="Times New Roman" w:hAnsi="Times New Roman" w:eastAsia="黑体"/>
          <w:b w:val="0"/>
          <w:bCs w:val="0"/>
        </w:rPr>
      </w:pPr>
    </w:p>
    <w:p>
      <w:pPr>
        <w:pStyle w:val="2"/>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r>
    </w:tbl>
    <w:p>
      <w:pPr>
        <w:pStyle w:val="2"/>
        <w:rPr>
          <w:rFonts w:ascii="Times New Roman" w:hAnsi="Times New Roman"/>
        </w:rPr>
      </w:pPr>
    </w:p>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ind w:firstLine="640"/>
        <w:rPr>
          <w:rStyle w:val="22"/>
          <w:rFonts w:eastAsia="黑体"/>
          <w:bCs w:val="0"/>
          <w:spacing w:val="-4"/>
          <w:sz w:val="32"/>
          <w:szCs w:val="32"/>
        </w:rPr>
      </w:pPr>
    </w:p>
    <w:p>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2000000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小标宋简体">
    <w:altName w:val="仿宋_GB2312"/>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18</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mYTQ0MzA3MDhmZTFmNTJkMjgxNDQwNjZjZjdkM2U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033A5"/>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BF00B4"/>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6EB42FA"/>
    <w:rsid w:val="08C662D4"/>
    <w:rsid w:val="09BD4D95"/>
    <w:rsid w:val="0AAF5AD4"/>
    <w:rsid w:val="0B0F58D6"/>
    <w:rsid w:val="0F8D41CB"/>
    <w:rsid w:val="0FEE2F21"/>
    <w:rsid w:val="11C75270"/>
    <w:rsid w:val="12637CC3"/>
    <w:rsid w:val="12E657C5"/>
    <w:rsid w:val="133C6E2A"/>
    <w:rsid w:val="1486546C"/>
    <w:rsid w:val="15B52F1C"/>
    <w:rsid w:val="15E62B8B"/>
    <w:rsid w:val="167C7687"/>
    <w:rsid w:val="168B3546"/>
    <w:rsid w:val="17726947"/>
    <w:rsid w:val="1A2374E0"/>
    <w:rsid w:val="1C317CE2"/>
    <w:rsid w:val="1DD45808"/>
    <w:rsid w:val="1DED42AC"/>
    <w:rsid w:val="20005763"/>
    <w:rsid w:val="20FB313D"/>
    <w:rsid w:val="210C1FA8"/>
    <w:rsid w:val="220B4804"/>
    <w:rsid w:val="278B653F"/>
    <w:rsid w:val="282475E3"/>
    <w:rsid w:val="29E421D9"/>
    <w:rsid w:val="2C6100C1"/>
    <w:rsid w:val="3235157C"/>
    <w:rsid w:val="3264220D"/>
    <w:rsid w:val="32A83563"/>
    <w:rsid w:val="38872456"/>
    <w:rsid w:val="3963178C"/>
    <w:rsid w:val="3BA5236D"/>
    <w:rsid w:val="3C7868B6"/>
    <w:rsid w:val="3CED0699"/>
    <w:rsid w:val="3EB02FD6"/>
    <w:rsid w:val="41CC2676"/>
    <w:rsid w:val="46B21672"/>
    <w:rsid w:val="4D107029"/>
    <w:rsid w:val="4D335FEE"/>
    <w:rsid w:val="4F552460"/>
    <w:rsid w:val="4FCC6863"/>
    <w:rsid w:val="500A214A"/>
    <w:rsid w:val="522D604D"/>
    <w:rsid w:val="52545810"/>
    <w:rsid w:val="5297585E"/>
    <w:rsid w:val="52AD7D6F"/>
    <w:rsid w:val="54F70DBD"/>
    <w:rsid w:val="5549519D"/>
    <w:rsid w:val="5557596B"/>
    <w:rsid w:val="55963859"/>
    <w:rsid w:val="58F326CA"/>
    <w:rsid w:val="5B596DFC"/>
    <w:rsid w:val="5DAE6D00"/>
    <w:rsid w:val="5DF03945"/>
    <w:rsid w:val="5F03526B"/>
    <w:rsid w:val="62E515AF"/>
    <w:rsid w:val="63193A59"/>
    <w:rsid w:val="637C2815"/>
    <w:rsid w:val="64513727"/>
    <w:rsid w:val="659579A9"/>
    <w:rsid w:val="666B4FDC"/>
    <w:rsid w:val="67FF13C8"/>
    <w:rsid w:val="682144B7"/>
    <w:rsid w:val="6B503F77"/>
    <w:rsid w:val="6E311968"/>
    <w:rsid w:val="7A353D0B"/>
    <w:rsid w:val="7BECF0DE"/>
    <w:rsid w:val="7CB927D8"/>
    <w:rsid w:val="7D3A5E2F"/>
    <w:rsid w:val="F97F3BBD"/>
    <w:rsid w:val="FAFC0F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annotation text"/>
    <w:basedOn w:val="1"/>
    <w:semiHidden/>
    <w:unhideWhenUsed/>
    <w:qFormat/>
    <w:uiPriority w:val="99"/>
    <w:pPr>
      <w:jc w:val="left"/>
    </w:pPr>
  </w:style>
  <w:style w:type="paragraph" w:styleId="15">
    <w:name w:val="Body Text Indent"/>
    <w:basedOn w:val="1"/>
    <w:qFormat/>
    <w:uiPriority w:val="0"/>
    <w:pPr>
      <w:spacing w:after="120"/>
      <w:ind w:left="420" w:leftChars="200"/>
    </w:pPr>
    <w:rPr>
      <w:rFonts w:ascii="Calibri" w:hAnsi="Calibri"/>
    </w:rPr>
  </w:style>
  <w:style w:type="paragraph" w:styleId="16">
    <w:name w:val="Balloon Text"/>
    <w:basedOn w:val="1"/>
    <w:link w:val="50"/>
    <w:semiHidden/>
    <w:unhideWhenUsed/>
    <w:qFormat/>
    <w:uiPriority w:val="99"/>
    <w:rPr>
      <w:sz w:val="18"/>
      <w:szCs w:val="18"/>
    </w:rPr>
  </w:style>
  <w:style w:type="paragraph" w:styleId="17">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8">
    <w:name w:val="Body Text First Indent 2"/>
    <w:basedOn w:val="15"/>
    <w:qFormat/>
    <w:uiPriority w:val="0"/>
    <w:pPr>
      <w:ind w:firstLine="420" w:firstLineChars="200"/>
    </w:p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0">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5">
    <w:name w:val="标题 1 Char"/>
    <w:basedOn w:val="21"/>
    <w:link w:val="3"/>
    <w:qFormat/>
    <w:uiPriority w:val="9"/>
    <w:rPr>
      <w:rFonts w:asciiTheme="majorHAnsi" w:hAnsiTheme="majorHAnsi" w:eastAsiaTheme="majorEastAsia"/>
      <w:b/>
      <w:bCs/>
      <w:kern w:val="32"/>
      <w:sz w:val="32"/>
      <w:szCs w:val="32"/>
    </w:rPr>
  </w:style>
  <w:style w:type="character" w:customStyle="1" w:styleId="26">
    <w:name w:val="标题 2 Char"/>
    <w:basedOn w:val="21"/>
    <w:link w:val="4"/>
    <w:semiHidden/>
    <w:qFormat/>
    <w:uiPriority w:val="9"/>
    <w:rPr>
      <w:rFonts w:asciiTheme="majorHAnsi" w:hAnsiTheme="majorHAnsi" w:eastAsiaTheme="majorEastAsia"/>
      <w:b/>
      <w:bCs/>
      <w:i/>
      <w:iCs/>
      <w:sz w:val="28"/>
      <w:szCs w:val="28"/>
    </w:rPr>
  </w:style>
  <w:style w:type="character" w:customStyle="1" w:styleId="27">
    <w:name w:val="标题 3 Char"/>
    <w:basedOn w:val="21"/>
    <w:link w:val="5"/>
    <w:semiHidden/>
    <w:qFormat/>
    <w:uiPriority w:val="9"/>
    <w:rPr>
      <w:rFonts w:asciiTheme="majorHAnsi" w:hAnsiTheme="majorHAnsi" w:eastAsiaTheme="majorEastAsia"/>
      <w:b/>
      <w:bCs/>
      <w:sz w:val="26"/>
      <w:szCs w:val="26"/>
    </w:rPr>
  </w:style>
  <w:style w:type="character" w:customStyle="1" w:styleId="28">
    <w:name w:val="标题 4 Char"/>
    <w:basedOn w:val="21"/>
    <w:link w:val="6"/>
    <w:semiHidden/>
    <w:qFormat/>
    <w:uiPriority w:val="9"/>
    <w:rPr>
      <w:b/>
      <w:bCs/>
      <w:sz w:val="28"/>
      <w:szCs w:val="28"/>
    </w:rPr>
  </w:style>
  <w:style w:type="character" w:customStyle="1" w:styleId="29">
    <w:name w:val="标题 5 Char"/>
    <w:basedOn w:val="21"/>
    <w:link w:val="7"/>
    <w:semiHidden/>
    <w:qFormat/>
    <w:uiPriority w:val="9"/>
    <w:rPr>
      <w:b/>
      <w:bCs/>
      <w:i/>
      <w:iCs/>
      <w:sz w:val="26"/>
      <w:szCs w:val="26"/>
    </w:rPr>
  </w:style>
  <w:style w:type="character" w:customStyle="1" w:styleId="30">
    <w:name w:val="标题 6 Char"/>
    <w:basedOn w:val="21"/>
    <w:link w:val="8"/>
    <w:semiHidden/>
    <w:qFormat/>
    <w:uiPriority w:val="9"/>
    <w:rPr>
      <w:b/>
      <w:bCs/>
    </w:rPr>
  </w:style>
  <w:style w:type="character" w:customStyle="1" w:styleId="31">
    <w:name w:val="标题 7 Char"/>
    <w:basedOn w:val="21"/>
    <w:link w:val="9"/>
    <w:semiHidden/>
    <w:qFormat/>
    <w:uiPriority w:val="9"/>
    <w:rPr>
      <w:sz w:val="24"/>
      <w:szCs w:val="24"/>
    </w:rPr>
  </w:style>
  <w:style w:type="character" w:customStyle="1" w:styleId="32">
    <w:name w:val="标题 8 Char"/>
    <w:basedOn w:val="21"/>
    <w:link w:val="10"/>
    <w:semiHidden/>
    <w:qFormat/>
    <w:uiPriority w:val="9"/>
    <w:rPr>
      <w:i/>
      <w:iCs/>
      <w:sz w:val="24"/>
      <w:szCs w:val="24"/>
    </w:rPr>
  </w:style>
  <w:style w:type="character" w:customStyle="1" w:styleId="33">
    <w:name w:val="标题 9 Char"/>
    <w:basedOn w:val="21"/>
    <w:link w:val="11"/>
    <w:semiHidden/>
    <w:qFormat/>
    <w:uiPriority w:val="9"/>
    <w:rPr>
      <w:rFonts w:asciiTheme="majorHAnsi" w:hAnsiTheme="majorHAnsi" w:eastAsiaTheme="majorEastAsia"/>
    </w:rPr>
  </w:style>
  <w:style w:type="character" w:customStyle="1" w:styleId="34">
    <w:name w:val="标题 Char"/>
    <w:basedOn w:val="21"/>
    <w:link w:val="2"/>
    <w:qFormat/>
    <w:uiPriority w:val="10"/>
    <w:rPr>
      <w:rFonts w:asciiTheme="majorHAnsi" w:hAnsiTheme="majorHAnsi" w:eastAsiaTheme="majorEastAsia"/>
      <w:b/>
      <w:bCs/>
      <w:kern w:val="28"/>
      <w:sz w:val="32"/>
      <w:szCs w:val="32"/>
    </w:rPr>
  </w:style>
  <w:style w:type="character" w:customStyle="1" w:styleId="35">
    <w:name w:val="副标题 Char"/>
    <w:basedOn w:val="21"/>
    <w:link w:val="20"/>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Char"/>
    <w:basedOn w:val="21"/>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21"/>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1"/>
    <w:qFormat/>
    <w:uiPriority w:val="21"/>
    <w:rPr>
      <w:b/>
      <w:i/>
      <w:sz w:val="24"/>
      <w:szCs w:val="24"/>
      <w:u w:val="single"/>
    </w:rPr>
  </w:style>
  <w:style w:type="character" w:customStyle="1" w:styleId="44">
    <w:name w:val="不明显参考1"/>
    <w:basedOn w:val="21"/>
    <w:qFormat/>
    <w:uiPriority w:val="31"/>
    <w:rPr>
      <w:sz w:val="24"/>
      <w:szCs w:val="24"/>
      <w:u w:val="single"/>
    </w:rPr>
  </w:style>
  <w:style w:type="character" w:customStyle="1" w:styleId="45">
    <w:name w:val="明显参考1"/>
    <w:basedOn w:val="21"/>
    <w:qFormat/>
    <w:uiPriority w:val="32"/>
    <w:rPr>
      <w:b/>
      <w:sz w:val="24"/>
      <w:u w:val="single"/>
    </w:rPr>
  </w:style>
  <w:style w:type="character" w:customStyle="1" w:styleId="46">
    <w:name w:val="书籍标题1"/>
    <w:basedOn w:val="21"/>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Char"/>
    <w:basedOn w:val="21"/>
    <w:link w:val="19"/>
    <w:qFormat/>
    <w:uiPriority w:val="99"/>
    <w:rPr>
      <w:rFonts w:ascii="Calibri" w:hAnsi="Calibri" w:eastAsia="宋体"/>
      <w:kern w:val="2"/>
      <w:sz w:val="18"/>
      <w:szCs w:val="18"/>
    </w:rPr>
  </w:style>
  <w:style w:type="character" w:customStyle="1" w:styleId="49">
    <w:name w:val="页脚 Char"/>
    <w:basedOn w:val="21"/>
    <w:link w:val="17"/>
    <w:qFormat/>
    <w:uiPriority w:val="99"/>
    <w:rPr>
      <w:rFonts w:ascii="Calibri" w:hAnsi="Calibri" w:eastAsia="宋体"/>
      <w:kern w:val="2"/>
      <w:sz w:val="18"/>
      <w:szCs w:val="18"/>
    </w:rPr>
  </w:style>
  <w:style w:type="character" w:customStyle="1" w:styleId="50">
    <w:name w:val="批注框文本 Char"/>
    <w:basedOn w:val="21"/>
    <w:link w:val="16"/>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9974</Words>
  <Characters>1205</Characters>
  <Lines>10</Lines>
  <Paragraphs>22</Paragraphs>
  <TotalTime>1</TotalTime>
  <ScaleCrop>false</ScaleCrop>
  <LinksUpToDate>false</LinksUpToDate>
  <CharactersWithSpaces>11157</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2020-07-05T08:35:00Z</dcterms:created>
  <dc:creator>赵 恺（预算处）</dc:creator>
  <cp:lastModifiedBy>Administrator</cp:lastModifiedBy>
  <cp:lastPrinted>2020-01-01T08:02:00Z</cp:lastPrinted>
  <dcterms:modified xsi:type="dcterms:W3CDTF">2008-12-31T16:51:24Z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013360FACCE1418B80C968824022A9DF</vt:lpwstr>
  </property>
  <property fmtid="{D5CDD505-2E9C-101B-9397-08002B2CF9AE}" pid="4" name="KSOSaveFontToCloudKey">
    <vt:lpwstr>0_btnclosed</vt:lpwstr>
  </property>
</Properties>
</file>