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540" w:lineRule="exact"/>
        <w:jc w:val="left"/>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eastAsia="zh-CN"/>
        </w:rPr>
        <w:t>附件</w:t>
      </w:r>
      <w:r>
        <w:rPr>
          <w:rFonts w:hint="eastAsia" w:ascii="黑体" w:hAnsi="黑体" w:eastAsia="黑体" w:cs="黑体"/>
          <w:b w:val="0"/>
          <w:bCs/>
          <w:kern w:val="0"/>
          <w:sz w:val="32"/>
          <w:szCs w:val="32"/>
          <w:highlight w:val="none"/>
          <w:lang w:val="en-US" w:eastAsia="zh-CN"/>
        </w:rPr>
        <w:t>4：</w:t>
      </w:r>
    </w:p>
    <w:p>
      <w:pPr>
        <w:shd w:val="clear"/>
        <w:spacing w:line="540" w:lineRule="exact"/>
        <w:rPr>
          <w:rFonts w:eastAsia="华文中宋"/>
          <w:b/>
          <w:kern w:val="0"/>
          <w:sz w:val="72"/>
          <w:szCs w:val="72"/>
          <w:highlight w:val="none"/>
        </w:rPr>
      </w:pPr>
    </w:p>
    <w:p>
      <w:pPr>
        <w:shd w:val="clear"/>
        <w:spacing w:line="540" w:lineRule="exact"/>
        <w:jc w:val="center"/>
        <w:rPr>
          <w:rFonts w:eastAsia="华文中宋"/>
          <w:b/>
          <w:kern w:val="0"/>
          <w:sz w:val="52"/>
          <w:szCs w:val="52"/>
          <w:highlight w:val="none"/>
        </w:rPr>
      </w:pPr>
    </w:p>
    <w:p>
      <w:pPr>
        <w:shd w:val="clear"/>
        <w:spacing w:line="540" w:lineRule="exact"/>
        <w:jc w:val="center"/>
        <w:rPr>
          <w:rFonts w:eastAsia="华文中宋"/>
          <w:b/>
          <w:kern w:val="0"/>
          <w:sz w:val="52"/>
          <w:szCs w:val="52"/>
          <w:highlight w:val="none"/>
        </w:rPr>
      </w:pPr>
    </w:p>
    <w:p>
      <w:pPr>
        <w:shd w:val="clear"/>
        <w:spacing w:line="540" w:lineRule="exact"/>
        <w:jc w:val="center"/>
        <w:rPr>
          <w:rFonts w:hint="eastAsia" w:eastAsia="方正小标宋_GBK"/>
          <w:kern w:val="0"/>
          <w:sz w:val="48"/>
          <w:szCs w:val="48"/>
          <w:highlight w:val="none"/>
        </w:rPr>
      </w:pPr>
      <w:r>
        <w:rPr>
          <w:rFonts w:hint="eastAsia" w:eastAsia="方正小标宋_GBK"/>
          <w:kern w:val="0"/>
          <w:sz w:val="48"/>
          <w:szCs w:val="48"/>
          <w:highlight w:val="none"/>
        </w:rPr>
        <w:t>自治区畜牧业生产发展资金（畜牧产业</w:t>
      </w:r>
    </w:p>
    <w:p>
      <w:pPr>
        <w:shd w:val="clea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振兴指导服务项目）</w:t>
      </w:r>
      <w:r>
        <w:rPr>
          <w:rFonts w:eastAsia="方正小标宋_GBK"/>
          <w:kern w:val="0"/>
          <w:sz w:val="48"/>
          <w:szCs w:val="48"/>
          <w:highlight w:val="none"/>
        </w:rPr>
        <w:t>资金项目</w:t>
      </w:r>
    </w:p>
    <w:p>
      <w:pPr>
        <w:shd w:val="clear"/>
        <w:spacing w:line="540" w:lineRule="exact"/>
        <w:jc w:val="center"/>
        <w:rPr>
          <w:rFonts w:eastAsia="方正小标宋_GBK"/>
          <w:kern w:val="0"/>
          <w:sz w:val="48"/>
          <w:szCs w:val="48"/>
          <w:highlight w:val="none"/>
        </w:rPr>
      </w:pPr>
      <w:r>
        <w:rPr>
          <w:rFonts w:eastAsia="方正小标宋_GBK"/>
          <w:kern w:val="0"/>
          <w:sz w:val="48"/>
          <w:szCs w:val="48"/>
          <w:highlight w:val="none"/>
        </w:rPr>
        <w:t>支出绩效评价报告</w:t>
      </w:r>
    </w:p>
    <w:p>
      <w:pPr>
        <w:shd w:val="clear"/>
        <w:spacing w:line="540" w:lineRule="exact"/>
        <w:jc w:val="center"/>
        <w:rPr>
          <w:rFonts w:eastAsia="华文中宋"/>
          <w:b/>
          <w:kern w:val="0"/>
          <w:sz w:val="52"/>
          <w:szCs w:val="52"/>
          <w:highlight w:val="none"/>
        </w:rPr>
      </w:pPr>
    </w:p>
    <w:p>
      <w:pPr>
        <w:shd w:val="clear"/>
        <w:spacing w:line="540" w:lineRule="exact"/>
        <w:jc w:val="center"/>
        <w:rPr>
          <w:rFonts w:eastAsia="仿宋_GB2312"/>
          <w:kern w:val="0"/>
          <w:sz w:val="36"/>
          <w:szCs w:val="36"/>
          <w:highlight w:val="none"/>
        </w:rPr>
      </w:pPr>
      <w:r>
        <w:rPr>
          <w:rFonts w:eastAsia="仿宋_GB2312"/>
          <w:kern w:val="0"/>
          <w:sz w:val="36"/>
          <w:szCs w:val="36"/>
          <w:highlight w:val="none"/>
        </w:rPr>
        <w:t>（202</w:t>
      </w:r>
      <w:r>
        <w:rPr>
          <w:rFonts w:hint="eastAsia" w:eastAsia="仿宋_GB2312"/>
          <w:kern w:val="0"/>
          <w:sz w:val="36"/>
          <w:szCs w:val="36"/>
          <w:highlight w:val="none"/>
          <w:lang w:val="en-US" w:eastAsia="zh-CN"/>
        </w:rPr>
        <w:t>2</w:t>
      </w:r>
      <w:r>
        <w:rPr>
          <w:rFonts w:eastAsia="仿宋_GB2312"/>
          <w:kern w:val="0"/>
          <w:sz w:val="36"/>
          <w:szCs w:val="36"/>
          <w:highlight w:val="none"/>
        </w:rPr>
        <w:t>年度）</w:t>
      </w:r>
    </w:p>
    <w:p>
      <w:pPr>
        <w:shd w:val="clear"/>
        <w:spacing w:line="540" w:lineRule="exact"/>
        <w:jc w:val="center"/>
        <w:rPr>
          <w:rFonts w:eastAsia="仿宋_GB2312"/>
          <w:kern w:val="0"/>
          <w:sz w:val="30"/>
          <w:szCs w:val="30"/>
          <w:highlight w:val="none"/>
        </w:rPr>
      </w:pPr>
    </w:p>
    <w:p>
      <w:pPr>
        <w:shd w:val="clear"/>
        <w:spacing w:line="540" w:lineRule="exact"/>
        <w:jc w:val="center"/>
        <w:rPr>
          <w:rFonts w:eastAsia="仿宋_GB2312"/>
          <w:kern w:val="0"/>
          <w:sz w:val="30"/>
          <w:szCs w:val="30"/>
          <w:highlight w:val="none"/>
        </w:rPr>
      </w:pPr>
    </w:p>
    <w:p>
      <w:pPr>
        <w:shd w:val="clear"/>
        <w:spacing w:line="540" w:lineRule="exact"/>
        <w:jc w:val="center"/>
        <w:rPr>
          <w:rFonts w:eastAsia="仿宋_GB2312"/>
          <w:kern w:val="0"/>
          <w:sz w:val="30"/>
          <w:szCs w:val="30"/>
          <w:highlight w:val="none"/>
        </w:rPr>
      </w:pPr>
    </w:p>
    <w:p>
      <w:pPr>
        <w:shd w:val="clear"/>
        <w:spacing w:line="540" w:lineRule="exact"/>
        <w:jc w:val="center"/>
        <w:rPr>
          <w:rFonts w:eastAsia="仿宋_GB2312"/>
          <w:kern w:val="0"/>
          <w:sz w:val="30"/>
          <w:szCs w:val="30"/>
          <w:highlight w:val="none"/>
        </w:rPr>
      </w:pPr>
    </w:p>
    <w:p>
      <w:pPr>
        <w:shd w:val="clear"/>
        <w:spacing w:line="540" w:lineRule="exact"/>
        <w:rPr>
          <w:rFonts w:eastAsia="仿宋_GB2312"/>
          <w:kern w:val="0"/>
          <w:sz w:val="30"/>
          <w:szCs w:val="30"/>
          <w:highlight w:val="none"/>
        </w:rPr>
      </w:pPr>
    </w:p>
    <w:p>
      <w:pPr>
        <w:shd w:val="clear"/>
        <w:spacing w:line="700" w:lineRule="exact"/>
        <w:ind w:left="3236" w:leftChars="684" w:hanging="1800" w:hangingChars="500"/>
        <w:jc w:val="left"/>
        <w:rPr>
          <w:rFonts w:hint="eastAsia"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自治区畜牧业生产发展资金</w:t>
      </w:r>
    </w:p>
    <w:p>
      <w:pPr>
        <w:shd w:val="clear"/>
        <w:spacing w:line="700" w:lineRule="exact"/>
        <w:ind w:left="3233" w:leftChars="1368" w:hanging="360" w:hangingChars="100"/>
        <w:jc w:val="left"/>
        <w:rPr>
          <w:rFonts w:eastAsia="仿宋_GB2312"/>
          <w:kern w:val="0"/>
          <w:sz w:val="36"/>
          <w:szCs w:val="36"/>
          <w:highlight w:val="none"/>
        </w:rPr>
      </w:pPr>
      <w:r>
        <w:rPr>
          <w:rFonts w:hint="eastAsia" w:eastAsia="仿宋_GB2312"/>
          <w:kern w:val="0"/>
          <w:sz w:val="36"/>
          <w:szCs w:val="36"/>
          <w:highlight w:val="none"/>
        </w:rPr>
        <w:t>（畜牧产业振兴指导服务项目）</w:t>
      </w:r>
    </w:p>
    <w:p>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自治区畜牧兽医局办公室</w:t>
      </w:r>
    </w:p>
    <w:p>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自治区畜牧兽医局</w:t>
      </w:r>
    </w:p>
    <w:p>
      <w:pPr>
        <w:shd w:val="clea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刘英豪</w:t>
      </w:r>
    </w:p>
    <w:p>
      <w:pPr>
        <w:shd w:val="clea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2023</w:t>
      </w:r>
      <w:r>
        <w:rPr>
          <w:rFonts w:eastAsia="仿宋_GB2312"/>
          <w:kern w:val="0"/>
          <w:sz w:val="36"/>
          <w:szCs w:val="36"/>
          <w:highlight w:val="none"/>
        </w:rPr>
        <w:t>年</w:t>
      </w:r>
      <w:r>
        <w:rPr>
          <w:rFonts w:hint="eastAsia" w:eastAsia="仿宋_GB2312"/>
          <w:kern w:val="0"/>
          <w:sz w:val="36"/>
          <w:szCs w:val="36"/>
          <w:highlight w:val="none"/>
          <w:lang w:val="en-US" w:eastAsia="zh-CN"/>
        </w:rPr>
        <w:t>1</w:t>
      </w:r>
      <w:r>
        <w:rPr>
          <w:rFonts w:eastAsia="仿宋_GB2312"/>
          <w:kern w:val="0"/>
          <w:sz w:val="36"/>
          <w:szCs w:val="36"/>
          <w:highlight w:val="none"/>
        </w:rPr>
        <w:t>月</w:t>
      </w:r>
      <w:r>
        <w:rPr>
          <w:rFonts w:hint="eastAsia" w:eastAsia="仿宋_GB2312"/>
          <w:kern w:val="0"/>
          <w:sz w:val="36"/>
          <w:szCs w:val="36"/>
          <w:highlight w:val="none"/>
          <w:lang w:val="en-US" w:eastAsia="zh-CN"/>
        </w:rPr>
        <w:t>12</w:t>
      </w:r>
      <w:r>
        <w:rPr>
          <w:rFonts w:eastAsia="仿宋_GB2312"/>
          <w:kern w:val="0"/>
          <w:sz w:val="36"/>
          <w:szCs w:val="36"/>
          <w:highlight w:val="none"/>
        </w:rPr>
        <w:t>日</w:t>
      </w:r>
    </w:p>
    <w:p>
      <w:pPr>
        <w:shd w:val="clear"/>
        <w:spacing w:line="540" w:lineRule="exact"/>
        <w:jc w:val="center"/>
        <w:rPr>
          <w:rFonts w:eastAsia="仿宋_GB2312"/>
          <w:kern w:val="0"/>
          <w:sz w:val="30"/>
          <w:szCs w:val="30"/>
          <w:highlight w:val="none"/>
        </w:rPr>
      </w:pPr>
    </w:p>
    <w:p>
      <w:pPr>
        <w:shd w:val="clear"/>
        <w:spacing w:line="540" w:lineRule="exact"/>
        <w:rPr>
          <w:rStyle w:val="8"/>
          <w:rFonts w:eastAsia="黑体"/>
          <w:b w:val="0"/>
          <w:spacing w:val="-4"/>
          <w:sz w:val="32"/>
          <w:szCs w:val="32"/>
          <w:highlight w:val="none"/>
        </w:rPr>
      </w:pPr>
    </w:p>
    <w:p>
      <w:pPr>
        <w:shd w:val="clear"/>
        <w:spacing w:line="540" w:lineRule="exact"/>
        <w:ind w:firstLine="640"/>
        <w:rPr>
          <w:rStyle w:val="8"/>
          <w:rFonts w:eastAsia="黑体"/>
          <w:b w:val="0"/>
          <w:spacing w:val="-4"/>
          <w:sz w:val="32"/>
          <w:szCs w:val="32"/>
          <w:highlight w:val="none"/>
        </w:rPr>
      </w:pPr>
    </w:p>
    <w:p>
      <w:pPr>
        <w:shd w:val="clear"/>
        <w:spacing w:line="540" w:lineRule="exact"/>
        <w:rPr>
          <w:rStyle w:val="8"/>
          <w:rFonts w:eastAsia="黑体"/>
          <w:b w:val="0"/>
          <w:spacing w:val="-4"/>
          <w:sz w:val="32"/>
          <w:szCs w:val="32"/>
          <w:highlight w:val="none"/>
        </w:rPr>
      </w:pPr>
    </w:p>
    <w:p>
      <w:pPr>
        <w:shd w:val="clear"/>
        <w:spacing w:line="600" w:lineRule="exact"/>
        <w:ind w:firstLine="640" w:firstLineChars="200"/>
        <w:rPr>
          <w:rFonts w:eastAsia="黑体"/>
          <w:bCs/>
          <w:sz w:val="32"/>
          <w:szCs w:val="32"/>
          <w:highlight w:val="none"/>
        </w:rPr>
      </w:pPr>
      <w:r>
        <w:rPr>
          <w:rFonts w:eastAsia="黑体"/>
          <w:bCs/>
          <w:sz w:val="32"/>
          <w:szCs w:val="32"/>
          <w:highlight w:val="none"/>
        </w:rPr>
        <w:t>一、基本情况</w:t>
      </w:r>
    </w:p>
    <w:p>
      <w:pPr>
        <w:shd w:val="clear"/>
        <w:spacing w:line="600" w:lineRule="exact"/>
        <w:ind w:firstLine="641"/>
        <w:rPr>
          <w:rFonts w:eastAsia="楷体_GB2312"/>
          <w:b/>
          <w:bCs/>
          <w:sz w:val="32"/>
          <w:szCs w:val="32"/>
          <w:highlight w:val="none"/>
        </w:rPr>
      </w:pPr>
      <w:r>
        <w:rPr>
          <w:rFonts w:eastAsia="楷体_GB2312"/>
          <w:b/>
          <w:bCs/>
          <w:sz w:val="32"/>
          <w:szCs w:val="32"/>
          <w:highlight w:val="none"/>
        </w:rPr>
        <w:t>（一）项目概况</w:t>
      </w:r>
    </w:p>
    <w:p>
      <w:pPr>
        <w:shd w:val="clear"/>
        <w:spacing w:line="600" w:lineRule="exact"/>
        <w:ind w:firstLine="641"/>
        <w:rPr>
          <w:rFonts w:eastAsia="仿宋_GB2312"/>
          <w:b/>
          <w:bCs/>
          <w:color w:val="auto"/>
          <w:sz w:val="32"/>
          <w:szCs w:val="32"/>
          <w:highlight w:val="none"/>
          <w:shd w:val="clear" w:color="auto" w:fill="auto"/>
        </w:rPr>
      </w:pPr>
      <w:r>
        <w:rPr>
          <w:rFonts w:eastAsia="仿宋_GB2312"/>
          <w:b/>
          <w:bCs/>
          <w:color w:val="auto"/>
          <w:sz w:val="32"/>
          <w:szCs w:val="32"/>
          <w:highlight w:val="none"/>
          <w:shd w:val="clear" w:color="auto" w:fill="auto"/>
        </w:rPr>
        <w:t>1、项目背景</w:t>
      </w:r>
    </w:p>
    <w:p>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kern w:val="0"/>
          <w:sz w:val="32"/>
          <w:szCs w:val="32"/>
          <w:highlight w:val="none"/>
          <w:shd w:val="clear" w:color="auto" w:fill="auto"/>
        </w:rPr>
        <w:t>自治区畜牧兽医局</w:t>
      </w:r>
      <w:r>
        <w:rPr>
          <w:rFonts w:hint="eastAsia" w:eastAsia="仿宋_GB2312" w:cs="Times New Roman"/>
          <w:color w:val="auto"/>
          <w:kern w:val="0"/>
          <w:sz w:val="32"/>
          <w:szCs w:val="32"/>
          <w:highlight w:val="none"/>
          <w:shd w:val="clear" w:color="auto" w:fill="auto"/>
          <w:lang w:eastAsia="zh-CN"/>
        </w:rPr>
        <w:t>内设</w:t>
      </w:r>
      <w:r>
        <w:rPr>
          <w:rFonts w:hint="default" w:ascii="Times New Roman" w:hAnsi="Times New Roman" w:eastAsia="仿宋_GB2312" w:cs="Times New Roman"/>
          <w:color w:val="auto"/>
          <w:kern w:val="0"/>
          <w:sz w:val="32"/>
          <w:szCs w:val="32"/>
          <w:highlight w:val="none"/>
          <w:shd w:val="clear" w:color="auto" w:fill="auto"/>
        </w:rPr>
        <w:t>13个处室</w:t>
      </w:r>
      <w:r>
        <w:rPr>
          <w:rFonts w:hint="eastAsia" w:ascii="Times New Roman" w:hAnsi="Times New Roman" w:eastAsia="仿宋_GB2312" w:cs="Times New Roman"/>
          <w:color w:val="auto"/>
          <w:kern w:val="0"/>
          <w:sz w:val="32"/>
          <w:szCs w:val="32"/>
          <w:highlight w:val="none"/>
          <w:shd w:val="clear" w:color="auto" w:fill="auto"/>
          <w:lang w:eastAsia="zh-CN"/>
        </w:rPr>
        <w:t>，</w:t>
      </w:r>
      <w:r>
        <w:rPr>
          <w:rFonts w:hint="eastAsia" w:ascii="Times New Roman" w:hAnsi="Times New Roman" w:eastAsia="仿宋_GB2312" w:cs="Times New Roman"/>
          <w:color w:val="auto"/>
          <w:sz w:val="32"/>
          <w:szCs w:val="32"/>
          <w:highlight w:val="none"/>
          <w:shd w:val="clear" w:color="auto" w:fill="auto"/>
          <w:lang w:val="en-US" w:eastAsia="zh-CN"/>
        </w:rPr>
        <w:t>现有</w:t>
      </w:r>
      <w:r>
        <w:rPr>
          <w:rFonts w:hint="default" w:ascii="Times New Roman" w:hAnsi="Times New Roman" w:eastAsia="仿宋_GB2312" w:cs="Times New Roman"/>
          <w:color w:val="auto"/>
          <w:sz w:val="32"/>
          <w:szCs w:val="32"/>
          <w:highlight w:val="none"/>
          <w:shd w:val="clear" w:color="auto" w:fill="auto"/>
        </w:rPr>
        <w:t>行政编制86名，其中：局领导职数5名（含副厅级2名）、处级领导职数35名（含总畜牧师1名、首席兽医官1名、机关党委专职副书记1名、离退休干部工作处领导职数2名）。自治区草原总站15名全额预算编制划入自治区畜牧总站，自治区草原总站10人、自治区蝗虫鼠害预测预报防治中心站（自治区治蝗灭鼠指挥部办公室）3人</w:t>
      </w:r>
      <w:r>
        <w:rPr>
          <w:rFonts w:hint="eastAsia" w:eastAsia="仿宋_GB2312" w:cs="Times New Roman"/>
          <w:color w:val="auto"/>
          <w:sz w:val="32"/>
          <w:szCs w:val="32"/>
          <w:highlight w:val="none"/>
          <w:shd w:val="clear" w:color="auto" w:fill="auto"/>
          <w:lang w:eastAsia="zh-CN"/>
        </w:rPr>
        <w:t>相应转入</w:t>
      </w:r>
      <w:r>
        <w:rPr>
          <w:rFonts w:hint="default" w:ascii="Times New Roman" w:hAnsi="Times New Roman" w:eastAsia="仿宋_GB2312" w:cs="Times New Roman"/>
          <w:color w:val="auto"/>
          <w:sz w:val="32"/>
          <w:szCs w:val="32"/>
          <w:highlight w:val="none"/>
          <w:shd w:val="clear" w:color="auto" w:fill="auto"/>
        </w:rPr>
        <w:t>自治区畜牧总站。原自治区畜牧厅产业发展与牧场管理局更名为自治区畜牧兽医局产业发展中心。</w:t>
      </w:r>
    </w:p>
    <w:p>
      <w:pPr>
        <w:shd w:val="clea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rPr>
      </w:pPr>
      <w:r>
        <w:rPr>
          <w:rFonts w:hint="default" w:ascii="Times New Roman" w:hAnsi="Times New Roman" w:eastAsia="仿宋_GB2312" w:cs="Times New Roman"/>
          <w:color w:val="auto"/>
          <w:sz w:val="32"/>
          <w:szCs w:val="32"/>
          <w:highlight w:val="none"/>
          <w:shd w:val="clear" w:color="auto" w:fill="auto"/>
        </w:rPr>
        <w:t>自治区畜牧兽医局主要职能</w:t>
      </w:r>
      <w:r>
        <w:rPr>
          <w:rFonts w:hint="eastAsia" w:ascii="Times New Roman" w:hAnsi="Times New Roman" w:eastAsia="仿宋_GB2312" w:cs="Times New Roman"/>
          <w:color w:val="auto"/>
          <w:sz w:val="32"/>
          <w:szCs w:val="32"/>
          <w:highlight w:val="none"/>
          <w:shd w:val="clear" w:color="auto" w:fill="auto"/>
          <w:lang w:val="en-US" w:eastAsia="zh-CN"/>
        </w:rPr>
        <w:t>有</w:t>
      </w:r>
      <w:r>
        <w:rPr>
          <w:rFonts w:hint="eastAsia" w:eastAsia="仿宋_GB2312" w:cs="Times New Roman"/>
          <w:color w:val="auto"/>
          <w:sz w:val="32"/>
          <w:szCs w:val="32"/>
          <w:highlight w:val="none"/>
          <w:shd w:val="clear" w:color="auto" w:fill="auto"/>
          <w:lang w:eastAsia="zh-CN"/>
        </w:rPr>
        <w:t>：</w:t>
      </w:r>
      <w:r>
        <w:rPr>
          <w:rFonts w:hint="eastAsia" w:eastAsia="仿宋_GB2312" w:cs="Times New Roman"/>
          <w:b/>
          <w:bCs/>
          <w:color w:val="auto"/>
          <w:sz w:val="32"/>
          <w:szCs w:val="32"/>
          <w:highlight w:val="none"/>
          <w:shd w:val="clear" w:color="auto" w:fill="auto"/>
          <w:lang w:val="en-US" w:eastAsia="zh-CN"/>
        </w:rPr>
        <w:t>一是</w:t>
      </w:r>
      <w:r>
        <w:rPr>
          <w:rFonts w:hint="default" w:ascii="Times New Roman" w:hAnsi="Times New Roman" w:eastAsia="仿宋_GB2312" w:cs="Times New Roman"/>
          <w:color w:val="auto"/>
          <w:sz w:val="32"/>
          <w:szCs w:val="32"/>
          <w:highlight w:val="none"/>
          <w:shd w:val="clear" w:color="auto" w:fill="auto"/>
        </w:rPr>
        <w:t>贯彻落实国家和自治区有关畜牧兽医方面的法律、法规和政策等。</w:t>
      </w:r>
      <w:r>
        <w:rPr>
          <w:rFonts w:hint="eastAsia" w:ascii="Times New Roman" w:hAnsi="Times New Roman" w:eastAsia="仿宋_GB2312" w:cs="Times New Roman"/>
          <w:b/>
          <w:bCs/>
          <w:color w:val="auto"/>
          <w:sz w:val="32"/>
          <w:szCs w:val="32"/>
          <w:highlight w:val="none"/>
          <w:shd w:val="clear" w:color="auto" w:fill="auto"/>
          <w:lang w:val="en-US" w:eastAsia="zh-CN"/>
        </w:rPr>
        <w:t>二是</w:t>
      </w:r>
      <w:r>
        <w:rPr>
          <w:rFonts w:hint="default" w:ascii="Times New Roman" w:hAnsi="Times New Roman" w:eastAsia="仿宋_GB2312" w:cs="Times New Roman"/>
          <w:color w:val="auto"/>
          <w:sz w:val="32"/>
          <w:szCs w:val="32"/>
          <w:highlight w:val="none"/>
          <w:shd w:val="clear" w:color="auto" w:fill="auto"/>
        </w:rPr>
        <w:t>负责畜牧业、兽药和兽医器械行业、饲料饲草业、畜禽屠宰行业监督管理。</w:t>
      </w:r>
      <w:r>
        <w:rPr>
          <w:rFonts w:hint="eastAsia" w:ascii="Times New Roman" w:hAnsi="Times New Roman" w:eastAsia="仿宋_GB2312" w:cs="Times New Roman"/>
          <w:b/>
          <w:bCs/>
          <w:color w:val="auto"/>
          <w:sz w:val="32"/>
          <w:szCs w:val="32"/>
          <w:highlight w:val="none"/>
          <w:shd w:val="clear" w:color="auto" w:fill="auto"/>
          <w:lang w:val="en-US" w:eastAsia="zh-CN"/>
        </w:rPr>
        <w:t>三是</w:t>
      </w:r>
      <w:r>
        <w:rPr>
          <w:rFonts w:hint="default" w:ascii="Times New Roman" w:hAnsi="Times New Roman" w:eastAsia="仿宋_GB2312" w:cs="Times New Roman"/>
          <w:color w:val="auto"/>
          <w:sz w:val="32"/>
          <w:szCs w:val="32"/>
          <w:highlight w:val="none"/>
          <w:shd w:val="clear" w:color="auto" w:fill="auto"/>
        </w:rPr>
        <w:t>起草畜牧业、兽药和兽医器械行业、兽医事业发展、动物疫病防治、检疫监督、饲料饲草业、畜禽屠宰行业的政策法规草案，拟订发展规划，提出相关政策建议并组织实施。</w:t>
      </w:r>
      <w:r>
        <w:rPr>
          <w:rFonts w:hint="eastAsia" w:ascii="Times New Roman" w:hAnsi="Times New Roman" w:eastAsia="仿宋_GB2312" w:cs="Times New Roman"/>
          <w:b/>
          <w:bCs/>
          <w:color w:val="auto"/>
          <w:sz w:val="32"/>
          <w:szCs w:val="32"/>
          <w:highlight w:val="none"/>
          <w:shd w:val="clear" w:color="auto" w:fill="auto"/>
          <w:lang w:val="en-US" w:eastAsia="zh-CN"/>
        </w:rPr>
        <w:t>四是</w:t>
      </w:r>
      <w:r>
        <w:rPr>
          <w:rFonts w:hint="default" w:ascii="Times New Roman" w:hAnsi="Times New Roman" w:eastAsia="仿宋_GB2312" w:cs="Times New Roman"/>
          <w:color w:val="auto"/>
          <w:sz w:val="32"/>
          <w:szCs w:val="32"/>
          <w:highlight w:val="none"/>
          <w:shd w:val="clear" w:color="auto" w:fill="auto"/>
        </w:rPr>
        <w:t>拟订畜牧业、兽医器械行业、动物疫病防治、动物卫生、饲料饲草业、畜禽屠宰行业有关标准和技术规范并组织实施。</w:t>
      </w:r>
      <w:r>
        <w:rPr>
          <w:rFonts w:hint="eastAsia" w:ascii="Times New Roman" w:hAnsi="Times New Roman" w:eastAsia="仿宋_GB2312" w:cs="Times New Roman"/>
          <w:b/>
          <w:bCs/>
          <w:color w:val="auto"/>
          <w:sz w:val="32"/>
          <w:szCs w:val="32"/>
          <w:highlight w:val="none"/>
          <w:shd w:val="clear" w:color="auto" w:fill="auto"/>
          <w:lang w:val="en-US" w:eastAsia="zh-CN"/>
        </w:rPr>
        <w:t>五是</w:t>
      </w:r>
      <w:r>
        <w:rPr>
          <w:rFonts w:hint="default" w:ascii="Times New Roman" w:hAnsi="Times New Roman" w:eastAsia="仿宋_GB2312" w:cs="Times New Roman"/>
          <w:color w:val="auto"/>
          <w:sz w:val="32"/>
          <w:szCs w:val="32"/>
          <w:highlight w:val="none"/>
          <w:shd w:val="clear" w:color="auto" w:fill="auto"/>
        </w:rPr>
        <w:t>指导畜牧业结构调整、畜禽遗传资源保护与利用、种畜禽管理及良种推广利用、标准化规模化生产、畜禽养殖场备案管理、畜禽粪污资源化利用、病死畜禽无害化处理、畜牧设施装备现代化。</w:t>
      </w:r>
      <w:r>
        <w:rPr>
          <w:rFonts w:hint="eastAsia" w:ascii="Times New Roman" w:hAnsi="Times New Roman" w:eastAsia="仿宋_GB2312" w:cs="Times New Roman"/>
          <w:b/>
          <w:bCs/>
          <w:color w:val="auto"/>
          <w:sz w:val="32"/>
          <w:szCs w:val="32"/>
          <w:highlight w:val="none"/>
          <w:shd w:val="clear" w:color="auto" w:fill="auto"/>
          <w:lang w:val="en-US" w:eastAsia="zh-CN"/>
        </w:rPr>
        <w:t>六是</w:t>
      </w:r>
      <w:r>
        <w:rPr>
          <w:rFonts w:hint="default" w:ascii="Times New Roman" w:hAnsi="Times New Roman" w:eastAsia="仿宋_GB2312" w:cs="Times New Roman"/>
          <w:color w:val="auto"/>
          <w:sz w:val="32"/>
          <w:szCs w:val="32"/>
          <w:highlight w:val="none"/>
          <w:shd w:val="clear" w:color="auto" w:fill="auto"/>
        </w:rPr>
        <w:t>指导饲草良种体系建设、饲草生产加工流通、草牧业转型升级、农牧交错带产业结构调整。</w:t>
      </w:r>
      <w:r>
        <w:rPr>
          <w:rFonts w:hint="eastAsia" w:ascii="Times New Roman" w:hAnsi="Times New Roman" w:eastAsia="仿宋_GB2312" w:cs="Times New Roman"/>
          <w:b/>
          <w:bCs/>
          <w:color w:val="auto"/>
          <w:sz w:val="32"/>
          <w:szCs w:val="32"/>
          <w:highlight w:val="none"/>
          <w:shd w:val="clear" w:color="auto" w:fill="auto"/>
          <w:lang w:val="en-US" w:eastAsia="zh-CN"/>
        </w:rPr>
        <w:t>七是</w:t>
      </w:r>
      <w:r>
        <w:rPr>
          <w:rFonts w:hint="default" w:ascii="Times New Roman" w:hAnsi="Times New Roman" w:eastAsia="仿宋_GB2312" w:cs="Times New Roman"/>
          <w:color w:val="auto"/>
          <w:sz w:val="32"/>
          <w:szCs w:val="32"/>
          <w:highlight w:val="none"/>
          <w:shd w:val="clear" w:color="auto" w:fill="auto"/>
        </w:rPr>
        <w:t>负责动物疫病防治和疫情管理工作。组织实施动物疫病监测和风险评估，监督指导动物疫情扑灭工作。负责动物防疫应急管理。</w:t>
      </w:r>
      <w:r>
        <w:rPr>
          <w:rFonts w:hint="eastAsia" w:ascii="Times New Roman" w:hAnsi="Times New Roman" w:eastAsia="仿宋_GB2312" w:cs="Times New Roman"/>
          <w:b/>
          <w:bCs/>
          <w:color w:val="auto"/>
          <w:sz w:val="32"/>
          <w:szCs w:val="32"/>
          <w:highlight w:val="none"/>
          <w:shd w:val="clear" w:color="auto" w:fill="auto"/>
          <w:lang w:val="en-US" w:eastAsia="zh-CN"/>
        </w:rPr>
        <w:t>八是</w:t>
      </w:r>
      <w:r>
        <w:rPr>
          <w:rFonts w:hint="default" w:ascii="Times New Roman" w:hAnsi="Times New Roman" w:eastAsia="仿宋_GB2312" w:cs="Times New Roman"/>
          <w:color w:val="auto"/>
          <w:sz w:val="32"/>
          <w:szCs w:val="32"/>
          <w:highlight w:val="none"/>
          <w:shd w:val="clear" w:color="auto" w:fill="auto"/>
        </w:rPr>
        <w:t>负责兽医医政监督管理，负责兽医相关人员、中兽医和动物诊疗机构管理。承担畜牧兽医体系建设工作。</w:t>
      </w:r>
      <w:r>
        <w:rPr>
          <w:rFonts w:hint="eastAsia" w:ascii="Times New Roman" w:hAnsi="Times New Roman" w:eastAsia="仿宋_GB2312" w:cs="Times New Roman"/>
          <w:b/>
          <w:bCs/>
          <w:color w:val="auto"/>
          <w:sz w:val="32"/>
          <w:szCs w:val="32"/>
          <w:highlight w:val="none"/>
          <w:shd w:val="clear" w:color="auto" w:fill="auto"/>
          <w:lang w:val="en-US" w:eastAsia="zh-CN"/>
        </w:rPr>
        <w:t>九是</w:t>
      </w:r>
      <w:r>
        <w:rPr>
          <w:rFonts w:hint="default" w:ascii="Times New Roman" w:hAnsi="Times New Roman" w:eastAsia="仿宋_GB2312" w:cs="Times New Roman"/>
          <w:color w:val="auto"/>
          <w:sz w:val="32"/>
          <w:szCs w:val="32"/>
          <w:highlight w:val="none"/>
          <w:shd w:val="clear" w:color="auto" w:fill="auto"/>
        </w:rPr>
        <w:t>负责实施动物及动物产品检疫、动物防疫条件审核、动物标识及动物产品可追溯、动物卫生监督分级管理工作。</w:t>
      </w:r>
      <w:r>
        <w:rPr>
          <w:rFonts w:hint="eastAsia" w:ascii="Times New Roman" w:hAnsi="Times New Roman" w:eastAsia="仿宋_GB2312" w:cs="Times New Roman"/>
          <w:b/>
          <w:bCs/>
          <w:color w:val="auto"/>
          <w:sz w:val="32"/>
          <w:szCs w:val="32"/>
          <w:highlight w:val="none"/>
          <w:shd w:val="clear" w:color="auto" w:fill="auto"/>
          <w:lang w:val="en-US" w:eastAsia="zh-CN"/>
        </w:rPr>
        <w:t>十是</w:t>
      </w:r>
      <w:r>
        <w:rPr>
          <w:rFonts w:hint="default" w:ascii="Times New Roman" w:hAnsi="Times New Roman" w:eastAsia="仿宋_GB2312" w:cs="Times New Roman"/>
          <w:color w:val="auto"/>
          <w:sz w:val="32"/>
          <w:szCs w:val="32"/>
          <w:highlight w:val="none"/>
          <w:shd w:val="clear" w:color="auto" w:fill="auto"/>
        </w:rPr>
        <w:t>实施兽医生物制品、动物病原微生物和实验室生物安全分级管理，负责兽医实验室考核评估。</w:t>
      </w:r>
      <w:r>
        <w:rPr>
          <w:rFonts w:hint="eastAsia" w:ascii="Times New Roman" w:hAnsi="Times New Roman" w:eastAsia="仿宋_GB2312" w:cs="Times New Roman"/>
          <w:b/>
          <w:bCs/>
          <w:color w:val="auto"/>
          <w:sz w:val="32"/>
          <w:szCs w:val="32"/>
          <w:highlight w:val="none"/>
          <w:shd w:val="clear" w:color="auto" w:fill="auto"/>
          <w:lang w:val="en-US" w:eastAsia="zh-CN"/>
        </w:rPr>
        <w:t>十一是</w:t>
      </w:r>
      <w:r>
        <w:rPr>
          <w:rFonts w:hint="default" w:ascii="Times New Roman" w:hAnsi="Times New Roman" w:eastAsia="仿宋_GB2312" w:cs="Times New Roman"/>
          <w:color w:val="auto"/>
          <w:sz w:val="32"/>
          <w:szCs w:val="32"/>
          <w:highlight w:val="none"/>
          <w:shd w:val="clear" w:color="auto" w:fill="auto"/>
        </w:rPr>
        <w:t>负责兽药及兽医器械、饲料及饲料添加剂、生鲜乳生产收购运输环节、畜禽屠宰环节质量安全监督管理。</w:t>
      </w:r>
      <w:r>
        <w:rPr>
          <w:rFonts w:hint="eastAsia" w:ascii="Times New Roman" w:hAnsi="Times New Roman" w:eastAsia="仿宋_GB2312" w:cs="Times New Roman"/>
          <w:b/>
          <w:bCs/>
          <w:color w:val="auto"/>
          <w:sz w:val="32"/>
          <w:szCs w:val="32"/>
          <w:highlight w:val="none"/>
          <w:shd w:val="clear" w:color="auto" w:fill="auto"/>
          <w:lang w:val="en-US" w:eastAsia="zh-CN"/>
        </w:rPr>
        <w:t>十二是</w:t>
      </w:r>
      <w:r>
        <w:rPr>
          <w:rFonts w:hint="default" w:ascii="Times New Roman" w:hAnsi="Times New Roman" w:eastAsia="仿宋_GB2312" w:cs="Times New Roman"/>
          <w:color w:val="auto"/>
          <w:sz w:val="32"/>
          <w:szCs w:val="32"/>
          <w:highlight w:val="none"/>
          <w:shd w:val="clear" w:color="auto" w:fill="auto"/>
        </w:rPr>
        <w:t>提出畜牧兽医科研、技术推广项目建议，负责重大科研、推广项目的管理工作。指导行业技术推广体系建设与改革。负责组织畜牧行业科技培训。</w:t>
      </w:r>
      <w:r>
        <w:rPr>
          <w:rFonts w:hint="eastAsia" w:ascii="Times New Roman" w:hAnsi="Times New Roman" w:eastAsia="仿宋_GB2312" w:cs="Times New Roman"/>
          <w:b/>
          <w:bCs/>
          <w:color w:val="auto"/>
          <w:sz w:val="32"/>
          <w:szCs w:val="32"/>
          <w:highlight w:val="none"/>
          <w:shd w:val="clear" w:color="auto" w:fill="auto"/>
          <w:lang w:val="en-US" w:eastAsia="zh-CN"/>
        </w:rPr>
        <w:t>十三是</w:t>
      </w:r>
      <w:r>
        <w:rPr>
          <w:rFonts w:hint="default" w:ascii="Times New Roman" w:hAnsi="Times New Roman" w:eastAsia="仿宋_GB2312" w:cs="Times New Roman"/>
          <w:color w:val="auto"/>
          <w:sz w:val="32"/>
          <w:szCs w:val="32"/>
          <w:highlight w:val="none"/>
          <w:shd w:val="clear" w:color="auto" w:fill="auto"/>
        </w:rPr>
        <w:t>组织畜禽养殖、屠宰、饲料饲草生产等牧情调度，承担畜牧业综合生产形势分析和畜牧兽医行业统计有关工作。组织畜牧业产品供求信息、价格信息的收集和分析。</w:t>
      </w:r>
      <w:r>
        <w:rPr>
          <w:rFonts w:hint="eastAsia" w:ascii="Times New Roman" w:hAnsi="Times New Roman" w:eastAsia="仿宋_GB2312" w:cs="Times New Roman"/>
          <w:b/>
          <w:bCs/>
          <w:color w:val="auto"/>
          <w:sz w:val="32"/>
          <w:szCs w:val="32"/>
          <w:highlight w:val="none"/>
          <w:shd w:val="clear" w:color="auto" w:fill="auto"/>
          <w:lang w:val="en-US" w:eastAsia="zh-CN"/>
        </w:rPr>
        <w:t>十四是</w:t>
      </w:r>
      <w:r>
        <w:rPr>
          <w:rFonts w:hint="default" w:ascii="Times New Roman" w:hAnsi="Times New Roman" w:eastAsia="仿宋_GB2312" w:cs="Times New Roman"/>
          <w:color w:val="auto"/>
          <w:sz w:val="32"/>
          <w:szCs w:val="32"/>
          <w:highlight w:val="none"/>
          <w:shd w:val="clear" w:color="auto" w:fill="auto"/>
        </w:rPr>
        <w:t>拟订畜牧业发展规划。提出相关投资项目需求和财政项目安排建议并组织实施。</w:t>
      </w:r>
    </w:p>
    <w:p>
      <w:pPr>
        <w:shd w:val="clear"/>
        <w:spacing w:line="600" w:lineRule="exact"/>
        <w:ind w:firstLine="640" w:firstLineChars="200"/>
        <w:rPr>
          <w:rFonts w:hint="default" w:ascii="Times New Roman" w:hAnsi="Times New Roman" w:eastAsia="仿宋_GB2312" w:cs="Times New Roman"/>
          <w:color w:val="auto"/>
          <w:kern w:val="0"/>
          <w:sz w:val="32"/>
          <w:szCs w:val="32"/>
          <w:highlight w:val="none"/>
          <w:shd w:val="clear" w:color="auto" w:fill="auto"/>
        </w:rPr>
      </w:pPr>
      <w:r>
        <w:rPr>
          <w:rFonts w:hint="eastAsia" w:ascii="Times New Roman" w:hAnsi="Times New Roman" w:eastAsia="仿宋_GB2312" w:cs="Times New Roman"/>
          <w:color w:val="auto"/>
          <w:kern w:val="0"/>
          <w:sz w:val="32"/>
          <w:szCs w:val="32"/>
          <w:highlight w:val="none"/>
          <w:shd w:val="clear" w:color="auto" w:fill="auto"/>
          <w:lang w:val="en-US" w:eastAsia="zh-CN"/>
        </w:rPr>
        <w:t>为</w:t>
      </w:r>
      <w:r>
        <w:rPr>
          <w:rFonts w:hint="default" w:ascii="Times New Roman" w:hAnsi="Times New Roman" w:eastAsia="仿宋_GB2312" w:cs="Times New Roman"/>
          <w:color w:val="auto"/>
          <w:kern w:val="0"/>
          <w:sz w:val="32"/>
          <w:szCs w:val="32"/>
          <w:highlight w:val="none"/>
          <w:shd w:val="clear" w:color="auto" w:fill="auto"/>
        </w:rPr>
        <w:t>巩固</w:t>
      </w:r>
      <w:r>
        <w:rPr>
          <w:rFonts w:hint="eastAsia" w:eastAsia="仿宋_GB2312" w:cs="Times New Roman"/>
          <w:color w:val="auto"/>
          <w:kern w:val="0"/>
          <w:sz w:val="32"/>
          <w:szCs w:val="32"/>
          <w:highlight w:val="none"/>
          <w:shd w:val="clear" w:color="auto" w:fill="auto"/>
          <w:lang w:eastAsia="zh-CN"/>
        </w:rPr>
        <w:t>拓展</w:t>
      </w:r>
      <w:r>
        <w:rPr>
          <w:rFonts w:hint="default" w:ascii="Times New Roman" w:hAnsi="Times New Roman" w:eastAsia="仿宋_GB2312" w:cs="Times New Roman"/>
          <w:color w:val="auto"/>
          <w:kern w:val="0"/>
          <w:sz w:val="32"/>
          <w:szCs w:val="32"/>
          <w:highlight w:val="none"/>
          <w:shd w:val="clear" w:color="auto" w:fill="auto"/>
        </w:rPr>
        <w:t>脱贫攻坚成果，</w:t>
      </w:r>
      <w:r>
        <w:rPr>
          <w:rFonts w:hint="eastAsia" w:eastAsia="仿宋_GB2312" w:cs="Times New Roman"/>
          <w:color w:val="auto"/>
          <w:kern w:val="0"/>
          <w:sz w:val="32"/>
          <w:szCs w:val="32"/>
          <w:highlight w:val="none"/>
          <w:shd w:val="clear" w:color="auto" w:fill="auto"/>
          <w:lang w:eastAsia="zh-CN"/>
        </w:rPr>
        <w:t>推进</w:t>
      </w:r>
      <w:r>
        <w:rPr>
          <w:rFonts w:hint="default" w:ascii="Times New Roman" w:hAnsi="Times New Roman" w:eastAsia="仿宋_GB2312" w:cs="Times New Roman"/>
          <w:color w:val="auto"/>
          <w:kern w:val="0"/>
          <w:sz w:val="32"/>
          <w:szCs w:val="32"/>
          <w:highlight w:val="none"/>
          <w:shd w:val="clear" w:color="auto" w:fill="auto"/>
        </w:rPr>
        <w:t>乡村振兴</w:t>
      </w:r>
      <w:r>
        <w:rPr>
          <w:rFonts w:hint="eastAsia" w:eastAsia="仿宋_GB2312" w:cs="Times New Roman"/>
          <w:color w:val="auto"/>
          <w:kern w:val="0"/>
          <w:sz w:val="32"/>
          <w:szCs w:val="32"/>
          <w:highlight w:val="none"/>
          <w:shd w:val="clear" w:color="auto" w:fill="auto"/>
          <w:lang w:eastAsia="zh-CN"/>
        </w:rPr>
        <w:t>，</w:t>
      </w:r>
      <w:r>
        <w:rPr>
          <w:rFonts w:hint="default" w:ascii="Times New Roman" w:hAnsi="Times New Roman" w:eastAsia="仿宋_GB2312" w:cs="Times New Roman"/>
          <w:color w:val="auto"/>
          <w:kern w:val="0"/>
          <w:sz w:val="32"/>
          <w:szCs w:val="32"/>
          <w:highlight w:val="none"/>
          <w:shd w:val="clear" w:color="auto" w:fill="auto"/>
        </w:rPr>
        <w:t>自治区畜牧兽医局按照中央和自治区党委</w:t>
      </w:r>
      <w:r>
        <w:rPr>
          <w:rFonts w:hint="eastAsia" w:ascii="Times New Roman" w:hAnsi="Times New Roman" w:eastAsia="仿宋_GB2312" w:cs="Times New Roman"/>
          <w:color w:val="auto"/>
          <w:kern w:val="0"/>
          <w:sz w:val="32"/>
          <w:szCs w:val="32"/>
          <w:highlight w:val="none"/>
          <w:shd w:val="clear" w:color="auto" w:fill="auto"/>
          <w:lang w:eastAsia="zh-CN"/>
        </w:rPr>
        <w:t>、</w:t>
      </w:r>
      <w:r>
        <w:rPr>
          <w:rFonts w:hint="default" w:ascii="Times New Roman" w:hAnsi="Times New Roman" w:eastAsia="仿宋_GB2312" w:cs="Times New Roman"/>
          <w:color w:val="auto"/>
          <w:kern w:val="0"/>
          <w:sz w:val="32"/>
          <w:szCs w:val="32"/>
          <w:highlight w:val="none"/>
          <w:shd w:val="clear" w:color="auto" w:fill="auto"/>
        </w:rPr>
        <w:t>自治区人民政府关于实施乡村产业振兴的总体安排部署，以及局党组</w:t>
      </w:r>
      <w:r>
        <w:rPr>
          <w:rFonts w:hint="eastAsia" w:eastAsia="仿宋_GB2312" w:cs="Times New Roman"/>
          <w:color w:val="auto"/>
          <w:kern w:val="0"/>
          <w:sz w:val="32"/>
          <w:szCs w:val="32"/>
          <w:highlight w:val="none"/>
          <w:shd w:val="clear" w:color="auto" w:fill="auto"/>
          <w:lang w:eastAsia="zh-CN"/>
        </w:rPr>
        <w:t>研究确定</w:t>
      </w:r>
      <w:r>
        <w:rPr>
          <w:rFonts w:hint="default" w:ascii="Times New Roman" w:hAnsi="Times New Roman" w:eastAsia="仿宋_GB2312" w:cs="Times New Roman"/>
          <w:color w:val="auto"/>
          <w:kern w:val="0"/>
          <w:sz w:val="32"/>
          <w:szCs w:val="32"/>
          <w:highlight w:val="none"/>
          <w:shd w:val="clear" w:color="auto" w:fill="auto"/>
        </w:rPr>
        <w:t>的202</w:t>
      </w:r>
      <w:r>
        <w:rPr>
          <w:rFonts w:hint="eastAsia" w:ascii="Times New Roman" w:hAnsi="Times New Roman" w:eastAsia="仿宋_GB2312" w:cs="Times New Roman"/>
          <w:color w:val="auto"/>
          <w:kern w:val="0"/>
          <w:sz w:val="32"/>
          <w:szCs w:val="32"/>
          <w:highlight w:val="none"/>
          <w:shd w:val="clear" w:color="auto" w:fill="auto"/>
          <w:lang w:val="en-US" w:eastAsia="zh-CN"/>
        </w:rPr>
        <w:t>2</w:t>
      </w:r>
      <w:r>
        <w:rPr>
          <w:rFonts w:hint="default" w:ascii="Times New Roman" w:hAnsi="Times New Roman" w:eastAsia="仿宋_GB2312" w:cs="Times New Roman"/>
          <w:color w:val="auto"/>
          <w:kern w:val="0"/>
          <w:sz w:val="32"/>
          <w:szCs w:val="32"/>
          <w:highlight w:val="none"/>
          <w:shd w:val="clear" w:color="auto" w:fill="auto"/>
        </w:rPr>
        <w:t>年畜牧兽医工作重点</w:t>
      </w:r>
      <w:r>
        <w:rPr>
          <w:rFonts w:hint="eastAsia" w:eastAsia="仿宋_GB2312" w:cs="Times New Roman"/>
          <w:color w:val="auto"/>
          <w:kern w:val="0"/>
          <w:sz w:val="32"/>
          <w:szCs w:val="32"/>
          <w:highlight w:val="none"/>
          <w:shd w:val="clear" w:color="auto" w:fill="auto"/>
          <w:lang w:eastAsia="zh-CN"/>
        </w:rPr>
        <w:t>，</w:t>
      </w:r>
      <w:r>
        <w:rPr>
          <w:rFonts w:hint="default" w:ascii="Times New Roman" w:hAnsi="Times New Roman" w:eastAsia="仿宋_GB2312" w:cs="Times New Roman"/>
          <w:color w:val="auto"/>
          <w:kern w:val="0"/>
          <w:sz w:val="32"/>
          <w:szCs w:val="32"/>
          <w:highlight w:val="none"/>
          <w:shd w:val="clear" w:color="auto" w:fill="auto"/>
        </w:rPr>
        <w:t>践行新发展理念，落实高质量发展要求，围绕乡村产业振兴和畜牧业生产上水平，坚持稳基础、强供给、保安全、促发展、增效益，推进畜牧业供给侧结构性改革</w:t>
      </w:r>
      <w:r>
        <w:rPr>
          <w:rFonts w:hint="eastAsia" w:eastAsia="仿宋_GB2312" w:cs="Times New Roman"/>
          <w:color w:val="auto"/>
          <w:kern w:val="0"/>
          <w:sz w:val="32"/>
          <w:szCs w:val="32"/>
          <w:highlight w:val="none"/>
          <w:shd w:val="clear" w:color="auto" w:fill="auto"/>
          <w:lang w:eastAsia="zh-CN"/>
        </w:rPr>
        <w:t>，有序组织实施</w:t>
      </w:r>
      <w:r>
        <w:rPr>
          <w:rFonts w:hint="default" w:ascii="Times New Roman" w:hAnsi="Times New Roman" w:eastAsia="仿宋_GB2312" w:cs="Times New Roman"/>
          <w:color w:val="auto"/>
          <w:kern w:val="0"/>
          <w:sz w:val="32"/>
          <w:szCs w:val="32"/>
          <w:highlight w:val="none"/>
          <w:shd w:val="clear" w:color="auto" w:fill="auto"/>
        </w:rPr>
        <w:t>畜牧兽医局</w:t>
      </w:r>
      <w:r>
        <w:rPr>
          <w:rFonts w:hint="eastAsia" w:eastAsia="仿宋_GB2312" w:cs="Times New Roman"/>
          <w:color w:val="auto"/>
          <w:kern w:val="0"/>
          <w:sz w:val="32"/>
          <w:szCs w:val="32"/>
          <w:highlight w:val="none"/>
          <w:shd w:val="clear" w:color="auto" w:fill="auto"/>
          <w:lang w:eastAsia="zh-CN"/>
        </w:rPr>
        <w:t>畜牧产业振兴指导服务项目，</w:t>
      </w:r>
      <w:r>
        <w:rPr>
          <w:rFonts w:hint="default" w:ascii="Times New Roman" w:hAnsi="Times New Roman" w:eastAsia="仿宋_GB2312" w:cs="Times New Roman"/>
          <w:color w:val="auto"/>
          <w:kern w:val="0"/>
          <w:sz w:val="32"/>
          <w:szCs w:val="32"/>
          <w:highlight w:val="none"/>
          <w:shd w:val="clear" w:color="auto" w:fill="auto"/>
        </w:rPr>
        <w:t>保障</w:t>
      </w:r>
      <w:r>
        <w:rPr>
          <w:rFonts w:hint="eastAsia" w:eastAsia="仿宋_GB2312" w:cs="Times New Roman"/>
          <w:color w:val="auto"/>
          <w:kern w:val="0"/>
          <w:sz w:val="32"/>
          <w:szCs w:val="32"/>
          <w:highlight w:val="none"/>
          <w:shd w:val="clear" w:color="auto" w:fill="auto"/>
          <w:lang w:val="en-US" w:eastAsia="zh-CN"/>
        </w:rPr>
        <w:t>乡村振兴</w:t>
      </w:r>
      <w:r>
        <w:rPr>
          <w:rFonts w:hint="default" w:ascii="Times New Roman" w:hAnsi="Times New Roman" w:eastAsia="仿宋_GB2312" w:cs="Times New Roman"/>
          <w:color w:val="auto"/>
          <w:kern w:val="0"/>
          <w:sz w:val="32"/>
          <w:szCs w:val="32"/>
          <w:highlight w:val="none"/>
          <w:shd w:val="clear" w:color="auto" w:fill="auto"/>
        </w:rPr>
        <w:t>工作顺利开展，</w:t>
      </w:r>
      <w:r>
        <w:rPr>
          <w:rFonts w:hint="eastAsia" w:eastAsia="仿宋_GB2312" w:cs="Times New Roman"/>
          <w:color w:val="auto"/>
          <w:kern w:val="0"/>
          <w:sz w:val="32"/>
          <w:szCs w:val="32"/>
          <w:highlight w:val="none"/>
          <w:shd w:val="clear" w:color="auto" w:fill="auto"/>
          <w:lang w:eastAsia="zh-CN"/>
        </w:rPr>
        <w:t>取得明显成效</w:t>
      </w:r>
      <w:r>
        <w:rPr>
          <w:rFonts w:hint="default" w:ascii="Times New Roman" w:hAnsi="Times New Roman" w:eastAsia="仿宋_GB2312" w:cs="Times New Roman"/>
          <w:color w:val="auto"/>
          <w:kern w:val="0"/>
          <w:sz w:val="32"/>
          <w:szCs w:val="32"/>
          <w:highlight w:val="none"/>
          <w:shd w:val="clear" w:color="auto" w:fill="auto"/>
        </w:rPr>
        <w:t>。</w:t>
      </w:r>
    </w:p>
    <w:p>
      <w:pPr>
        <w:pStyle w:val="6"/>
        <w:numPr>
          <w:ilvl w:val="0"/>
          <w:numId w:val="1"/>
        </w:numPr>
        <w:shd w:val="clear"/>
        <w:spacing w:before="0" w:after="0" w:line="600" w:lineRule="exact"/>
        <w:ind w:firstLine="643" w:firstLineChars="200"/>
        <w:jc w:val="both"/>
        <w:rPr>
          <w:rFonts w:ascii="Times New Roman" w:hAnsi="Times New Roman" w:eastAsia="仿宋_GB2312"/>
          <w:color w:val="auto"/>
          <w:kern w:val="2"/>
          <w:highlight w:val="none"/>
          <w:shd w:val="clear" w:color="auto" w:fill="auto"/>
        </w:rPr>
      </w:pPr>
      <w:r>
        <w:rPr>
          <w:rFonts w:ascii="Times New Roman" w:hAnsi="Times New Roman" w:eastAsia="仿宋_GB2312"/>
          <w:color w:val="auto"/>
          <w:kern w:val="2"/>
          <w:highlight w:val="none"/>
          <w:shd w:val="clear" w:color="auto" w:fill="auto"/>
        </w:rPr>
        <w:t>项目主要内容：</w:t>
      </w:r>
    </w:p>
    <w:p>
      <w:pPr>
        <w:shd w:val="clear"/>
        <w:spacing w:line="600" w:lineRule="exact"/>
        <w:ind w:firstLine="640" w:firstLineChars="200"/>
        <w:rPr>
          <w:rFonts w:hint="eastAsia"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1.开展技术服务工作。进场入户、实地指导</w:t>
      </w:r>
      <w:r>
        <w:rPr>
          <w:rFonts w:hint="eastAsia" w:eastAsia="仿宋_GB2312"/>
          <w:color w:val="auto"/>
          <w:sz w:val="32"/>
          <w:szCs w:val="32"/>
          <w:highlight w:val="none"/>
          <w:shd w:val="clear" w:color="auto" w:fill="auto"/>
          <w:lang w:val="en-US" w:eastAsia="zh-CN"/>
        </w:rPr>
        <w:t>22</w:t>
      </w:r>
      <w:r>
        <w:rPr>
          <w:rFonts w:hint="eastAsia" w:eastAsia="仿宋_GB2312"/>
          <w:color w:val="auto"/>
          <w:sz w:val="32"/>
          <w:szCs w:val="32"/>
          <w:highlight w:val="none"/>
          <w:shd w:val="clear" w:color="auto" w:fill="auto"/>
        </w:rPr>
        <w:t>个</w:t>
      </w:r>
      <w:r>
        <w:rPr>
          <w:rFonts w:hint="eastAsia" w:eastAsia="仿宋_GB2312"/>
          <w:color w:val="auto"/>
          <w:sz w:val="32"/>
          <w:szCs w:val="32"/>
          <w:highlight w:val="none"/>
          <w:shd w:val="clear" w:color="auto" w:fill="auto"/>
          <w:lang w:eastAsia="zh-CN"/>
        </w:rPr>
        <w:t>巩固提升县（原深度贫困县）</w:t>
      </w:r>
      <w:r>
        <w:rPr>
          <w:rFonts w:hint="eastAsia" w:eastAsia="仿宋_GB2312"/>
          <w:color w:val="auto"/>
          <w:sz w:val="32"/>
          <w:szCs w:val="32"/>
          <w:highlight w:val="none"/>
          <w:shd w:val="clear" w:color="auto" w:fill="auto"/>
        </w:rPr>
        <w:t>养殖场（户）畜牧养殖技术，推广畜牧兽医实用技术，现场解决基层畜牧兽医技术困难。</w:t>
      </w:r>
    </w:p>
    <w:p>
      <w:pPr>
        <w:shd w:val="clear"/>
        <w:spacing w:line="600" w:lineRule="exact"/>
        <w:ind w:firstLine="640" w:firstLineChars="200"/>
        <w:rPr>
          <w:rFonts w:hint="eastAsia"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2.开展项目实地指导、评估工作。现场指导</w:t>
      </w:r>
      <w:r>
        <w:rPr>
          <w:rFonts w:hint="eastAsia" w:eastAsia="仿宋_GB2312"/>
          <w:color w:val="auto"/>
          <w:sz w:val="32"/>
          <w:szCs w:val="32"/>
          <w:highlight w:val="none"/>
          <w:shd w:val="clear" w:color="auto" w:fill="auto"/>
          <w:lang w:eastAsia="zh-CN"/>
        </w:rPr>
        <w:t>巩固提升县</w:t>
      </w:r>
      <w:r>
        <w:rPr>
          <w:rFonts w:hint="eastAsia" w:eastAsia="仿宋_GB2312"/>
          <w:color w:val="auto"/>
          <w:sz w:val="32"/>
          <w:szCs w:val="32"/>
          <w:highlight w:val="none"/>
          <w:shd w:val="clear" w:color="auto" w:fill="auto"/>
        </w:rPr>
        <w:t>现代化畜牧业项目，并及时提出有关建议，督促项目有序实施。</w:t>
      </w:r>
    </w:p>
    <w:p>
      <w:pPr>
        <w:shd w:val="clear"/>
        <w:spacing w:line="600" w:lineRule="exact"/>
        <w:ind w:firstLine="640" w:firstLineChars="200"/>
        <w:rPr>
          <w:rFonts w:hint="eastAsia"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3.开展“四良一规范”示范点建设。推广“四良一规范”养殖技术、圈舍改造、防疫设施建设补助、饲草料加工机械购入补助、建设畜牧兽医实用技术示范点，以点带面，推动畜牧兽医</w:t>
      </w:r>
      <w:r>
        <w:rPr>
          <w:rFonts w:hint="eastAsia" w:eastAsia="仿宋_GB2312"/>
          <w:color w:val="auto"/>
          <w:sz w:val="32"/>
          <w:szCs w:val="32"/>
          <w:highlight w:val="none"/>
          <w:shd w:val="clear" w:color="auto" w:fill="auto"/>
          <w:lang w:eastAsia="zh-CN"/>
        </w:rPr>
        <w:t>实用</w:t>
      </w:r>
      <w:r>
        <w:rPr>
          <w:rFonts w:hint="eastAsia" w:eastAsia="仿宋_GB2312"/>
          <w:color w:val="auto"/>
          <w:sz w:val="32"/>
          <w:szCs w:val="32"/>
          <w:highlight w:val="none"/>
          <w:shd w:val="clear" w:color="auto" w:fill="auto"/>
        </w:rPr>
        <w:t>技术入户。</w:t>
      </w:r>
    </w:p>
    <w:p>
      <w:pPr>
        <w:shd w:val="clear"/>
        <w:spacing w:line="600" w:lineRule="exact"/>
        <w:ind w:firstLine="640" w:firstLineChars="200"/>
        <w:rPr>
          <w:rFonts w:hint="eastAsia"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4.开展调研工作。</w:t>
      </w:r>
      <w:r>
        <w:rPr>
          <w:rFonts w:hint="eastAsia" w:eastAsia="仿宋_GB2312"/>
          <w:color w:val="auto"/>
          <w:sz w:val="32"/>
          <w:szCs w:val="32"/>
          <w:highlight w:val="none"/>
          <w:shd w:val="clear" w:color="auto" w:fill="auto"/>
          <w:lang w:eastAsia="zh-CN"/>
        </w:rPr>
        <w:t>赴</w:t>
      </w:r>
      <w:r>
        <w:rPr>
          <w:rFonts w:hint="eastAsia" w:eastAsia="仿宋_GB2312"/>
          <w:color w:val="auto"/>
          <w:sz w:val="32"/>
          <w:szCs w:val="32"/>
          <w:highlight w:val="none"/>
          <w:shd w:val="clear" w:color="auto" w:fill="auto"/>
          <w:lang w:val="en-US" w:eastAsia="zh-CN"/>
        </w:rPr>
        <w:t>22</w:t>
      </w:r>
      <w:r>
        <w:rPr>
          <w:rFonts w:hint="eastAsia" w:eastAsia="仿宋_GB2312"/>
          <w:color w:val="auto"/>
          <w:sz w:val="32"/>
          <w:szCs w:val="32"/>
          <w:highlight w:val="none"/>
          <w:shd w:val="clear" w:color="auto" w:fill="auto"/>
        </w:rPr>
        <w:t>个</w:t>
      </w:r>
      <w:r>
        <w:rPr>
          <w:rFonts w:hint="eastAsia" w:eastAsia="仿宋_GB2312"/>
          <w:color w:val="auto"/>
          <w:sz w:val="32"/>
          <w:szCs w:val="32"/>
          <w:highlight w:val="none"/>
          <w:shd w:val="clear" w:color="auto" w:fill="auto"/>
          <w:lang w:eastAsia="zh-CN"/>
        </w:rPr>
        <w:t>巩固提升县</w:t>
      </w:r>
      <w:r>
        <w:rPr>
          <w:rFonts w:hint="eastAsia" w:eastAsia="仿宋_GB2312"/>
          <w:color w:val="auto"/>
          <w:sz w:val="32"/>
          <w:szCs w:val="32"/>
          <w:highlight w:val="none"/>
          <w:shd w:val="clear" w:color="auto" w:fill="auto"/>
        </w:rPr>
        <w:t>开展畜牧业生产情况调研，及时发现基层</w:t>
      </w:r>
      <w:r>
        <w:rPr>
          <w:rFonts w:hint="eastAsia" w:eastAsia="仿宋_GB2312"/>
          <w:color w:val="auto"/>
          <w:sz w:val="32"/>
          <w:szCs w:val="32"/>
          <w:highlight w:val="none"/>
          <w:shd w:val="clear" w:color="auto" w:fill="auto"/>
          <w:lang w:eastAsia="zh-CN"/>
        </w:rPr>
        <w:t>制约</w:t>
      </w:r>
      <w:r>
        <w:rPr>
          <w:rFonts w:hint="eastAsia" w:eastAsia="仿宋_GB2312"/>
          <w:color w:val="auto"/>
          <w:sz w:val="32"/>
          <w:szCs w:val="32"/>
          <w:highlight w:val="none"/>
          <w:shd w:val="clear" w:color="auto" w:fill="auto"/>
        </w:rPr>
        <w:t>畜牧产业发展的短板弱项问题，提出建议，补齐短板。</w:t>
      </w:r>
    </w:p>
    <w:p>
      <w:pPr>
        <w:shd w:val="clear"/>
        <w:spacing w:line="600" w:lineRule="exact"/>
        <w:ind w:firstLine="640" w:firstLineChars="200"/>
        <w:rPr>
          <w:rFonts w:hint="eastAsia"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5.开展培训。培训养殖企业、合作社带头人、农牧民2000人次。</w:t>
      </w:r>
    </w:p>
    <w:p>
      <w:pPr>
        <w:shd w:val="clear"/>
        <w:spacing w:line="600" w:lineRule="exact"/>
        <w:ind w:firstLine="640" w:firstLineChars="200"/>
        <w:rPr>
          <w:rFonts w:eastAsia="仿宋_GB2312"/>
          <w:color w:val="auto"/>
          <w:sz w:val="32"/>
          <w:szCs w:val="32"/>
          <w:highlight w:val="none"/>
          <w:shd w:val="clear" w:color="auto" w:fill="auto"/>
        </w:rPr>
      </w:pPr>
      <w:r>
        <w:rPr>
          <w:rFonts w:hint="eastAsia" w:eastAsia="仿宋_GB2312"/>
          <w:color w:val="auto"/>
          <w:sz w:val="32"/>
          <w:szCs w:val="32"/>
          <w:highlight w:val="none"/>
          <w:shd w:val="clear" w:color="auto" w:fill="auto"/>
        </w:rPr>
        <w:t>通过上述工作，</w:t>
      </w:r>
      <w:r>
        <w:rPr>
          <w:rFonts w:hint="eastAsia" w:eastAsia="仿宋_GB2312"/>
          <w:color w:val="auto"/>
          <w:sz w:val="32"/>
          <w:szCs w:val="32"/>
          <w:highlight w:val="none"/>
          <w:shd w:val="clear" w:color="auto" w:fill="auto"/>
          <w:lang w:val="en-US" w:eastAsia="zh-CN"/>
        </w:rPr>
        <w:t>实现农牧养殖户年</w:t>
      </w:r>
      <w:r>
        <w:rPr>
          <w:rFonts w:hint="eastAsia" w:eastAsia="仿宋_GB2312"/>
          <w:color w:val="auto"/>
          <w:sz w:val="32"/>
          <w:szCs w:val="32"/>
          <w:highlight w:val="none"/>
          <w:shd w:val="clear" w:color="auto" w:fill="auto"/>
        </w:rPr>
        <w:t>收入增加，利用技术培训带出一批“土专家、明白人”带领</w:t>
      </w:r>
      <w:r>
        <w:rPr>
          <w:rFonts w:hint="eastAsia" w:eastAsia="仿宋_GB2312"/>
          <w:color w:val="auto"/>
          <w:sz w:val="32"/>
          <w:szCs w:val="32"/>
          <w:highlight w:val="none"/>
          <w:shd w:val="clear" w:color="auto" w:fill="auto"/>
          <w:lang w:val="en-US" w:eastAsia="zh-CN"/>
        </w:rPr>
        <w:t>农牧养殖户持续增收，巩固拓展脱贫成果</w:t>
      </w:r>
      <w:r>
        <w:rPr>
          <w:rFonts w:hint="eastAsia" w:eastAsia="仿宋_GB2312"/>
          <w:color w:val="auto"/>
          <w:sz w:val="32"/>
          <w:szCs w:val="32"/>
          <w:highlight w:val="none"/>
          <w:shd w:val="clear" w:color="auto" w:fill="auto"/>
        </w:rPr>
        <w:t>，整合项目提高畜牧养殖业规模化比例，扩大养殖企业、合作社规模。</w:t>
      </w:r>
    </w:p>
    <w:p>
      <w:pPr>
        <w:shd w:val="clear"/>
        <w:spacing w:line="60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rPr>
        <w:t>424</w:t>
      </w:r>
      <w:r>
        <w:rPr>
          <w:rFonts w:eastAsia="仿宋_GB2312"/>
          <w:sz w:val="32"/>
          <w:szCs w:val="32"/>
          <w:highlight w:val="none"/>
        </w:rPr>
        <w:t>万元，其中：财政本级资金</w:t>
      </w:r>
      <w:r>
        <w:rPr>
          <w:rFonts w:hint="eastAsia" w:eastAsia="仿宋_GB2312"/>
          <w:sz w:val="32"/>
          <w:szCs w:val="32"/>
          <w:highlight w:val="none"/>
        </w:rPr>
        <w:t>424</w:t>
      </w:r>
      <w:r>
        <w:rPr>
          <w:rFonts w:eastAsia="仿宋_GB2312"/>
          <w:sz w:val="32"/>
          <w:szCs w:val="32"/>
          <w:highlight w:val="none"/>
        </w:rPr>
        <w:t>万元。项目实际支出</w:t>
      </w:r>
      <w:r>
        <w:rPr>
          <w:rFonts w:hint="eastAsia" w:eastAsia="仿宋_GB2312"/>
          <w:sz w:val="32"/>
          <w:szCs w:val="32"/>
          <w:highlight w:val="none"/>
        </w:rPr>
        <w:t>424</w:t>
      </w:r>
      <w:r>
        <w:rPr>
          <w:rFonts w:eastAsia="仿宋_GB2312"/>
          <w:sz w:val="32"/>
          <w:szCs w:val="32"/>
          <w:highlight w:val="none"/>
        </w:rPr>
        <w:t>万元，支出率为100%。</w:t>
      </w:r>
    </w:p>
    <w:p>
      <w:pPr>
        <w:shd w:val="clea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pPr>
        <w:shd w:val="clear"/>
        <w:spacing w:line="600" w:lineRule="exact"/>
        <w:ind w:firstLine="640" w:firstLineChars="200"/>
        <w:rPr>
          <w:rFonts w:eastAsia="仿宋_GB2312"/>
          <w:sz w:val="20"/>
          <w:szCs w:val="20"/>
          <w:highlight w:val="none"/>
        </w:rPr>
      </w:pPr>
      <w:r>
        <w:rPr>
          <w:rFonts w:eastAsia="仿宋_GB2312"/>
          <w:sz w:val="32"/>
          <w:szCs w:val="32"/>
          <w:highlight w:val="none"/>
        </w:rPr>
        <w:t>（1）资金安排</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项目总投资</w:t>
      </w:r>
      <w:r>
        <w:rPr>
          <w:rFonts w:hint="eastAsia" w:eastAsia="仿宋_GB2312"/>
          <w:sz w:val="32"/>
          <w:szCs w:val="32"/>
          <w:highlight w:val="none"/>
        </w:rPr>
        <w:t>424</w:t>
      </w:r>
      <w:r>
        <w:rPr>
          <w:rFonts w:eastAsia="仿宋_GB2312"/>
          <w:sz w:val="32"/>
          <w:szCs w:val="32"/>
          <w:highlight w:val="none"/>
        </w:rPr>
        <w:t>万元，按照单位财务制度等相关规定，资金支出符合</w:t>
      </w:r>
      <w:r>
        <w:rPr>
          <w:rFonts w:hint="eastAsia" w:eastAsia="仿宋_GB2312"/>
          <w:sz w:val="32"/>
          <w:szCs w:val="32"/>
          <w:highlight w:val="none"/>
        </w:rPr>
        <w:t>自治区畜牧业生产发展资金</w:t>
      </w:r>
      <w:r>
        <w:rPr>
          <w:rFonts w:hint="eastAsia" w:eastAsia="仿宋_GB2312"/>
          <w:kern w:val="2"/>
          <w:sz w:val="32"/>
          <w:szCs w:val="32"/>
          <w:highlight w:val="none"/>
        </w:rPr>
        <w:t>（畜牧产业振兴指导服务项目）</w:t>
      </w:r>
      <w:r>
        <w:rPr>
          <w:rFonts w:eastAsia="仿宋_GB2312"/>
          <w:sz w:val="32"/>
          <w:szCs w:val="32"/>
          <w:highlight w:val="none"/>
        </w:rPr>
        <w:t>专项资金费用范围，做到了专款专用。在项目资金拨付和使用过程中，为确保项目资金的安全性，提高项目资金使用效率，严格遵循</w:t>
      </w:r>
      <w:r>
        <w:rPr>
          <w:rFonts w:hint="eastAsia" w:eastAsia="仿宋_GB2312"/>
          <w:sz w:val="32"/>
          <w:szCs w:val="32"/>
          <w:highlight w:val="none"/>
        </w:rPr>
        <w:t>自治区畜牧业生产发展</w:t>
      </w:r>
      <w:r>
        <w:rPr>
          <w:rFonts w:eastAsia="仿宋_GB2312"/>
          <w:sz w:val="32"/>
          <w:szCs w:val="32"/>
          <w:highlight w:val="none"/>
        </w:rPr>
        <w:t>资金</w:t>
      </w:r>
      <w:r>
        <w:rPr>
          <w:rFonts w:hint="eastAsia" w:eastAsia="仿宋_GB2312"/>
          <w:kern w:val="0"/>
          <w:sz w:val="36"/>
          <w:szCs w:val="36"/>
          <w:highlight w:val="none"/>
        </w:rPr>
        <w:t>（畜牧产业振兴指导服务项目）</w:t>
      </w:r>
      <w:r>
        <w:rPr>
          <w:rFonts w:eastAsia="仿宋_GB2312"/>
          <w:sz w:val="32"/>
          <w:szCs w:val="32"/>
          <w:highlight w:val="none"/>
        </w:rPr>
        <w:t>的拨付程序，认真审核项目实施各阶段的相关材料和手续，根据项目实施进展情况拨付资金。</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（2）预算资金来源及使用情况</w:t>
      </w:r>
      <w:bookmarkStart w:id="0" w:name="page10"/>
      <w:bookmarkEnd w:id="0"/>
    </w:p>
    <w:p>
      <w:pPr>
        <w:pStyle w:val="6"/>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项目预算资金来源于</w:t>
      </w:r>
      <w:r>
        <w:rPr>
          <w:rFonts w:hint="eastAsia" w:ascii="Times New Roman" w:hAnsi="Times New Roman" w:eastAsia="仿宋_GB2312"/>
          <w:b w:val="0"/>
          <w:bCs w:val="0"/>
          <w:kern w:val="2"/>
          <w:highlight w:val="none"/>
          <w:lang w:val="en-US" w:eastAsia="zh-CN"/>
        </w:rPr>
        <w:t>一般财政拨款</w:t>
      </w:r>
      <w:r>
        <w:rPr>
          <w:rFonts w:ascii="Times New Roman" w:hAnsi="Times New Roman" w:eastAsia="仿宋_GB2312"/>
          <w:b w:val="0"/>
          <w:bCs w:val="0"/>
          <w:kern w:val="2"/>
          <w:highlight w:val="none"/>
        </w:rPr>
        <w:t>，项目资金到位</w:t>
      </w:r>
      <w:r>
        <w:rPr>
          <w:rFonts w:hint="eastAsia" w:ascii="Times New Roman" w:hAnsi="Times New Roman" w:eastAsia="仿宋_GB2312"/>
          <w:b w:val="0"/>
          <w:bCs w:val="0"/>
          <w:kern w:val="2"/>
          <w:highlight w:val="none"/>
          <w:lang w:val="en-US" w:eastAsia="zh-CN"/>
        </w:rPr>
        <w:t>424</w:t>
      </w:r>
      <w:r>
        <w:rPr>
          <w:rFonts w:ascii="Times New Roman" w:hAnsi="Times New Roman" w:eastAsia="仿宋_GB2312"/>
          <w:b w:val="0"/>
          <w:bCs w:val="0"/>
          <w:kern w:val="2"/>
          <w:highlight w:val="none"/>
        </w:rPr>
        <w:t>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val="en-US" w:eastAsia="zh-CN"/>
        </w:rPr>
        <w:t>424</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1、总体目标</w:t>
      </w:r>
    </w:p>
    <w:p>
      <w:pPr>
        <w:shd w:val="clear"/>
        <w:spacing w:line="540" w:lineRule="exact"/>
        <w:ind w:firstLine="640" w:firstLineChars="200"/>
        <w:rPr>
          <w:highlight w:val="none"/>
        </w:rPr>
      </w:pPr>
      <w:r>
        <w:rPr>
          <w:rFonts w:hint="eastAsia" w:eastAsia="仿宋_GB2312"/>
          <w:sz w:val="32"/>
          <w:szCs w:val="32"/>
          <w:highlight w:val="none"/>
        </w:rPr>
        <w:t>对南疆22个巩固提升县（原深度贫困县）2022年畜牧产业振兴项目库建设进行指导，实现100%全覆盖；指导畜牧产业振兴工作，实现22个县100%全覆盖；培训农牧民，开展畜牧兽医技术培训，培训人员2000人次以上；开展“四良一规范”示范点建设，示范点项目户棚圈及养殖设施配套率达90%以上；项目户来自畜牧业收入占到农业收入的30%以上；群众对局派专家组满意度≥85%，提高示范户的养殖收入，增强农牧民科技意识。</w:t>
      </w:r>
    </w:p>
    <w:p>
      <w:pPr>
        <w:shd w:val="clear"/>
        <w:spacing w:line="600" w:lineRule="exact"/>
        <w:ind w:firstLine="640" w:firstLineChars="200"/>
        <w:rPr>
          <w:highlight w:val="none"/>
        </w:rPr>
      </w:pPr>
      <w:r>
        <w:rPr>
          <w:rFonts w:eastAsia="仿宋_GB2312"/>
          <w:sz w:val="32"/>
          <w:szCs w:val="32"/>
          <w:highlight w:val="none"/>
        </w:rPr>
        <w:t>2、阶段性目标</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pPr>
        <w:shd w:val="clea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pPr>
        <w:shd w:val="clea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hd w:val="clear"/>
        <w:spacing w:line="60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综合来看，通过开展有效的财政支出绩效评价管理，达到改进预算管理、控制节约成本，提高预算资金使用效益的目的。</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pPr>
        <w:shd w:val="clea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自治区畜牧业生产发展资金（畜牧产业振兴指导服务项目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所包含的全部项目建设内容。</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pPr>
        <w:shd w:val="clea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自治区畜牧业生产发展资金（畜牧产业振兴指导服务项目</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的决策、过程、产出、效益等。</w:t>
      </w:r>
    </w:p>
    <w:p>
      <w:pPr>
        <w:shd w:val="clear"/>
        <w:spacing w:line="600" w:lineRule="exact"/>
        <w:ind w:firstLine="643" w:firstLineChars="200"/>
        <w:rPr>
          <w:highlight w:val="none"/>
        </w:rPr>
      </w:pPr>
      <w:r>
        <w:rPr>
          <w:rFonts w:eastAsia="楷体_GB2312"/>
          <w:b/>
          <w:bCs/>
          <w:sz w:val="32"/>
          <w:szCs w:val="32"/>
          <w:highlight w:val="none"/>
        </w:rPr>
        <w:t>（二）绩效评价原则、评价指标体系（详情见表1）、评价方法、评价标准。</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pPr>
        <w:shd w:val="clea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6"/>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6"/>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6"/>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6"/>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pPr>
        <w:shd w:val="clea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w:t>
      </w:r>
      <w:r>
        <w:rPr>
          <w:rFonts w:eastAsia="仿宋_GB2312"/>
          <w:color w:val="000000"/>
          <w:spacing w:val="17"/>
          <w:sz w:val="32"/>
          <w:szCs w:val="32"/>
          <w:highlight w:val="none"/>
          <w:shd w:val="clear"/>
        </w:rPr>
        <w:t>项目决策权重为</w:t>
      </w:r>
      <w:r>
        <w:rPr>
          <w:rFonts w:hint="eastAsia" w:eastAsia="仿宋_GB2312"/>
          <w:color w:val="000000"/>
          <w:spacing w:val="17"/>
          <w:sz w:val="32"/>
          <w:szCs w:val="32"/>
          <w:highlight w:val="none"/>
          <w:shd w:val="clear"/>
          <w:lang w:val="en-US" w:eastAsia="zh-CN"/>
        </w:rPr>
        <w:t>20</w:t>
      </w:r>
      <w:r>
        <w:rPr>
          <w:rFonts w:eastAsia="仿宋_GB2312"/>
          <w:color w:val="000000"/>
          <w:spacing w:val="17"/>
          <w:sz w:val="32"/>
          <w:szCs w:val="32"/>
          <w:highlight w:val="none"/>
          <w:shd w:val="clear"/>
        </w:rPr>
        <w:t>分，项目过程权重为</w:t>
      </w:r>
      <w:r>
        <w:rPr>
          <w:rFonts w:hint="eastAsia" w:eastAsia="仿宋_GB2312"/>
          <w:color w:val="000000"/>
          <w:spacing w:val="17"/>
          <w:sz w:val="32"/>
          <w:szCs w:val="32"/>
          <w:highlight w:val="none"/>
          <w:shd w:val="clear"/>
          <w:lang w:val="en-US" w:eastAsia="zh-CN"/>
        </w:rPr>
        <w:t>20</w:t>
      </w:r>
      <w:r>
        <w:rPr>
          <w:rFonts w:eastAsia="仿宋_GB2312"/>
          <w:color w:val="000000"/>
          <w:spacing w:val="17"/>
          <w:sz w:val="32"/>
          <w:szCs w:val="32"/>
          <w:highlight w:val="none"/>
          <w:shd w:val="clear"/>
        </w:rPr>
        <w:t>分，项目产出权重为</w:t>
      </w:r>
      <w:r>
        <w:rPr>
          <w:rFonts w:hint="eastAsia" w:eastAsia="仿宋_GB2312"/>
          <w:color w:val="000000"/>
          <w:spacing w:val="17"/>
          <w:sz w:val="32"/>
          <w:szCs w:val="32"/>
          <w:highlight w:val="none"/>
          <w:shd w:val="clear"/>
          <w:lang w:val="en-US" w:eastAsia="zh-CN"/>
        </w:rPr>
        <w:t>4</w:t>
      </w:r>
      <w:r>
        <w:rPr>
          <w:rFonts w:eastAsia="仿宋_GB2312"/>
          <w:color w:val="000000"/>
          <w:spacing w:val="17"/>
          <w:sz w:val="32"/>
          <w:szCs w:val="32"/>
          <w:highlight w:val="none"/>
          <w:shd w:val="clear"/>
        </w:rPr>
        <w:t>0分，项目效益权重为</w:t>
      </w:r>
      <w:r>
        <w:rPr>
          <w:rFonts w:hint="eastAsia" w:eastAsia="仿宋_GB2312"/>
          <w:color w:val="000000"/>
          <w:spacing w:val="17"/>
          <w:sz w:val="32"/>
          <w:szCs w:val="32"/>
          <w:highlight w:val="none"/>
          <w:shd w:val="clear"/>
          <w:lang w:val="en-US" w:eastAsia="zh-CN"/>
        </w:rPr>
        <w:t>2</w:t>
      </w:r>
      <w:r>
        <w:rPr>
          <w:rFonts w:eastAsia="仿宋_GB2312"/>
          <w:color w:val="000000"/>
          <w:spacing w:val="17"/>
          <w:sz w:val="32"/>
          <w:szCs w:val="32"/>
          <w:highlight w:val="none"/>
          <w:shd w:val="clear"/>
        </w:rPr>
        <w:t>0分。</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6"/>
        <w:shd w:val="clear"/>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6"/>
        <w:widowControl w:val="0"/>
        <w:shd w:val="clear"/>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6"/>
        <w:widowControl w:val="0"/>
        <w:shd w:val="clear"/>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pPr>
        <w:shd w:val="clea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pPr>
        <w:pStyle w:val="6"/>
        <w:numPr>
          <w:ilvl w:val="0"/>
          <w:numId w:val="3"/>
        </w:numPr>
        <w:shd w:val="clea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pPr>
        <w:numPr>
          <w:ilvl w:val="0"/>
          <w:numId w:val="4"/>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hd w:val="clea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hd w:val="clea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hd w:val="clea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pPr>
        <w:pStyle w:val="6"/>
        <w:widowControl w:val="0"/>
        <w:shd w:val="clear"/>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自治区畜牧业生产发展资金（畜牧产业振兴指导服务项目）</w:t>
      </w:r>
      <w:r>
        <w:rPr>
          <w:rFonts w:ascii="Times New Roman" w:hAnsi="Times New Roman" w:eastAsia="仿宋_GB2312"/>
          <w:b w:val="0"/>
          <w:bCs w:val="0"/>
          <w:highlight w:val="none"/>
        </w:rPr>
        <w:t xml:space="preserve">项目进行客观评价，最终评分结果：总得分为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分，得分为 </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6"/>
        <w:shd w:val="clear"/>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p>
      <w:pPr>
        <w:shd w:val="clear"/>
        <w:rPr>
          <w:highlight w:val="none"/>
        </w:rPr>
      </w:pPr>
      <w:bookmarkStart w:id="2" w:name="_GoBack"/>
      <w:bookmarkEnd w:id="2"/>
    </w:p>
    <w:tbl>
      <w:tblPr>
        <w:tblStyle w:val="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hd w:val="clear"/>
              <w:spacing w:line="0" w:lineRule="atLeast"/>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pPr>
              <w:widowControl/>
              <w:shd w:val="clear"/>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pPr>
              <w:widowControl/>
              <w:shd w:val="clear"/>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pPr>
              <w:widowControl/>
              <w:shd w:val="clear"/>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pPr>
              <w:widowControl/>
              <w:shd w:val="clear"/>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决策　</w:t>
            </w:r>
          </w:p>
          <w:p>
            <w:pPr>
              <w:widowControl/>
              <w:shd w:val="clear"/>
              <w:spacing w:line="0" w:lineRule="atLeast"/>
              <w:jc w:val="center"/>
              <w:rPr>
                <w:color w:val="000000"/>
                <w:kern w:val="0"/>
                <w:sz w:val="22"/>
                <w:szCs w:val="22"/>
                <w:highlight w:val="none"/>
              </w:rPr>
            </w:pPr>
            <w:r>
              <w:rPr>
                <w:color w:val="000000"/>
                <w:kern w:val="0"/>
                <w:sz w:val="22"/>
                <w:szCs w:val="22"/>
                <w:highlight w:val="none"/>
              </w:rPr>
              <w:t>　</w:t>
            </w:r>
          </w:p>
          <w:p>
            <w:pPr>
              <w:shd w:val="clear"/>
              <w:spacing w:line="0" w:lineRule="atLeast"/>
              <w:jc w:val="center"/>
              <w:rPr>
                <w:color w:val="000000"/>
                <w:kern w:val="0"/>
                <w:sz w:val="22"/>
                <w:szCs w:val="22"/>
                <w:highlight w:val="none"/>
              </w:rPr>
            </w:pPr>
            <w:r>
              <w:rPr>
                <w:color w:val="000000"/>
                <w:kern w:val="0"/>
                <w:sz w:val="22"/>
                <w:szCs w:val="22"/>
                <w:highlight w:val="none"/>
              </w:rPr>
              <w:t>　</w:t>
            </w:r>
          </w:p>
          <w:p>
            <w:pPr>
              <w:widowControl/>
              <w:shd w:val="clea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pPr>
              <w:widowControl/>
              <w:shd w:val="clear"/>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立项依据</w:t>
            </w:r>
          </w:p>
          <w:p>
            <w:pPr>
              <w:widowControl/>
              <w:shd w:val="clear"/>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hd w:val="clear"/>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立项程序</w:t>
            </w:r>
          </w:p>
          <w:p>
            <w:pPr>
              <w:widowControl/>
              <w:shd w:val="clear"/>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绩效目标</w:t>
            </w:r>
          </w:p>
          <w:p>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绩效指标</w:t>
            </w:r>
          </w:p>
          <w:p>
            <w:pPr>
              <w:widowControl/>
              <w:shd w:val="clear"/>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shd w:val="clea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预算编制</w:t>
            </w:r>
          </w:p>
          <w:p>
            <w:pPr>
              <w:widowControl/>
              <w:shd w:val="clear"/>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资金分配</w:t>
            </w:r>
          </w:p>
          <w:p>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hd w:val="clear"/>
              <w:spacing w:line="0" w:lineRule="atLeast"/>
              <w:jc w:val="center"/>
              <w:rPr>
                <w:color w:val="000000"/>
                <w:kern w:val="0"/>
                <w:sz w:val="22"/>
                <w:szCs w:val="22"/>
                <w:highlight w:val="none"/>
              </w:rPr>
            </w:pPr>
            <w:r>
              <w:rPr>
                <w:color w:val="000000"/>
                <w:kern w:val="0"/>
                <w:sz w:val="22"/>
                <w:szCs w:val="22"/>
                <w:highlight w:val="none"/>
              </w:rPr>
              <w:t>过程</w:t>
            </w:r>
          </w:p>
          <w:p>
            <w:pPr>
              <w:shd w:val="clea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pPr>
              <w:widowControl/>
              <w:shd w:val="clear"/>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资金使用</w:t>
            </w:r>
          </w:p>
          <w:p>
            <w:pPr>
              <w:widowControl/>
              <w:shd w:val="clear"/>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shd w:val="clea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管理制度</w:t>
            </w:r>
          </w:p>
          <w:p>
            <w:pPr>
              <w:widowControl/>
              <w:shd w:val="clear"/>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制度执行</w:t>
            </w:r>
          </w:p>
          <w:p>
            <w:pPr>
              <w:widowControl/>
              <w:shd w:val="clear"/>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pPr>
              <w:widowControl/>
              <w:shd w:val="clear"/>
              <w:spacing w:line="0" w:lineRule="atLeast"/>
              <w:jc w:val="center"/>
              <w:rPr>
                <w:color w:val="000000"/>
                <w:kern w:val="0"/>
                <w:sz w:val="22"/>
                <w:szCs w:val="22"/>
                <w:highlight w:val="none"/>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shd w:val="clear"/>
              <w:spacing w:line="0" w:lineRule="atLeast"/>
              <w:jc w:val="center"/>
              <w:rPr>
                <w:color w:val="000000"/>
                <w:kern w:val="0"/>
                <w:sz w:val="22"/>
                <w:szCs w:val="22"/>
                <w:highlight w:val="none"/>
              </w:rPr>
            </w:pPr>
          </w:p>
        </w:tc>
        <w:tc>
          <w:tcPr>
            <w:tcW w:w="1283" w:type="dxa"/>
            <w:shd w:val="clear" w:color="auto" w:fill="FFFFFF"/>
            <w:vAlign w:val="center"/>
          </w:tcPr>
          <w:p>
            <w:pPr>
              <w:shd w:val="clea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实施效益</w:t>
            </w:r>
          </w:p>
          <w:p>
            <w:pPr>
              <w:widowControl/>
              <w:shd w:val="clear"/>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170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85</w:t>
            </w:r>
            <w:r>
              <w:rPr>
                <w:color w:val="000000"/>
                <w:kern w:val="0"/>
                <w:sz w:val="22"/>
                <w:szCs w:val="22"/>
                <w:highlight w:val="none"/>
              </w:rPr>
              <w:t>%</w:t>
            </w:r>
          </w:p>
        </w:tc>
        <w:tc>
          <w:tcPr>
            <w:tcW w:w="924"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85</w:t>
            </w:r>
            <w:r>
              <w:rPr>
                <w:color w:val="000000"/>
                <w:kern w:val="0"/>
                <w:sz w:val="22"/>
                <w:szCs w:val="22"/>
                <w:highlight w:val="none"/>
              </w:rPr>
              <w:t>%</w:t>
            </w:r>
          </w:p>
        </w:tc>
        <w:tc>
          <w:tcPr>
            <w:tcW w:w="1215"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pPr>
              <w:widowControl/>
              <w:shd w:val="clear"/>
              <w:spacing w:line="0" w:lineRule="atLeast"/>
              <w:jc w:val="center"/>
              <w:rPr>
                <w:color w:val="000000"/>
                <w:kern w:val="0"/>
                <w:sz w:val="22"/>
                <w:szCs w:val="22"/>
                <w:highlight w:val="none"/>
              </w:rPr>
            </w:pPr>
            <w:r>
              <w:rPr>
                <w:rFonts w:hint="eastAsia"/>
                <w:color w:val="000000"/>
                <w:kern w:val="0"/>
                <w:sz w:val="22"/>
                <w:szCs w:val="22"/>
                <w:highlight w:val="none"/>
              </w:rPr>
              <w:t>5</w:t>
            </w:r>
          </w:p>
        </w:tc>
      </w:tr>
    </w:tbl>
    <w:p>
      <w:pPr>
        <w:shd w:val="clear"/>
        <w:spacing w:line="600" w:lineRule="exact"/>
        <w:rPr>
          <w:rFonts w:eastAsia="黑体"/>
          <w:sz w:val="32"/>
          <w:szCs w:val="32"/>
          <w:highlight w:val="none"/>
        </w:rPr>
      </w:pPr>
    </w:p>
    <w:p>
      <w:pPr>
        <w:shd w:val="clear"/>
        <w:spacing w:line="600" w:lineRule="exact"/>
        <w:ind w:firstLine="320" w:firstLineChars="100"/>
        <w:rPr>
          <w:rFonts w:eastAsia="黑体"/>
          <w:sz w:val="32"/>
          <w:szCs w:val="32"/>
          <w:highlight w:val="none"/>
        </w:rPr>
      </w:pPr>
      <w:r>
        <w:rPr>
          <w:rFonts w:eastAsia="黑体"/>
          <w:sz w:val="32"/>
          <w:szCs w:val="32"/>
          <w:highlight w:val="none"/>
        </w:rPr>
        <w:t>四、绩效评价指标分析</w:t>
      </w:r>
    </w:p>
    <w:p>
      <w:pPr>
        <w:pStyle w:val="6"/>
        <w:shd w:val="clear"/>
        <w:ind w:firstLine="321" w:firstLineChars="100"/>
        <w:jc w:val="both"/>
        <w:rPr>
          <w:rFonts w:ascii="Times New Roman" w:hAnsi="Times New Roman" w:eastAsia="楷体_GB2312"/>
          <w:highlight w:val="none"/>
        </w:rPr>
      </w:pPr>
      <w:r>
        <w:rPr>
          <w:rFonts w:ascii="Times New Roman" w:hAnsi="Times New Roman" w:eastAsia="楷体_GB2312"/>
          <w:highlight w:val="none"/>
        </w:rPr>
        <w:t>（一）项目决策情况</w:t>
      </w:r>
    </w:p>
    <w:p>
      <w:pPr>
        <w:shd w:val="clear"/>
        <w:spacing w:line="600" w:lineRule="exact"/>
        <w:ind w:firstLine="640" w:firstLineChars="200"/>
        <w:outlineLvl w:val="0"/>
        <w:rPr>
          <w:highlight w:val="none"/>
        </w:rPr>
      </w:pPr>
      <w:r>
        <w:rPr>
          <w:rFonts w:hint="eastAsia" w:ascii="仿宋_GB2312" w:hAnsi="仿宋_GB2312" w:eastAsia="仿宋_GB2312" w:cs="仿宋_GB2312"/>
          <w:sz w:val="32"/>
          <w:szCs w:val="32"/>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6"/>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（二）</w:t>
      </w:r>
      <w:r>
        <w:rPr>
          <w:rFonts w:ascii="Times New Roman" w:hAnsi="Times New Roman" w:eastAsia="楷体_GB2312"/>
          <w:highlight w:val="none"/>
        </w:rPr>
        <w:t>项目过程情况</w:t>
      </w:r>
    </w:p>
    <w:p>
      <w:pPr>
        <w:shd w:val="clea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6"/>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（三）</w:t>
      </w:r>
      <w:r>
        <w:rPr>
          <w:rFonts w:ascii="Times New Roman" w:hAnsi="Times New Roman" w:eastAsia="楷体_GB2312"/>
          <w:highlight w:val="none"/>
        </w:rPr>
        <w:t>项目产出</w:t>
      </w:r>
    </w:p>
    <w:p>
      <w:pPr>
        <w:shd w:val="clear"/>
        <w:spacing w:line="600" w:lineRule="exact"/>
        <w:ind w:firstLine="624" w:firstLineChars="200"/>
        <w:rPr>
          <w:rStyle w:val="8"/>
          <w:rFonts w:eastAsia="仿宋"/>
          <w:b w:val="0"/>
          <w:spacing w:val="-4"/>
          <w:sz w:val="32"/>
          <w:szCs w:val="32"/>
          <w:highlight w:val="none"/>
        </w:rPr>
      </w:pPr>
      <w:r>
        <w:rPr>
          <w:rStyle w:val="8"/>
          <w:rFonts w:eastAsia="仿宋"/>
          <w:b w:val="0"/>
          <w:spacing w:val="-4"/>
          <w:sz w:val="32"/>
          <w:szCs w:val="32"/>
          <w:highlight w:val="none"/>
        </w:rPr>
        <w:t>数量指标方面：</w:t>
      </w:r>
    </w:p>
    <w:p>
      <w:pPr>
        <w:pStyle w:val="6"/>
        <w:numPr>
          <w:ilvl w:val="0"/>
          <w:numId w:val="0"/>
        </w:numPr>
        <w:shd w:val="clea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a.畜牧产业振兴项目库建设指导覆盖率指标，指标值为100%，实际完成100%，完成率100%，偏差率0%。</w:t>
      </w:r>
    </w:p>
    <w:p>
      <w:pPr>
        <w:pStyle w:val="6"/>
        <w:numPr>
          <w:ilvl w:val="0"/>
          <w:numId w:val="0"/>
        </w:numPr>
        <w:shd w:val="clear"/>
        <w:ind w:firstLine="640" w:firstLineChars="200"/>
        <w:jc w:val="left"/>
        <w:rPr>
          <w:rFonts w:hint="eastAsia"/>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b.畜牧产业振兴工作指导覆盖率指标，指标值为100%，实际完成100%，完成率100%，偏差率0%。</w:t>
      </w:r>
    </w:p>
    <w:p>
      <w:pPr>
        <w:shd w:val="clear"/>
        <w:spacing w:line="600" w:lineRule="exact"/>
        <w:ind w:firstLine="640" w:firstLineChars="200"/>
        <w:rPr>
          <w:rStyle w:val="10"/>
          <w:rFonts w:ascii="Times New Roman" w:hAnsi="Times New Roman" w:cs="Times New Roman"/>
          <w:color w:val="auto"/>
          <w:highlight w:val="none"/>
        </w:rPr>
      </w:pPr>
      <w:r>
        <w:rPr>
          <w:rStyle w:val="10"/>
          <w:rFonts w:ascii="Times New Roman" w:hAnsi="Times New Roman" w:cs="Times New Roman"/>
          <w:color w:val="auto"/>
          <w:highlight w:val="none"/>
        </w:rPr>
        <w:t>质量指标方面：</w:t>
      </w:r>
    </w:p>
    <w:p>
      <w:pPr>
        <w:shd w:val="clea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a.示范点项目户棚圈及养殖设施配套率指标，指标值为≥90%，实际完成90%，完成率100%，偏差率0%。</w:t>
      </w:r>
    </w:p>
    <w:p>
      <w:pPr>
        <w:numPr>
          <w:ilvl w:val="0"/>
          <w:numId w:val="0"/>
        </w:numPr>
        <w:shd w:val="clea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b.项目户来自畜牧业收入占比指标，指标值为≥30%，实际完成30%，完成率100%，偏差率0%。</w:t>
      </w:r>
    </w:p>
    <w:p>
      <w:pPr>
        <w:numPr>
          <w:ilvl w:val="0"/>
          <w:numId w:val="0"/>
        </w:numPr>
        <w:shd w:val="clear"/>
        <w:spacing w:line="600" w:lineRule="exact"/>
        <w:ind w:firstLine="640" w:firstLineChars="200"/>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c.竣工验收合格率指标，指标值为≥98%，实际完成98%，完成率100%，偏差率0%。</w:t>
      </w:r>
    </w:p>
    <w:p>
      <w:pPr>
        <w:shd w:val="clear"/>
        <w:spacing w:line="600" w:lineRule="exact"/>
        <w:ind w:firstLine="640" w:firstLineChars="200"/>
        <w:rPr>
          <w:rStyle w:val="10"/>
          <w:rFonts w:ascii="Times New Roman" w:hAnsi="Times New Roman" w:cs="Times New Roman"/>
          <w:b w:val="0"/>
          <w:bCs w:val="0"/>
          <w:color w:val="auto"/>
          <w:highlight w:val="none"/>
        </w:rPr>
      </w:pPr>
      <w:r>
        <w:rPr>
          <w:rStyle w:val="10"/>
          <w:rFonts w:ascii="Times New Roman" w:hAnsi="Times New Roman" w:cs="Times New Roman"/>
          <w:b w:val="0"/>
          <w:bCs w:val="0"/>
          <w:color w:val="auto"/>
          <w:highlight w:val="none"/>
        </w:rPr>
        <w:t>成本指标方面：</w:t>
      </w:r>
    </w:p>
    <w:p>
      <w:pPr>
        <w:shd w:val="clea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a.“四良一规范”示范点建设指标，指标值为≤140万，实际完成140万，完成率100%，偏差率0%。</w:t>
      </w:r>
    </w:p>
    <w:p>
      <w:pPr>
        <w:pStyle w:val="6"/>
        <w:shd w:val="clear"/>
        <w:spacing w:before="0" w:after="0" w:line="600" w:lineRule="exact"/>
        <w:ind w:firstLine="640" w:firstLineChars="200"/>
        <w:jc w:val="both"/>
        <w:rPr>
          <w:rStyle w:val="10"/>
          <w:rFonts w:ascii="Times New Roman" w:hAnsi="Times New Roman" w:cs="Times New Roman"/>
          <w:b w:val="0"/>
          <w:bCs w:val="0"/>
          <w:color w:val="auto"/>
          <w:highlight w:val="none"/>
        </w:rPr>
      </w:pPr>
      <w:r>
        <w:rPr>
          <w:rFonts w:hint="eastAsia" w:ascii="仿宋_GB2312" w:hAnsi="仿宋_GB2312" w:eastAsia="仿宋_GB2312" w:cs="仿宋_GB2312"/>
          <w:b w:val="0"/>
          <w:bCs w:val="0"/>
          <w:kern w:val="2"/>
          <w:sz w:val="32"/>
          <w:szCs w:val="32"/>
          <w:highlight w:val="none"/>
          <w:lang w:val="en-US" w:eastAsia="zh-CN" w:bidi="ar-SA"/>
        </w:rPr>
        <w:t>b.技术项目服务指导指标，指标值为≤284万，实际完成284万，完成率100%，偏差率0%。</w:t>
      </w:r>
    </w:p>
    <w:p>
      <w:pPr>
        <w:shd w:val="clear"/>
        <w:spacing w:line="600" w:lineRule="exact"/>
        <w:ind w:firstLine="640" w:firstLineChars="200"/>
        <w:rPr>
          <w:rStyle w:val="10"/>
          <w:rFonts w:ascii="Times New Roman" w:hAnsi="Times New Roman" w:cs="Times New Roman"/>
          <w:color w:val="auto"/>
          <w:highlight w:val="none"/>
        </w:rPr>
      </w:pPr>
      <w:r>
        <w:rPr>
          <w:rStyle w:val="10"/>
          <w:rFonts w:ascii="Times New Roman" w:hAnsi="Times New Roman" w:cs="Times New Roman"/>
          <w:color w:val="auto"/>
          <w:highlight w:val="none"/>
        </w:rPr>
        <w:t>时效指标方面：</w:t>
      </w:r>
    </w:p>
    <w:p>
      <w:pPr>
        <w:shd w:val="clear"/>
        <w:spacing w:line="600" w:lineRule="exact"/>
        <w:ind w:firstLine="640" w:firstLineChars="200"/>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a.项目按期完成率指标，指标值为100%，实际完成100%，完成率100%，偏差率0%。</w:t>
      </w:r>
    </w:p>
    <w:p>
      <w:pPr>
        <w:pStyle w:val="6"/>
        <w:shd w:val="clear"/>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（四）</w:t>
      </w:r>
      <w:r>
        <w:rPr>
          <w:rFonts w:ascii="Times New Roman" w:hAnsi="Times New Roman" w:eastAsia="楷体_GB2312"/>
          <w:highlight w:val="none"/>
        </w:rPr>
        <w:t>效益情况</w:t>
      </w:r>
    </w:p>
    <w:p>
      <w:pPr>
        <w:shd w:val="clear"/>
        <w:spacing w:line="600" w:lineRule="exact"/>
        <w:ind w:firstLine="640" w:firstLineChars="200"/>
        <w:rPr>
          <w:rStyle w:val="10"/>
          <w:rFonts w:ascii="Times New Roman" w:hAnsi="Times New Roman" w:cs="Times New Roman"/>
          <w:color w:val="auto"/>
          <w:highlight w:val="none"/>
        </w:rPr>
      </w:pPr>
      <w:r>
        <w:rPr>
          <w:rStyle w:val="10"/>
          <w:rFonts w:ascii="Times New Roman" w:hAnsi="Times New Roman" w:cs="Times New Roman"/>
          <w:color w:val="auto"/>
          <w:highlight w:val="none"/>
        </w:rPr>
        <w:t>经济效益指标方面：</w:t>
      </w:r>
    </w:p>
    <w:p>
      <w:pPr>
        <w:shd w:val="clear"/>
        <w:spacing w:line="600" w:lineRule="exact"/>
        <w:ind w:firstLine="640" w:firstLineChars="200"/>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a.提高示范户的养殖收入指标，指标值为有效提高，实际完成有效提高，完成率100%，偏差率0%。</w:t>
      </w:r>
    </w:p>
    <w:p>
      <w:pPr>
        <w:shd w:val="clear"/>
        <w:spacing w:line="600" w:lineRule="exact"/>
        <w:ind w:firstLine="640" w:firstLineChars="200"/>
        <w:rPr>
          <w:rStyle w:val="10"/>
          <w:rFonts w:ascii="Times New Roman" w:hAnsi="Times New Roman" w:cs="Times New Roman"/>
          <w:color w:val="auto"/>
          <w:highlight w:val="none"/>
        </w:rPr>
      </w:pPr>
      <w:r>
        <w:rPr>
          <w:rStyle w:val="10"/>
          <w:rFonts w:ascii="Times New Roman" w:hAnsi="Times New Roman" w:cs="Times New Roman"/>
          <w:color w:val="auto"/>
          <w:highlight w:val="none"/>
        </w:rPr>
        <w:t>社会效益指标方面：</w:t>
      </w:r>
    </w:p>
    <w:p>
      <w:pPr>
        <w:shd w:val="clear"/>
        <w:spacing w:line="600" w:lineRule="exact"/>
        <w:ind w:firstLine="640" w:firstLineChars="200"/>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a.农牧民科技意识指标，指标值为有效增强，实际完成有效增强，完成率100%，偏差率0%。</w:t>
      </w:r>
    </w:p>
    <w:p>
      <w:pPr>
        <w:shd w:val="clear"/>
        <w:spacing w:line="600" w:lineRule="exact"/>
        <w:ind w:firstLine="640" w:firstLineChars="200"/>
        <w:rPr>
          <w:rStyle w:val="10"/>
          <w:rFonts w:ascii="Times New Roman" w:hAnsi="Times New Roman" w:cs="Times New Roman"/>
          <w:color w:val="auto"/>
          <w:highlight w:val="none"/>
        </w:rPr>
      </w:pPr>
      <w:r>
        <w:rPr>
          <w:rStyle w:val="10"/>
          <w:rFonts w:ascii="Times New Roman" w:hAnsi="Times New Roman" w:cs="Times New Roman"/>
          <w:color w:val="auto"/>
          <w:highlight w:val="none"/>
        </w:rPr>
        <w:t>满意度指标方面：</w:t>
      </w:r>
    </w:p>
    <w:p>
      <w:pPr>
        <w:shd w:val="clear"/>
        <w:spacing w:line="600" w:lineRule="exact"/>
        <w:ind w:firstLine="640" w:firstLineChars="200"/>
        <w:rPr>
          <w:highlight w:val="none"/>
        </w:rPr>
      </w:pPr>
      <w:r>
        <w:rPr>
          <w:rFonts w:hint="eastAsia" w:ascii="仿宋_GB2312" w:hAnsi="仿宋_GB2312" w:eastAsia="仿宋_GB2312" w:cs="仿宋_GB2312"/>
          <w:b w:val="0"/>
          <w:bCs w:val="0"/>
          <w:kern w:val="2"/>
          <w:sz w:val="32"/>
          <w:szCs w:val="32"/>
          <w:highlight w:val="none"/>
          <w:lang w:val="en-US" w:eastAsia="zh-CN" w:bidi="ar-SA"/>
        </w:rPr>
        <w:t>a.群众对局派专家组满意度指标，指标值为≥85%，实际完成85%，完成率100%，偏差率0%。</w:t>
      </w:r>
    </w:p>
    <w:p>
      <w:pPr>
        <w:shd w:val="clear"/>
        <w:spacing w:line="600" w:lineRule="exact"/>
        <w:ind w:firstLine="640" w:firstLineChars="200"/>
        <w:rPr>
          <w:rStyle w:val="10"/>
          <w:rFonts w:ascii="Times New Roman" w:hAnsi="Times New Roman" w:cs="Times New Roman"/>
          <w:color w:val="auto"/>
          <w:highlight w:val="none"/>
        </w:rPr>
      </w:pPr>
      <w:r>
        <w:rPr>
          <w:rFonts w:eastAsia="黑体"/>
          <w:sz w:val="32"/>
          <w:szCs w:val="32"/>
          <w:highlight w:val="none"/>
        </w:rPr>
        <w:t>五、主要经验及做法、存在的问题及原因分析</w:t>
      </w:r>
    </w:p>
    <w:p>
      <w:pPr>
        <w:shd w:val="clea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pPr>
        <w:shd w:val="clea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6"/>
        <w:shd w:val="clear"/>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hd w:val="clear"/>
        <w:spacing w:line="600" w:lineRule="exact"/>
        <w:ind w:firstLine="643" w:firstLineChars="200"/>
        <w:rPr>
          <w:rFonts w:eastAsia="楷体_GB2312"/>
          <w:b/>
          <w:bCs/>
          <w:color w:val="auto"/>
          <w:sz w:val="32"/>
          <w:szCs w:val="32"/>
          <w:highlight w:val="none"/>
        </w:rPr>
      </w:pPr>
      <w:r>
        <w:rPr>
          <w:rFonts w:eastAsia="楷体_GB2312"/>
          <w:b/>
          <w:bCs/>
          <w:color w:val="auto"/>
          <w:sz w:val="32"/>
          <w:szCs w:val="32"/>
          <w:highlight w:val="none"/>
        </w:rPr>
        <w:t>存在的问题及原因分析</w:t>
      </w:r>
    </w:p>
    <w:p>
      <w:pPr>
        <w:pStyle w:val="6"/>
        <w:shd w:val="clear"/>
        <w:spacing w:before="0" w:after="0" w:line="600" w:lineRule="exact"/>
        <w:ind w:firstLine="643" w:firstLineChars="200"/>
        <w:jc w:val="both"/>
        <w:rPr>
          <w:rFonts w:hint="eastAsia" w:ascii="Times New Roman" w:hAnsi="Times New Roman" w:eastAsia="仿宋_GB2312"/>
          <w:b w:val="0"/>
          <w:bCs w:val="0"/>
          <w:color w:val="auto"/>
          <w:kern w:val="2"/>
          <w:highlight w:val="none"/>
        </w:rPr>
      </w:pPr>
      <w:r>
        <w:rPr>
          <w:rFonts w:hint="eastAsia" w:ascii="仿宋_GB2312" w:hAnsi="仿宋_GB2312" w:eastAsia="仿宋_GB2312" w:cs="仿宋_GB2312"/>
          <w:b/>
          <w:bCs/>
          <w:color w:val="auto"/>
          <w:kern w:val="0"/>
          <w:sz w:val="32"/>
          <w:szCs w:val="32"/>
          <w:highlight w:val="none"/>
        </w:rPr>
        <w:t>一是</w:t>
      </w:r>
      <w:r>
        <w:rPr>
          <w:rFonts w:hint="eastAsia" w:ascii="Times New Roman" w:hAnsi="Times New Roman" w:eastAsia="仿宋_GB2312"/>
          <w:b w:val="0"/>
          <w:bCs w:val="0"/>
          <w:color w:val="auto"/>
          <w:kern w:val="2"/>
          <w:highlight w:val="none"/>
        </w:rPr>
        <w:t>在培训指导方面，受</w:t>
      </w:r>
      <w:r>
        <w:rPr>
          <w:rFonts w:hint="eastAsia" w:ascii="Times New Roman" w:hAnsi="Times New Roman" w:eastAsia="仿宋_GB2312"/>
          <w:b w:val="0"/>
          <w:bCs w:val="0"/>
          <w:color w:val="auto"/>
          <w:kern w:val="2"/>
          <w:highlight w:val="none"/>
          <w:lang w:eastAsia="zh-CN"/>
        </w:rPr>
        <w:t>新冠</w:t>
      </w:r>
      <w:r>
        <w:rPr>
          <w:rFonts w:hint="eastAsia" w:ascii="Times New Roman" w:hAnsi="Times New Roman" w:eastAsia="仿宋_GB2312"/>
          <w:b w:val="0"/>
          <w:bCs w:val="0"/>
          <w:color w:val="auto"/>
          <w:kern w:val="2"/>
          <w:highlight w:val="none"/>
        </w:rPr>
        <w:t>疫情影响</w:t>
      </w:r>
      <w:r>
        <w:rPr>
          <w:rFonts w:hint="eastAsia" w:ascii="Times New Roman" w:hAnsi="Times New Roman" w:eastAsia="仿宋_GB2312"/>
          <w:b w:val="0"/>
          <w:bCs w:val="0"/>
          <w:color w:val="auto"/>
          <w:kern w:val="2"/>
          <w:highlight w:val="none"/>
          <w:lang w:eastAsia="zh-CN"/>
        </w:rPr>
        <w:t>，</w:t>
      </w:r>
      <w:r>
        <w:rPr>
          <w:rFonts w:hint="eastAsia" w:ascii="Times New Roman" w:hAnsi="Times New Roman" w:eastAsia="仿宋_GB2312"/>
          <w:b w:val="0"/>
          <w:bCs w:val="0"/>
          <w:color w:val="auto"/>
          <w:kern w:val="2"/>
          <w:highlight w:val="none"/>
        </w:rPr>
        <w:t>现场开展工作力度</w:t>
      </w:r>
      <w:r>
        <w:rPr>
          <w:rFonts w:hint="eastAsia" w:ascii="Times New Roman" w:hAnsi="Times New Roman" w:eastAsia="仿宋_GB2312"/>
          <w:b w:val="0"/>
          <w:bCs w:val="0"/>
          <w:color w:val="auto"/>
          <w:kern w:val="2"/>
          <w:highlight w:val="none"/>
          <w:lang w:eastAsia="zh-CN"/>
        </w:rPr>
        <w:t>和</w:t>
      </w:r>
      <w:r>
        <w:rPr>
          <w:rFonts w:hint="eastAsia" w:ascii="Times New Roman" w:hAnsi="Times New Roman" w:eastAsia="仿宋_GB2312"/>
          <w:b w:val="0"/>
          <w:bCs w:val="0"/>
          <w:color w:val="auto"/>
          <w:kern w:val="2"/>
          <w:highlight w:val="none"/>
        </w:rPr>
        <w:t>培训力度略显不足。</w:t>
      </w:r>
    </w:p>
    <w:p>
      <w:pPr>
        <w:pStyle w:val="6"/>
        <w:shd w:val="clear"/>
        <w:spacing w:before="0" w:after="0" w:line="600" w:lineRule="exact"/>
        <w:ind w:firstLine="643" w:firstLineChars="200"/>
        <w:jc w:val="both"/>
        <w:rPr>
          <w:color w:val="auto"/>
          <w:highlight w:val="none"/>
        </w:rPr>
      </w:pPr>
      <w:r>
        <w:rPr>
          <w:rFonts w:hint="eastAsia" w:ascii="仿宋_GB2312" w:hAnsi="仿宋_GB2312" w:eastAsia="仿宋_GB2312" w:cs="仿宋_GB2312"/>
          <w:b/>
          <w:bCs/>
          <w:color w:val="auto"/>
          <w:kern w:val="0"/>
          <w:sz w:val="32"/>
          <w:szCs w:val="32"/>
          <w:highlight w:val="none"/>
        </w:rPr>
        <w:t>二是</w:t>
      </w:r>
      <w:r>
        <w:rPr>
          <w:rFonts w:hint="eastAsia" w:ascii="Times New Roman" w:hAnsi="Times New Roman" w:eastAsia="仿宋_GB2312"/>
          <w:b w:val="0"/>
          <w:bCs w:val="0"/>
          <w:color w:val="auto"/>
          <w:kern w:val="2"/>
          <w:highlight w:val="none"/>
        </w:rPr>
        <w:t>在产业发展方面，受</w:t>
      </w:r>
      <w:r>
        <w:rPr>
          <w:rFonts w:hint="eastAsia" w:ascii="Times New Roman" w:hAnsi="Times New Roman" w:eastAsia="仿宋_GB2312"/>
          <w:b w:val="0"/>
          <w:bCs w:val="0"/>
          <w:color w:val="auto"/>
          <w:kern w:val="2"/>
          <w:highlight w:val="none"/>
          <w:lang w:eastAsia="zh-CN"/>
        </w:rPr>
        <w:t>饲草料等</w:t>
      </w:r>
      <w:r>
        <w:rPr>
          <w:rFonts w:hint="eastAsia" w:ascii="Times New Roman" w:hAnsi="Times New Roman" w:eastAsia="仿宋_GB2312"/>
          <w:b w:val="0"/>
          <w:bCs w:val="0"/>
          <w:color w:val="auto"/>
          <w:kern w:val="2"/>
          <w:highlight w:val="none"/>
        </w:rPr>
        <w:t>原料</w:t>
      </w:r>
      <w:r>
        <w:rPr>
          <w:rFonts w:hint="eastAsia" w:ascii="Times New Roman" w:hAnsi="Times New Roman" w:eastAsia="仿宋_GB2312"/>
          <w:b w:val="0"/>
          <w:bCs w:val="0"/>
          <w:color w:val="auto"/>
          <w:kern w:val="2"/>
          <w:highlight w:val="none"/>
          <w:lang w:eastAsia="zh-CN"/>
        </w:rPr>
        <w:t>价格</w:t>
      </w:r>
      <w:r>
        <w:rPr>
          <w:rFonts w:hint="eastAsia" w:ascii="Times New Roman" w:hAnsi="Times New Roman" w:eastAsia="仿宋_GB2312"/>
          <w:b w:val="0"/>
          <w:bCs w:val="0"/>
          <w:color w:val="auto"/>
          <w:kern w:val="2"/>
          <w:highlight w:val="none"/>
        </w:rPr>
        <w:t>上涨、畜产品价格下滑和新冠疫情</w:t>
      </w:r>
      <w:r>
        <w:rPr>
          <w:rFonts w:hint="eastAsia" w:ascii="Times New Roman" w:hAnsi="Times New Roman" w:eastAsia="仿宋_GB2312"/>
          <w:b w:val="0"/>
          <w:bCs w:val="0"/>
          <w:color w:val="auto"/>
          <w:kern w:val="2"/>
          <w:highlight w:val="none"/>
          <w:lang w:eastAsia="zh-CN"/>
        </w:rPr>
        <w:t>的影响，畜牧业生产成本增加，养殖效益下滑，</w:t>
      </w:r>
      <w:r>
        <w:rPr>
          <w:rFonts w:hint="eastAsia" w:ascii="Times New Roman" w:hAnsi="Times New Roman" w:eastAsia="仿宋_GB2312"/>
          <w:b w:val="0"/>
          <w:bCs w:val="0"/>
          <w:color w:val="auto"/>
          <w:kern w:val="2"/>
          <w:highlight w:val="none"/>
          <w:lang w:val="en-US" w:eastAsia="zh-CN"/>
        </w:rPr>
        <w:t>养殖场（户）生产积极性受到一定影响。</w:t>
      </w:r>
    </w:p>
    <w:p>
      <w:pPr>
        <w:numPr>
          <w:ilvl w:val="0"/>
          <w:numId w:val="7"/>
        </w:numPr>
        <w:shd w:val="clear"/>
        <w:spacing w:line="600" w:lineRule="exact"/>
        <w:ind w:firstLine="640" w:firstLineChars="200"/>
        <w:rPr>
          <w:rFonts w:eastAsia="黑体"/>
          <w:sz w:val="32"/>
          <w:szCs w:val="32"/>
          <w:highlight w:val="none"/>
        </w:rPr>
      </w:pPr>
      <w:r>
        <w:rPr>
          <w:rFonts w:eastAsia="黑体"/>
          <w:sz w:val="32"/>
          <w:szCs w:val="32"/>
          <w:highlight w:val="none"/>
        </w:rPr>
        <w:t>有关建议</w:t>
      </w:r>
    </w:p>
    <w:p>
      <w:pPr>
        <w:shd w:val="clear"/>
        <w:spacing w:line="60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w:t>
      </w:r>
      <w:r>
        <w:rPr>
          <w:rFonts w:hint="eastAsia" w:ascii="仿宋_GB2312" w:hAnsi="仿宋_GB2312" w:eastAsia="仿宋_GB2312" w:cs="仿宋_GB2312"/>
          <w:color w:val="auto"/>
          <w:sz w:val="32"/>
          <w:szCs w:val="28"/>
          <w:highlight w:val="none"/>
        </w:rPr>
        <w:t>。</w:t>
      </w:r>
      <w:r>
        <w:rPr>
          <w:rFonts w:hint="eastAsia" w:ascii="仿宋_GB2312" w:hAnsi="仿宋_GB2312" w:eastAsia="仿宋_GB2312" w:cs="仿宋_GB2312"/>
          <w:color w:val="auto"/>
          <w:sz w:val="32"/>
          <w:szCs w:val="28"/>
          <w:highlight w:val="none"/>
          <w:lang w:eastAsia="zh-CN"/>
        </w:rPr>
        <w:t>进一步</w:t>
      </w:r>
      <w:r>
        <w:rPr>
          <w:rFonts w:hint="eastAsia" w:ascii="仿宋_GB2312" w:hAnsi="仿宋_GB2312" w:eastAsia="仿宋_GB2312" w:cs="仿宋_GB2312"/>
          <w:color w:val="auto"/>
          <w:sz w:val="32"/>
          <w:szCs w:val="28"/>
          <w:highlight w:val="none"/>
        </w:rPr>
        <w:t>建立</w:t>
      </w:r>
      <w:r>
        <w:rPr>
          <w:rFonts w:hint="eastAsia" w:ascii="仿宋_GB2312" w:hAnsi="仿宋_GB2312" w:eastAsia="仿宋_GB2312" w:cs="仿宋_GB2312"/>
          <w:color w:val="auto"/>
          <w:sz w:val="32"/>
          <w:szCs w:val="28"/>
          <w:highlight w:val="none"/>
          <w:lang w:eastAsia="zh-CN"/>
        </w:rPr>
        <w:t>健全</w:t>
      </w:r>
      <w:r>
        <w:rPr>
          <w:rFonts w:hint="eastAsia" w:ascii="仿宋_GB2312" w:hAnsi="仿宋_GB2312" w:eastAsia="仿宋_GB2312" w:cs="仿宋_GB2312"/>
          <w:color w:val="auto"/>
          <w:sz w:val="32"/>
          <w:szCs w:val="28"/>
          <w:highlight w:val="none"/>
        </w:rPr>
        <w:t>绩效</w:t>
      </w:r>
      <w:r>
        <w:rPr>
          <w:rFonts w:hint="eastAsia" w:ascii="仿宋_GB2312" w:hAnsi="仿宋_GB2312" w:eastAsia="仿宋_GB2312" w:cs="仿宋_GB2312"/>
          <w:sz w:val="32"/>
          <w:szCs w:val="28"/>
          <w:highlight w:val="none"/>
        </w:rPr>
        <w:t>工作考核制度，加大全局对全面实施预算绩效管理和绩效管理工作的学习力度，让“花钱必问效，无效必问责”的理念深入工作每个环节。</w:t>
      </w:r>
    </w:p>
    <w:p>
      <w:pPr>
        <w:numPr>
          <w:ilvl w:val="0"/>
          <w:numId w:val="7"/>
        </w:numPr>
        <w:shd w:val="clear"/>
        <w:spacing w:line="600" w:lineRule="exact"/>
        <w:ind w:firstLine="640" w:firstLineChars="200"/>
        <w:rPr>
          <w:rFonts w:eastAsia="黑体"/>
          <w:sz w:val="32"/>
          <w:szCs w:val="32"/>
          <w:highlight w:val="none"/>
        </w:rPr>
      </w:pPr>
      <w:r>
        <w:rPr>
          <w:rFonts w:eastAsia="黑体"/>
          <w:sz w:val="32"/>
          <w:szCs w:val="32"/>
          <w:highlight w:val="none"/>
        </w:rPr>
        <w:t>其他需要说</w:t>
      </w:r>
      <w:bookmarkStart w:id="1" w:name="page8"/>
      <w:bookmarkEnd w:id="1"/>
      <w:r>
        <w:rPr>
          <w:rFonts w:eastAsia="黑体"/>
          <w:sz w:val="32"/>
          <w:szCs w:val="32"/>
          <w:highlight w:val="none"/>
        </w:rPr>
        <w:t>明的问题</w:t>
      </w:r>
    </w:p>
    <w:p>
      <w:pPr>
        <w:pStyle w:val="5"/>
        <w:shd w:val="clear"/>
        <w:ind w:firstLine="320" w:firstLineChars="100"/>
        <w:rPr>
          <w:rFonts w:ascii="Times New Roman" w:hAnsi="Times New Roman" w:eastAsia="方正小标宋简体"/>
          <w:b/>
          <w:kern w:val="0"/>
          <w:sz w:val="32"/>
          <w:szCs w:val="32"/>
          <w:highlight w:val="none"/>
          <w:lang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highlight w:val="none"/>
        </w:rPr>
        <w:t>无。</w:t>
      </w:r>
    </w:p>
    <w:tbl>
      <w:tblPr>
        <w:tblStyle w:val="9"/>
        <w:tblW w:w="8834" w:type="dxa"/>
        <w:tblInd w:w="0" w:type="dxa"/>
        <w:tblLayout w:type="fixed"/>
        <w:tblCellMar>
          <w:top w:w="0" w:type="dxa"/>
          <w:left w:w="0" w:type="dxa"/>
          <w:bottom w:w="0" w:type="dxa"/>
          <w:right w:w="0" w:type="dxa"/>
        </w:tblCellMar>
      </w:tblPr>
      <w:tblGrid>
        <w:gridCol w:w="399"/>
        <w:gridCol w:w="616"/>
        <w:gridCol w:w="1152"/>
        <w:gridCol w:w="2059"/>
        <w:gridCol w:w="1054"/>
        <w:gridCol w:w="2071"/>
        <w:gridCol w:w="1483"/>
      </w:tblGrid>
      <w:tr>
        <w:tblPrEx>
          <w:tblLayout w:type="fixed"/>
          <w:tblCellMar>
            <w:top w:w="0" w:type="dxa"/>
            <w:left w:w="0" w:type="dxa"/>
            <w:bottom w:w="0" w:type="dxa"/>
            <w:right w:w="0" w:type="dxa"/>
          </w:tblCellMar>
        </w:tblPrEx>
        <w:trPr>
          <w:trHeight w:val="23"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shd w:val="clear"/>
              <w:jc w:val="center"/>
              <w:textAlignment w:val="center"/>
              <w:rPr>
                <w:rFonts w:eastAsia="方正小标宋简体"/>
                <w:b/>
                <w:sz w:val="32"/>
                <w:szCs w:val="32"/>
                <w:highlight w:val="none"/>
                <w:u w:val="single"/>
              </w:rPr>
            </w:pPr>
            <w:r>
              <w:rPr>
                <w:rFonts w:eastAsia="方正小标宋简体"/>
                <w:b/>
                <w:kern w:val="0"/>
                <w:sz w:val="32"/>
                <w:szCs w:val="32"/>
                <w:highlight w:val="none"/>
                <w:lang w:bidi="ar"/>
              </w:rPr>
              <w:t>项目支出绩效自评表</w:t>
            </w:r>
          </w:p>
        </w:tc>
      </w:tr>
      <w:tr>
        <w:tblPrEx>
          <w:tblLayout w:type="fixed"/>
          <w:tblCellMar>
            <w:top w:w="0" w:type="dxa"/>
            <w:left w:w="0" w:type="dxa"/>
            <w:bottom w:w="0" w:type="dxa"/>
            <w:right w:w="0" w:type="dxa"/>
          </w:tblCellMar>
        </w:tblPrEx>
        <w:trPr>
          <w:trHeight w:val="23"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22"/>
                <w:szCs w:val="22"/>
                <w:highlight w:val="none"/>
              </w:rPr>
            </w:pPr>
            <w:r>
              <w:rPr>
                <w:kern w:val="0"/>
                <w:sz w:val="22"/>
                <w:szCs w:val="22"/>
                <w:highlight w:val="none"/>
                <w:lang w:bidi="ar"/>
              </w:rPr>
              <w:t>（202</w:t>
            </w:r>
            <w:r>
              <w:rPr>
                <w:rFonts w:hint="eastAsia"/>
                <w:kern w:val="0"/>
                <w:sz w:val="22"/>
                <w:szCs w:val="22"/>
                <w:highlight w:val="none"/>
                <w:lang w:val="en-US" w:eastAsia="zh-CN" w:bidi="ar"/>
              </w:rPr>
              <w:t>2</w:t>
            </w:r>
            <w:r>
              <w:rPr>
                <w:kern w:val="0"/>
                <w:sz w:val="22"/>
                <w:szCs w:val="22"/>
                <w:highlight w:val="none"/>
                <w:lang w:bidi="ar"/>
              </w:rPr>
              <w:t>年度）</w:t>
            </w:r>
          </w:p>
        </w:tc>
      </w:tr>
      <w:tr>
        <w:tblPrEx>
          <w:tblLayout w:type="fixed"/>
          <w:tblCellMar>
            <w:top w:w="0" w:type="dxa"/>
            <w:left w:w="0" w:type="dxa"/>
            <w:bottom w:w="0" w:type="dxa"/>
            <w:right w:w="0" w:type="dxa"/>
          </w:tblCellMar>
        </w:tblPrEx>
        <w:trPr>
          <w:trHeight w:val="23" w:hRule="atLeast"/>
        </w:trPr>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项目名称</w:t>
            </w:r>
          </w:p>
        </w:tc>
        <w:tc>
          <w:tcPr>
            <w:tcW w:w="781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自治区畜牧业生产发展资金（畜牧产业振兴指导服务项目）</w:t>
            </w:r>
          </w:p>
        </w:tc>
      </w:tr>
      <w:tr>
        <w:tblPrEx>
          <w:tblLayout w:type="fixed"/>
          <w:tblCellMar>
            <w:top w:w="0" w:type="dxa"/>
            <w:left w:w="0" w:type="dxa"/>
            <w:bottom w:w="0" w:type="dxa"/>
            <w:right w:w="0" w:type="dxa"/>
          </w:tblCellMar>
        </w:tblPrEx>
        <w:trPr>
          <w:trHeight w:val="23" w:hRule="atLeast"/>
        </w:trPr>
        <w:tc>
          <w:tcPr>
            <w:tcW w:w="10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主管部门</w:t>
            </w:r>
          </w:p>
        </w:tc>
        <w:tc>
          <w:tcPr>
            <w:tcW w:w="426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自治区畜牧兽医局</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r>
              <w:rPr>
                <w:rFonts w:hint="eastAsia" w:ascii="宋体" w:hAnsi="宋体" w:eastAsia="宋体" w:cs="宋体"/>
                <w:kern w:val="0"/>
                <w:sz w:val="18"/>
                <w:szCs w:val="18"/>
                <w:highlight w:val="none"/>
                <w:lang w:val="en-US" w:eastAsia="zh-CN"/>
              </w:rPr>
              <w:t>自治区畜牧兽医局办公室</w:t>
            </w:r>
          </w:p>
        </w:tc>
      </w:tr>
      <w:tr>
        <w:tblPrEx>
          <w:tblLayout w:type="fixed"/>
          <w:tblCellMar>
            <w:top w:w="0" w:type="dxa"/>
            <w:left w:w="0" w:type="dxa"/>
            <w:bottom w:w="0" w:type="dxa"/>
            <w:right w:w="0" w:type="dxa"/>
          </w:tblCellMar>
        </w:tblPrEx>
        <w:trPr>
          <w:trHeight w:val="23" w:hRule="atLeast"/>
        </w:trPr>
        <w:tc>
          <w:tcPr>
            <w:tcW w:w="10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项目资金</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年初预算数</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全年预算数</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执行率</w:t>
            </w:r>
          </w:p>
        </w:tc>
      </w:tr>
      <w:tr>
        <w:tblPrEx>
          <w:tblLayout w:type="fixed"/>
          <w:tblCellMar>
            <w:top w:w="0" w:type="dxa"/>
            <w:left w:w="0" w:type="dxa"/>
            <w:bottom w:w="0" w:type="dxa"/>
            <w:right w:w="0" w:type="dxa"/>
          </w:tblCellMar>
        </w:tblPrEx>
        <w:trPr>
          <w:trHeight w:val="23"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textAlignment w:val="center"/>
              <w:rPr>
                <w:sz w:val="18"/>
                <w:szCs w:val="18"/>
                <w:highlight w:val="none"/>
              </w:rPr>
            </w:pPr>
            <w:r>
              <w:rPr>
                <w:kern w:val="0"/>
                <w:sz w:val="18"/>
                <w:szCs w:val="18"/>
                <w:highlight w:val="none"/>
                <w:lang w:bidi="ar"/>
              </w:rPr>
              <w:t>年度资金总额</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lang w:val="en-US" w:eastAsia="zh-CN"/>
              </w:rPr>
              <w:t>100%</w:t>
            </w:r>
          </w:p>
        </w:tc>
      </w:tr>
      <w:tr>
        <w:tblPrEx>
          <w:tblLayout w:type="fixed"/>
          <w:tblCellMar>
            <w:top w:w="0" w:type="dxa"/>
            <w:left w:w="0" w:type="dxa"/>
            <w:bottom w:w="0" w:type="dxa"/>
            <w:right w:w="0" w:type="dxa"/>
          </w:tblCellMar>
        </w:tblPrEx>
        <w:trPr>
          <w:trHeight w:val="23"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其中：当年财政拨款</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rPr>
              <w:t>424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rFonts w:hint="eastAsia" w:ascii="宋体" w:hAnsi="宋体" w:eastAsia="宋体" w:cs="宋体"/>
                <w:kern w:val="0"/>
                <w:sz w:val="18"/>
                <w:szCs w:val="18"/>
                <w:highlight w:val="none"/>
                <w:lang w:val="en-US" w:eastAsia="zh-CN"/>
              </w:rPr>
              <w:t>100%</w:t>
            </w:r>
          </w:p>
        </w:tc>
      </w:tr>
      <w:tr>
        <w:tblPrEx>
          <w:tblLayout w:type="fixed"/>
          <w:tblCellMar>
            <w:top w:w="0" w:type="dxa"/>
            <w:left w:w="0" w:type="dxa"/>
            <w:bottom w:w="0" w:type="dxa"/>
            <w:right w:w="0" w:type="dxa"/>
          </w:tblCellMar>
        </w:tblPrEx>
        <w:trPr>
          <w:trHeight w:val="23"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上年结转资金</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10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 xml:space="preserve">  其他资金</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375" w:hRule="exact"/>
        </w:trPr>
        <w:tc>
          <w:tcPr>
            <w:tcW w:w="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年度总体目标</w:t>
            </w:r>
          </w:p>
        </w:tc>
        <w:tc>
          <w:tcPr>
            <w:tcW w:w="488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预期目标</w:t>
            </w:r>
          </w:p>
        </w:tc>
        <w:tc>
          <w:tcPr>
            <w:tcW w:w="3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实际完成情况</w:t>
            </w:r>
          </w:p>
        </w:tc>
      </w:tr>
      <w:tr>
        <w:tblPrEx>
          <w:tblLayout w:type="fixed"/>
          <w:tblCellMar>
            <w:top w:w="0" w:type="dxa"/>
            <w:left w:w="0" w:type="dxa"/>
            <w:bottom w:w="0" w:type="dxa"/>
            <w:right w:w="0" w:type="dxa"/>
          </w:tblCellMar>
        </w:tblPrEx>
        <w:trPr>
          <w:trHeight w:val="3230" w:hRule="exac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4881"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textAlignment w:val="center"/>
              <w:rPr>
                <w:sz w:val="18"/>
                <w:szCs w:val="18"/>
                <w:highlight w:val="none"/>
              </w:rPr>
            </w:pPr>
            <w:r>
              <w:rPr>
                <w:rFonts w:hint="eastAsia" w:ascii="宋体" w:hAnsi="宋体" w:eastAsia="宋体" w:cs="宋体"/>
                <w:kern w:val="0"/>
                <w:sz w:val="18"/>
                <w:szCs w:val="18"/>
                <w:highlight w:val="none"/>
              </w:rPr>
              <w:t>对南疆22个巩固提升县（原深度贫困县）2022年畜牧产业振兴项目库建设进行指导，实现100%全覆盖；指导畜牧产业振兴工作，实现22个县100%全覆盖；培训农牧民，开展畜牧兽医技术培训，培训人员2000人次以上；开展“四良一规范”示范点建设，示范点项目户棚圈及养殖设施配套率达90%以上；项目户来自畜牧业收入占到农业收入的30%以上；群众对局派专家组满意度≥85%，提高示范户的养殖收入，增强农牧民科技意识。</w:t>
            </w:r>
          </w:p>
        </w:tc>
        <w:tc>
          <w:tcPr>
            <w:tcW w:w="3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left"/>
              <w:textAlignment w:val="center"/>
              <w:rPr>
                <w:sz w:val="18"/>
                <w:szCs w:val="18"/>
                <w:highlight w:val="none"/>
              </w:rPr>
            </w:pPr>
            <w:r>
              <w:rPr>
                <w:rFonts w:hint="eastAsia" w:ascii="宋体" w:hAnsi="宋体" w:eastAsia="宋体" w:cs="宋体"/>
                <w:color w:val="auto"/>
                <w:kern w:val="0"/>
                <w:sz w:val="18"/>
                <w:szCs w:val="18"/>
                <w:highlight w:val="none"/>
                <w:u w:val="none"/>
                <w:lang w:val="en-US" w:eastAsia="zh-CN"/>
              </w:rPr>
              <w:t>已完成</w:t>
            </w:r>
            <w:r>
              <w:rPr>
                <w:rFonts w:hint="eastAsia" w:ascii="宋体" w:hAnsi="宋体" w:eastAsia="宋体" w:cs="宋体"/>
                <w:color w:val="auto"/>
                <w:kern w:val="0"/>
                <w:sz w:val="18"/>
                <w:szCs w:val="18"/>
                <w:highlight w:val="none"/>
                <w:u w:val="none"/>
              </w:rPr>
              <w:t>对南疆22个巩固提升县（原深度贫困县）2022年畜牧产业振兴项目库建设进行指导，实现100%全覆盖；指导畜牧产业振兴工作，实现22个县100%全覆盖；培训农牧民，开展畜牧兽医技术培训，培训人员2000人次；开展“四良一规范”示范点建设，示范点项目户棚圈及养殖设施配套率达90%；项目户来自畜牧业收入占到农业收入的30%；群众对局派专家组满意度85%，提高示范户的养殖收入，增强农牧民科技意识。</w:t>
            </w:r>
          </w:p>
        </w:tc>
      </w:tr>
      <w:tr>
        <w:tblPrEx>
          <w:tblLayout w:type="fixed"/>
          <w:tblCellMar>
            <w:top w:w="0" w:type="dxa"/>
            <w:left w:w="0" w:type="dxa"/>
            <w:bottom w:w="0" w:type="dxa"/>
            <w:right w:w="0" w:type="dxa"/>
          </w:tblCellMar>
        </w:tblPrEx>
        <w:trPr>
          <w:trHeight w:val="312" w:hRule="atLeast"/>
        </w:trPr>
        <w:tc>
          <w:tcPr>
            <w:tcW w:w="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绩效指标</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一级指标</w:t>
            </w:r>
          </w:p>
        </w:tc>
        <w:tc>
          <w:tcPr>
            <w:tcW w:w="11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二级指标</w:t>
            </w:r>
          </w:p>
        </w:tc>
        <w:tc>
          <w:tcPr>
            <w:tcW w:w="205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三级指标</w:t>
            </w: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年度指标值</w:t>
            </w:r>
          </w:p>
        </w:tc>
        <w:tc>
          <w:tcPr>
            <w:tcW w:w="207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偏差原因分析及改进措施</w:t>
            </w:r>
          </w:p>
        </w:tc>
      </w:tr>
      <w:tr>
        <w:tblPrEx>
          <w:tblLayout w:type="fixed"/>
          <w:tblCellMar>
            <w:top w:w="0" w:type="dxa"/>
            <w:left w:w="0" w:type="dxa"/>
            <w:bottom w:w="0" w:type="dxa"/>
            <w:right w:w="0" w:type="dxa"/>
          </w:tblCellMar>
        </w:tblPrEx>
        <w:trPr>
          <w:trHeight w:val="312"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20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20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产出指标</w:t>
            </w:r>
          </w:p>
        </w:tc>
        <w:tc>
          <w:tcPr>
            <w:tcW w:w="1152"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数量指标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sz w:val="18"/>
                <w:szCs w:val="18"/>
                <w:highlight w:val="none"/>
              </w:rPr>
            </w:pPr>
            <w:r>
              <w:rPr>
                <w:rFonts w:hint="eastAsia" w:ascii="宋体" w:hAnsi="宋体" w:eastAsia="宋体" w:cs="宋体"/>
                <w:color w:val="000000"/>
                <w:kern w:val="0"/>
                <w:sz w:val="18"/>
                <w:szCs w:val="18"/>
                <w:highlight w:val="none"/>
              </w:rPr>
              <w:t>指标1：畜牧产业振兴项目库建设指导覆盖率</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sz w:val="18"/>
                <w:szCs w:val="18"/>
                <w:highlight w:val="none"/>
              </w:rPr>
            </w:pPr>
            <w:r>
              <w:rPr>
                <w:rFonts w:hint="eastAsia" w:ascii="宋体" w:hAnsi="宋体" w:eastAsia="宋体" w:cs="宋体"/>
                <w:kern w:val="0"/>
                <w:sz w:val="18"/>
                <w:szCs w:val="18"/>
                <w:highlight w:val="none"/>
              </w:rPr>
              <w:t>100%</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sz w:val="18"/>
                <w:szCs w:val="18"/>
                <w:highlight w:val="none"/>
              </w:rPr>
            </w:pPr>
            <w:r>
              <w:rPr>
                <w:rFonts w:hint="eastAsia" w:ascii="宋体" w:hAnsi="宋体" w:eastAsia="宋体" w:cs="宋体"/>
                <w:kern w:val="0"/>
                <w:sz w:val="18"/>
                <w:szCs w:val="18"/>
                <w:highlight w:val="none"/>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616"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115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kern w:val="0"/>
                <w:sz w:val="18"/>
                <w:szCs w:val="18"/>
                <w:highlight w:val="none"/>
                <w:lang w:bidi="ar"/>
              </w:rPr>
            </w:pPr>
            <w:r>
              <w:rPr>
                <w:rFonts w:hint="eastAsia" w:ascii="宋体" w:hAnsi="宋体" w:eastAsia="宋体" w:cs="宋体"/>
                <w:color w:val="000000"/>
                <w:kern w:val="0"/>
                <w:sz w:val="18"/>
                <w:szCs w:val="18"/>
                <w:highlight w:val="none"/>
              </w:rPr>
              <w:t>指标2：畜牧产业振兴工作指导覆盖率</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kern w:val="0"/>
                <w:sz w:val="18"/>
                <w:szCs w:val="18"/>
                <w:highlight w:val="none"/>
                <w:lang w:bidi="ar"/>
              </w:rPr>
            </w:pPr>
            <w:r>
              <w:rPr>
                <w:rFonts w:hint="eastAsia" w:ascii="宋体" w:hAnsi="宋体" w:eastAsia="宋体" w:cs="宋体"/>
                <w:kern w:val="0"/>
                <w:sz w:val="18"/>
                <w:szCs w:val="18"/>
                <w:highlight w:val="none"/>
              </w:rPr>
              <w:t>100%</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kern w:val="0"/>
                <w:sz w:val="18"/>
                <w:szCs w:val="18"/>
                <w:highlight w:val="none"/>
                <w:lang w:bidi="ar"/>
              </w:rPr>
            </w:pPr>
            <w:r>
              <w:rPr>
                <w:rFonts w:hint="eastAsia" w:ascii="宋体" w:hAnsi="宋体" w:eastAsia="宋体" w:cs="宋体"/>
                <w:kern w:val="0"/>
                <w:sz w:val="18"/>
                <w:szCs w:val="18"/>
                <w:highlight w:val="none"/>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kern w:val="0"/>
                <w:sz w:val="18"/>
                <w:szCs w:val="18"/>
                <w:highlight w:val="none"/>
                <w:lang w:bidi="ar"/>
              </w:rPr>
            </w:pPr>
          </w:p>
        </w:tc>
        <w:tc>
          <w:tcPr>
            <w:tcW w:w="1152"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kern w:val="0"/>
                <w:sz w:val="18"/>
                <w:szCs w:val="18"/>
                <w:highlight w:val="none"/>
                <w:lang w:bidi="ar"/>
              </w:rPr>
            </w:pPr>
            <w:r>
              <w:rPr>
                <w:kern w:val="0"/>
                <w:sz w:val="18"/>
                <w:szCs w:val="18"/>
                <w:highlight w:val="none"/>
                <w:lang w:bidi="ar"/>
              </w:rPr>
              <w:t>质量指标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sz w:val="18"/>
                <w:szCs w:val="18"/>
                <w:highlight w:val="none"/>
              </w:rPr>
            </w:pPr>
            <w:r>
              <w:rPr>
                <w:rFonts w:hint="eastAsia" w:ascii="宋体" w:hAnsi="宋体" w:eastAsia="宋体" w:cs="宋体"/>
                <w:color w:val="000000"/>
                <w:kern w:val="0"/>
                <w:sz w:val="18"/>
                <w:szCs w:val="18"/>
                <w:highlight w:val="none"/>
              </w:rPr>
              <w:t>指标1：示范点项目户棚圈及养殖设施配套率</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sz w:val="18"/>
                <w:szCs w:val="18"/>
                <w:highlight w:val="none"/>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90%</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sz w:val="18"/>
                <w:szCs w:val="18"/>
                <w:highlight w:val="none"/>
              </w:rPr>
            </w:pPr>
            <w:r>
              <w:rPr>
                <w:rFonts w:hint="eastAsia" w:ascii="宋体" w:hAnsi="宋体" w:eastAsia="宋体" w:cs="宋体"/>
                <w:kern w:val="0"/>
                <w:sz w:val="18"/>
                <w:szCs w:val="18"/>
                <w:highlight w:val="none"/>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61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1152"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kern w:val="0"/>
                <w:sz w:val="18"/>
                <w:szCs w:val="18"/>
                <w:highlight w:val="none"/>
                <w:lang w:bidi="ar"/>
              </w:rPr>
            </w:pPr>
            <w:r>
              <w:rPr>
                <w:rFonts w:hint="eastAsia" w:ascii="宋体" w:hAnsi="宋体" w:eastAsia="宋体" w:cs="宋体"/>
                <w:color w:val="000000"/>
                <w:kern w:val="0"/>
                <w:sz w:val="18"/>
                <w:szCs w:val="18"/>
                <w:highlight w:val="none"/>
              </w:rPr>
              <w:t>指标2：项目户来自畜牧业收入占比</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kern w:val="0"/>
                <w:sz w:val="18"/>
                <w:szCs w:val="18"/>
                <w:highlight w:val="none"/>
                <w:lang w:bidi="ar"/>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30%</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kern w:val="0"/>
                <w:sz w:val="18"/>
                <w:szCs w:val="18"/>
                <w:highlight w:val="none"/>
                <w:lang w:bidi="ar"/>
              </w:rPr>
            </w:pPr>
            <w:r>
              <w:rPr>
                <w:rFonts w:hint="eastAsia" w:ascii="宋体" w:hAnsi="宋体" w:eastAsia="宋体" w:cs="宋体"/>
                <w:kern w:val="0"/>
                <w:sz w:val="18"/>
                <w:szCs w:val="18"/>
                <w:highlight w:val="none"/>
              </w:rPr>
              <w:t>30%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r>
      <w:tr>
        <w:tblPrEx>
          <w:tblLayout w:type="fixed"/>
          <w:tblCellMar>
            <w:top w:w="0" w:type="dxa"/>
            <w:left w:w="0" w:type="dxa"/>
            <w:bottom w:w="0" w:type="dxa"/>
            <w:right w:w="0" w:type="dxa"/>
          </w:tblCellMar>
        </w:tblPrEx>
        <w:trPr>
          <w:trHeight w:val="23" w:hRule="atLeast"/>
        </w:trPr>
        <w:tc>
          <w:tcPr>
            <w:tcW w:w="39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61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115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kern w:val="0"/>
                <w:sz w:val="18"/>
                <w:szCs w:val="18"/>
                <w:highlight w:val="none"/>
                <w:lang w:bidi="ar"/>
              </w:rPr>
            </w:pPr>
            <w:r>
              <w:rPr>
                <w:rFonts w:hint="eastAsia" w:ascii="宋体" w:hAnsi="宋体" w:eastAsia="宋体" w:cs="宋体"/>
                <w:color w:val="000000"/>
                <w:kern w:val="0"/>
                <w:sz w:val="18"/>
                <w:szCs w:val="18"/>
                <w:highlight w:val="none"/>
              </w:rPr>
              <w:t>指标</w:t>
            </w:r>
            <w:r>
              <w:rPr>
                <w:rFonts w:hint="eastAsia" w:ascii="宋体" w:hAnsi="宋体" w:eastAsia="宋体" w:cs="宋体"/>
                <w:color w:val="000000"/>
                <w:kern w:val="0"/>
                <w:sz w:val="18"/>
                <w:szCs w:val="18"/>
                <w:highlight w:val="none"/>
                <w:lang w:val="en-US" w:eastAsia="zh-CN"/>
              </w:rPr>
              <w:t>3</w:t>
            </w:r>
            <w:r>
              <w:rPr>
                <w:rFonts w:hint="eastAsia" w:ascii="宋体" w:hAnsi="宋体" w:eastAsia="宋体" w:cs="宋体"/>
                <w:color w:val="000000"/>
                <w:kern w:val="0"/>
                <w:sz w:val="18"/>
                <w:szCs w:val="18"/>
                <w:highlight w:val="none"/>
              </w:rPr>
              <w:t>：竣工验收合格率</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hint="eastAsia" w:eastAsia="宋体"/>
                <w:kern w:val="0"/>
                <w:sz w:val="18"/>
                <w:szCs w:val="18"/>
                <w:highlight w:val="none"/>
                <w:lang w:val="en-US" w:eastAsia="zh-CN" w:bidi="ar"/>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98</w:t>
            </w:r>
            <w:r>
              <w:rPr>
                <w:rFonts w:hint="eastAsia" w:ascii="宋体" w:hAnsi="宋体" w:cs="宋体"/>
                <w:kern w:val="0"/>
                <w:sz w:val="18"/>
                <w:szCs w:val="18"/>
                <w:highlight w:val="none"/>
                <w:lang w:val="en-US" w:eastAsia="zh-CN"/>
              </w:rPr>
              <w:t>%</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hint="eastAsia" w:eastAsia="宋体"/>
                <w:kern w:val="0"/>
                <w:sz w:val="18"/>
                <w:szCs w:val="18"/>
                <w:highlight w:val="none"/>
                <w:lang w:val="en-US" w:eastAsia="zh-CN" w:bidi="ar"/>
              </w:rPr>
            </w:pPr>
            <w:r>
              <w:rPr>
                <w:rFonts w:hint="eastAsia" w:ascii="宋体" w:hAnsi="宋体" w:eastAsia="宋体" w:cs="宋体"/>
                <w:kern w:val="0"/>
                <w:sz w:val="18"/>
                <w:szCs w:val="18"/>
                <w:highlight w:val="none"/>
              </w:rPr>
              <w:t>98</w:t>
            </w:r>
            <w:r>
              <w:rPr>
                <w:rFonts w:hint="eastAsia" w:ascii="宋体" w:hAnsi="宋体" w:cs="宋体"/>
                <w:kern w:val="0"/>
                <w:sz w:val="18"/>
                <w:szCs w:val="18"/>
                <w:highlight w:val="none"/>
                <w:lang w:val="en-US" w:eastAsia="zh-CN"/>
              </w:rPr>
              <w:t>%</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时效指标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指标1：项目按期完成率</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100</w:t>
            </w:r>
            <w:r>
              <w:rPr>
                <w:rFonts w:hint="eastAsia" w:ascii="宋体" w:hAnsi="宋体" w:cs="宋体"/>
                <w:kern w:val="0"/>
                <w:sz w:val="18"/>
                <w:szCs w:val="18"/>
                <w:highlight w:val="none"/>
                <w:lang w:val="en-US" w:eastAsia="zh-CN"/>
              </w:rPr>
              <w:t>%</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100</w:t>
            </w:r>
            <w:r>
              <w:rPr>
                <w:rFonts w:hint="eastAsia" w:ascii="宋体" w:hAnsi="宋体" w:cs="宋体"/>
                <w:kern w:val="0"/>
                <w:sz w:val="18"/>
                <w:szCs w:val="18"/>
                <w:highlight w:val="none"/>
                <w:lang w:val="en-US" w:eastAsia="zh-CN"/>
              </w:rPr>
              <w:t>%</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1152"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成本指标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指标1：“四良一规范”示范点建设</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140</w:t>
            </w:r>
            <w:r>
              <w:rPr>
                <w:rFonts w:hint="eastAsia" w:ascii="宋体" w:hAnsi="宋体" w:cs="宋体"/>
                <w:kern w:val="0"/>
                <w:sz w:val="18"/>
                <w:szCs w:val="18"/>
                <w:highlight w:val="none"/>
                <w:lang w:eastAsia="zh-CN"/>
              </w:rPr>
              <w:t>万元</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140</w:t>
            </w:r>
            <w:r>
              <w:rPr>
                <w:rFonts w:hint="eastAsia" w:ascii="宋体" w:hAnsi="宋体" w:cs="宋体"/>
                <w:kern w:val="0"/>
                <w:sz w:val="18"/>
                <w:szCs w:val="18"/>
                <w:highlight w:val="none"/>
                <w:lang w:eastAsia="zh-CN"/>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616"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highlight w:val="none"/>
              </w:rPr>
            </w:pPr>
          </w:p>
        </w:tc>
        <w:tc>
          <w:tcPr>
            <w:tcW w:w="1152"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指标2：技术项目服务指导</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eastAsia="zh-CN"/>
              </w:rPr>
              <w:t>≤</w:t>
            </w:r>
            <w:r>
              <w:rPr>
                <w:rFonts w:hint="eastAsia" w:ascii="宋体" w:hAnsi="宋体" w:eastAsia="宋体" w:cs="宋体"/>
                <w:kern w:val="0"/>
                <w:sz w:val="18"/>
                <w:szCs w:val="18"/>
                <w:highlight w:val="none"/>
              </w:rPr>
              <w:t>284</w:t>
            </w:r>
            <w:r>
              <w:rPr>
                <w:rFonts w:hint="eastAsia" w:ascii="宋体" w:hAnsi="宋体" w:cs="宋体"/>
                <w:kern w:val="0"/>
                <w:sz w:val="18"/>
                <w:szCs w:val="18"/>
                <w:highlight w:val="none"/>
                <w:lang w:eastAsia="zh-CN"/>
              </w:rPr>
              <w:t>万元</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284</w:t>
            </w:r>
            <w:r>
              <w:rPr>
                <w:rFonts w:hint="eastAsia" w:ascii="宋体" w:hAnsi="宋体" w:cs="宋体"/>
                <w:kern w:val="0"/>
                <w:sz w:val="18"/>
                <w:szCs w:val="18"/>
                <w:highlight w:val="none"/>
                <w:lang w:eastAsia="zh-CN"/>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kern w:val="0"/>
                <w:sz w:val="18"/>
                <w:szCs w:val="18"/>
                <w:highlight w:val="none"/>
                <w:lang w:bidi="ar"/>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效益指标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sz w:val="18"/>
                <w:szCs w:val="18"/>
                <w:highlight w:val="none"/>
              </w:rPr>
              <w:t>社会效益指标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指标1：农牧民科技意识</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有效增强</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有效增强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kern w:val="0"/>
                <w:sz w:val="18"/>
                <w:szCs w:val="18"/>
                <w:highlight w:val="none"/>
                <w:lang w:bidi="ar"/>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kern w:val="0"/>
                <w:sz w:val="18"/>
                <w:szCs w:val="18"/>
                <w:highlight w:val="none"/>
                <w:lang w:bidi="ar"/>
              </w:rPr>
            </w:pPr>
            <w:r>
              <w:rPr>
                <w:kern w:val="0"/>
                <w:sz w:val="18"/>
                <w:szCs w:val="18"/>
                <w:highlight w:val="none"/>
                <w:lang w:bidi="ar"/>
              </w:rPr>
              <w:t>经济效益</w:t>
            </w:r>
            <w:r>
              <w:rPr>
                <w:sz w:val="18"/>
                <w:szCs w:val="18"/>
                <w:highlight w:val="none"/>
              </w:rPr>
              <w:t>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指标1：提高示范户的养殖收入</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有效提高</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有效提高</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r>
        <w:tblPrEx>
          <w:tblLayout w:type="fixed"/>
          <w:tblCellMar>
            <w:top w:w="0" w:type="dxa"/>
            <w:left w:w="0" w:type="dxa"/>
            <w:bottom w:w="0" w:type="dxa"/>
            <w:right w:w="0" w:type="dxa"/>
          </w:tblCellMar>
        </w:tblPrEx>
        <w:trPr>
          <w:trHeight w:val="23" w:hRule="atLeast"/>
        </w:trPr>
        <w:tc>
          <w:tcPr>
            <w:tcW w:w="3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满意度</w:t>
            </w:r>
          </w:p>
        </w:tc>
        <w:tc>
          <w:tcPr>
            <w:tcW w:w="1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jc w:val="center"/>
              <w:textAlignment w:val="center"/>
              <w:rPr>
                <w:sz w:val="18"/>
                <w:szCs w:val="18"/>
                <w:highlight w:val="none"/>
              </w:rPr>
            </w:pPr>
            <w:r>
              <w:rPr>
                <w:kern w:val="0"/>
                <w:sz w:val="18"/>
                <w:szCs w:val="18"/>
                <w:highlight w:val="none"/>
                <w:lang w:bidi="ar"/>
              </w:rPr>
              <w:t>服务对象满意度指标</w:t>
            </w:r>
          </w:p>
        </w:tc>
        <w:tc>
          <w:tcPr>
            <w:tcW w:w="20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指标1：群众对局派专家组满意度</w:t>
            </w: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w:t>
            </w:r>
            <w:r>
              <w:rPr>
                <w:rFonts w:hint="eastAsia" w:ascii="宋体" w:hAnsi="宋体" w:eastAsia="宋体" w:cs="宋体"/>
                <w:kern w:val="0"/>
                <w:sz w:val="18"/>
                <w:szCs w:val="18"/>
                <w:highlight w:val="none"/>
              </w:rPr>
              <w:t>85%</w:t>
            </w:r>
          </w:p>
        </w:tc>
        <w:tc>
          <w:tcPr>
            <w:tcW w:w="20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hd w:val="clear"/>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w:t>
            </w:r>
            <w:r>
              <w:rPr>
                <w:rFonts w:hint="eastAsia" w:ascii="宋体" w:hAnsi="宋体" w:eastAsia="宋体" w:cs="宋体"/>
                <w:kern w:val="0"/>
                <w:sz w:val="18"/>
                <w:szCs w:val="18"/>
                <w:highlight w:val="none"/>
              </w:rPr>
              <w:t>85%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hd w:val="clear"/>
              <w:jc w:val="center"/>
              <w:rPr>
                <w:sz w:val="18"/>
                <w:szCs w:val="18"/>
                <w:highlight w:val="none"/>
              </w:rPr>
            </w:pPr>
          </w:p>
        </w:tc>
      </w:tr>
    </w:tbl>
    <w:p>
      <w:pPr>
        <w:shd w:val="clear"/>
        <w:spacing w:line="540" w:lineRule="exact"/>
        <w:rPr>
          <w:rStyle w:val="8"/>
          <w:rFonts w:eastAsia="仿宋"/>
          <w:b w:val="0"/>
          <w:spacing w:val="-4"/>
          <w:sz w:val="32"/>
          <w:szCs w:val="32"/>
          <w:highlight w:val="none"/>
        </w:rPr>
        <w:sectPr>
          <w:pgSz w:w="11906" w:h="16838"/>
          <w:pgMar w:top="1440" w:right="1558" w:bottom="1440" w:left="1800" w:header="851" w:footer="992" w:gutter="0"/>
          <w:cols w:space="425" w:num="1"/>
          <w:docGrid w:type="lines" w:linePitch="312" w:charSpace="0"/>
        </w:sectPr>
      </w:pPr>
    </w:p>
    <w:p>
      <w:pPr>
        <w:shd w:val="clear"/>
        <w:spacing w:line="600" w:lineRule="exact"/>
        <w:rPr>
          <w:bCs/>
          <w:sz w:val="32"/>
          <w:szCs w:val="32"/>
          <w:highlight w:val="none"/>
        </w:rPr>
      </w:pPr>
      <w:r>
        <w:rPr>
          <w:bCs/>
          <w:sz w:val="32"/>
          <w:szCs w:val="32"/>
          <w:highlight w:val="none"/>
        </w:rPr>
        <w:t>附件1</w:t>
      </w:r>
    </w:p>
    <w:tbl>
      <w:tblPr>
        <w:tblStyle w:val="9"/>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7"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88"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决策　</w:t>
            </w:r>
          </w:p>
          <w:p>
            <w:pPr>
              <w:widowControl/>
              <w:shd w:val="clear"/>
              <w:spacing w:line="0" w:lineRule="atLeast"/>
              <w:jc w:val="center"/>
              <w:rPr>
                <w:color w:val="000000"/>
                <w:kern w:val="0"/>
                <w:sz w:val="22"/>
                <w:szCs w:val="22"/>
                <w:highlight w:val="none"/>
              </w:rPr>
            </w:pPr>
            <w:r>
              <w:rPr>
                <w:color w:val="000000"/>
                <w:kern w:val="0"/>
                <w:sz w:val="22"/>
                <w:szCs w:val="22"/>
                <w:highlight w:val="none"/>
              </w:rPr>
              <w:t>　</w:t>
            </w:r>
          </w:p>
          <w:p>
            <w:pPr>
              <w:shd w:val="clear"/>
              <w:spacing w:line="0" w:lineRule="atLeast"/>
              <w:jc w:val="center"/>
              <w:rPr>
                <w:color w:val="000000"/>
                <w:kern w:val="0"/>
                <w:sz w:val="22"/>
                <w:szCs w:val="22"/>
                <w:highlight w:val="none"/>
              </w:rPr>
            </w:pPr>
            <w:r>
              <w:rPr>
                <w:color w:val="000000"/>
                <w:kern w:val="0"/>
                <w:sz w:val="22"/>
                <w:szCs w:val="22"/>
                <w:highlight w:val="none"/>
              </w:rPr>
              <w:t>　</w:t>
            </w:r>
          </w:p>
        </w:tc>
        <w:tc>
          <w:tcPr>
            <w:tcW w:w="767"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立项依据</w:t>
            </w:r>
          </w:p>
          <w:p>
            <w:pPr>
              <w:widowControl/>
              <w:shd w:val="clear"/>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立项程序</w:t>
            </w:r>
          </w:p>
          <w:p>
            <w:pPr>
              <w:widowControl/>
              <w:shd w:val="clear"/>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88" w:type="dxa"/>
            <w:shd w:val="clear" w:color="auto" w:fill="FFFFFF"/>
            <w:vAlign w:val="center"/>
          </w:tcPr>
          <w:p>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绩效目标</w:t>
            </w:r>
          </w:p>
          <w:p>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hd w:val="clear"/>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hd w:val="clear"/>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决策　</w:t>
            </w: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绩效目标</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绩效指标</w:t>
            </w:r>
          </w:p>
          <w:p>
            <w:pPr>
              <w:widowControl/>
              <w:shd w:val="clear"/>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trHeight w:val="1942"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资金投入</w:t>
            </w:r>
          </w:p>
          <w:p>
            <w:pPr>
              <w:shd w:val="clea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预算编制</w:t>
            </w:r>
          </w:p>
          <w:p>
            <w:pPr>
              <w:widowControl/>
              <w:shd w:val="clear"/>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767"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资金分配</w:t>
            </w:r>
          </w:p>
          <w:p>
            <w:pPr>
              <w:widowControl/>
              <w:shd w:val="clear"/>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hd w:val="clear"/>
              <w:spacing w:line="0" w:lineRule="atLeast"/>
              <w:jc w:val="center"/>
              <w:rPr>
                <w:color w:val="000000"/>
                <w:kern w:val="0"/>
                <w:sz w:val="22"/>
                <w:szCs w:val="22"/>
                <w:highlight w:val="none"/>
              </w:rPr>
            </w:pPr>
            <w:r>
              <w:rPr>
                <w:color w:val="000000"/>
                <w:kern w:val="0"/>
                <w:sz w:val="22"/>
                <w:szCs w:val="22"/>
                <w:highlight w:val="none"/>
              </w:rPr>
              <w:t>过程</w:t>
            </w:r>
          </w:p>
        </w:tc>
        <w:tc>
          <w:tcPr>
            <w:tcW w:w="767"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hd w:val="clear"/>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hd w:val="clear"/>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vMerge w:val="continue"/>
            <w:shd w:val="clear" w:color="auto" w:fill="FFFFFF"/>
            <w:vAlign w:val="center"/>
          </w:tcPr>
          <w:p>
            <w:pPr>
              <w:shd w:val="clear"/>
              <w:spacing w:line="0" w:lineRule="atLeast"/>
              <w:jc w:val="center"/>
              <w:rPr>
                <w:color w:val="000000"/>
                <w:kern w:val="0"/>
                <w:sz w:val="22"/>
                <w:szCs w:val="22"/>
                <w:highlight w:val="none"/>
              </w:rPr>
            </w:pP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88"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　</w:t>
            </w:r>
          </w:p>
          <w:p>
            <w:pPr>
              <w:shd w:val="clear"/>
              <w:spacing w:line="0" w:lineRule="atLeast"/>
              <w:jc w:val="center"/>
              <w:rPr>
                <w:color w:val="000000"/>
                <w:kern w:val="0"/>
                <w:sz w:val="22"/>
                <w:szCs w:val="22"/>
                <w:highlight w:val="none"/>
              </w:rPr>
            </w:pPr>
            <w:r>
              <w:rPr>
                <w:color w:val="000000"/>
                <w:kern w:val="0"/>
                <w:sz w:val="22"/>
                <w:szCs w:val="22"/>
                <w:highlight w:val="none"/>
              </w:rPr>
              <w:t>过程　</w:t>
            </w: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资金使用</w:t>
            </w:r>
          </w:p>
          <w:p>
            <w:pPr>
              <w:widowControl/>
              <w:shd w:val="clear"/>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组织实施</w:t>
            </w:r>
          </w:p>
          <w:p>
            <w:pPr>
              <w:shd w:val="clea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管理制度</w:t>
            </w:r>
          </w:p>
          <w:p>
            <w:pPr>
              <w:widowControl/>
              <w:shd w:val="clear"/>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767"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制度执行</w:t>
            </w:r>
          </w:p>
          <w:p>
            <w:pPr>
              <w:widowControl/>
              <w:shd w:val="clear"/>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w:t>
            </w: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w:t>
            </w: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hd w:val="clear"/>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hd w:val="clear"/>
              <w:spacing w:line="0" w:lineRule="atLeast"/>
              <w:jc w:val="center"/>
              <w:rPr>
                <w:color w:val="000000"/>
                <w:kern w:val="0"/>
                <w:sz w:val="22"/>
                <w:szCs w:val="22"/>
                <w:highlight w:val="none"/>
              </w:rPr>
            </w:pPr>
          </w:p>
        </w:tc>
        <w:tc>
          <w:tcPr>
            <w:tcW w:w="767" w:type="dxa"/>
            <w:shd w:val="clear" w:color="auto" w:fill="FFFFFF"/>
            <w:vAlign w:val="center"/>
          </w:tcPr>
          <w:p>
            <w:pPr>
              <w:shd w:val="clea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767"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效益　</w:t>
            </w:r>
          </w:p>
        </w:tc>
        <w:tc>
          <w:tcPr>
            <w:tcW w:w="767" w:type="dxa"/>
            <w:vMerge w:val="restart"/>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hd w:val="clear"/>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88" w:type="dxa"/>
            <w:shd w:val="clear" w:color="auto"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1363" w:type="dxa"/>
            <w:shd w:val="clear" w:color="auto"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767" w:type="dxa"/>
            <w:vMerge w:val="continue"/>
            <w:shd w:val="clear" w:color="auto" w:fill="FFFFFF"/>
            <w:vAlign w:val="center"/>
          </w:tcPr>
          <w:p>
            <w:pPr>
              <w:widowControl/>
              <w:shd w:val="clear"/>
              <w:spacing w:line="0" w:lineRule="atLeast"/>
              <w:jc w:val="center"/>
              <w:rPr>
                <w:color w:val="000000"/>
                <w:kern w:val="0"/>
                <w:sz w:val="22"/>
                <w:szCs w:val="22"/>
                <w:highlight w:val="none"/>
              </w:rPr>
            </w:pPr>
          </w:p>
        </w:tc>
        <w:tc>
          <w:tcPr>
            <w:tcW w:w="873" w:type="dxa"/>
            <w:shd w:val="clear" w:color="auto" w:fill="FFFFFF"/>
            <w:vAlign w:val="center"/>
          </w:tcPr>
          <w:p>
            <w:pPr>
              <w:widowControl/>
              <w:shd w:val="clear"/>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88" w:type="dxa"/>
            <w:shd w:val="clear" w:color="000000" w:fill="FFFFFF"/>
            <w:vAlign w:val="center"/>
          </w:tcPr>
          <w:p>
            <w:pPr>
              <w:widowControl/>
              <w:shd w:val="clear"/>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1363" w:type="dxa"/>
            <w:shd w:val="clear" w:color="000000" w:fill="FFFFFF"/>
            <w:vAlign w:val="center"/>
          </w:tcPr>
          <w:p>
            <w:pPr>
              <w:widowControl/>
              <w:shd w:val="clear"/>
              <w:spacing w:line="0" w:lineRule="atLeast"/>
              <w:jc w:val="center"/>
              <w:rPr>
                <w:b/>
                <w:bCs/>
                <w:color w:val="000000"/>
                <w:kern w:val="0"/>
                <w:sz w:val="22"/>
                <w:szCs w:val="22"/>
                <w:highlight w:val="none"/>
              </w:rPr>
            </w:pPr>
            <w:r>
              <w:rPr>
                <w:rFonts w:hint="eastAsia"/>
                <w:color w:val="000000"/>
                <w:kern w:val="0"/>
                <w:sz w:val="22"/>
                <w:szCs w:val="22"/>
                <w:highlight w:val="none"/>
              </w:rPr>
              <w:t>5</w:t>
            </w:r>
          </w:p>
        </w:tc>
      </w:tr>
    </w:tbl>
    <w:p>
      <w:pPr>
        <w:pStyle w:val="2"/>
      </w:pPr>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altName w:val="Calibri"/>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160000" w:csb1="00000000"/>
  </w:font>
  <w:font w:name="方正小标宋_GBK">
    <w:altName w:val="宋体"/>
    <w:panose1 w:val="02000000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00" w:usb3="00000000" w:csb0="00160000" w:csb1="00000000"/>
  </w:font>
  <w:font w:name="仿宋">
    <w:altName w:val="宋体"/>
    <w:panose1 w:val="02010609060101010101"/>
    <w:charset w:val="86"/>
    <w:family w:val="modern"/>
    <w:pitch w:val="default"/>
    <w:sig w:usb0="00000000" w:usb1="00000000" w:usb2="00000000" w:usb3="00000000" w:csb0="00160000" w:csb1="00000000"/>
  </w:font>
  <w:font w:name="方正小标宋简体">
    <w:altName w:val="仿宋_GB2312"/>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4"/>
          <w:jc w:val="center"/>
        </w:pPr>
        <w:r>
          <w:fldChar w:fldCharType="begin"/>
        </w:r>
        <w:r>
          <w:instrText xml:space="preserve">PAGE   \* MERGEFORMAT</w:instrText>
        </w:r>
        <w:r>
          <w:fldChar w:fldCharType="separate"/>
        </w:r>
        <w:r>
          <w:rPr>
            <w:lang w:val="zh-CN"/>
          </w:rPr>
          <w:t>17</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210D3"/>
    <w:rsid w:val="195210D3"/>
    <w:rsid w:val="341B4EF2"/>
    <w:rsid w:val="4BAD1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paragraph" w:styleId="4">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5">
    <w:name w:val="Body Text First Indent 2"/>
    <w:basedOn w:val="3"/>
    <w:qFormat/>
    <w:uiPriority w:val="0"/>
    <w:pPr>
      <w:ind w:firstLine="420" w:firstLineChars="200"/>
    </w:pPr>
  </w:style>
  <w:style w:type="paragraph" w:styleId="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8">
    <w:name w:val="Strong"/>
    <w:basedOn w:val="7"/>
    <w:qFormat/>
    <w:uiPriority w:val="0"/>
    <w:rPr>
      <w:b/>
      <w:bCs/>
    </w:rPr>
  </w:style>
  <w:style w:type="character" w:customStyle="1" w:styleId="1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xmt</Company>
  <Pages>1</Pages>
  <Words>0</Words>
  <Characters>0</Characters>
  <Lines>0</Lines>
  <Paragraphs>0</Paragraphs>
  <TotalTime>7</TotalTime>
  <ScaleCrop>false</ScaleCrop>
  <LinksUpToDate>false</LinksUpToDate>
  <CharactersWithSpaces>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2009-01-01T06:29:00Z</dcterms:created>
  <dc:creator>Administrator</dc:creator>
  <cp:lastModifiedBy>Administrator</cp:lastModifiedBy>
  <dcterms:modified xsi:type="dcterms:W3CDTF">2009-01-01T07:26:54Z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