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w:t>
      </w:r>
      <w:r>
        <w:rPr>
          <w:rFonts w:hint="eastAsia" w:ascii="仿宋" w:hAnsi="仿宋" w:eastAsia="仿宋" w:cs="宋体"/>
          <w:kern w:val="0"/>
          <w:sz w:val="32"/>
          <w:szCs w:val="32"/>
          <w:lang w:val="en-US" w:eastAsia="zh-CN"/>
        </w:rPr>
        <w:t>3</w:t>
      </w:r>
      <w:r>
        <w:rPr>
          <w:rFonts w:hint="eastAsia" w:ascii="仿宋" w:hAnsi="仿宋" w:eastAsia="仿宋" w:cs="宋体"/>
          <w:kern w:val="0"/>
          <w:sz w:val="32"/>
          <w:szCs w:val="32"/>
        </w:rPr>
        <w:t>：</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both"/>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民康养老项目附属设施设备配套</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支出</w:t>
      </w:r>
      <w:r>
        <w:rPr>
          <w:rFonts w:hint="eastAsia" w:ascii="方正小标宋_GBK" w:hAnsi="华文中宋" w:eastAsia="方正小标宋_GBK" w:cs="宋体"/>
          <w:b/>
          <w:kern w:val="0"/>
          <w:sz w:val="48"/>
          <w:szCs w:val="48"/>
          <w:lang w:eastAsia="zh-CN"/>
        </w:rPr>
        <w:t>整体</w:t>
      </w:r>
      <w:r>
        <w:rPr>
          <w:rFonts w:hint="eastAsia" w:ascii="方正小标宋_GBK" w:hAnsi="华文中宋" w:eastAsia="方正小标宋_GBK" w:cs="宋体"/>
          <w:b/>
          <w:kern w:val="0"/>
          <w:sz w:val="48"/>
          <w:szCs w:val="48"/>
        </w:rPr>
        <w:t>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Style w:val="17"/>
          <w:rFonts w:hint="eastAsia" w:ascii="楷体" w:hAnsi="楷体" w:eastAsia="楷体"/>
          <w:spacing w:val="-4"/>
          <w:sz w:val="32"/>
          <w:szCs w:val="32"/>
        </w:rPr>
        <w:t>202</w:t>
      </w:r>
      <w:r>
        <w:rPr>
          <w:rStyle w:val="17"/>
          <w:rFonts w:hint="eastAsia" w:ascii="楷体" w:hAnsi="楷体" w:eastAsia="楷体"/>
          <w:spacing w:val="-4"/>
          <w:sz w:val="32"/>
          <w:szCs w:val="32"/>
          <w:lang w:val="en-US" w:eastAsia="zh-CN"/>
        </w:rPr>
        <w:t>2</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项目名称：民康养老项目附属设施设备配套</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Fonts w:hint="eastAsia" w:ascii="仿宋" w:hAnsi="仿宋" w:eastAsia="仿宋" w:cs="宋体"/>
          <w:kern w:val="0"/>
          <w:sz w:val="36"/>
          <w:szCs w:val="36"/>
          <w:lang w:eastAsia="zh-CN"/>
        </w:rPr>
        <w:t>自治区</w:t>
      </w:r>
      <w:r>
        <w:rPr>
          <w:rFonts w:hint="eastAsia" w:ascii="仿宋" w:hAnsi="仿宋" w:eastAsia="仿宋" w:cs="宋体"/>
          <w:kern w:val="0"/>
          <w:sz w:val="36"/>
          <w:szCs w:val="36"/>
        </w:rPr>
        <w:t>民政康复中心</w:t>
      </w:r>
    </w:p>
    <w:p>
      <w:pPr>
        <w:spacing w:line="540" w:lineRule="exact"/>
        <w:ind w:firstLine="900" w:firstLineChars="250"/>
        <w:rPr>
          <w:rFonts w:hint="eastAsia" w:hAnsi="宋体" w:eastAsia="仿宋_GB2312" w:cs="宋体"/>
          <w:kern w:val="0"/>
          <w:sz w:val="36"/>
          <w:szCs w:val="36"/>
        </w:rPr>
      </w:pPr>
      <w:r>
        <w:rPr>
          <w:rFonts w:hint="eastAsia" w:hAnsi="宋体" w:eastAsia="仿宋_GB2312" w:cs="宋体"/>
          <w:kern w:val="0"/>
          <w:sz w:val="36"/>
          <w:szCs w:val="36"/>
        </w:rPr>
        <w:t>主管部门（公章）：</w:t>
      </w:r>
      <w:r>
        <w:rPr>
          <w:rFonts w:hint="eastAsia" w:hAnsi="宋体" w:eastAsia="仿宋_GB2312" w:cs="宋体"/>
          <w:kern w:val="0"/>
          <w:sz w:val="36"/>
          <w:szCs w:val="36"/>
          <w:lang w:eastAsia="zh-CN"/>
        </w:rPr>
        <w:t>自治区民政厅</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Fonts w:hint="eastAsia" w:hAnsi="宋体" w:eastAsia="仿宋_GB2312" w:cs="宋体"/>
          <w:kern w:val="0"/>
          <w:sz w:val="36"/>
          <w:szCs w:val="36"/>
          <w:lang w:eastAsia="zh-CN"/>
        </w:rPr>
        <w:t>何元</w:t>
      </w:r>
      <w:bookmarkStart w:id="0" w:name="_GoBack"/>
      <w:bookmarkEnd w:id="0"/>
    </w:p>
    <w:p>
      <w:pPr>
        <w:spacing w:line="540" w:lineRule="exact"/>
        <w:ind w:left="273" w:firstLine="567"/>
        <w:rPr>
          <w:rStyle w:val="17"/>
          <w:rFonts w:hint="default" w:ascii="楷体" w:hAnsi="楷体" w:eastAsia="仿宋_GB2312"/>
          <w:spacing w:val="-4"/>
          <w:sz w:val="32"/>
          <w:szCs w:val="32"/>
          <w:lang w:val="en-US" w:eastAsia="zh-CN"/>
        </w:rPr>
      </w:pPr>
      <w:r>
        <w:rPr>
          <w:rFonts w:hint="eastAsia" w:hAnsi="宋体" w:eastAsia="仿宋_GB2312" w:cs="宋体"/>
          <w:kern w:val="0"/>
          <w:sz w:val="36"/>
          <w:szCs w:val="36"/>
        </w:rPr>
        <w:t>填报时间：</w:t>
      </w:r>
      <w:r>
        <w:rPr>
          <w:rFonts w:hint="eastAsia" w:hAnsi="宋体" w:eastAsia="仿宋_GB2312" w:cs="宋体"/>
          <w:kern w:val="0"/>
          <w:sz w:val="36"/>
          <w:szCs w:val="36"/>
          <w:lang w:val="en-US" w:eastAsia="zh-CN"/>
        </w:rPr>
        <w:t>2023年1月12日</w:t>
      </w:r>
    </w:p>
    <w:p>
      <w:pPr>
        <w:spacing w:line="540" w:lineRule="exact"/>
        <w:rPr>
          <w:rStyle w:val="17"/>
          <w:rFonts w:ascii="黑体" w:hAnsi="黑体" w:eastAsia="黑体"/>
          <w:b w:val="0"/>
          <w:spacing w:val="-4"/>
          <w:sz w:val="32"/>
          <w:szCs w:val="32"/>
        </w:rPr>
      </w:pPr>
    </w:p>
    <w:p>
      <w:pPr>
        <w:spacing w:line="540" w:lineRule="exact"/>
        <w:rPr>
          <w:rStyle w:val="17"/>
          <w:rFonts w:ascii="黑体" w:hAnsi="黑体" w:eastAsia="黑体"/>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544" w:firstLineChars="200"/>
        <w:textAlignment w:val="auto"/>
        <w:rPr>
          <w:rStyle w:val="17"/>
          <w:rFonts w:ascii="黑体" w:hAnsi="黑体" w:eastAsia="黑体"/>
          <w:b w:val="0"/>
          <w:spacing w:val="-4"/>
          <w:sz w:val="28"/>
          <w:szCs w:val="28"/>
        </w:rPr>
      </w:pPr>
      <w:r>
        <w:rPr>
          <w:rStyle w:val="17"/>
          <w:rFonts w:hint="eastAsia" w:ascii="黑体" w:hAnsi="黑体" w:eastAsia="黑体"/>
          <w:b w:val="0"/>
          <w:spacing w:val="-4"/>
          <w:sz w:val="28"/>
          <w:szCs w:val="28"/>
        </w:rPr>
        <w:t>一、基本情况</w:t>
      </w:r>
    </w:p>
    <w:p>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为贯彻落实“全方位、全过程、全覆盖”预算绩效管理闭环体系工作要求，不断提高预算绩效管理工作的质量和水平，提高财政资金使用效益，现将2022年度民康养老项目附属设施设备配套建设项目预算绩效管理情况总结如下:</w:t>
      </w:r>
    </w:p>
    <w:p>
      <w:pPr>
        <w:keepNext w:val="0"/>
        <w:keepLines w:val="0"/>
        <w:pageBreakBefore w:val="0"/>
        <w:widowControl w:val="0"/>
        <w:kinsoku/>
        <w:wordWrap/>
        <w:overflowPunct/>
        <w:topLinePunct w:val="0"/>
        <w:autoSpaceDE/>
        <w:autoSpaceDN/>
        <w:bidi w:val="0"/>
        <w:adjustRightInd/>
        <w:snapToGrid/>
        <w:spacing w:line="560" w:lineRule="exact"/>
        <w:ind w:firstLine="546" w:firstLineChars="200"/>
        <w:textAlignment w:val="auto"/>
        <w:rPr>
          <w:rStyle w:val="17"/>
          <w:rFonts w:ascii="楷体" w:hAnsi="楷体" w:eastAsia="楷体"/>
          <w:spacing w:val="-4"/>
          <w:sz w:val="28"/>
          <w:szCs w:val="28"/>
        </w:rPr>
      </w:pPr>
      <w:r>
        <w:rPr>
          <w:rStyle w:val="17"/>
          <w:rFonts w:hint="eastAsia" w:ascii="楷体" w:hAnsi="楷体" w:eastAsia="楷体"/>
          <w:spacing w:val="-4"/>
          <w:sz w:val="28"/>
          <w:szCs w:val="28"/>
        </w:rPr>
        <w:t>（一）项目概况</w:t>
      </w:r>
    </w:p>
    <w:p>
      <w:pPr>
        <w:keepNext w:val="0"/>
        <w:keepLines w:val="0"/>
        <w:pageBreakBefore w:val="0"/>
        <w:widowControl w:val="0"/>
        <w:kinsoku/>
        <w:wordWrap/>
        <w:overflowPunct/>
        <w:topLinePunct w:val="0"/>
        <w:autoSpaceDE/>
        <w:autoSpaceDN/>
        <w:bidi w:val="0"/>
        <w:adjustRightInd/>
        <w:snapToGrid/>
        <w:spacing w:line="560" w:lineRule="exact"/>
        <w:ind w:firstLine="544" w:firstLineChars="200"/>
        <w:textAlignment w:val="auto"/>
        <w:rPr>
          <w:rStyle w:val="17"/>
          <w:rFonts w:hint="eastAsia" w:ascii="楷体" w:hAnsi="楷体" w:eastAsia="楷体"/>
          <w:b w:val="0"/>
          <w:bCs w:val="0"/>
          <w:spacing w:val="-4"/>
          <w:sz w:val="28"/>
          <w:szCs w:val="28"/>
        </w:rPr>
      </w:pPr>
      <w:r>
        <w:rPr>
          <w:rStyle w:val="17"/>
          <w:rFonts w:hint="eastAsia" w:ascii="楷体" w:hAnsi="楷体" w:eastAsia="楷体"/>
          <w:b w:val="0"/>
          <w:bCs w:val="0"/>
          <w:spacing w:val="-4"/>
          <w:sz w:val="28"/>
          <w:szCs w:val="28"/>
        </w:rPr>
        <w:t>1.项目背景及主要内容</w:t>
      </w:r>
    </w:p>
    <w:p>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本项目在新疆维吾尔自治区民康养老项目的基础上，对项目区外环境进行适老化改造，配套室内适老化设施与医养康养设备。项目改造完成后，在实现新疆维吾尔自治区民康养老项目</w:t>
      </w:r>
      <w:r>
        <w:rPr>
          <w:rFonts w:hint="default" w:ascii="仿宋_GB2312" w:hAnsi="仿宋_GB2312" w:eastAsia="仿宋_GB2312" w:cs="仿宋_GB2312"/>
          <w:sz w:val="28"/>
          <w:szCs w:val="28"/>
          <w:lang w:val="en-US" w:eastAsia="zh-CN"/>
        </w:rPr>
        <w:t>230</w:t>
      </w:r>
      <w:r>
        <w:rPr>
          <w:rFonts w:hint="eastAsia" w:ascii="仿宋_GB2312" w:hAnsi="仿宋_GB2312" w:eastAsia="仿宋_GB2312" w:cs="仿宋_GB2312"/>
          <w:sz w:val="28"/>
          <w:szCs w:val="28"/>
          <w:lang w:val="en-US" w:eastAsia="zh-CN"/>
        </w:rPr>
        <w:t>张护理型床位投入使用的同时，提高项目机构硬件设施条件，提升养老服务水平，保障老年人养老质量。</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44" w:firstLineChars="200"/>
        <w:textAlignment w:val="auto"/>
        <w:rPr>
          <w:rStyle w:val="17"/>
          <w:rFonts w:hint="eastAsia" w:ascii="楷体" w:hAnsi="楷体" w:eastAsia="楷体"/>
          <w:b w:val="0"/>
          <w:bCs w:val="0"/>
          <w:spacing w:val="-4"/>
          <w:sz w:val="28"/>
          <w:szCs w:val="28"/>
        </w:rPr>
      </w:pPr>
      <w:r>
        <w:rPr>
          <w:rStyle w:val="17"/>
          <w:rFonts w:hint="eastAsia" w:ascii="楷体" w:hAnsi="楷体" w:eastAsia="楷体"/>
          <w:b w:val="0"/>
          <w:bCs w:val="0"/>
          <w:spacing w:val="-4"/>
          <w:sz w:val="28"/>
          <w:szCs w:val="28"/>
          <w:lang w:val="en-US" w:eastAsia="zh-CN"/>
        </w:rPr>
        <w:t>2.</w:t>
      </w:r>
      <w:r>
        <w:rPr>
          <w:rStyle w:val="17"/>
          <w:rFonts w:hint="eastAsia" w:ascii="楷体" w:hAnsi="楷体" w:eastAsia="楷体"/>
          <w:b w:val="0"/>
          <w:bCs w:val="0"/>
          <w:spacing w:val="-4"/>
          <w:sz w:val="28"/>
          <w:szCs w:val="28"/>
        </w:rPr>
        <w:t>主要内容及实施情况</w:t>
      </w:r>
    </w:p>
    <w:p>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具体改造范围为：（1）适老化外环境改造：包括项目区室外地坪、路沿石、围墙、入口坡道、绿化环境、监控系统、庭院照明等适老化外环境基础设施提升改造；（2）室外配套管网改造：包括室外给排水、热力、供电等室外配套管网维修改造；（3）室内维修改造：包括地块一康复中心地下一层及一层楼梯间维修改造；（4）适老设施设备购置：包括适老化家具、电器购置，康养医养设备购置，食堂设备购置等。</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304"/>
        <w:textAlignment w:val="auto"/>
        <w:rPr>
          <w:rStyle w:val="17"/>
          <w:rFonts w:hint="eastAsia" w:ascii="楷体" w:hAnsi="楷体" w:eastAsia="楷体"/>
          <w:b w:val="0"/>
          <w:bCs w:val="0"/>
          <w:spacing w:val="-4"/>
          <w:sz w:val="28"/>
          <w:szCs w:val="28"/>
        </w:rPr>
      </w:pPr>
      <w:r>
        <w:rPr>
          <w:rStyle w:val="17"/>
          <w:rFonts w:hint="eastAsia" w:ascii="楷体" w:hAnsi="楷体" w:eastAsia="楷体"/>
          <w:b w:val="0"/>
          <w:bCs w:val="0"/>
          <w:spacing w:val="-4"/>
          <w:sz w:val="28"/>
          <w:szCs w:val="28"/>
          <w:lang w:val="en-US" w:eastAsia="zh-CN"/>
        </w:rPr>
        <w:t>3.</w:t>
      </w:r>
      <w:r>
        <w:rPr>
          <w:rStyle w:val="17"/>
          <w:rFonts w:hint="eastAsia" w:ascii="楷体" w:hAnsi="楷体" w:eastAsia="楷体"/>
          <w:b w:val="0"/>
          <w:bCs w:val="0"/>
          <w:spacing w:val="-4"/>
          <w:sz w:val="28"/>
          <w:szCs w:val="28"/>
        </w:rPr>
        <w:t>资金投入和使用情况</w:t>
      </w:r>
      <w:r>
        <w:rPr>
          <w:rStyle w:val="17"/>
          <w:rFonts w:hint="eastAsia" w:ascii="楷体" w:hAnsi="楷体" w:eastAsia="楷体"/>
          <w:b w:val="0"/>
          <w:bCs w:val="0"/>
          <w:spacing w:val="-4"/>
          <w:sz w:val="28"/>
          <w:szCs w:val="28"/>
        </w:rPr>
        <w:br w:type="textWrapping"/>
      </w:r>
      <w:r>
        <w:rPr>
          <w:rStyle w:val="17"/>
          <w:rFonts w:hint="eastAsia" w:ascii="楷体" w:hAnsi="楷体" w:eastAsia="楷体"/>
          <w:b w:val="0"/>
          <w:bCs w:val="0"/>
          <w:spacing w:val="-4"/>
          <w:sz w:val="28"/>
          <w:szCs w:val="28"/>
        </w:rPr>
        <w:t>（1）资金投入情况</w:t>
      </w:r>
    </w:p>
    <w:p>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民康养老项目附属设施设备配套项目资金是由自治区本级彩票公益金组成，项目金额为1560万元。2021年按照预算编制绩效管理要求，对该预算项目进行全面梳理、合理保障、加强审核，按照政策依据，对项目每一笔资金进行详细的支出测算，在申报项目时提供了详细的绩效信息，包括立项依据，项目内容，本年度绩效目标，实施周期，投入金额等。</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44" w:firstLineChars="200"/>
        <w:textAlignment w:val="auto"/>
        <w:rPr>
          <w:rStyle w:val="17"/>
          <w:rFonts w:hint="eastAsia" w:ascii="楷体" w:hAnsi="楷体" w:eastAsia="楷体"/>
          <w:b w:val="0"/>
          <w:bCs w:val="0"/>
          <w:spacing w:val="-4"/>
          <w:sz w:val="28"/>
          <w:szCs w:val="28"/>
        </w:rPr>
      </w:pPr>
      <w:r>
        <w:rPr>
          <w:rStyle w:val="17"/>
          <w:rFonts w:hint="eastAsia" w:ascii="楷体" w:hAnsi="楷体" w:eastAsia="楷体"/>
          <w:b w:val="0"/>
          <w:bCs w:val="0"/>
          <w:spacing w:val="-4"/>
          <w:sz w:val="28"/>
          <w:szCs w:val="28"/>
        </w:rPr>
        <w:t>使用情况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sz w:val="28"/>
          <w:szCs w:val="28"/>
          <w:lang w:val="en-US" w:eastAsia="zh-CN"/>
        </w:rPr>
      </w:pPr>
      <w:r>
        <w:rPr>
          <w:rStyle w:val="17"/>
          <w:rFonts w:hint="eastAsia" w:ascii="楷体" w:hAnsi="楷体" w:eastAsia="楷体"/>
          <w:spacing w:val="-4"/>
          <w:sz w:val="28"/>
          <w:szCs w:val="28"/>
          <w:lang w:val="en-US" w:eastAsia="zh-CN"/>
        </w:rPr>
        <w:t xml:space="preserve"> </w:t>
      </w:r>
      <w:r>
        <w:rPr>
          <w:rFonts w:hint="eastAsia" w:ascii="仿宋" w:hAnsi="仿宋" w:eastAsia="仿宋" w:cs="仿宋"/>
          <w:sz w:val="28"/>
          <w:szCs w:val="28"/>
          <w:lang w:val="en-US" w:eastAsia="zh-CN"/>
        </w:rPr>
        <w:t xml:space="preserve">  </w:t>
      </w:r>
      <w:r>
        <w:rPr>
          <w:rFonts w:hint="eastAsia" w:ascii="仿宋_GB2312" w:hAnsi="仿宋_GB2312" w:eastAsia="仿宋_GB2312" w:cs="仿宋_GB2312"/>
          <w:sz w:val="28"/>
          <w:szCs w:val="28"/>
          <w:lang w:val="en-US" w:eastAsia="zh-CN"/>
        </w:rPr>
        <w:t xml:space="preserve"> 该项目是2021年申请，用于2022年的自治区本级彩票公益金，2022年已完成“自治区民康养老项目”（3450万元）的立项工作。截至目前，民康养老项目附属设备配套项目还在发改委立项批复阶段中。截止目前，已使用8.8万元，剩余资金计划2023年支出。</w:t>
      </w:r>
    </w:p>
    <w:p>
      <w:pPr>
        <w:keepNext w:val="0"/>
        <w:keepLines w:val="0"/>
        <w:pageBreakBefore w:val="0"/>
        <w:widowControl w:val="0"/>
        <w:kinsoku/>
        <w:wordWrap/>
        <w:overflowPunct/>
        <w:topLinePunct w:val="0"/>
        <w:autoSpaceDE/>
        <w:autoSpaceDN/>
        <w:bidi w:val="0"/>
        <w:adjustRightInd/>
        <w:snapToGrid/>
        <w:spacing w:line="560" w:lineRule="exact"/>
        <w:ind w:firstLine="546" w:firstLineChars="200"/>
        <w:textAlignment w:val="auto"/>
        <w:rPr>
          <w:rStyle w:val="17"/>
          <w:rFonts w:ascii="楷体" w:hAnsi="楷体" w:eastAsia="楷体"/>
          <w:spacing w:val="-4"/>
          <w:sz w:val="28"/>
          <w:szCs w:val="28"/>
        </w:rPr>
      </w:pPr>
      <w:r>
        <w:rPr>
          <w:rStyle w:val="17"/>
          <w:rFonts w:hint="eastAsia" w:ascii="楷体" w:hAnsi="楷体" w:eastAsia="楷体"/>
          <w:spacing w:val="-4"/>
          <w:sz w:val="28"/>
          <w:szCs w:val="28"/>
        </w:rPr>
        <w:t>（二）项目绩效目标</w:t>
      </w:r>
    </w:p>
    <w:p>
      <w:pPr>
        <w:keepNext w:val="0"/>
        <w:keepLines w:val="0"/>
        <w:pageBreakBefore w:val="0"/>
        <w:widowControl w:val="0"/>
        <w:kinsoku/>
        <w:wordWrap/>
        <w:overflowPunct/>
        <w:topLinePunct w:val="0"/>
        <w:autoSpaceDE/>
        <w:autoSpaceDN/>
        <w:bidi w:val="0"/>
        <w:adjustRightInd/>
        <w:snapToGrid/>
        <w:spacing w:line="560" w:lineRule="exact"/>
        <w:ind w:firstLine="544" w:firstLineChars="200"/>
        <w:textAlignment w:val="auto"/>
        <w:rPr>
          <w:rStyle w:val="17"/>
          <w:rFonts w:hint="eastAsia" w:ascii="楷体" w:hAnsi="楷体" w:eastAsia="楷体"/>
          <w:b w:val="0"/>
          <w:bCs w:val="0"/>
          <w:spacing w:val="-4"/>
          <w:sz w:val="28"/>
          <w:szCs w:val="28"/>
        </w:rPr>
      </w:pPr>
      <w:r>
        <w:rPr>
          <w:rStyle w:val="17"/>
          <w:rFonts w:hint="eastAsia" w:ascii="楷体" w:hAnsi="楷体" w:eastAsia="楷体"/>
          <w:b w:val="0"/>
          <w:bCs w:val="0"/>
          <w:spacing w:val="-4"/>
          <w:sz w:val="28"/>
          <w:szCs w:val="28"/>
          <w:lang w:val="en-US" w:eastAsia="zh-CN"/>
        </w:rPr>
        <w:t>1.</w:t>
      </w:r>
      <w:r>
        <w:rPr>
          <w:rStyle w:val="17"/>
          <w:rFonts w:hint="eastAsia" w:ascii="楷体" w:hAnsi="楷体" w:eastAsia="楷体"/>
          <w:b w:val="0"/>
          <w:bCs w:val="0"/>
          <w:spacing w:val="-4"/>
          <w:sz w:val="28"/>
          <w:szCs w:val="28"/>
        </w:rPr>
        <w:t>总体目标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对地块一、地块二的外环境进行适老化提升改造，室内配套适老化家具家电，结合康养医养需求购置必须的医疗设备，改造后可满足机构内老年人养老需求，营造具有舒适感、安全感、幸福感的环境。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44" w:firstLineChars="200"/>
        <w:textAlignment w:val="auto"/>
        <w:rPr>
          <w:rStyle w:val="17"/>
          <w:rFonts w:hint="eastAsia" w:ascii="楷体" w:hAnsi="楷体" w:eastAsia="楷体"/>
          <w:b w:val="0"/>
          <w:bCs w:val="0"/>
          <w:spacing w:val="-4"/>
          <w:sz w:val="28"/>
          <w:szCs w:val="28"/>
        </w:rPr>
      </w:pPr>
      <w:r>
        <w:rPr>
          <w:rStyle w:val="17"/>
          <w:rFonts w:hint="eastAsia" w:ascii="楷体" w:hAnsi="楷体" w:eastAsia="楷体"/>
          <w:b w:val="0"/>
          <w:bCs w:val="0"/>
          <w:spacing w:val="-4"/>
          <w:sz w:val="28"/>
          <w:szCs w:val="28"/>
          <w:lang w:val="en-US" w:eastAsia="zh-CN"/>
        </w:rPr>
        <w:t>2.</w:t>
      </w:r>
      <w:r>
        <w:rPr>
          <w:rStyle w:val="17"/>
          <w:rFonts w:hint="eastAsia" w:ascii="楷体" w:hAnsi="楷体" w:eastAsia="楷体"/>
          <w:b w:val="0"/>
          <w:bCs w:val="0"/>
          <w:spacing w:val="-4"/>
          <w:sz w:val="28"/>
          <w:szCs w:val="28"/>
        </w:rPr>
        <w:t>阶段性目标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根据项目区的现状条件、自然环境和项目的总体安排，遵循先难后易的原则，安排项目建设进度。项目准备期为</w:t>
      </w:r>
      <w:r>
        <w:rPr>
          <w:rFonts w:hint="default" w:ascii="仿宋_GB2312" w:hAnsi="仿宋_GB2312" w:eastAsia="仿宋_GB2312" w:cs="仿宋_GB2312"/>
          <w:sz w:val="28"/>
          <w:szCs w:val="28"/>
          <w:lang w:val="en-US" w:eastAsia="zh-CN"/>
        </w:rPr>
        <w:t>2022</w:t>
      </w:r>
      <w:r>
        <w:rPr>
          <w:rFonts w:hint="eastAsia" w:ascii="仿宋_GB2312" w:hAnsi="仿宋_GB2312" w:eastAsia="仿宋_GB2312" w:cs="仿宋_GB2312"/>
          <w:sz w:val="28"/>
          <w:szCs w:val="28"/>
          <w:lang w:val="en-US" w:eastAsia="zh-CN"/>
        </w:rPr>
        <w:t>年</w:t>
      </w:r>
      <w:r>
        <w:rPr>
          <w:rFonts w:hint="default" w:ascii="仿宋_GB2312" w:hAnsi="仿宋_GB2312" w:eastAsia="仿宋_GB2312" w:cs="仿宋_GB2312"/>
          <w:sz w:val="28"/>
          <w:szCs w:val="28"/>
          <w:lang w:val="en-US" w:eastAsia="zh-CN"/>
        </w:rPr>
        <w:t>9</w:t>
      </w:r>
      <w:r>
        <w:rPr>
          <w:rFonts w:hint="eastAsia" w:ascii="仿宋_GB2312" w:hAnsi="仿宋_GB2312" w:eastAsia="仿宋_GB2312" w:cs="仿宋_GB2312"/>
          <w:sz w:val="28"/>
          <w:szCs w:val="28"/>
          <w:lang w:val="en-US" w:eastAsia="zh-CN"/>
        </w:rPr>
        <w:t>月底之前，主要任务包括：立项考察、进行项目建设可行性论证，编制可行性研究报告；根据批准的可行性报告进行初步设计，施工图设计；进行主要工程和设备的招标工作，包括施工监理招标、施工招标和设备招标。项目建设工期为</w:t>
      </w:r>
      <w:r>
        <w:rPr>
          <w:rFonts w:hint="default" w:ascii="仿宋_GB2312" w:hAnsi="仿宋_GB2312" w:eastAsia="仿宋_GB2312" w:cs="仿宋_GB2312"/>
          <w:sz w:val="28"/>
          <w:szCs w:val="28"/>
          <w:lang w:val="en-US" w:eastAsia="zh-CN"/>
        </w:rPr>
        <w:t>2022</w:t>
      </w:r>
      <w:r>
        <w:rPr>
          <w:rFonts w:hint="eastAsia" w:ascii="仿宋_GB2312" w:hAnsi="仿宋_GB2312" w:eastAsia="仿宋_GB2312" w:cs="仿宋_GB2312"/>
          <w:sz w:val="28"/>
          <w:szCs w:val="28"/>
          <w:lang w:val="en-US" w:eastAsia="zh-CN"/>
        </w:rPr>
        <w:t>年</w:t>
      </w:r>
      <w:r>
        <w:rPr>
          <w:rFonts w:hint="default" w:ascii="仿宋_GB2312" w:hAnsi="仿宋_GB2312" w:eastAsia="仿宋_GB2312" w:cs="仿宋_GB2312"/>
          <w:sz w:val="28"/>
          <w:szCs w:val="28"/>
          <w:lang w:val="en-US" w:eastAsia="zh-CN"/>
        </w:rPr>
        <w:t>10</w:t>
      </w:r>
      <w:r>
        <w:rPr>
          <w:rFonts w:hint="eastAsia" w:ascii="仿宋_GB2312" w:hAnsi="仿宋_GB2312" w:eastAsia="仿宋_GB2312" w:cs="仿宋_GB2312"/>
          <w:sz w:val="28"/>
          <w:szCs w:val="28"/>
          <w:lang w:val="en-US" w:eastAsia="zh-CN"/>
        </w:rPr>
        <w:t>月</w:t>
      </w:r>
      <w:r>
        <w:rPr>
          <w:rFonts w:hint="default" w:ascii="仿宋_GB2312" w:hAnsi="仿宋_GB2312" w:eastAsia="仿宋_GB2312" w:cs="仿宋_GB2312"/>
          <w:sz w:val="28"/>
          <w:szCs w:val="28"/>
          <w:lang w:val="en-US" w:eastAsia="zh-CN"/>
        </w:rPr>
        <w:t>-2023</w:t>
      </w:r>
      <w:r>
        <w:rPr>
          <w:rFonts w:hint="eastAsia" w:ascii="仿宋_GB2312" w:hAnsi="仿宋_GB2312" w:eastAsia="仿宋_GB2312" w:cs="仿宋_GB2312"/>
          <w:sz w:val="28"/>
          <w:szCs w:val="28"/>
          <w:lang w:val="en-US" w:eastAsia="zh-CN"/>
        </w:rPr>
        <w:t>年</w:t>
      </w:r>
      <w:r>
        <w:rPr>
          <w:rFonts w:hint="default" w:ascii="仿宋_GB2312" w:hAnsi="仿宋_GB2312" w:eastAsia="仿宋_GB2312" w:cs="仿宋_GB2312"/>
          <w:sz w:val="28"/>
          <w:szCs w:val="28"/>
          <w:lang w:val="en-US" w:eastAsia="zh-CN"/>
        </w:rPr>
        <w:t>6</w:t>
      </w:r>
      <w:r>
        <w:rPr>
          <w:rFonts w:hint="eastAsia" w:ascii="仿宋_GB2312" w:hAnsi="仿宋_GB2312" w:eastAsia="仿宋_GB2312" w:cs="仿宋_GB2312"/>
          <w:sz w:val="28"/>
          <w:szCs w:val="28"/>
          <w:lang w:val="en-US" w:eastAsia="zh-CN"/>
        </w:rPr>
        <w:t>月，主要为施工准备、工程施工，设备购置与安装，竣工验收。</w:t>
      </w:r>
    </w:p>
    <w:p>
      <w:pPr>
        <w:keepNext w:val="0"/>
        <w:keepLines w:val="0"/>
        <w:pageBreakBefore w:val="0"/>
        <w:widowControl w:val="0"/>
        <w:kinsoku/>
        <w:wordWrap/>
        <w:overflowPunct/>
        <w:topLinePunct w:val="0"/>
        <w:autoSpaceDE/>
        <w:autoSpaceDN/>
        <w:bidi w:val="0"/>
        <w:adjustRightInd/>
        <w:snapToGrid/>
        <w:spacing w:line="560" w:lineRule="exact"/>
        <w:ind w:firstLine="544" w:firstLineChars="200"/>
        <w:textAlignment w:val="auto"/>
        <w:rPr>
          <w:rStyle w:val="17"/>
          <w:rFonts w:hint="eastAsia" w:ascii="黑体" w:hAnsi="黑体" w:eastAsia="黑体" w:cs="黑体"/>
          <w:b w:val="0"/>
          <w:bCs/>
          <w:spacing w:val="-4"/>
          <w:sz w:val="28"/>
          <w:szCs w:val="28"/>
        </w:rPr>
      </w:pPr>
      <w:r>
        <w:rPr>
          <w:rStyle w:val="17"/>
          <w:rFonts w:hint="eastAsia" w:ascii="黑体" w:hAnsi="黑体" w:eastAsia="黑体" w:cs="黑体"/>
          <w:b w:val="0"/>
          <w:bCs/>
          <w:spacing w:val="-4"/>
          <w:sz w:val="28"/>
          <w:szCs w:val="28"/>
        </w:rPr>
        <w:t>二、绩效评价工作开展情况</w:t>
      </w:r>
    </w:p>
    <w:p>
      <w:pPr>
        <w:keepNext w:val="0"/>
        <w:keepLines w:val="0"/>
        <w:pageBreakBefore w:val="0"/>
        <w:widowControl w:val="0"/>
        <w:kinsoku/>
        <w:wordWrap/>
        <w:overflowPunct/>
        <w:topLinePunct w:val="0"/>
        <w:autoSpaceDE/>
        <w:autoSpaceDN/>
        <w:bidi w:val="0"/>
        <w:adjustRightInd/>
        <w:snapToGrid/>
        <w:spacing w:line="560" w:lineRule="exact"/>
        <w:ind w:firstLine="546" w:firstLineChars="200"/>
        <w:textAlignment w:val="auto"/>
        <w:rPr>
          <w:rStyle w:val="17"/>
          <w:rFonts w:hint="eastAsia" w:ascii="楷体" w:hAnsi="楷体" w:eastAsia="楷体"/>
          <w:spacing w:val="-4"/>
          <w:sz w:val="28"/>
          <w:szCs w:val="28"/>
        </w:rPr>
      </w:pPr>
      <w:r>
        <w:rPr>
          <w:rStyle w:val="17"/>
          <w:rFonts w:hint="eastAsia" w:ascii="楷体" w:hAnsi="楷体" w:eastAsia="楷体"/>
          <w:spacing w:val="-4"/>
          <w:sz w:val="28"/>
          <w:szCs w:val="28"/>
        </w:rPr>
        <w:t>（一）绩效评价目的、对象和范围。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为聚焦高龄、失能、半失能老年人医康养需求，通过绩效评价管理对现有的医疗、业务用房从护理能力和消防安全能力等方面进行改造提升，以满足周边养老需求，增加失能失智老人接收能力，提升养老服务多层次，多样化的发展，建成后集监护、生活护理、健康管理、医康养、托管等一体的养老服务中心。</w:t>
      </w:r>
    </w:p>
    <w:p>
      <w:pPr>
        <w:keepNext w:val="0"/>
        <w:keepLines w:val="0"/>
        <w:pageBreakBefore w:val="0"/>
        <w:widowControl w:val="0"/>
        <w:kinsoku/>
        <w:wordWrap/>
        <w:overflowPunct/>
        <w:topLinePunct w:val="0"/>
        <w:autoSpaceDE/>
        <w:autoSpaceDN/>
        <w:bidi w:val="0"/>
        <w:adjustRightInd/>
        <w:snapToGrid/>
        <w:spacing w:line="560" w:lineRule="exact"/>
        <w:ind w:firstLine="546" w:firstLineChars="200"/>
        <w:textAlignment w:val="auto"/>
        <w:rPr>
          <w:rStyle w:val="17"/>
          <w:rFonts w:hint="eastAsia" w:ascii="楷体" w:hAnsi="楷体" w:eastAsia="楷体"/>
          <w:spacing w:val="-4"/>
          <w:sz w:val="28"/>
          <w:szCs w:val="28"/>
        </w:rPr>
      </w:pPr>
      <w:r>
        <w:rPr>
          <w:rStyle w:val="17"/>
          <w:rFonts w:hint="eastAsia" w:ascii="楷体" w:hAnsi="楷体" w:eastAsia="楷体"/>
          <w:spacing w:val="-4"/>
          <w:sz w:val="28"/>
          <w:szCs w:val="28"/>
        </w:rPr>
        <w:t>（二）绩效评价原则、评价指标体系（附表说明）、评价方法、评价标准等。</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绩效评价原则包括：</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1.科学规范原则。绩效评价应当严格执行规定的程序，按照科学可行的要求，采用定量与定性分析相结合的方法。</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2.公正公开原则。绩效评价应当符合真实、客观、公正的要求，依法公开并接受监督。</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3.绩效相关原则。绩效评价应针对具体支出及其产出绩效进行，评价结果应当清晰反映支出和产出绩效之间的紧密对应关系。</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绩效评价方法：采用比较法，对绩效目标与实施效果、历史与当期情况、不同部门和地区支出的比较，综合分析绩效目标实现程度。</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绩效评价标准：预算执行率10%、产出指标40%、成本指标20%、效益指标20%、服务对象满意度指标10%。</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46" w:firstLineChars="200"/>
        <w:textAlignment w:val="auto"/>
        <w:rPr>
          <w:rStyle w:val="17"/>
          <w:rFonts w:hint="eastAsia" w:ascii="楷体" w:hAnsi="楷体" w:eastAsia="楷体"/>
          <w:spacing w:val="-4"/>
          <w:sz w:val="28"/>
          <w:szCs w:val="28"/>
        </w:rPr>
      </w:pPr>
      <w:r>
        <w:rPr>
          <w:rStyle w:val="17"/>
          <w:rFonts w:hint="eastAsia" w:ascii="楷体" w:hAnsi="楷体" w:eastAsia="楷体"/>
          <w:spacing w:val="-4"/>
          <w:sz w:val="28"/>
          <w:szCs w:val="28"/>
        </w:rPr>
        <w:t>绩效评价工作过程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本单位准备相关资料，根据指标体系内容和报告范本，撰写政策、项目绩效自评报告报送主管业务部门。</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544" w:firstLineChars="200"/>
        <w:textAlignment w:val="auto"/>
        <w:rPr>
          <w:rStyle w:val="17"/>
          <w:rFonts w:hint="eastAsia" w:ascii="黑体" w:hAnsi="黑体" w:eastAsia="黑体" w:cs="黑体"/>
          <w:b w:val="0"/>
          <w:bCs w:val="0"/>
          <w:spacing w:val="-4"/>
          <w:sz w:val="28"/>
          <w:szCs w:val="28"/>
        </w:rPr>
      </w:pPr>
      <w:r>
        <w:rPr>
          <w:rStyle w:val="17"/>
          <w:rFonts w:hint="eastAsia" w:ascii="黑体" w:hAnsi="黑体" w:eastAsia="黑体" w:cs="黑体"/>
          <w:b w:val="0"/>
          <w:bCs w:val="0"/>
          <w:spacing w:val="-4"/>
          <w:sz w:val="28"/>
          <w:szCs w:val="28"/>
        </w:rPr>
        <w:t>综合评价情况及评价结论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项目资金执行情况良好，无违返财务管理、财经纪律情况发生；会计核算真实完整，项目资金支出和原定用途与预算批复用途相符，项目支出符合国家财经法律、法规和财务管理制度规定；资金支付程序规范，资产管理制度建全，同时定期对资金的使用情况进行核查；中心财务管理制度、内控制度不断完善，资金使用效率不断提高。</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leftChars="0" w:firstLine="544" w:firstLineChars="200"/>
        <w:textAlignment w:val="auto"/>
        <w:rPr>
          <w:rStyle w:val="17"/>
          <w:rFonts w:hint="eastAsia" w:ascii="黑体" w:hAnsi="黑体" w:eastAsia="黑体" w:cs="黑体"/>
          <w:b w:val="0"/>
          <w:bCs w:val="0"/>
          <w:spacing w:val="-4"/>
          <w:sz w:val="28"/>
          <w:szCs w:val="28"/>
        </w:rPr>
      </w:pPr>
      <w:r>
        <w:rPr>
          <w:rStyle w:val="17"/>
          <w:rFonts w:hint="eastAsia" w:ascii="黑体" w:hAnsi="黑体" w:eastAsia="黑体" w:cs="黑体"/>
          <w:b w:val="0"/>
          <w:bCs w:val="0"/>
          <w:spacing w:val="-4"/>
          <w:sz w:val="28"/>
          <w:szCs w:val="28"/>
        </w:rPr>
        <w:t>绩效评价指标分析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我中心严格按照相关规定制定编制绩效目标，根据项目建设内容和建设规模方面设定了绩效指标：第一，数量指标包括购置病床数、购买医疗设备数、购买适老家具批次、购买食堂设备批次、维修项目数；第二，质量指标包括竣工验收合格率、购置设备质量合格率、政府采购率；第三，时效指标包括项目按期完成率；第四，成本指标包括民康养老项目维修及改造成本、医疗设备购置成本、购买家具及食堂设备成本。第五，社会效益指标包括提升社会服务能力；第六，经济效益指标包括设备利用率；第七，服务对象满意度指标包括服务对象满意度。具体预期指标值是按照相关养老机构规范及标准要求设定，项目通过适老化外环境改造和适老设施设备购置，达到提高项目机构硬件设施条件，提升养老服务水平，保障老年人养老质量的目标。</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leftChars="0" w:firstLine="544" w:firstLineChars="200"/>
        <w:textAlignment w:val="auto"/>
        <w:rPr>
          <w:rStyle w:val="17"/>
          <w:rFonts w:ascii="黑体" w:hAnsi="黑体" w:eastAsia="黑体"/>
          <w:b w:val="0"/>
          <w:spacing w:val="-4"/>
          <w:sz w:val="28"/>
          <w:szCs w:val="28"/>
        </w:rPr>
      </w:pPr>
      <w:r>
        <w:rPr>
          <w:rStyle w:val="17"/>
          <w:rFonts w:ascii="黑体" w:hAnsi="黑体" w:eastAsia="黑体"/>
          <w:b w:val="0"/>
          <w:spacing w:val="-4"/>
          <w:sz w:val="28"/>
          <w:szCs w:val="28"/>
        </w:rPr>
        <w:t>预算执行进度与绩效指标偏差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民康养老项目附属设施设备配套建设项目属于“自治区民康养老项目”的附属项目，该项目是2021年申请，用于2022年的自治区本级彩票公益金，2022年已完成“自治区民康养老项目”（3450万元）的立项工作。截至目前，民康养老项目附属设备配套项目还在发改委立项批复阶段中。该项目预算执行进度缓慢，即将积极与相关部门对接沟通，立项完成后加快推进项目实施。</w:t>
      </w:r>
    </w:p>
    <w:p>
      <w:pPr>
        <w:keepNext w:val="0"/>
        <w:keepLines w:val="0"/>
        <w:pageBreakBefore w:val="0"/>
        <w:widowControl w:val="0"/>
        <w:kinsoku/>
        <w:wordWrap/>
        <w:overflowPunct/>
        <w:topLinePunct w:val="0"/>
        <w:autoSpaceDE/>
        <w:autoSpaceDN/>
        <w:bidi w:val="0"/>
        <w:adjustRightInd/>
        <w:snapToGrid/>
        <w:spacing w:line="560" w:lineRule="exact"/>
        <w:ind w:firstLine="544" w:firstLineChars="200"/>
        <w:textAlignment w:val="auto"/>
        <w:rPr>
          <w:rStyle w:val="17"/>
          <w:rFonts w:ascii="黑体" w:hAnsi="黑体" w:eastAsia="黑体"/>
          <w:spacing w:val="-4"/>
          <w:sz w:val="28"/>
          <w:szCs w:val="28"/>
        </w:rPr>
      </w:pPr>
      <w:r>
        <w:rPr>
          <w:rStyle w:val="17"/>
          <w:rFonts w:hint="eastAsia" w:ascii="黑体" w:hAnsi="黑体" w:eastAsia="黑体"/>
          <w:b w:val="0"/>
          <w:spacing w:val="-4"/>
          <w:sz w:val="28"/>
          <w:szCs w:val="28"/>
        </w:rPr>
        <w:t>六、</w:t>
      </w:r>
      <w:r>
        <w:rPr>
          <w:rStyle w:val="17"/>
          <w:rFonts w:ascii="黑体" w:hAnsi="黑体" w:eastAsia="黑体"/>
          <w:b w:val="0"/>
          <w:spacing w:val="-4"/>
          <w:sz w:val="28"/>
          <w:szCs w:val="28"/>
        </w:rPr>
        <w:t>主要经验及做法、存在的问题及原因分析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546" w:firstLineChars="200"/>
        <w:textAlignment w:val="auto"/>
        <w:rPr>
          <w:rStyle w:val="17"/>
          <w:rFonts w:hint="eastAsia" w:ascii="楷体" w:hAnsi="楷体" w:eastAsia="楷体"/>
          <w:spacing w:val="-4"/>
          <w:sz w:val="28"/>
          <w:szCs w:val="28"/>
        </w:rPr>
      </w:pPr>
      <w:r>
        <w:rPr>
          <w:rStyle w:val="17"/>
          <w:rFonts w:hint="eastAsia" w:ascii="楷体" w:hAnsi="楷体" w:eastAsia="楷体"/>
          <w:spacing w:val="-4"/>
          <w:sz w:val="28"/>
          <w:szCs w:val="28"/>
        </w:rPr>
        <w:t>（一）主要经验及做法</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预算绩效管理取得的成效：一是通过加强预算绩效管理，由重资金争取，重过程管理，向重支出责任，重产出和结果转变；二是提高财政资金的使用效益，将年度资金使用计划与单位的发展相结合，杜绝财政资金支出的随意性和盲目性，切实发挥资金效益。</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firstLine="546" w:firstLineChars="200"/>
        <w:textAlignment w:val="auto"/>
        <w:rPr>
          <w:rStyle w:val="17"/>
          <w:rFonts w:hint="eastAsia" w:ascii="楷体" w:hAnsi="楷体" w:eastAsia="楷体"/>
          <w:spacing w:val="-4"/>
          <w:sz w:val="28"/>
          <w:szCs w:val="28"/>
        </w:rPr>
      </w:pPr>
      <w:r>
        <w:rPr>
          <w:rStyle w:val="17"/>
          <w:rFonts w:hint="eastAsia" w:ascii="楷体" w:hAnsi="楷体" w:eastAsia="楷体"/>
          <w:spacing w:val="-4"/>
          <w:sz w:val="28"/>
          <w:szCs w:val="28"/>
        </w:rPr>
        <w:t>存在问题</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预算执行进度缓慢，受疫情影响及硬件设施所限，预算执行进度未达到绩效目标。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Style w:val="17"/>
          <w:rFonts w:ascii="黑体" w:hAnsi="黑体" w:eastAsia="黑体"/>
          <w:b w:val="0"/>
          <w:spacing w:val="-4"/>
          <w:sz w:val="28"/>
          <w:szCs w:val="28"/>
        </w:rPr>
      </w:pPr>
      <w:r>
        <w:rPr>
          <w:rStyle w:val="17"/>
          <w:rFonts w:hint="eastAsia" w:ascii="黑体" w:hAnsi="黑体" w:eastAsia="黑体"/>
          <w:b w:val="0"/>
          <w:spacing w:val="-4"/>
          <w:sz w:val="28"/>
          <w:szCs w:val="28"/>
          <w:lang w:eastAsia="zh-CN"/>
        </w:rPr>
        <w:t>七、</w:t>
      </w:r>
      <w:r>
        <w:rPr>
          <w:rStyle w:val="17"/>
          <w:rFonts w:ascii="黑体" w:hAnsi="黑体" w:eastAsia="黑体"/>
          <w:b w:val="0"/>
          <w:spacing w:val="-4"/>
          <w:sz w:val="28"/>
          <w:szCs w:val="28"/>
        </w:rPr>
        <w:t>有关建议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下一步改进措施：加强预算执行管理，及时制定资金使用计划，加快项目实施进度，加大绩效监控力度，切实提高资金使用效益。</w:t>
      </w:r>
    </w:p>
    <w:p>
      <w:pPr>
        <w:keepNext w:val="0"/>
        <w:keepLines w:val="0"/>
        <w:pageBreakBefore w:val="0"/>
        <w:widowControl w:val="0"/>
        <w:kinsoku/>
        <w:wordWrap/>
        <w:overflowPunct/>
        <w:topLinePunct w:val="0"/>
        <w:autoSpaceDE/>
        <w:autoSpaceDN/>
        <w:bidi w:val="0"/>
        <w:adjustRightInd/>
        <w:snapToGrid/>
        <w:spacing w:line="560" w:lineRule="exact"/>
        <w:ind w:firstLine="544" w:firstLineChars="200"/>
        <w:textAlignment w:val="auto"/>
        <w:rPr>
          <w:rStyle w:val="17"/>
          <w:rFonts w:ascii="黑体" w:hAnsi="黑体" w:eastAsia="黑体"/>
          <w:b w:val="0"/>
          <w:spacing w:val="-4"/>
          <w:sz w:val="28"/>
          <w:szCs w:val="28"/>
        </w:rPr>
      </w:pPr>
      <w:r>
        <w:rPr>
          <w:rStyle w:val="17"/>
          <w:rFonts w:hint="eastAsia" w:ascii="黑体" w:hAnsi="黑体" w:eastAsia="黑体"/>
          <w:b w:val="0"/>
          <w:spacing w:val="-4"/>
          <w:sz w:val="28"/>
          <w:szCs w:val="28"/>
        </w:rPr>
        <w:t>八、其他需要说明的问题</w:t>
      </w:r>
    </w:p>
    <w:p>
      <w:pPr>
        <w:keepNext w:val="0"/>
        <w:keepLines w:val="0"/>
        <w:pageBreakBefore w:val="0"/>
        <w:widowControl w:val="0"/>
        <w:kinsoku/>
        <w:wordWrap/>
        <w:overflowPunct/>
        <w:topLinePunct w:val="0"/>
        <w:autoSpaceDE/>
        <w:autoSpaceDN/>
        <w:bidi w:val="0"/>
        <w:adjustRightInd/>
        <w:snapToGrid/>
        <w:spacing w:line="540" w:lineRule="exact"/>
        <w:ind w:firstLine="544" w:firstLineChars="200"/>
        <w:textAlignment w:val="auto"/>
        <w:rPr>
          <w:rStyle w:val="17"/>
          <w:rFonts w:ascii="仿宋" w:hAnsi="仿宋" w:eastAsia="仿宋"/>
          <w:b w:val="0"/>
          <w:spacing w:val="-4"/>
          <w:sz w:val="28"/>
          <w:szCs w:val="28"/>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仿宋">
    <w:panose1 w:val="02010609060101010101"/>
    <w:charset w:val="86"/>
    <w:family w:val="swiss"/>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swiss"/>
    <w:pitch w:val="default"/>
    <w:sig w:usb0="00000001" w:usb1="080E0000" w:usb2="00000000" w:usb3="00000000" w:csb0="00040000" w:csb1="00000000"/>
  </w:font>
  <w:font w:name="楷体">
    <w:panose1 w:val="02010609060101010101"/>
    <w:charset w:val="86"/>
    <w:family w:val="swiss"/>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10002FF" w:usb1="4000ACFF" w:usb2="00000009"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10002FF" w:usb1="4000ACFF" w:usb2="00000009"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仿宋">
    <w:panose1 w:val="02010609060101010101"/>
    <w:charset w:val="86"/>
    <w:family w:val="roman"/>
    <w:pitch w:val="default"/>
    <w:sig w:usb0="800002BF" w:usb1="38CF7CFA" w:usb2="00000016" w:usb3="00000000" w:csb0="00040001" w:csb1="00000000"/>
  </w:font>
  <w:font w:name="楷体">
    <w:panose1 w:val="02010609060101010101"/>
    <w:charset w:val="86"/>
    <w:family w:val="roman"/>
    <w:pitch w:val="default"/>
    <w:sig w:usb0="800002BF" w:usb1="38CF7CFA" w:usb2="00000016" w:usb3="00000000" w:csb0="00040001" w:csb1="00000000"/>
  </w:font>
  <w:font w:name="方正楷体_GBK">
    <w:altName w:val="微软雅黑"/>
    <w:panose1 w:val="02000000000000000000"/>
    <w:charset w:val="7A"/>
    <w:family w:val="auto"/>
    <w:pitch w:val="default"/>
    <w:sig w:usb0="00000000" w:usb1="00000000" w:usb2="00000000" w:usb3="00000000" w:csb0="00040000" w:csb1="00000000"/>
  </w:font>
  <w:font w:name="方正仿宋_GBK">
    <w:altName w:val="微软雅黑"/>
    <w:panose1 w:val="02000000000000000000"/>
    <w:charset w:val="86"/>
    <w:family w:val="auto"/>
    <w:pitch w:val="default"/>
    <w:sig w:usb0="00000000" w:usb1="00000000" w:usb2="00000000" w:usb3="00000000" w:csb0="00040000" w:csb1="00000000"/>
  </w:font>
  <w:font w:name="DejaVu Sans">
    <w:altName w:val="Segoe Print"/>
    <w:panose1 w:val="020B0603030804020204"/>
    <w:charset w:val="00"/>
    <w:family w:val="auto"/>
    <w:pitch w:val="default"/>
    <w:sig w:usb0="00000000" w:usb1="00000000" w:usb2="0A246029" w:usb3="0400200C" w:csb0="600001FF" w:csb1="DFFF0000"/>
  </w:font>
  <w:font w:name="Impact">
    <w:panose1 w:val="020B0806030902050204"/>
    <w:charset w:val="00"/>
    <w:family w:val="auto"/>
    <w:pitch w:val="default"/>
    <w:sig w:usb0="00000287" w:usb1="00000000" w:usb2="00000000" w:usb3="00000000" w:csb0="2000009F" w:csb1="DFD70000"/>
  </w:font>
  <w:font w:name="方正宋体S-超大字符集">
    <w:altName w:val="宋体"/>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3237111509">
    <w:nsid w:val="C0F266D5"/>
    <w:multiLevelType w:val="singleLevel"/>
    <w:tmpl w:val="C0F266D5"/>
    <w:lvl w:ilvl="0" w:tentative="1">
      <w:start w:val="3"/>
      <w:numFmt w:val="chineseCounting"/>
      <w:suff w:val="nothing"/>
      <w:lvlText w:val="%1、"/>
      <w:lvlJc w:val="left"/>
      <w:rPr>
        <w:rFonts w:hint="eastAsia"/>
      </w:rPr>
    </w:lvl>
  </w:abstractNum>
  <w:abstractNum w:abstractNumId="1886140840">
    <w:nsid w:val="706C39A8"/>
    <w:multiLevelType w:val="singleLevel"/>
    <w:tmpl w:val="706C39A8"/>
    <w:lvl w:ilvl="0" w:tentative="1">
      <w:start w:val="3"/>
      <w:numFmt w:val="chineseCounting"/>
      <w:suff w:val="nothing"/>
      <w:lvlText w:val="（%1）"/>
      <w:lvlJc w:val="left"/>
      <w:rPr>
        <w:rFonts w:hint="eastAsia"/>
      </w:rPr>
    </w:lvl>
  </w:abstractNum>
  <w:abstractNum w:abstractNumId="1327058889">
    <w:nsid w:val="4F194FC9"/>
    <w:multiLevelType w:val="singleLevel"/>
    <w:tmpl w:val="4F194FC9"/>
    <w:lvl w:ilvl="0" w:tentative="1">
      <w:start w:val="2"/>
      <w:numFmt w:val="decimal"/>
      <w:suff w:val="nothing"/>
      <w:lvlText w:val="（%1）"/>
      <w:lvlJc w:val="left"/>
    </w:lvl>
  </w:abstractNum>
  <w:abstractNum w:abstractNumId="1156711055">
    <w:nsid w:val="44F2028F"/>
    <w:multiLevelType w:val="singleLevel"/>
    <w:tmpl w:val="44F2028F"/>
    <w:lvl w:ilvl="0" w:tentative="1">
      <w:start w:val="2"/>
      <w:numFmt w:val="chineseCounting"/>
      <w:suff w:val="nothing"/>
      <w:lvlText w:val="（%1）"/>
      <w:lvlJc w:val="left"/>
      <w:rPr>
        <w:rFonts w:hint="eastAsia"/>
      </w:rPr>
    </w:lvl>
  </w:abstractNum>
  <w:num w:numId="1">
    <w:abstractNumId w:val="1327058889"/>
  </w:num>
  <w:num w:numId="2">
    <w:abstractNumId w:val="1886140840"/>
  </w:num>
  <w:num w:numId="3">
    <w:abstractNumId w:val="3237111509"/>
  </w:num>
  <w:num w:numId="4">
    <w:abstractNumId w:val="115671105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ZkMDAyOGU3YjcxMWQ2NTYzM2JjODQ3ZTVhNGRlMzUifQ=="/>
  </w:docVars>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24D106C2"/>
    <w:rsid w:val="25821C93"/>
    <w:rsid w:val="2BCE4D39"/>
    <w:rsid w:val="2F32627C"/>
    <w:rsid w:val="31CF5760"/>
    <w:rsid w:val="3DE56C57"/>
    <w:rsid w:val="3FEB029F"/>
    <w:rsid w:val="3FF64539"/>
    <w:rsid w:val="46773213"/>
    <w:rsid w:val="49BE1B48"/>
    <w:rsid w:val="4AFE30DC"/>
    <w:rsid w:val="4C8107A0"/>
    <w:rsid w:val="4D2606A1"/>
    <w:rsid w:val="4DBC2D53"/>
    <w:rsid w:val="4ED303B1"/>
    <w:rsid w:val="5463310B"/>
    <w:rsid w:val="55C01E0A"/>
    <w:rsid w:val="61073898"/>
    <w:rsid w:val="67DF64B6"/>
    <w:rsid w:val="72AD315E"/>
    <w:rsid w:val="74EA0BC7"/>
    <w:rsid w:val="78D4544A"/>
    <w:rsid w:val="7DB60CF7"/>
    <w:rsid w:val="B3F7965A"/>
    <w:rsid w:val="BDB9985A"/>
    <w:rsid w:val="E3AF4A41"/>
    <w:rsid w:val="FFDBA90E"/>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unhideWhenUsed/>
    <w:qFormat/>
    <w:uiPriority w:val="1"/>
  </w:style>
  <w:style w:type="table" w:default="1" w:styleId="19">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customStyle="1"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customStyle="1"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2546</Words>
  <Characters>2622</Characters>
  <Lines>5</Lines>
  <Paragraphs>1</Paragraphs>
  <TotalTime>0</TotalTime>
  <ScaleCrop>false</ScaleCrop>
  <LinksUpToDate>false</LinksUpToDate>
  <CharactersWithSpaces>2633</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2018-08-16T10:06:00Z</dcterms:created>
  <dc:creator>赵 恺（预算处）</dc:creator>
  <cp:lastModifiedBy>1205</cp:lastModifiedBy>
  <cp:lastPrinted>2023-01-12T02:58:00Z</cp:lastPrinted>
  <dcterms:modified xsi:type="dcterms:W3CDTF">2024-08-23T05:08:21Z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y fmtid="{D5CDD505-2E9C-101B-9397-08002B2CF9AE}" pid="3" name="ICV">
    <vt:lpwstr>6AB1C310E85F4CAFA7260DFE2907A820</vt:lpwstr>
  </property>
</Properties>
</file>