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新疆维吾尔自治区民政康复中心2022年度部门决算</w:t>
      </w:r>
      <w:bookmarkStart w:id="50" w:name="_GoBack"/>
      <w:bookmarkEnd w:id="50"/>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开展医养康养结合的养老服务工作；承担民政保障性困难群体医疗服务、救助项目；指导保障性养老机构和社会组织规范运行，开展专业化养老服务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新疆维吾尔自治区民政康复中心</w:t>
      </w:r>
      <w:r>
        <w:rPr>
          <w:rFonts w:ascii="仿宋_GB2312" w:eastAsia="仿宋_GB2312"/>
          <w:sz w:val="32"/>
          <w:szCs w:val="32"/>
        </w:rPr>
        <w:t>2022</w:t>
      </w:r>
      <w:r>
        <w:rPr>
          <w:rFonts w:hint="eastAsia" w:ascii="仿宋_GB2312" w:eastAsia="仿宋_GB2312"/>
          <w:sz w:val="32"/>
          <w:szCs w:val="32"/>
        </w:rPr>
        <w:t>年度，实有人数</w:t>
      </w:r>
      <w:r>
        <w:rPr>
          <w:rFonts w:ascii="仿宋_GB2312" w:eastAsia="仿宋_GB2312"/>
          <w:sz w:val="32"/>
          <w:szCs w:val="32"/>
        </w:rPr>
        <w:t>154</w:t>
      </w:r>
      <w:r>
        <w:rPr>
          <w:rFonts w:hint="eastAsia" w:ascii="仿宋_GB2312" w:eastAsia="仿宋_GB2312"/>
          <w:sz w:val="32"/>
          <w:szCs w:val="32"/>
        </w:rPr>
        <w:t>人，其中：在职人员</w:t>
      </w:r>
      <w:r>
        <w:rPr>
          <w:rFonts w:ascii="仿宋_GB2312" w:eastAsia="仿宋_GB2312"/>
          <w:sz w:val="32"/>
          <w:szCs w:val="32"/>
        </w:rPr>
        <w:t>68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86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从部门决算单位构成看，新疆维吾尔自治区民政康复中心部门决算包括：新疆维吾尔自治区民政康复中心决算。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8</w:t>
      </w:r>
      <w:r>
        <w:rPr>
          <w:rFonts w:hint="eastAsia" w:ascii="仿宋_GB2312" w:hAnsi="黑体" w:eastAsia="仿宋_GB2312" w:cs="宋体"/>
          <w:bCs/>
          <w:kern w:val="0"/>
          <w:sz w:val="32"/>
          <w:szCs w:val="32"/>
        </w:rPr>
        <w:t>个处室，分别是：质量建设部、职业能力部、职业能力部、智慧信息部、医养康复部、党政人事办、财务部、总务部</w:t>
      </w:r>
      <w:r>
        <w:rPr>
          <w:rFonts w:hint="eastAsia" w:ascii="仿宋_GB2312" w:hAnsi="宋体" w:eastAsia="仿宋_GB2312" w:cs="宋体"/>
          <w:kern w:val="0"/>
          <w:sz w:val="32"/>
          <w:szCs w:val="32"/>
        </w:rPr>
        <w:t>。</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br w:type="page"/>
      </w: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年度收入总计3,684.78万元，其中：本年收入合计</w:t>
      </w:r>
      <w:r>
        <w:rPr>
          <w:rFonts w:ascii="仿宋_GB2312" w:eastAsia="仿宋_GB2312"/>
          <w:sz w:val="32"/>
          <w:szCs w:val="32"/>
        </w:rPr>
        <w:t>2,989.61</w:t>
      </w:r>
      <w:r>
        <w:rPr>
          <w:rFonts w:hint="eastAsia" w:ascii="仿宋_GB2312" w:eastAsia="仿宋_GB2312"/>
          <w:sz w:val="32"/>
          <w:szCs w:val="32"/>
        </w:rPr>
        <w:t>万元，使用非财政拨款结余0.00万元，年初结转和结余695.17万元。收入总计与上年相比，增加200.85万元，</w:t>
      </w:r>
      <w:r>
        <w:rPr>
          <w:rFonts w:ascii="仿宋_GB2312" w:eastAsia="仿宋_GB2312"/>
          <w:sz w:val="32"/>
          <w:szCs w:val="32"/>
        </w:rPr>
        <w:t>增长5.77</w:t>
      </w:r>
      <w:r>
        <w:rPr>
          <w:rFonts w:hint="eastAsia" w:ascii="仿宋_GB2312" w:eastAsia="仿宋_GB2312"/>
          <w:sz w:val="32"/>
          <w:szCs w:val="32"/>
        </w:rPr>
        <w:t>%，主要原因是：单位新增民康养老项目，项目资金增加。</w:t>
      </w:r>
    </w:p>
    <w:p>
      <w:pPr>
        <w:ind w:firstLine="640" w:firstLineChars="200"/>
        <w:rPr>
          <w:rFonts w:ascii="仿宋_GB2312" w:eastAsia="仿宋_GB2312"/>
          <w:sz w:val="32"/>
          <w:szCs w:val="32"/>
        </w:rPr>
      </w:pPr>
      <w:r>
        <w:rPr>
          <w:rFonts w:hint="eastAsia" w:ascii="仿宋_GB2312" w:eastAsia="仿宋_GB2312"/>
          <w:sz w:val="32"/>
          <w:szCs w:val="32"/>
        </w:rPr>
        <w:t>本年支出总计3,684.78万元，其中：本年支出合计</w:t>
      </w:r>
      <w:r>
        <w:rPr>
          <w:rFonts w:ascii="仿宋_GB2312" w:eastAsia="仿宋_GB2312"/>
          <w:sz w:val="32"/>
          <w:szCs w:val="32"/>
        </w:rPr>
        <w:t>3,026.38</w:t>
      </w:r>
      <w:r>
        <w:rPr>
          <w:rFonts w:hint="eastAsia" w:ascii="仿宋_GB2312" w:eastAsia="仿宋_GB2312"/>
          <w:sz w:val="32"/>
          <w:szCs w:val="32"/>
        </w:rPr>
        <w:t>万元，结余分配0.06万元，年末结转和结余658.33万元。支出总计与上年相比，</w:t>
      </w:r>
      <w:r>
        <w:rPr>
          <w:rFonts w:ascii="仿宋_GB2312" w:eastAsia="仿宋_GB2312"/>
          <w:sz w:val="32"/>
          <w:szCs w:val="32"/>
        </w:rPr>
        <w:t>增加200.85</w:t>
      </w:r>
      <w:r>
        <w:rPr>
          <w:rFonts w:hint="eastAsia" w:ascii="仿宋_GB2312" w:eastAsia="仿宋_GB2312"/>
          <w:sz w:val="32"/>
          <w:szCs w:val="32"/>
        </w:rPr>
        <w:t>万元，</w:t>
      </w:r>
      <w:r>
        <w:rPr>
          <w:rFonts w:ascii="仿宋_GB2312" w:eastAsia="仿宋_GB2312"/>
          <w:sz w:val="32"/>
          <w:szCs w:val="32"/>
        </w:rPr>
        <w:t>增长5.77</w:t>
      </w:r>
      <w:r>
        <w:rPr>
          <w:rFonts w:hint="eastAsia" w:ascii="仿宋_GB2312" w:eastAsia="仿宋_GB2312"/>
          <w:sz w:val="32"/>
          <w:szCs w:val="32"/>
        </w:rPr>
        <w:t>%，主要原因是：民康养老项目启动，项目资金使用增加。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年度本年收入</w:t>
      </w:r>
      <w:r>
        <w:rPr>
          <w:rFonts w:ascii="仿宋_GB2312" w:eastAsia="仿宋_GB2312"/>
          <w:sz w:val="32"/>
          <w:szCs w:val="32"/>
        </w:rPr>
        <w:t>2,989.61</w:t>
      </w:r>
      <w:r>
        <w:rPr>
          <w:rFonts w:hint="eastAsia" w:ascii="仿宋_GB2312" w:eastAsia="仿宋_GB2312"/>
          <w:sz w:val="32"/>
          <w:szCs w:val="32"/>
        </w:rPr>
        <w:t>万元，其中：财政拨款收入</w:t>
      </w:r>
      <w:r>
        <w:rPr>
          <w:rFonts w:ascii="仿宋_GB2312" w:eastAsia="仿宋_GB2312"/>
          <w:sz w:val="32"/>
          <w:szCs w:val="32"/>
        </w:rPr>
        <w:t>2,988.23</w:t>
      </w:r>
      <w:r>
        <w:rPr>
          <w:rFonts w:hint="eastAsia" w:ascii="仿宋_GB2312" w:eastAsia="仿宋_GB2312"/>
          <w:sz w:val="32"/>
          <w:szCs w:val="32"/>
        </w:rPr>
        <w:t>万元，占99.95%；上级补助收入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1.38</w:t>
      </w:r>
      <w:r>
        <w:rPr>
          <w:rFonts w:hint="eastAsia" w:ascii="仿宋_GB2312" w:eastAsia="仿宋_GB2312"/>
          <w:sz w:val="32"/>
          <w:szCs w:val="32"/>
        </w:rPr>
        <w:t>万元，占0.05%。</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年度本年支出3,026.38万元，其中：基本支出</w:t>
      </w:r>
      <w:r>
        <w:rPr>
          <w:rFonts w:ascii="仿宋_GB2312" w:eastAsia="仿宋_GB2312"/>
          <w:sz w:val="32"/>
          <w:szCs w:val="32"/>
        </w:rPr>
        <w:t>1,546.79</w:t>
      </w:r>
      <w:r>
        <w:rPr>
          <w:rFonts w:hint="eastAsia" w:ascii="仿宋_GB2312" w:eastAsia="仿宋_GB2312"/>
          <w:sz w:val="32"/>
          <w:szCs w:val="32"/>
        </w:rPr>
        <w:t>万元，占51.11%；项目支出</w:t>
      </w:r>
      <w:r>
        <w:rPr>
          <w:rFonts w:ascii="仿宋_GB2312" w:eastAsia="仿宋_GB2312"/>
          <w:sz w:val="32"/>
          <w:szCs w:val="32"/>
        </w:rPr>
        <w:t>1,479.59</w:t>
      </w:r>
      <w:r>
        <w:rPr>
          <w:rFonts w:hint="eastAsia" w:ascii="仿宋_GB2312" w:eastAsia="仿宋_GB2312"/>
          <w:sz w:val="32"/>
          <w:szCs w:val="32"/>
        </w:rPr>
        <w:t>万元，占48.89%；上缴上级支出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收入总计3,683.40万元，其中：年初财政拨款结转和结余695.17万元，财政拨款本年收入2,988.23万元。财政拨款收入总计与上年相比，增加231.85万元，增长6.72%，主要原因是：单位新增民康养老项目，项目资金增加。</w:t>
      </w:r>
    </w:p>
    <w:p>
      <w:pPr>
        <w:ind w:firstLine="640" w:firstLineChars="200"/>
        <w:rPr>
          <w:rFonts w:ascii="仿宋_GB2312" w:eastAsia="仿宋_GB2312"/>
          <w:sz w:val="32"/>
          <w:szCs w:val="32"/>
        </w:rPr>
      </w:pPr>
      <w:r>
        <w:rPr>
          <w:rFonts w:hint="eastAsia" w:ascii="仿宋_GB2312" w:eastAsia="仿宋_GB2312"/>
          <w:sz w:val="32"/>
          <w:szCs w:val="32"/>
        </w:rPr>
        <w:t>财政拨款支出总计3,683.40万元，其中：年末财政拨款结转和结余657.02万元，财政拨款本年支出3,026.38万元。财政拨款支出总计与上年相比，增加231.85万元，增长6.72%，主要原因是：民康养老项目启动，项目资金使用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与年初预算数相比情况：财政拨款收入总计年初预算数</w:t>
      </w:r>
      <w:r>
        <w:rPr>
          <w:rFonts w:ascii="仿宋_GB2312" w:eastAsia="仿宋_GB2312"/>
          <w:sz w:val="32"/>
          <w:szCs w:val="32"/>
        </w:rPr>
        <w:t>2,725.56</w:t>
      </w:r>
      <w:r>
        <w:rPr>
          <w:rFonts w:hint="eastAsia" w:ascii="仿宋_GB2312" w:eastAsia="仿宋_GB2312"/>
          <w:sz w:val="32"/>
          <w:szCs w:val="32"/>
        </w:rPr>
        <w:t>万元，决算数</w:t>
      </w:r>
      <w:r>
        <w:rPr>
          <w:rFonts w:ascii="仿宋_GB2312" w:eastAsia="仿宋_GB2312"/>
          <w:sz w:val="32"/>
          <w:szCs w:val="32"/>
        </w:rPr>
        <w:t>3,683.40</w:t>
      </w:r>
      <w:r>
        <w:rPr>
          <w:rFonts w:hint="eastAsia" w:ascii="仿宋_GB2312" w:eastAsia="仿宋_GB2312"/>
          <w:sz w:val="32"/>
          <w:szCs w:val="32"/>
        </w:rPr>
        <w:t>万元，预决算差异率</w:t>
      </w:r>
      <w:r>
        <w:rPr>
          <w:rFonts w:ascii="仿宋_GB2312" w:eastAsia="仿宋_GB2312"/>
          <w:sz w:val="32"/>
          <w:szCs w:val="32"/>
        </w:rPr>
        <w:t>35.14</w:t>
      </w:r>
      <w:r>
        <w:rPr>
          <w:rFonts w:hint="eastAsia" w:ascii="仿宋_GB2312" w:eastAsia="仿宋_GB2312"/>
          <w:sz w:val="32"/>
          <w:szCs w:val="32"/>
        </w:rPr>
        <w:t>%，主要原因是：本年新增民康养老项目资金、公用经费较上年有所增加。财政拨款支出总计年初预算数</w:t>
      </w:r>
      <w:r>
        <w:rPr>
          <w:rFonts w:ascii="仿宋_GB2312" w:eastAsia="仿宋_GB2312"/>
          <w:sz w:val="32"/>
          <w:szCs w:val="32"/>
        </w:rPr>
        <w:t>2,725.56</w:t>
      </w:r>
      <w:r>
        <w:rPr>
          <w:rFonts w:hint="eastAsia" w:ascii="仿宋_GB2312" w:eastAsia="仿宋_GB2312"/>
          <w:sz w:val="32"/>
          <w:szCs w:val="32"/>
        </w:rPr>
        <w:t>万元，决算数</w:t>
      </w:r>
      <w:r>
        <w:rPr>
          <w:rFonts w:ascii="仿宋_GB2312" w:eastAsia="仿宋_GB2312"/>
          <w:sz w:val="32"/>
          <w:szCs w:val="32"/>
        </w:rPr>
        <w:t>3,683.40</w:t>
      </w:r>
      <w:r>
        <w:rPr>
          <w:rFonts w:hint="eastAsia" w:ascii="仿宋_GB2312" w:eastAsia="仿宋_GB2312"/>
          <w:sz w:val="32"/>
          <w:szCs w:val="32"/>
        </w:rPr>
        <w:t>万元，预决算差异率35.14%，主要原因是：上年结转项目资金继续使用。</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年度一般公共预算财政拨款支出2,931.76万元，占本年支出合计的</w:t>
      </w:r>
      <w:r>
        <w:rPr>
          <w:rFonts w:ascii="仿宋_GB2312" w:eastAsia="仿宋_GB2312"/>
          <w:sz w:val="32"/>
          <w:szCs w:val="32"/>
        </w:rPr>
        <w:t>96.87</w:t>
      </w:r>
      <w:r>
        <w:rPr>
          <w:rFonts w:hint="eastAsia" w:ascii="仿宋_GB2312" w:eastAsia="仿宋_GB2312"/>
          <w:sz w:val="32"/>
          <w:szCs w:val="32"/>
        </w:rPr>
        <w:t>%，与上年相比，</w:t>
      </w:r>
      <w:r>
        <w:rPr>
          <w:rFonts w:ascii="仿宋_GB2312" w:eastAsia="仿宋_GB2312"/>
          <w:sz w:val="32"/>
          <w:szCs w:val="32"/>
        </w:rPr>
        <w:t>增加584.60</w:t>
      </w:r>
      <w:r>
        <w:rPr>
          <w:rFonts w:hint="eastAsia" w:ascii="仿宋_GB2312" w:eastAsia="仿宋_GB2312"/>
          <w:sz w:val="32"/>
          <w:szCs w:val="32"/>
        </w:rPr>
        <w:t>万元，</w:t>
      </w:r>
      <w:r>
        <w:rPr>
          <w:rFonts w:ascii="仿宋_GB2312" w:eastAsia="仿宋_GB2312"/>
          <w:sz w:val="32"/>
          <w:szCs w:val="32"/>
        </w:rPr>
        <w:t>增长24.91</w:t>
      </w:r>
      <w:r>
        <w:rPr>
          <w:rFonts w:hint="eastAsia" w:ascii="仿宋_GB2312" w:eastAsia="仿宋_GB2312"/>
          <w:sz w:val="32"/>
          <w:szCs w:val="32"/>
        </w:rPr>
        <w:t>%，主要原因是：上年结转项目资金继续使用。</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黑体"/>
          <w:sz w:val="32"/>
          <w:szCs w:val="32"/>
        </w:rPr>
      </w:pPr>
      <w:r>
        <w:rPr>
          <w:rFonts w:hint="eastAsia" w:ascii="仿宋_GB2312" w:eastAsia="仿宋_GB2312"/>
          <w:sz w:val="32"/>
          <w:szCs w:val="32"/>
        </w:rPr>
        <w:t>1.社会保障和就业支出(类)2,763.52万元,占94.26%。</w:t>
      </w:r>
    </w:p>
    <w:p>
      <w:pPr>
        <w:ind w:firstLine="640" w:firstLineChars="200"/>
        <w:outlineLvl w:val="2"/>
        <w:rPr>
          <w:rFonts w:ascii="黑体" w:hAnsi="黑体" w:eastAsia="黑体"/>
          <w:sz w:val="32"/>
          <w:szCs w:val="32"/>
        </w:rPr>
      </w:pPr>
      <w:r>
        <w:rPr>
          <w:rFonts w:hint="eastAsia" w:ascii="仿宋_GB2312" w:eastAsia="仿宋_GB2312"/>
          <w:sz w:val="32"/>
          <w:szCs w:val="32"/>
        </w:rPr>
        <w:t>2.卫生健康支出(类)94.39万元,占3.22%。</w:t>
      </w:r>
    </w:p>
    <w:p>
      <w:pPr>
        <w:ind w:firstLine="640" w:firstLineChars="200"/>
        <w:outlineLvl w:val="2"/>
        <w:rPr>
          <w:rFonts w:ascii="黑体" w:hAnsi="黑体" w:eastAsia="黑体"/>
          <w:sz w:val="32"/>
          <w:szCs w:val="32"/>
        </w:rPr>
      </w:pPr>
      <w:r>
        <w:rPr>
          <w:rFonts w:hint="eastAsia" w:ascii="仿宋_GB2312" w:eastAsia="仿宋_GB2312"/>
          <w:sz w:val="32"/>
          <w:szCs w:val="32"/>
        </w:rPr>
        <w:t>3.住房保障支出(类)73.86万元,占2.52%。</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b/>
          <w:bCs/>
          <w:sz w:val="32"/>
          <w:szCs w:val="32"/>
          <w:highlight w:val="yellow"/>
        </w:rPr>
      </w:pPr>
      <w:r>
        <w:rPr>
          <w:rFonts w:hint="eastAsia" w:ascii="仿宋_GB2312" w:eastAsia="仿宋_GB2312"/>
          <w:sz w:val="32"/>
          <w:szCs w:val="32"/>
        </w:rPr>
        <w:t>1.社会保障和就业支出(类)行政事业单位养老支出(款)事业单位离退休(项):支出决算数为248.03万元，比上年决算增加131.32万元，增长112.52%</w:t>
      </w:r>
      <w:r>
        <w:rPr>
          <w:rFonts w:ascii="仿宋_GB2312" w:eastAsia="仿宋_GB2312"/>
          <w:sz w:val="32"/>
          <w:szCs w:val="32"/>
        </w:rPr>
        <w:t>,</w:t>
      </w:r>
      <w:r>
        <w:rPr>
          <w:rFonts w:hint="eastAsia" w:ascii="仿宋_GB2312" w:eastAsia="仿宋_GB2312"/>
          <w:sz w:val="32"/>
          <w:szCs w:val="32"/>
        </w:rPr>
        <w:t>主要原因是:退休人员数量增多。</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仿宋_GB2312" w:eastAsia="仿宋_GB2312"/>
          <w:sz w:val="32"/>
          <w:szCs w:val="32"/>
        </w:rPr>
        <w:t>2.社会保障和就业支出(类)行政事业单位养老支出(款)机关事业单位基本养老保险缴费支出(项):支出决算数为98.47万元，比上年决算增加13.75万元，增长16.23%</w:t>
      </w:r>
      <w:r>
        <w:rPr>
          <w:rFonts w:ascii="仿宋_GB2312" w:eastAsia="仿宋_GB2312"/>
          <w:sz w:val="32"/>
          <w:szCs w:val="32"/>
        </w:rPr>
        <w:t>,</w:t>
      </w:r>
      <w:r>
        <w:rPr>
          <w:rFonts w:hint="eastAsia" w:ascii="仿宋_GB2312" w:eastAsia="仿宋_GB2312"/>
          <w:sz w:val="32"/>
          <w:szCs w:val="32"/>
        </w:rPr>
        <w:t>主要原因是:退休人员数量增多。</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3.社会保障和就业支出(类)行政事业单位养老支出(款)机关事业单位职业年金缴费支出(项):支出决算数为0.88万元，比上年决算减少26.12万元，下降96.74%</w:t>
      </w:r>
      <w:r>
        <w:rPr>
          <w:rFonts w:ascii="仿宋_GB2312" w:eastAsia="仿宋_GB2312"/>
          <w:sz w:val="32"/>
          <w:szCs w:val="32"/>
        </w:rPr>
        <w:t>,</w:t>
      </w:r>
      <w:r>
        <w:rPr>
          <w:rFonts w:hint="eastAsia" w:ascii="仿宋_GB2312" w:eastAsia="仿宋_GB2312"/>
          <w:sz w:val="32"/>
          <w:szCs w:val="32"/>
        </w:rPr>
        <w:t>主要原因是:上年度职业年金科目2080506</w:t>
      </w:r>
      <w:r>
        <w:rPr>
          <w:rFonts w:hint="eastAsia" w:ascii="仿宋_GB2312" w:eastAsia="仿宋_GB2312"/>
          <w:sz w:val="32"/>
          <w:szCs w:val="32"/>
          <w:lang w:eastAsia="zh-CN"/>
        </w:rPr>
        <w:t>机关事业单位职业年金缴费支出</w:t>
      </w:r>
      <w:r>
        <w:rPr>
          <w:rFonts w:hint="eastAsia" w:ascii="仿宋_GB2312" w:eastAsia="仿宋_GB2312"/>
          <w:sz w:val="32"/>
          <w:szCs w:val="32"/>
        </w:rPr>
        <w:t>,2022年职业年金从2081005</w:t>
      </w:r>
      <w:r>
        <w:rPr>
          <w:rFonts w:hint="eastAsia" w:ascii="仿宋_GB2312" w:eastAsia="仿宋_GB2312"/>
          <w:sz w:val="32"/>
          <w:szCs w:val="32"/>
          <w:lang w:eastAsia="zh-CN"/>
        </w:rPr>
        <w:t>社会福利事业单位</w:t>
      </w:r>
      <w:r>
        <w:rPr>
          <w:rFonts w:hint="eastAsia" w:ascii="仿宋_GB2312" w:eastAsia="仿宋_GB2312"/>
          <w:sz w:val="32"/>
          <w:szCs w:val="32"/>
        </w:rPr>
        <w:t>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4.社会保障和就业支出(类)社会福利(款)社会福利事业单位(项):支出决算数为1,622.13万元，比上年决算减少352.03万元，下降17.83%</w:t>
      </w:r>
      <w:r>
        <w:rPr>
          <w:rFonts w:ascii="仿宋_GB2312" w:eastAsia="仿宋_GB2312"/>
          <w:sz w:val="32"/>
          <w:szCs w:val="32"/>
        </w:rPr>
        <w:t>,</w:t>
      </w:r>
      <w:r>
        <w:rPr>
          <w:rFonts w:hint="eastAsia" w:ascii="仿宋_GB2312" w:eastAsia="仿宋_GB2312"/>
          <w:sz w:val="32"/>
          <w:szCs w:val="32"/>
        </w:rPr>
        <w:t>主要原因是:款项从2081005</w:t>
      </w:r>
      <w:r>
        <w:rPr>
          <w:rFonts w:hint="eastAsia" w:ascii="仿宋_GB2312" w:eastAsia="仿宋_GB2312"/>
          <w:sz w:val="32"/>
          <w:szCs w:val="32"/>
          <w:lang w:eastAsia="zh-CN"/>
        </w:rPr>
        <w:t>社会福利事业单位</w:t>
      </w:r>
      <w:r>
        <w:rPr>
          <w:rFonts w:hint="eastAsia" w:ascii="仿宋_GB2312" w:eastAsia="仿宋_GB2312"/>
          <w:sz w:val="32"/>
          <w:szCs w:val="32"/>
        </w:rPr>
        <w:t>列支，与上年科目有出入。</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5.社会保障和就业支出(类)临时救助(款)临时救助支出(项):支出决算数为794.00万元，比上年决算增加794.00万元，增长100.00%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增加</w:t>
      </w:r>
      <w:r>
        <w:rPr>
          <w:rFonts w:hint="eastAsia" w:ascii="仿宋_GB2312" w:eastAsia="仿宋_GB2312"/>
          <w:sz w:val="32"/>
          <w:szCs w:val="32"/>
        </w:rPr>
        <w:t>困难群众救助项目资金。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6.卫生健康支出(类)行政事业单位医疗(款)事业单位医疗(项):支出决算数为53.10万元，比上年决算增加7.52万元，增长16.50%</w:t>
      </w:r>
      <w:r>
        <w:rPr>
          <w:rFonts w:ascii="仿宋_GB2312" w:eastAsia="仿宋_GB2312"/>
          <w:sz w:val="32"/>
          <w:szCs w:val="32"/>
        </w:rPr>
        <w:t>,</w:t>
      </w:r>
      <w:r>
        <w:rPr>
          <w:rFonts w:hint="eastAsia" w:ascii="仿宋_GB2312" w:eastAsia="仿宋_GB2312"/>
          <w:sz w:val="32"/>
          <w:szCs w:val="32"/>
        </w:rPr>
        <w:t>主要原因是:2022年在编人员数量增加。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7.卫生健康支出(类)行政事业单位医疗(款)公务员医疗补助(项):支出决算数为41.30万元，比上年决算增加5.85万元，增长16.50%</w:t>
      </w:r>
      <w:r>
        <w:rPr>
          <w:rFonts w:ascii="仿宋_GB2312" w:eastAsia="仿宋_GB2312"/>
          <w:sz w:val="32"/>
          <w:szCs w:val="32"/>
        </w:rPr>
        <w:t>,</w:t>
      </w:r>
      <w:r>
        <w:rPr>
          <w:rFonts w:hint="eastAsia" w:ascii="仿宋_GB2312" w:eastAsia="仿宋_GB2312"/>
          <w:sz w:val="32"/>
          <w:szCs w:val="32"/>
        </w:rPr>
        <w:t>主要原因是:2022年在编人员数量增加。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8.住房保障支出(类)住房改革支出(款)住房公积金(项):支出决算数为73.86万元，比上年决算增加10.32万元，增长16.24%</w:t>
      </w:r>
      <w:r>
        <w:rPr>
          <w:rFonts w:ascii="仿宋_GB2312" w:eastAsia="仿宋_GB2312"/>
          <w:sz w:val="32"/>
          <w:szCs w:val="32"/>
        </w:rPr>
        <w:t>,</w:t>
      </w:r>
      <w:r>
        <w:rPr>
          <w:rFonts w:hint="eastAsia" w:ascii="仿宋_GB2312" w:eastAsia="仿宋_GB2312"/>
          <w:sz w:val="32"/>
          <w:szCs w:val="32"/>
        </w:rPr>
        <w:t>主要原因是:公积金基数调整、在编人员数量增加。</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年度一般公共预算财政拨款基本支出</w:t>
      </w:r>
      <w:r>
        <w:rPr>
          <w:rFonts w:ascii="仿宋_GB2312" w:eastAsia="仿宋_GB2312"/>
          <w:sz w:val="32"/>
          <w:szCs w:val="32"/>
        </w:rPr>
        <w:t>1,546.79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1,428.03</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其他工资福利支出、退休费、医疗费补助、奖励金、其他对个人和家庭的补助。</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公用经费118.76万元，包括：办公费、水费、电费、邮电费、取暖费、物业管理费、差旅费、维修（护）费、专用材料费、工会经费、福利费、其他交通费用、其他商品和服务支出、办公设备购置。</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减少6.60</w:t>
      </w:r>
      <w:r>
        <w:rPr>
          <w:rFonts w:hint="eastAsia" w:ascii="仿宋_GB2312" w:eastAsia="仿宋_GB2312"/>
          <w:sz w:val="32"/>
          <w:szCs w:val="32"/>
        </w:rPr>
        <w:t>万元，</w:t>
      </w:r>
      <w:r>
        <w:rPr>
          <w:rFonts w:ascii="仿宋_GB2312" w:eastAsia="仿宋_GB2312"/>
          <w:sz w:val="32"/>
          <w:szCs w:val="32"/>
        </w:rPr>
        <w:t>下降100.00</w:t>
      </w:r>
      <w:r>
        <w:rPr>
          <w:rFonts w:hint="eastAsia" w:ascii="仿宋_GB2312" w:eastAsia="仿宋_GB2312"/>
          <w:sz w:val="32"/>
          <w:szCs w:val="32"/>
        </w:rPr>
        <w:t>%，主要原因是：</w:t>
      </w:r>
      <w:r>
        <w:rPr>
          <w:rFonts w:ascii="仿宋_GB2312" w:eastAsia="仿宋_GB2312"/>
          <w:sz w:val="32"/>
          <w:szCs w:val="32"/>
        </w:rPr>
        <w:t>本年预算未安排三公经费支出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本年预算未安排三公经费支出</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减少6.60</w:t>
      </w:r>
      <w:r>
        <w:rPr>
          <w:rFonts w:hint="eastAsia" w:ascii="仿宋_GB2312" w:eastAsia="仿宋_GB2312"/>
          <w:sz w:val="32"/>
          <w:szCs w:val="32"/>
        </w:rPr>
        <w:t>万元，</w:t>
      </w:r>
      <w:r>
        <w:rPr>
          <w:rFonts w:ascii="仿宋_GB2312" w:eastAsia="仿宋_GB2312"/>
          <w:sz w:val="32"/>
          <w:szCs w:val="32"/>
        </w:rPr>
        <w:t>下降100.00</w:t>
      </w:r>
      <w:r>
        <w:rPr>
          <w:rFonts w:hint="eastAsia" w:ascii="仿宋_GB2312" w:eastAsia="仿宋_GB2312"/>
          <w:sz w:val="32"/>
          <w:szCs w:val="32"/>
        </w:rPr>
        <w:t>%，主要原因是：</w:t>
      </w:r>
      <w:r>
        <w:rPr>
          <w:rFonts w:ascii="仿宋_GB2312" w:eastAsia="仿宋_GB2312"/>
          <w:sz w:val="32"/>
          <w:szCs w:val="32"/>
        </w:rPr>
        <w:t>本年预算未安排三公经费支出</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本年预算未安排三公经费支出</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万元，开支内容包括本年预算未安排三公经费支出。单位全年安排的因公出国（境）团组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万元。公务用车运行维护费开支内容包括本年预算未安排三公经费支出。公务用车购置数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万元，开支内容包括本年预算未安排三公经费支出。单位全年安排的国内公务接待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万元，预决算差异率0.00%，主要原因是：本年预算未安排三公经费支出。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0.00万元，决算数0.00万元，预决算差异率0.00%，主要原因是：本年预算未安排三公经费支出；</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费全年预算数0.00万元，决算数0.00万元，预决算差异率0.00%，主要原因是：本年预算未安排三公经费支出；</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预算数0.00万元，决算数0.00万元，预决算差异率0.00%，主要原因是：本年预算未安排三公经费支出；</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万元，预决算差异率0.00%，主要原因是：本年预算未安排三公经费支出，无公务接待费。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年度政府性基金预算年初结转和结余0.00万元，财政拨款收入</w:t>
      </w:r>
      <w:r>
        <w:rPr>
          <w:rFonts w:ascii="仿宋_GB2312" w:eastAsia="仿宋_GB2312"/>
          <w:sz w:val="32"/>
          <w:szCs w:val="32"/>
        </w:rPr>
        <w:t>340.46</w:t>
      </w:r>
      <w:r>
        <w:rPr>
          <w:rFonts w:hint="eastAsia" w:ascii="仿宋_GB2312" w:eastAsia="仿宋_GB2312"/>
          <w:sz w:val="32"/>
          <w:szCs w:val="32"/>
        </w:rPr>
        <w:t>万元，与上年相比，</w:t>
      </w:r>
      <w:r>
        <w:rPr>
          <w:rFonts w:ascii="仿宋_GB2312" w:eastAsia="仿宋_GB2312"/>
          <w:sz w:val="32"/>
          <w:szCs w:val="32"/>
        </w:rPr>
        <w:t>增加50.12</w:t>
      </w:r>
      <w:r>
        <w:rPr>
          <w:rFonts w:hint="eastAsia" w:ascii="仿宋_GB2312" w:eastAsia="仿宋_GB2312"/>
          <w:sz w:val="32"/>
          <w:szCs w:val="32"/>
        </w:rPr>
        <w:t>万元，</w:t>
      </w:r>
      <w:r>
        <w:rPr>
          <w:rFonts w:ascii="仿宋_GB2312" w:eastAsia="仿宋_GB2312"/>
          <w:sz w:val="32"/>
          <w:szCs w:val="32"/>
        </w:rPr>
        <w:t>增长17.26</w:t>
      </w:r>
      <w:r>
        <w:rPr>
          <w:rFonts w:hint="eastAsia" w:ascii="仿宋_GB2312" w:eastAsia="仿宋_GB2312"/>
          <w:sz w:val="32"/>
          <w:szCs w:val="32"/>
        </w:rPr>
        <w:t>%，主要原因是：</w:t>
      </w:r>
      <w:r>
        <w:rPr>
          <w:rFonts w:ascii="仿宋_GB2312" w:eastAsia="仿宋_GB2312"/>
          <w:sz w:val="32"/>
          <w:szCs w:val="32"/>
        </w:rPr>
        <w:t>项目资金增加</w:t>
      </w:r>
      <w:r>
        <w:rPr>
          <w:rFonts w:hint="eastAsia" w:ascii="仿宋_GB2312" w:eastAsia="仿宋_GB2312"/>
          <w:sz w:val="32"/>
          <w:szCs w:val="32"/>
        </w:rPr>
        <w:t>。政府性基金预算年末结转结余245.84万元，财政拨款支出</w:t>
      </w:r>
      <w:r>
        <w:rPr>
          <w:rFonts w:ascii="仿宋_GB2312" w:eastAsia="仿宋_GB2312"/>
          <w:sz w:val="32"/>
          <w:szCs w:val="32"/>
        </w:rPr>
        <w:t>94.62</w:t>
      </w:r>
      <w:r>
        <w:rPr>
          <w:rFonts w:hint="eastAsia" w:ascii="仿宋_GB2312" w:eastAsia="仿宋_GB2312"/>
          <w:sz w:val="32"/>
          <w:szCs w:val="32"/>
        </w:rPr>
        <w:t>万元，与上年相比，</w:t>
      </w:r>
      <w:r>
        <w:rPr>
          <w:rFonts w:ascii="仿宋_GB2312" w:eastAsia="仿宋_GB2312"/>
          <w:sz w:val="32"/>
          <w:szCs w:val="32"/>
        </w:rPr>
        <w:t>减少314.60</w:t>
      </w:r>
      <w:r>
        <w:rPr>
          <w:rFonts w:hint="eastAsia" w:ascii="仿宋_GB2312" w:eastAsia="仿宋_GB2312"/>
          <w:sz w:val="32"/>
          <w:szCs w:val="32"/>
        </w:rPr>
        <w:t>万元，</w:t>
      </w:r>
      <w:r>
        <w:rPr>
          <w:rFonts w:ascii="仿宋_GB2312" w:eastAsia="仿宋_GB2312"/>
          <w:sz w:val="32"/>
          <w:szCs w:val="32"/>
        </w:rPr>
        <w:t>下降76.88</w:t>
      </w:r>
      <w:r>
        <w:rPr>
          <w:rFonts w:hint="eastAsia" w:ascii="仿宋_GB2312" w:eastAsia="仿宋_GB2312"/>
          <w:sz w:val="32"/>
          <w:szCs w:val="32"/>
        </w:rPr>
        <w:t>%，主要原因是：</w:t>
      </w:r>
      <w:r>
        <w:rPr>
          <w:rFonts w:ascii="仿宋_GB2312" w:eastAsia="仿宋_GB2312"/>
          <w:sz w:val="32"/>
          <w:szCs w:val="32"/>
        </w:rPr>
        <w:t>项目资金未使用完</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政府性基金预算财政拨款支出94.62万元。按功能分类科目项级科目公开，其中：</w:t>
      </w:r>
    </w:p>
    <w:p>
      <w:pPr>
        <w:ind w:firstLine="640" w:firstLineChars="200"/>
        <w:jc w:val="left"/>
        <w:rPr>
          <w:rFonts w:ascii="仿宋_GB2312" w:eastAsia="仿宋_GB2312"/>
          <w:sz w:val="32"/>
          <w:szCs w:val="32"/>
        </w:rPr>
      </w:pPr>
      <w:r>
        <w:rPr>
          <w:rFonts w:hint="eastAsia" w:ascii="仿宋_GB2312" w:eastAsia="仿宋_GB2312"/>
          <w:sz w:val="32"/>
          <w:szCs w:val="32"/>
        </w:rPr>
        <w:t>2296002用于社会福利的彩票公益金支出94.62万元。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2022年度新疆维吾尔自治区民政康复中心（事业单位）公用经费118.76万元，比上年增加31.49万元，增长36.08%，主要原因是：本年办公经费较上年增加。</w:t>
      </w:r>
    </w:p>
    <w:p>
      <w:pPr>
        <w:ind w:firstLine="800" w:firstLineChars="250"/>
        <w:outlineLvl w:val="2"/>
        <w:rPr>
          <w:rFonts w:ascii="黑体" w:hAnsi="黑体" w:eastAsia="黑体"/>
          <w:sz w:val="32"/>
          <w:szCs w:val="32"/>
        </w:rPr>
      </w:pPr>
      <w:bookmarkStart w:id="24" w:name="_Toc227"/>
      <w:bookmarkStart w:id="25" w:name="_Toc26704"/>
      <w:r>
        <w:rPr>
          <w:rFonts w:hint="eastAsia" w:ascii="黑体" w:hAnsi="黑体" w:eastAsia="黑体"/>
          <w:sz w:val="32"/>
          <w:szCs w:val="32"/>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2022年度政府采购支出总额</w:t>
      </w:r>
      <w:r>
        <w:rPr>
          <w:rFonts w:ascii="仿宋_GB2312" w:eastAsia="仿宋_GB2312"/>
          <w:sz w:val="32"/>
          <w:szCs w:val="32"/>
        </w:rPr>
        <w:t>11.41</w:t>
      </w:r>
      <w:r>
        <w:rPr>
          <w:rFonts w:hint="eastAsia" w:ascii="仿宋_GB2312" w:eastAsia="仿宋_GB2312"/>
          <w:sz w:val="32"/>
          <w:szCs w:val="32"/>
        </w:rPr>
        <w:t>万元，其中：政府采购货物支出</w:t>
      </w:r>
      <w:r>
        <w:rPr>
          <w:rFonts w:ascii="仿宋_GB2312" w:eastAsia="仿宋_GB2312"/>
          <w:sz w:val="32"/>
          <w:szCs w:val="32"/>
        </w:rPr>
        <w:t>3.92</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7.49</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11.41</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11.41</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6" w:name="_Toc8391"/>
      <w:bookmarkStart w:id="27" w:name="_Toc4591"/>
      <w:r>
        <w:rPr>
          <w:rFonts w:hint="eastAsia" w:ascii="黑体" w:hAnsi="黑体" w:eastAsia="黑体"/>
          <w:sz w:val="32"/>
          <w:szCs w:val="32"/>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截止2022年12月31日，固定资产原值9,797.42万元，房屋</w:t>
      </w:r>
      <w:r>
        <w:rPr>
          <w:rFonts w:ascii="仿宋_GB2312" w:eastAsia="仿宋_GB2312"/>
          <w:sz w:val="32"/>
          <w:szCs w:val="32"/>
        </w:rPr>
        <w:t>25,579.57</w:t>
      </w:r>
      <w:r>
        <w:rPr>
          <w:rFonts w:hint="eastAsia" w:ascii="仿宋_GB2312" w:eastAsia="仿宋_GB2312"/>
          <w:sz w:val="32"/>
          <w:szCs w:val="32"/>
        </w:rPr>
        <w:t>平方米，价值</w:t>
      </w:r>
      <w:r>
        <w:rPr>
          <w:rFonts w:ascii="仿宋_GB2312" w:eastAsia="仿宋_GB2312"/>
          <w:sz w:val="32"/>
          <w:szCs w:val="32"/>
        </w:rPr>
        <w:t>5,992.97</w:t>
      </w:r>
      <w:r>
        <w:rPr>
          <w:rFonts w:hint="eastAsia" w:ascii="仿宋_GB2312" w:eastAsia="仿宋_GB2312"/>
          <w:sz w:val="32"/>
          <w:szCs w:val="32"/>
        </w:rPr>
        <w:t>万元。车辆</w:t>
      </w:r>
      <w:r>
        <w:rPr>
          <w:rFonts w:ascii="仿宋_GB2312" w:eastAsia="仿宋_GB2312"/>
          <w:sz w:val="32"/>
          <w:szCs w:val="32"/>
        </w:rPr>
        <w:t>4</w:t>
      </w:r>
      <w:r>
        <w:rPr>
          <w:rFonts w:hint="eastAsia" w:ascii="仿宋_GB2312" w:eastAsia="仿宋_GB2312"/>
          <w:sz w:val="32"/>
          <w:szCs w:val="32"/>
        </w:rPr>
        <w:t>辆，价值</w:t>
      </w:r>
      <w:r>
        <w:rPr>
          <w:rFonts w:ascii="仿宋_GB2312" w:eastAsia="仿宋_GB2312"/>
          <w:sz w:val="32"/>
          <w:szCs w:val="32"/>
        </w:rPr>
        <w:t>92.87</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4</w:t>
      </w:r>
      <w:r>
        <w:rPr>
          <w:rFonts w:hint="eastAsia" w:ascii="仿宋_GB2312" w:eastAsia="仿宋_GB2312"/>
          <w:sz w:val="32"/>
          <w:szCs w:val="32"/>
        </w:rPr>
        <w:t>辆，其他用车主要是：</w:t>
      </w:r>
      <w:r>
        <w:rPr>
          <w:rFonts w:hint="eastAsia" w:ascii="仿宋_GB2312" w:eastAsia="仿宋_GB2312"/>
          <w:sz w:val="32"/>
          <w:szCs w:val="32"/>
          <w:lang w:eastAsia="zh-CN"/>
        </w:rPr>
        <w:t>一般业务用车</w:t>
      </w:r>
      <w:r>
        <w:rPr>
          <w:rFonts w:hint="eastAsia" w:ascii="仿宋_GB2312" w:eastAsia="仿宋_GB2312"/>
          <w:sz w:val="32"/>
          <w:szCs w:val="32"/>
        </w:rPr>
        <w:t>；单价100万元（含）以上设备（不含车辆）</w:t>
      </w:r>
      <w:r>
        <w:rPr>
          <w:rFonts w:ascii="仿宋_GB2312" w:eastAsia="仿宋_GB2312"/>
          <w:sz w:val="32"/>
          <w:szCs w:val="32"/>
        </w:rPr>
        <w:t>2</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2</w:t>
      </w:r>
      <w:r>
        <w:rPr>
          <w:rFonts w:hint="eastAsia" w:ascii="仿宋_GB2312" w:eastAsia="仿宋_GB2312"/>
          <w:sz w:val="32"/>
          <w:szCs w:val="32"/>
        </w:rPr>
        <w:t>个，全年预算数2,121.57万元，全年执行数</w:t>
      </w:r>
      <w:r>
        <w:rPr>
          <w:rFonts w:hint="eastAsia" w:ascii="仿宋_GB2312" w:eastAsia="仿宋_GB2312"/>
          <w:sz w:val="32"/>
          <w:szCs w:val="32"/>
          <w:lang w:val="en-US" w:eastAsia="zh-CN"/>
        </w:rPr>
        <w:t>570.37</w:t>
      </w:r>
      <w:r>
        <w:rPr>
          <w:rFonts w:hint="eastAsia" w:ascii="仿宋_GB2312" w:eastAsia="仿宋_GB2312"/>
          <w:sz w:val="32"/>
          <w:szCs w:val="32"/>
        </w:rPr>
        <w:t>万元。预算绩效管理取得的成效：</w:t>
      </w:r>
      <w:r>
        <w:rPr>
          <w:rFonts w:ascii="仿宋_GB2312" w:eastAsia="仿宋_GB2312"/>
          <w:sz w:val="32"/>
          <w:szCs w:val="32"/>
        </w:rPr>
        <w:t>一是通过加强预算绩效管理，由重资金争取，重过程管理，向重支出责任，重产出和结果转变；二是提高财政资金的使用效益，将年度资金使用计划与单位的发展相结合，杜绝财政资金支出的随意性和盲目性，切实发挥资金效益</w:t>
      </w:r>
      <w:r>
        <w:rPr>
          <w:rFonts w:hint="eastAsia" w:ascii="仿宋_GB2312" w:eastAsia="仿宋_GB2312"/>
          <w:sz w:val="32"/>
          <w:szCs w:val="32"/>
        </w:rPr>
        <w:t>。发现的问题及原因：</w:t>
      </w:r>
      <w:r>
        <w:rPr>
          <w:rFonts w:ascii="仿宋_GB2312" w:eastAsia="仿宋_GB2312"/>
          <w:sz w:val="32"/>
          <w:szCs w:val="32"/>
        </w:rPr>
        <w:t>一是预算执行进度缓慢，受疫情影响及硬件设施所限；二是预算执行进度未达到绩效目标</w:t>
      </w:r>
      <w:r>
        <w:rPr>
          <w:rFonts w:hint="eastAsia" w:ascii="仿宋_GB2312" w:eastAsia="仿宋_GB2312"/>
          <w:sz w:val="32"/>
          <w:szCs w:val="32"/>
        </w:rPr>
        <w:t>。下一步改进措施：</w:t>
      </w:r>
      <w:r>
        <w:rPr>
          <w:rFonts w:ascii="仿宋_GB2312" w:eastAsia="仿宋_GB2312"/>
          <w:sz w:val="32"/>
          <w:szCs w:val="32"/>
        </w:rPr>
        <w:t>一是加强预算执行管理，及时制定资金使用计划；二是加快项目实施进度，加大绩效监控力度，切实提高资金使用效益</w:t>
      </w:r>
      <w:r>
        <w:rPr>
          <w:rFonts w:hint="eastAsia" w:ascii="仿宋_GB2312" w:eastAsia="仿宋_GB2312"/>
          <w:sz w:val="32"/>
          <w:szCs w:val="32"/>
        </w:rPr>
        <w:t>。具体项目自评情况见附件。</w:t>
      </w:r>
    </w:p>
    <w:p>
      <w:pPr>
        <w:widowControl/>
        <w:jc w:val="left"/>
        <w:rPr>
          <w:rFonts w:ascii="黑体" w:hAnsi="黑体" w:eastAsia="黑体"/>
          <w:sz w:val="32"/>
          <w:szCs w:val="32"/>
        </w:rPr>
      </w:pPr>
      <w:bookmarkStart w:id="30" w:name="_Toc3250"/>
      <w:bookmarkStart w:id="31" w:name="_Toc24143"/>
      <w:r>
        <w:rPr>
          <w:rFonts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bookmarkStart w:id="32" w:name="_Toc28903"/>
      <w:bookmarkStart w:id="33" w:name="_Toc22784"/>
      <w:r>
        <w:rPr>
          <w:rFonts w:hint="eastAsia" w:ascii="黑体" w:hAnsi="黑体" w:eastAsia="黑体"/>
          <w:sz w:val="32"/>
          <w:szCs w:val="32"/>
        </w:rPr>
        <w:br w:type="page"/>
      </w:r>
      <w:r>
        <w:rPr>
          <w:rFonts w:hint="eastAsia" w:ascii="黑体" w:hAnsi="黑体" w:eastAsia="黑体"/>
          <w:sz w:val="32"/>
          <w:szCs w:val="32"/>
        </w:rPr>
        <w:t>第四部分 部门决算报表（见附表）</w:t>
      </w:r>
      <w:bookmarkEnd w:id="32"/>
      <w:bookmarkEnd w:id="33"/>
    </w:p>
    <w:p>
      <w:pPr>
        <w:ind w:firstLine="640" w:firstLineChars="200"/>
        <w:outlineLvl w:val="1"/>
        <w:rPr>
          <w:rFonts w:ascii="黑体" w:hAnsi="黑体" w:eastAsia="黑体" w:cs="宋体"/>
          <w:bCs/>
          <w:kern w:val="0"/>
          <w:sz w:val="32"/>
          <w:szCs w:val="32"/>
        </w:rPr>
      </w:pPr>
      <w:bookmarkStart w:id="34" w:name="_Toc6062"/>
      <w:bookmarkStart w:id="35" w:name="_Toc2183"/>
      <w:r>
        <w:rPr>
          <w:rFonts w:hint="eastAsia" w:ascii="黑体" w:hAnsi="黑体" w:eastAsia="黑体" w:cs="宋体"/>
          <w:bCs/>
          <w:kern w:val="0"/>
          <w:sz w:val="32"/>
          <w:szCs w:val="32"/>
        </w:rPr>
        <w:t>一、《收入支出决算总表》</w:t>
      </w:r>
      <w:bookmarkEnd w:id="34"/>
      <w:bookmarkEnd w:id="35"/>
    </w:p>
    <w:p>
      <w:pPr>
        <w:ind w:firstLine="640" w:firstLineChars="200"/>
        <w:outlineLvl w:val="1"/>
        <w:rPr>
          <w:rFonts w:ascii="黑体" w:hAnsi="黑体" w:eastAsia="黑体" w:cs="宋体"/>
          <w:bCs/>
          <w:kern w:val="0"/>
          <w:sz w:val="32"/>
          <w:szCs w:val="32"/>
        </w:rPr>
      </w:pPr>
      <w:bookmarkStart w:id="36" w:name="_Toc30364"/>
      <w:bookmarkStart w:id="37" w:name="_Toc24532"/>
      <w:r>
        <w:rPr>
          <w:rFonts w:hint="eastAsia" w:ascii="黑体" w:hAnsi="黑体" w:eastAsia="黑体" w:cs="宋体"/>
          <w:bCs/>
          <w:kern w:val="0"/>
          <w:sz w:val="32"/>
          <w:szCs w:val="32"/>
        </w:rPr>
        <w:t>二、《收入决算表》</w:t>
      </w:r>
      <w:bookmarkEnd w:id="36"/>
      <w:bookmarkEnd w:id="37"/>
    </w:p>
    <w:p>
      <w:pPr>
        <w:ind w:firstLine="640" w:firstLineChars="200"/>
        <w:outlineLvl w:val="1"/>
        <w:rPr>
          <w:rFonts w:ascii="黑体" w:hAnsi="黑体" w:eastAsia="黑体" w:cs="宋体"/>
          <w:bCs/>
          <w:kern w:val="0"/>
          <w:sz w:val="32"/>
          <w:szCs w:val="32"/>
        </w:rPr>
      </w:pPr>
      <w:bookmarkStart w:id="38" w:name="_Toc21304"/>
      <w:bookmarkStart w:id="39" w:name="_Toc32434"/>
      <w:r>
        <w:rPr>
          <w:rFonts w:hint="eastAsia" w:ascii="黑体" w:hAnsi="黑体" w:eastAsia="黑体" w:cs="宋体"/>
          <w:bCs/>
          <w:kern w:val="0"/>
          <w:sz w:val="32"/>
          <w:szCs w:val="32"/>
        </w:rPr>
        <w:t>三、《支出决算表》</w:t>
      </w:r>
      <w:bookmarkEnd w:id="38"/>
      <w:bookmarkEnd w:id="39"/>
    </w:p>
    <w:p>
      <w:pPr>
        <w:ind w:firstLine="640" w:firstLineChars="200"/>
        <w:outlineLvl w:val="1"/>
        <w:rPr>
          <w:rFonts w:ascii="黑体" w:hAnsi="黑体" w:eastAsia="黑体" w:cs="宋体"/>
          <w:bCs/>
          <w:kern w:val="0"/>
          <w:sz w:val="32"/>
          <w:szCs w:val="32"/>
        </w:rPr>
      </w:pPr>
      <w:bookmarkStart w:id="40" w:name="_Toc14238"/>
      <w:bookmarkStart w:id="41" w:name="_Toc28786"/>
      <w:r>
        <w:rPr>
          <w:rFonts w:hint="eastAsia" w:ascii="黑体" w:hAnsi="黑体" w:eastAsia="黑体" w:cs="宋体"/>
          <w:bCs/>
          <w:kern w:val="0"/>
          <w:sz w:val="32"/>
          <w:szCs w:val="32"/>
        </w:rPr>
        <w:t>四、《财政拨款收入支出决算总表》</w:t>
      </w:r>
      <w:bookmarkEnd w:id="40"/>
      <w:bookmarkEnd w:id="41"/>
    </w:p>
    <w:p>
      <w:pPr>
        <w:ind w:firstLine="640" w:firstLineChars="200"/>
        <w:outlineLvl w:val="1"/>
        <w:rPr>
          <w:rFonts w:ascii="黑体" w:hAnsi="黑体" w:eastAsia="黑体" w:cs="宋体"/>
          <w:bCs/>
          <w:kern w:val="0"/>
          <w:sz w:val="32"/>
          <w:szCs w:val="32"/>
        </w:rPr>
      </w:pPr>
      <w:bookmarkStart w:id="42" w:name="_Toc14869"/>
      <w:bookmarkStart w:id="43" w:name="_Toc10347"/>
      <w:r>
        <w:rPr>
          <w:rFonts w:hint="eastAsia" w:ascii="黑体" w:hAnsi="黑体" w:eastAsia="黑体" w:cs="宋体"/>
          <w:bCs/>
          <w:kern w:val="0"/>
          <w:sz w:val="32"/>
          <w:szCs w:val="32"/>
        </w:rPr>
        <w:t>五、《一般公共预算财政拨款支出决算表》</w:t>
      </w:r>
      <w:bookmarkEnd w:id="42"/>
      <w:bookmarkEnd w:id="43"/>
    </w:p>
    <w:p>
      <w:pPr>
        <w:ind w:firstLine="640" w:firstLineChars="200"/>
        <w:outlineLvl w:val="1"/>
        <w:rPr>
          <w:rFonts w:ascii="黑体" w:hAnsi="黑体" w:eastAsia="黑体" w:cs="宋体"/>
          <w:bCs/>
          <w:kern w:val="0"/>
          <w:sz w:val="32"/>
          <w:szCs w:val="32"/>
        </w:rPr>
      </w:pPr>
      <w:bookmarkStart w:id="44" w:name="_Toc8884"/>
      <w:bookmarkStart w:id="45" w:name="_Toc5626"/>
      <w:r>
        <w:rPr>
          <w:rFonts w:hint="eastAsia" w:ascii="黑体" w:hAnsi="黑体" w:eastAsia="黑体" w:cs="宋体"/>
          <w:bCs/>
          <w:kern w:val="0"/>
          <w:sz w:val="32"/>
          <w:szCs w:val="32"/>
        </w:rPr>
        <w:t>六、《一般公共预算财政拨款基本支出决算表》</w:t>
      </w:r>
      <w:bookmarkEnd w:id="44"/>
      <w:bookmarkEnd w:id="45"/>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w:t>
      </w:r>
      <w:bookmarkStart w:id="46" w:name="_Toc29106"/>
      <w:bookmarkStart w:id="47" w:name="_Toc32663"/>
      <w:r>
        <w:rPr>
          <w:rFonts w:hint="eastAsia" w:ascii="黑体" w:hAnsi="黑体" w:eastAsia="黑体" w:cs="宋体"/>
          <w:bCs/>
          <w:kern w:val="0"/>
          <w:sz w:val="32"/>
          <w:szCs w:val="32"/>
        </w:rPr>
        <w:t>《财政拨款“三公”经费支出决算表》</w:t>
      </w:r>
      <w:bookmarkEnd w:id="46"/>
      <w:bookmarkEnd w:id="47"/>
    </w:p>
    <w:p>
      <w:pPr>
        <w:ind w:firstLine="640" w:firstLineChars="200"/>
        <w:outlineLvl w:val="1"/>
        <w:rPr>
          <w:rFonts w:ascii="黑体" w:hAnsi="黑体" w:eastAsia="黑体" w:cs="宋体"/>
          <w:bCs/>
          <w:kern w:val="0"/>
          <w:sz w:val="32"/>
          <w:szCs w:val="32"/>
        </w:rPr>
      </w:pPr>
      <w:bookmarkStart w:id="48" w:name="_Toc7643"/>
      <w:bookmarkStart w:id="49" w:name="_Toc5453"/>
      <w:r>
        <w:rPr>
          <w:rFonts w:hint="eastAsia" w:ascii="黑体" w:hAnsi="黑体" w:eastAsia="黑体" w:cs="宋体"/>
          <w:bCs/>
          <w:kern w:val="0"/>
          <w:sz w:val="32"/>
          <w:szCs w:val="32"/>
        </w:rPr>
        <w:t>八、《政府性基金预算财政拨款收入支出决算表》</w:t>
      </w:r>
      <w:bookmarkEnd w:id="48"/>
      <w:bookmarkEnd w:id="49"/>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decorative"/>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MDAyOGU3YjcxMWQ2NTYzM2JjODQ3ZTVhNGRlMzUifQ=="/>
  </w:docVars>
  <w:rsids>
    <w:rsidRoot w:val="00312C27"/>
    <w:rsid w:val="00012F23"/>
    <w:rsid w:val="00021E76"/>
    <w:rsid w:val="000229DC"/>
    <w:rsid w:val="0002765D"/>
    <w:rsid w:val="0003297B"/>
    <w:rsid w:val="000379B3"/>
    <w:rsid w:val="0005626F"/>
    <w:rsid w:val="000724E7"/>
    <w:rsid w:val="0008509D"/>
    <w:rsid w:val="00090520"/>
    <w:rsid w:val="000A0B31"/>
    <w:rsid w:val="000D267C"/>
    <w:rsid w:val="000E7B17"/>
    <w:rsid w:val="00135BB7"/>
    <w:rsid w:val="0016194B"/>
    <w:rsid w:val="001762A3"/>
    <w:rsid w:val="00185C9C"/>
    <w:rsid w:val="001B0BD1"/>
    <w:rsid w:val="001B147B"/>
    <w:rsid w:val="001C3354"/>
    <w:rsid w:val="00215836"/>
    <w:rsid w:val="00221441"/>
    <w:rsid w:val="00224B57"/>
    <w:rsid w:val="002259E8"/>
    <w:rsid w:val="00235C0B"/>
    <w:rsid w:val="00240AA1"/>
    <w:rsid w:val="00263A81"/>
    <w:rsid w:val="00271C68"/>
    <w:rsid w:val="00294495"/>
    <w:rsid w:val="0029483B"/>
    <w:rsid w:val="002A2698"/>
    <w:rsid w:val="002D1584"/>
    <w:rsid w:val="00312C27"/>
    <w:rsid w:val="00352E78"/>
    <w:rsid w:val="00366326"/>
    <w:rsid w:val="003A21C7"/>
    <w:rsid w:val="003B1B1F"/>
    <w:rsid w:val="003C2E0F"/>
    <w:rsid w:val="003D686F"/>
    <w:rsid w:val="003F04B0"/>
    <w:rsid w:val="003F1325"/>
    <w:rsid w:val="003F3219"/>
    <w:rsid w:val="00411B2D"/>
    <w:rsid w:val="00435C19"/>
    <w:rsid w:val="00436039"/>
    <w:rsid w:val="00460D47"/>
    <w:rsid w:val="00484954"/>
    <w:rsid w:val="004A0689"/>
    <w:rsid w:val="004C2483"/>
    <w:rsid w:val="004C3288"/>
    <w:rsid w:val="004C4A14"/>
    <w:rsid w:val="004C6A74"/>
    <w:rsid w:val="004D41E0"/>
    <w:rsid w:val="0050663B"/>
    <w:rsid w:val="00517943"/>
    <w:rsid w:val="00531043"/>
    <w:rsid w:val="00531F92"/>
    <w:rsid w:val="00556D35"/>
    <w:rsid w:val="00557718"/>
    <w:rsid w:val="00561710"/>
    <w:rsid w:val="00571ACE"/>
    <w:rsid w:val="00572CBD"/>
    <w:rsid w:val="005A07B6"/>
    <w:rsid w:val="005A161C"/>
    <w:rsid w:val="005B643B"/>
    <w:rsid w:val="005C3DEB"/>
    <w:rsid w:val="005D0AD9"/>
    <w:rsid w:val="005D1C2D"/>
    <w:rsid w:val="005E3B4A"/>
    <w:rsid w:val="0060159A"/>
    <w:rsid w:val="00626A93"/>
    <w:rsid w:val="00656E06"/>
    <w:rsid w:val="00665BE8"/>
    <w:rsid w:val="00680772"/>
    <w:rsid w:val="006B52D5"/>
    <w:rsid w:val="006C27D5"/>
    <w:rsid w:val="006C2D78"/>
    <w:rsid w:val="006D1EE8"/>
    <w:rsid w:val="006E797E"/>
    <w:rsid w:val="006F4050"/>
    <w:rsid w:val="006F66CC"/>
    <w:rsid w:val="0071348F"/>
    <w:rsid w:val="00752DF5"/>
    <w:rsid w:val="00753B65"/>
    <w:rsid w:val="00760DE7"/>
    <w:rsid w:val="007649BA"/>
    <w:rsid w:val="007A247A"/>
    <w:rsid w:val="007A31DF"/>
    <w:rsid w:val="007B559C"/>
    <w:rsid w:val="007D31C5"/>
    <w:rsid w:val="007E0AAA"/>
    <w:rsid w:val="007E2227"/>
    <w:rsid w:val="007F2258"/>
    <w:rsid w:val="0081064F"/>
    <w:rsid w:val="0084474D"/>
    <w:rsid w:val="0089722A"/>
    <w:rsid w:val="008A0B2C"/>
    <w:rsid w:val="008A44AF"/>
    <w:rsid w:val="008B33C8"/>
    <w:rsid w:val="008D0631"/>
    <w:rsid w:val="00905908"/>
    <w:rsid w:val="00914C96"/>
    <w:rsid w:val="00926C84"/>
    <w:rsid w:val="00927CCC"/>
    <w:rsid w:val="00955F5A"/>
    <w:rsid w:val="00986787"/>
    <w:rsid w:val="00A22AE4"/>
    <w:rsid w:val="00A347A6"/>
    <w:rsid w:val="00A3556A"/>
    <w:rsid w:val="00A636E4"/>
    <w:rsid w:val="00A87103"/>
    <w:rsid w:val="00AB776D"/>
    <w:rsid w:val="00B03B50"/>
    <w:rsid w:val="00B33BF0"/>
    <w:rsid w:val="00B35A42"/>
    <w:rsid w:val="00B4517D"/>
    <w:rsid w:val="00B92C80"/>
    <w:rsid w:val="00BA3B30"/>
    <w:rsid w:val="00BC6347"/>
    <w:rsid w:val="00BC69BD"/>
    <w:rsid w:val="00BD3218"/>
    <w:rsid w:val="00BD5200"/>
    <w:rsid w:val="00BE4763"/>
    <w:rsid w:val="00BF7AA6"/>
    <w:rsid w:val="00C0408D"/>
    <w:rsid w:val="00C23286"/>
    <w:rsid w:val="00C25C01"/>
    <w:rsid w:val="00C37871"/>
    <w:rsid w:val="00C65103"/>
    <w:rsid w:val="00C66483"/>
    <w:rsid w:val="00C72285"/>
    <w:rsid w:val="00C77B7E"/>
    <w:rsid w:val="00C90C12"/>
    <w:rsid w:val="00CA6634"/>
    <w:rsid w:val="00CB036E"/>
    <w:rsid w:val="00CD3225"/>
    <w:rsid w:val="00CF5B51"/>
    <w:rsid w:val="00CF7E34"/>
    <w:rsid w:val="00D020FB"/>
    <w:rsid w:val="00D41FF8"/>
    <w:rsid w:val="00D6267B"/>
    <w:rsid w:val="00D64C5E"/>
    <w:rsid w:val="00D66A40"/>
    <w:rsid w:val="00D76208"/>
    <w:rsid w:val="00D8609B"/>
    <w:rsid w:val="00DA3B1B"/>
    <w:rsid w:val="00E04D53"/>
    <w:rsid w:val="00E2268A"/>
    <w:rsid w:val="00E25E17"/>
    <w:rsid w:val="00E3623A"/>
    <w:rsid w:val="00E45222"/>
    <w:rsid w:val="00EB34D7"/>
    <w:rsid w:val="00EC60C6"/>
    <w:rsid w:val="00EE4EA5"/>
    <w:rsid w:val="00EE6071"/>
    <w:rsid w:val="00F0691A"/>
    <w:rsid w:val="00F20986"/>
    <w:rsid w:val="00F20EB6"/>
    <w:rsid w:val="00F216E3"/>
    <w:rsid w:val="00F26856"/>
    <w:rsid w:val="00F30DDE"/>
    <w:rsid w:val="00F53C2D"/>
    <w:rsid w:val="00F66B7F"/>
    <w:rsid w:val="00F7210D"/>
    <w:rsid w:val="00F8314A"/>
    <w:rsid w:val="00F95054"/>
    <w:rsid w:val="00FF6A37"/>
    <w:rsid w:val="034D4FEF"/>
    <w:rsid w:val="043E5B56"/>
    <w:rsid w:val="06792773"/>
    <w:rsid w:val="0A7B4867"/>
    <w:rsid w:val="0AE83DE6"/>
    <w:rsid w:val="0B8C3ECC"/>
    <w:rsid w:val="0BBA0A81"/>
    <w:rsid w:val="0C7227A7"/>
    <w:rsid w:val="0F3317C1"/>
    <w:rsid w:val="12386E6F"/>
    <w:rsid w:val="14155180"/>
    <w:rsid w:val="15F06E99"/>
    <w:rsid w:val="1C7A04C1"/>
    <w:rsid w:val="1DAF458D"/>
    <w:rsid w:val="20DD6197"/>
    <w:rsid w:val="21A91B81"/>
    <w:rsid w:val="222A65E3"/>
    <w:rsid w:val="23BC04D2"/>
    <w:rsid w:val="23FB0802"/>
    <w:rsid w:val="277F0ACA"/>
    <w:rsid w:val="27CF2642"/>
    <w:rsid w:val="2A053397"/>
    <w:rsid w:val="2D1136DF"/>
    <w:rsid w:val="2DD47676"/>
    <w:rsid w:val="2E743C6A"/>
    <w:rsid w:val="2F916B46"/>
    <w:rsid w:val="2FD27414"/>
    <w:rsid w:val="2FD45ADE"/>
    <w:rsid w:val="31C63837"/>
    <w:rsid w:val="35F33F7A"/>
    <w:rsid w:val="35FB19DD"/>
    <w:rsid w:val="3914510A"/>
    <w:rsid w:val="3B12207E"/>
    <w:rsid w:val="3B3C07D5"/>
    <w:rsid w:val="3D2A665C"/>
    <w:rsid w:val="3D5275AC"/>
    <w:rsid w:val="40834692"/>
    <w:rsid w:val="41A84A67"/>
    <w:rsid w:val="448437A4"/>
    <w:rsid w:val="44F4368F"/>
    <w:rsid w:val="454126C2"/>
    <w:rsid w:val="45E16709"/>
    <w:rsid w:val="46901EEE"/>
    <w:rsid w:val="469C74D2"/>
    <w:rsid w:val="47A53BB1"/>
    <w:rsid w:val="49B933AA"/>
    <w:rsid w:val="4A6B0F8B"/>
    <w:rsid w:val="4B4C0111"/>
    <w:rsid w:val="50DB5F45"/>
    <w:rsid w:val="52F92565"/>
    <w:rsid w:val="55CE6BE9"/>
    <w:rsid w:val="57E43B01"/>
    <w:rsid w:val="583059FA"/>
    <w:rsid w:val="5ABB586A"/>
    <w:rsid w:val="5FA17648"/>
    <w:rsid w:val="61A46A97"/>
    <w:rsid w:val="62DD7D21"/>
    <w:rsid w:val="65D97752"/>
    <w:rsid w:val="68DB0208"/>
    <w:rsid w:val="69AD798C"/>
    <w:rsid w:val="6B68175F"/>
    <w:rsid w:val="6B85102E"/>
    <w:rsid w:val="6E0F7A08"/>
    <w:rsid w:val="71473612"/>
    <w:rsid w:val="718F7F65"/>
    <w:rsid w:val="73F7554E"/>
    <w:rsid w:val="73FB6630"/>
    <w:rsid w:val="74E76DCD"/>
    <w:rsid w:val="77ED6F44"/>
  </w:rsids>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0">
    <w:name w:val="annotation reference"/>
    <w:basedOn w:val="9"/>
    <w:qFormat/>
    <w:uiPriority w:val="0"/>
    <w:rPr>
      <w:sz w:val="21"/>
      <w:szCs w:val="21"/>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character" w:customStyle="1" w:styleId="15">
    <w:name w:val="批注框文本 字符"/>
    <w:basedOn w:val="9"/>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2F7C3B-5DA4-482C-8030-6C06C8F7B760}">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19</Pages>
  <Words>1670</Words>
  <Characters>9520</Characters>
  <Lines>79</Lines>
  <Paragraphs>22</Paragraphs>
  <ScaleCrop>false</ScaleCrop>
  <LinksUpToDate>false</LinksUpToDate>
  <CharactersWithSpaces>11168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1205</cp:lastModifiedBy>
  <dcterms:modified xsi:type="dcterms:W3CDTF">2024-08-23T04:10:39Z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D417CD0C9B4844088AAABE5AAB350C43_13</vt:lpwstr>
  </property>
</Properties>
</file>