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新疆维吾尔自治区民政厅2022年度部门</w:t>
      </w:r>
    </w:p>
    <w:p>
      <w:pPr>
        <w:jc w:val="center"/>
        <w:rPr>
          <w:rFonts w:ascii="方正小标宋_GBK" w:hAnsi="宋体" w:eastAsia="方正小标宋_GBK"/>
          <w:sz w:val="44"/>
          <w:szCs w:val="44"/>
        </w:rPr>
      </w:pPr>
      <w:r>
        <w:rPr>
          <w:rFonts w:hint="eastAsia" w:ascii="方正小标宋_GBK" w:hAnsi="宋体" w:eastAsia="方正小标宋_GBK"/>
          <w:sz w:val="44"/>
          <w:szCs w:val="44"/>
        </w:rPr>
        <w:t>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（一）贯彻执行国家、自治区关于民政工作的法律、法规、规章、政策；拟订民政事业发展规划并组织实施。</w:t>
      </w:r>
      <w:r>
        <w:rPr>
          <w:rFonts w:ascii="仿宋_GB2312" w:eastAsia="仿宋_GB2312"/>
          <w:sz w:val="32"/>
          <w:szCs w:val="32"/>
        </w:rPr>
        <w:br w:type="textWrapping"/>
      </w:r>
      <w:r>
        <w:rPr>
          <w:rFonts w:ascii="仿宋_GB2312" w:eastAsia="仿宋_GB2312"/>
          <w:sz w:val="32"/>
          <w:szCs w:val="32"/>
        </w:rPr>
        <w:t>　　（二）拟订社会救助规划、政策和标准，健全城乡社会救助体系，指导有意愿的特困老人集中供养和孤儿集中收养；拟订社会保障兜底脱贫政策和标准，指导城乡最低生活保障、临时救助。</w:t>
      </w:r>
      <w:r>
        <w:rPr>
          <w:rFonts w:ascii="仿宋_GB2312" w:eastAsia="仿宋_GB2312"/>
          <w:sz w:val="32"/>
          <w:szCs w:val="32"/>
        </w:rPr>
        <w:br w:type="textWrapping"/>
      </w:r>
      <w:r>
        <w:rPr>
          <w:rFonts w:ascii="仿宋_GB2312" w:eastAsia="仿宋_GB2312"/>
          <w:sz w:val="32"/>
          <w:szCs w:val="32"/>
        </w:rPr>
        <w:t>　　（三）拟订社会团体、社会服务机构、基金会的登记管理法规、草案、政策；承担全区性社会团体、社会服务机构、基金会登记管理、监督责任；指导社会组织党建工作。</w:t>
      </w:r>
      <w:r>
        <w:rPr>
          <w:rFonts w:ascii="仿宋_GB2312" w:eastAsia="仿宋_GB2312"/>
          <w:sz w:val="32"/>
          <w:szCs w:val="32"/>
        </w:rPr>
        <w:br w:type="textWrapping"/>
      </w:r>
      <w:r>
        <w:rPr>
          <w:rFonts w:ascii="仿宋_GB2312" w:eastAsia="仿宋_GB2312"/>
          <w:sz w:val="32"/>
          <w:szCs w:val="32"/>
        </w:rPr>
        <w:t>　　（四）拟订城乡基层群众自治建设和社区治理的规划、政策和标准；指导加强和完善城乡基层政权及社区治理，推动基层民主政治建设；指导城乡社区服务体系建设。</w:t>
      </w:r>
      <w:r>
        <w:rPr>
          <w:rFonts w:ascii="仿宋_GB2312" w:eastAsia="仿宋_GB2312"/>
          <w:sz w:val="32"/>
          <w:szCs w:val="32"/>
        </w:rPr>
        <w:br w:type="textWrapping"/>
      </w:r>
      <w:r>
        <w:rPr>
          <w:rFonts w:ascii="仿宋_GB2312" w:eastAsia="仿宋_GB2312"/>
          <w:sz w:val="32"/>
          <w:szCs w:val="32"/>
        </w:rPr>
        <w:t>　　（五）拟订行政区划、行政区域界线和地名管理政策和标准；指导行政区划调整、行政区域界线勘定和管理、地名管理；负责乡级行政区划调整的审核。</w:t>
      </w:r>
      <w:r>
        <w:rPr>
          <w:rFonts w:ascii="仿宋_GB2312" w:eastAsia="仿宋_GB2312"/>
          <w:sz w:val="32"/>
          <w:szCs w:val="32"/>
        </w:rPr>
        <w:br w:type="textWrapping"/>
      </w:r>
      <w:r>
        <w:rPr>
          <w:rFonts w:ascii="仿宋_GB2312" w:eastAsia="仿宋_GB2312"/>
          <w:sz w:val="32"/>
          <w:szCs w:val="32"/>
        </w:rPr>
        <w:t>　　（六）拟订婚姻登记、殡葬管理政策；指导婚姻登记、殡葬服务机构管理，推进婚俗和殡葬改革；负责涉外婚姻登记。</w:t>
      </w:r>
      <w:r>
        <w:rPr>
          <w:rFonts w:ascii="仿宋_GB2312" w:eastAsia="仿宋_GB2312"/>
          <w:sz w:val="32"/>
          <w:szCs w:val="32"/>
        </w:rPr>
        <w:br w:type="textWrapping"/>
      </w:r>
      <w:r>
        <w:rPr>
          <w:rFonts w:ascii="仿宋_GB2312" w:eastAsia="仿宋_GB2312"/>
          <w:sz w:val="32"/>
          <w:szCs w:val="32"/>
        </w:rPr>
        <w:t>　　（七）拟订老年人福利和养老服务业发展规划、法规草案政策和标准，推进社会养老服务体系建设；指导养老机构和特困人员救助供养机构建设和管理。</w:t>
      </w:r>
      <w:r>
        <w:rPr>
          <w:rFonts w:ascii="仿宋_GB2312" w:eastAsia="仿宋_GB2312"/>
          <w:sz w:val="32"/>
          <w:szCs w:val="32"/>
        </w:rPr>
        <w:br w:type="textWrapping"/>
      </w:r>
      <w:r>
        <w:rPr>
          <w:rFonts w:ascii="仿宋_GB2312" w:eastAsia="仿宋_GB2312"/>
          <w:sz w:val="32"/>
          <w:szCs w:val="32"/>
        </w:rPr>
        <w:t>　　（八）拟订儿童福利、儿童收养和儿童保护政策、标准；健全农村留守儿童关爱体系和困境儿童保障制度；指导儿童福利收养、登记、未成年人保护机构管理；承办涉外儿童收养。</w:t>
      </w:r>
      <w:r>
        <w:rPr>
          <w:rFonts w:ascii="仿宋_GB2312" w:eastAsia="仿宋_GB2312"/>
          <w:sz w:val="32"/>
          <w:szCs w:val="32"/>
        </w:rPr>
        <w:br w:type="textWrapping"/>
      </w:r>
      <w:r>
        <w:rPr>
          <w:rFonts w:ascii="仿宋_GB2312" w:eastAsia="仿宋_GB2312"/>
          <w:sz w:val="32"/>
          <w:szCs w:val="32"/>
        </w:rPr>
        <w:t>　　（九）拟订生活无着的流浪、乞讨人员救助政策和标准；指导救助管理和机构建设工作。</w:t>
      </w:r>
      <w:r>
        <w:rPr>
          <w:rFonts w:ascii="仿宋_GB2312" w:eastAsia="仿宋_GB2312"/>
          <w:sz w:val="32"/>
          <w:szCs w:val="32"/>
        </w:rPr>
        <w:br w:type="textWrapping"/>
      </w:r>
      <w:r>
        <w:rPr>
          <w:rFonts w:ascii="仿宋_GB2312" w:eastAsia="仿宋_GB2312"/>
          <w:sz w:val="32"/>
          <w:szCs w:val="32"/>
        </w:rPr>
        <w:t>　　（十）拟订促进慈善事业发展规划、政策和标准；指导社会捐助，监管慈善行为；负责福利彩票发行管理。</w:t>
      </w:r>
      <w:r>
        <w:rPr>
          <w:rFonts w:ascii="仿宋_GB2312" w:eastAsia="仿宋_GB2312"/>
          <w:sz w:val="32"/>
          <w:szCs w:val="32"/>
        </w:rPr>
        <w:br w:type="textWrapping"/>
      </w:r>
      <w:r>
        <w:rPr>
          <w:rFonts w:ascii="仿宋_GB2312" w:eastAsia="仿宋_GB2312"/>
          <w:sz w:val="32"/>
          <w:szCs w:val="32"/>
        </w:rPr>
        <w:t>　　（十一）拟订残障福利发展政策和标准；指导残障福利和康复辅助器具行业发展；指导民政职贵范围内的精神卫生工作。</w:t>
      </w:r>
      <w:r>
        <w:rPr>
          <w:rFonts w:ascii="仿宋_GB2312" w:eastAsia="仿宋_GB2312"/>
          <w:sz w:val="32"/>
          <w:szCs w:val="32"/>
        </w:rPr>
        <w:br w:type="textWrapping"/>
      </w:r>
      <w:r>
        <w:rPr>
          <w:rFonts w:ascii="仿宋_GB2312" w:eastAsia="仿宋_GB2312"/>
          <w:sz w:val="32"/>
          <w:szCs w:val="32"/>
        </w:rPr>
        <w:t>　　（十二）拟订社会工作发展规划、政策和职业规范，指导社会工作人才和志愿者队伍建设。</w:t>
      </w:r>
      <w:r>
        <w:rPr>
          <w:rFonts w:ascii="仿宋_GB2312" w:eastAsia="仿宋_GB2312"/>
          <w:sz w:val="32"/>
          <w:szCs w:val="32"/>
        </w:rPr>
        <w:br w:type="textWrapping"/>
      </w:r>
      <w:r>
        <w:rPr>
          <w:rFonts w:ascii="仿宋_GB2312" w:eastAsia="仿宋_GB2312"/>
          <w:sz w:val="32"/>
          <w:szCs w:val="32"/>
        </w:rPr>
        <w:t>　　（十三）完成自治区党委、自治区人民政府交办的其他任务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新疆维吾尔自治区民政厅</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683</w:t>
      </w:r>
      <w:r>
        <w:rPr>
          <w:rFonts w:hint="eastAsia" w:ascii="仿宋_GB2312" w:eastAsia="仿宋_GB2312"/>
          <w:sz w:val="32"/>
          <w:szCs w:val="32"/>
        </w:rPr>
        <w:t>人，其中：在职人员</w:t>
      </w:r>
      <w:r>
        <w:rPr>
          <w:rFonts w:ascii="仿宋_GB2312" w:eastAsia="仿宋_GB2312"/>
          <w:sz w:val="32"/>
          <w:szCs w:val="32"/>
        </w:rPr>
        <w:t>329</w:t>
      </w:r>
      <w:r>
        <w:rPr>
          <w:rFonts w:hint="eastAsia" w:ascii="仿宋_GB2312" w:eastAsia="仿宋_GB2312"/>
          <w:sz w:val="32"/>
          <w:szCs w:val="32"/>
        </w:rPr>
        <w:t>人，离休人员</w:t>
      </w:r>
      <w:r>
        <w:rPr>
          <w:rFonts w:ascii="仿宋_GB2312" w:eastAsia="仿宋_GB2312"/>
          <w:sz w:val="32"/>
          <w:szCs w:val="32"/>
        </w:rPr>
        <w:t>6</w:t>
      </w:r>
      <w:r>
        <w:rPr>
          <w:rFonts w:hint="eastAsia" w:ascii="仿宋_GB2312" w:eastAsia="仿宋_GB2312"/>
          <w:sz w:val="32"/>
          <w:szCs w:val="32"/>
        </w:rPr>
        <w:t>人，退休人员</w:t>
      </w:r>
      <w:r>
        <w:rPr>
          <w:rFonts w:ascii="仿宋_GB2312" w:eastAsia="仿宋_GB2312"/>
          <w:sz w:val="32"/>
          <w:szCs w:val="32"/>
        </w:rPr>
        <w:t>348</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从部门决算单位构成看，新疆维吾尔自治区民政厅部门决算包括：新疆维吾尔自治区民政厅部门本级决算及所属单位决算。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新疆维吾尔自治区民政厅</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14</w:t>
      </w:r>
      <w:r>
        <w:rPr>
          <w:rFonts w:hint="eastAsia" w:ascii="仿宋_GB2312" w:hAnsi="黑体" w:eastAsia="仿宋_GB2312" w:cs="宋体"/>
          <w:bCs/>
          <w:kern w:val="0"/>
          <w:sz w:val="32"/>
          <w:szCs w:val="32"/>
        </w:rPr>
        <w:t>个处室，分别是：办公室、政策法规宣传处、规划财务处、社会组织管理局(社会组织执法监督局)、社会救助局、基层政权建设和社区治理处、区划地名处、社会事务处、养老服务处、儿童福利处、慈善事业促进和社会工作处、人事处、机关党委、离退休干部工作处</w:t>
      </w:r>
      <w:r>
        <w:rPr>
          <w:rFonts w:hint="eastAsia" w:ascii="仿宋_GB2312" w:hAnsi="宋体" w:eastAsia="仿宋_GB2312" w:cs="宋体"/>
          <w:kern w:val="0"/>
          <w:sz w:val="32"/>
          <w:szCs w:val="32"/>
        </w:rPr>
        <w:t>。</w:t>
      </w:r>
    </w:p>
    <w:p>
      <w:pPr>
        <w:ind w:firstLine="640" w:firstLineChars="200"/>
        <w:rPr>
          <w:rFonts w:ascii="仿宋_GB2312" w:eastAsia="仿宋_GB2312"/>
          <w:spacing w:val="-6"/>
          <w:sz w:val="32"/>
          <w:szCs w:val="32"/>
        </w:rPr>
      </w:pPr>
      <w:r>
        <w:rPr>
          <w:rFonts w:hint="eastAsia" w:ascii="仿宋_GB2312" w:eastAsia="仿宋_GB2312"/>
          <w:sz w:val="32"/>
          <w:szCs w:val="32"/>
        </w:rPr>
        <w:t>纳入新疆维吾尔自治区民政厅</w:t>
      </w:r>
      <w:r>
        <w:rPr>
          <w:rFonts w:ascii="仿宋_GB2312" w:eastAsia="仿宋_GB2312"/>
          <w:sz w:val="32"/>
          <w:szCs w:val="32"/>
        </w:rPr>
        <w:t>2022</w:t>
      </w:r>
      <w:r>
        <w:rPr>
          <w:rFonts w:hint="eastAsia" w:ascii="仿宋_GB2312" w:eastAsia="仿宋_GB2312"/>
          <w:sz w:val="32"/>
          <w:szCs w:val="32"/>
        </w:rPr>
        <w:t>年度部门决算编制范围的单位名单见下表：</w:t>
      </w:r>
    </w:p>
    <w:tbl>
      <w:tblPr>
        <w:tblStyle w:val="11"/>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7"/>
        <w:gridCol w:w="3937"/>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47" w:type="dxa"/>
            <w:vAlign w:val="center"/>
          </w:tcPr>
          <w:p>
            <w:pPr>
              <w:jc w:val="center"/>
              <w:rPr>
                <w:rFonts w:ascii="仿宋_GB2312" w:eastAsia="仿宋_GB2312"/>
                <w:sz w:val="32"/>
                <w:szCs w:val="32"/>
              </w:rPr>
            </w:pPr>
            <w:r>
              <w:rPr>
                <w:rFonts w:hint="eastAsia" w:ascii="仿宋_GB2312" w:eastAsia="仿宋_GB2312"/>
                <w:sz w:val="32"/>
                <w:szCs w:val="32"/>
              </w:rPr>
              <w:t>序号</w:t>
            </w:r>
          </w:p>
        </w:tc>
        <w:tc>
          <w:tcPr>
            <w:tcW w:w="3937" w:type="dxa"/>
            <w:vAlign w:val="center"/>
          </w:tcPr>
          <w:p>
            <w:pPr>
              <w:jc w:val="center"/>
              <w:rPr>
                <w:rFonts w:ascii="仿宋_GB2312" w:eastAsia="仿宋_GB2312"/>
                <w:sz w:val="32"/>
                <w:szCs w:val="32"/>
              </w:rPr>
            </w:pPr>
            <w:r>
              <w:rPr>
                <w:rFonts w:hint="eastAsia" w:ascii="仿宋_GB2312" w:eastAsia="仿宋_GB2312"/>
                <w:sz w:val="32"/>
                <w:szCs w:val="32"/>
              </w:rPr>
              <w:t>单位名称</w:t>
            </w:r>
          </w:p>
        </w:tc>
        <w:tc>
          <w:tcPr>
            <w:tcW w:w="2735" w:type="dxa"/>
            <w:vAlign w:val="center"/>
          </w:tcPr>
          <w:p>
            <w:pPr>
              <w:jc w:val="center"/>
              <w:rPr>
                <w:rFonts w:ascii="仿宋_GB2312" w:eastAsia="仿宋_GB2312"/>
                <w:sz w:val="32"/>
                <w:szCs w:val="32"/>
              </w:rPr>
            </w:pPr>
            <w:r>
              <w:rPr>
                <w:rFonts w:hint="eastAsia" w:ascii="仿宋_GB2312" w:eastAsia="仿宋_GB2312"/>
                <w:sz w:val="32"/>
                <w:szCs w:val="32"/>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1</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新疆维吾尔自治区民政厅本级</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2</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新疆维吾尔自治区救助管理站</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参照公务员法管理事业单位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3</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新疆维吾尔自治区地名标准化中心</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财政补助事业单位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4</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新疆维吾尔自治区民政康复中心</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财政补助事业单位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5</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新疆静宁医院</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财政补助事业单位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6</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新疆维吾尔自治区社会工作人才资源开发中心</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财政补助事业单位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7</w:t>
            </w:r>
          </w:p>
        </w:tc>
        <w:tc>
          <w:tcPr>
            <w:tcW w:w="3937" w:type="dxa"/>
            <w:vAlign w:val="center"/>
          </w:tcPr>
          <w:p>
            <w:pPr>
              <w:jc w:val="center"/>
              <w:rPr>
                <w:rFonts w:ascii="仿宋_GB2312" w:eastAsia="仿宋_GB2312"/>
                <w:sz w:val="32"/>
                <w:szCs w:val="32"/>
              </w:rPr>
            </w:pPr>
            <w:r>
              <w:rPr>
                <w:rFonts w:ascii="Arial" w:hAnsi="Arial" w:cs="Arial"/>
                <w:color w:val="4D4D4D"/>
                <w:shd w:val="clear" w:color="auto" w:fill="FFFFFF"/>
              </w:rPr>
              <w:t>新疆维吾尔自治区民政事业规划发展中心</w:t>
            </w:r>
          </w:p>
        </w:tc>
        <w:tc>
          <w:tcPr>
            <w:tcW w:w="2735" w:type="dxa"/>
            <w:vAlign w:val="center"/>
          </w:tcPr>
          <w:p>
            <w:pPr>
              <w:jc w:val="center"/>
              <w:rPr>
                <w:rFonts w:ascii="仿宋_GB2312" w:eastAsia="仿宋_GB2312"/>
                <w:sz w:val="32"/>
                <w:szCs w:val="32"/>
              </w:rPr>
            </w:pPr>
            <w:r>
              <w:rPr>
                <w:rFonts w:ascii="Arial" w:hAnsi="Arial" w:cs="Arial"/>
                <w:color w:val="4D4D4D"/>
                <w:shd w:val="clear" w:color="auto" w:fill="FFFFFF"/>
              </w:rPr>
              <w:t>财政补助事业单位</w:t>
            </w:r>
          </w:p>
        </w:tc>
      </w:tr>
    </w:tbl>
    <w:p>
      <w:pPr>
        <w:ind w:firstLine="640" w:firstLineChars="200"/>
        <w:rPr>
          <w:rFonts w:ascii="仿宋_GB2312" w:hAnsi="宋体" w:eastAsia="仿宋_GB2312" w:cs="宋体"/>
          <w:kern w:val="0"/>
          <w:sz w:val="32"/>
          <w:szCs w:val="32"/>
        </w:rPr>
      </w:pP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年度收入总计16,771.54万元，其中：本年收入合计</w:t>
      </w:r>
      <w:r>
        <w:rPr>
          <w:rFonts w:ascii="仿宋_GB2312" w:eastAsia="仿宋_GB2312"/>
          <w:sz w:val="32"/>
          <w:szCs w:val="32"/>
        </w:rPr>
        <w:t>13,662.66</w:t>
      </w:r>
      <w:r>
        <w:rPr>
          <w:rFonts w:hint="eastAsia" w:ascii="仿宋_GB2312" w:eastAsia="仿宋_GB2312"/>
          <w:sz w:val="32"/>
          <w:szCs w:val="32"/>
        </w:rPr>
        <w:t>万元，使用非财政拨款结余139.33万元，年初结转和结余2,969.54万元。收入总计与上年相比，减少778.27万元，</w:t>
      </w:r>
      <w:r>
        <w:rPr>
          <w:rFonts w:ascii="仿宋_GB2312" w:eastAsia="仿宋_GB2312"/>
          <w:sz w:val="32"/>
          <w:szCs w:val="32"/>
        </w:rPr>
        <w:t>下降4.43</w:t>
      </w:r>
      <w:r>
        <w:rPr>
          <w:rFonts w:hint="eastAsia" w:ascii="仿宋_GB2312" w:eastAsia="仿宋_GB2312"/>
          <w:sz w:val="32"/>
          <w:szCs w:val="32"/>
        </w:rPr>
        <w:t>%，主要原因是：当年安排项目减少，经费减少，支出减少。</w:t>
      </w:r>
    </w:p>
    <w:p>
      <w:pPr>
        <w:ind w:firstLine="640" w:firstLineChars="200"/>
        <w:rPr>
          <w:rFonts w:ascii="仿宋_GB2312" w:eastAsia="仿宋_GB2312"/>
          <w:sz w:val="32"/>
          <w:szCs w:val="32"/>
        </w:rPr>
      </w:pPr>
      <w:r>
        <w:rPr>
          <w:rFonts w:hint="eastAsia" w:ascii="仿宋_GB2312" w:eastAsia="仿宋_GB2312"/>
          <w:sz w:val="32"/>
          <w:szCs w:val="32"/>
        </w:rPr>
        <w:t>本年支出总计16,771.54万元，其中：本年支出合计</w:t>
      </w:r>
      <w:r>
        <w:rPr>
          <w:rFonts w:ascii="仿宋_GB2312" w:eastAsia="仿宋_GB2312"/>
          <w:sz w:val="32"/>
          <w:szCs w:val="32"/>
        </w:rPr>
        <w:t>14,031.29</w:t>
      </w:r>
      <w:r>
        <w:rPr>
          <w:rFonts w:hint="eastAsia" w:ascii="仿宋_GB2312" w:eastAsia="仿宋_GB2312"/>
          <w:sz w:val="32"/>
          <w:szCs w:val="32"/>
        </w:rPr>
        <w:t>万元，结余分配0.22万元，年末结转和结余2,740.02万元。支出总计与上年相比，</w:t>
      </w:r>
      <w:r>
        <w:rPr>
          <w:rFonts w:ascii="仿宋_GB2312" w:eastAsia="仿宋_GB2312"/>
          <w:sz w:val="32"/>
          <w:szCs w:val="32"/>
        </w:rPr>
        <w:t>减少778.27</w:t>
      </w:r>
      <w:r>
        <w:rPr>
          <w:rFonts w:hint="eastAsia" w:ascii="仿宋_GB2312" w:eastAsia="仿宋_GB2312"/>
          <w:sz w:val="32"/>
          <w:szCs w:val="32"/>
        </w:rPr>
        <w:t>万元，</w:t>
      </w:r>
      <w:r>
        <w:rPr>
          <w:rFonts w:ascii="仿宋_GB2312" w:eastAsia="仿宋_GB2312"/>
          <w:sz w:val="32"/>
          <w:szCs w:val="32"/>
        </w:rPr>
        <w:t>下降4.43</w:t>
      </w:r>
      <w:r>
        <w:rPr>
          <w:rFonts w:hint="eastAsia" w:ascii="仿宋_GB2312" w:eastAsia="仿宋_GB2312"/>
          <w:sz w:val="32"/>
          <w:szCs w:val="32"/>
        </w:rPr>
        <w:t>%，主要原因是：当年安排项目减少，经费减少，支出减少。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13,662.66</w:t>
      </w:r>
      <w:r>
        <w:rPr>
          <w:rFonts w:hint="eastAsia" w:ascii="仿宋_GB2312" w:eastAsia="仿宋_GB2312"/>
          <w:sz w:val="32"/>
          <w:szCs w:val="32"/>
        </w:rPr>
        <w:t>万元，其中：财政拨款收入</w:t>
      </w:r>
      <w:r>
        <w:rPr>
          <w:rFonts w:ascii="仿宋_GB2312" w:eastAsia="仿宋_GB2312"/>
          <w:sz w:val="32"/>
          <w:szCs w:val="32"/>
        </w:rPr>
        <w:t>12,822.97</w:t>
      </w:r>
      <w:r>
        <w:rPr>
          <w:rFonts w:hint="eastAsia" w:ascii="仿宋_GB2312" w:eastAsia="仿宋_GB2312"/>
          <w:sz w:val="32"/>
          <w:szCs w:val="32"/>
        </w:rPr>
        <w:t>万元，占93.85%；上级补助收入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672.44</w:t>
      </w:r>
      <w:r>
        <w:rPr>
          <w:rFonts w:hint="eastAsia" w:ascii="仿宋_GB2312" w:eastAsia="仿宋_GB2312"/>
          <w:sz w:val="32"/>
          <w:szCs w:val="32"/>
        </w:rPr>
        <w:t>万元，占4.92%；经营收入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167.25</w:t>
      </w:r>
      <w:r>
        <w:rPr>
          <w:rFonts w:hint="eastAsia" w:ascii="仿宋_GB2312" w:eastAsia="仿宋_GB2312"/>
          <w:sz w:val="32"/>
          <w:szCs w:val="32"/>
        </w:rPr>
        <w:t>万元，占1.22%。</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年度本年支出14,031.29万元，其中：基本支出</w:t>
      </w:r>
      <w:r>
        <w:rPr>
          <w:rFonts w:ascii="仿宋_GB2312" w:eastAsia="仿宋_GB2312"/>
          <w:sz w:val="32"/>
          <w:szCs w:val="32"/>
        </w:rPr>
        <w:t>8,371.60</w:t>
      </w:r>
      <w:r>
        <w:rPr>
          <w:rFonts w:hint="eastAsia" w:ascii="仿宋_GB2312" w:eastAsia="仿宋_GB2312"/>
          <w:sz w:val="32"/>
          <w:szCs w:val="32"/>
        </w:rPr>
        <w:t>万元，占59.66%；项目支出</w:t>
      </w:r>
      <w:r>
        <w:rPr>
          <w:rFonts w:ascii="仿宋_GB2312" w:eastAsia="仿宋_GB2312"/>
          <w:sz w:val="32"/>
          <w:szCs w:val="32"/>
        </w:rPr>
        <w:t>5,659.69</w:t>
      </w:r>
      <w:r>
        <w:rPr>
          <w:rFonts w:hint="eastAsia" w:ascii="仿宋_GB2312" w:eastAsia="仿宋_GB2312"/>
          <w:sz w:val="32"/>
          <w:szCs w:val="32"/>
        </w:rPr>
        <w:t>万元，占40.34%；上缴上级支出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收入总计13,918.48万元，其中：年初财政拨款结转和结余1,095.51万元，财政拨款本年收入12,822.97万元。财政拨款收入总计与上年相比，减少548.05万元，下降3.79%，主要原因是：当年安排项目减少，经费减少，支出减少。</w:t>
      </w:r>
    </w:p>
    <w:p>
      <w:pPr>
        <w:ind w:firstLine="640" w:firstLineChars="200"/>
        <w:rPr>
          <w:rFonts w:ascii="仿宋_GB2312" w:eastAsia="仿宋_GB2312"/>
          <w:sz w:val="32"/>
          <w:szCs w:val="32"/>
        </w:rPr>
      </w:pPr>
      <w:r>
        <w:rPr>
          <w:rFonts w:hint="eastAsia" w:ascii="仿宋_GB2312" w:eastAsia="仿宋_GB2312"/>
          <w:sz w:val="32"/>
          <w:szCs w:val="32"/>
        </w:rPr>
        <w:t>财政拨款支出总计13,918.48万元，其中：年末财政拨款结转和结余1,033.63万元，财政拨款本年支出12,884.85万元。财政拨款支出总计与上年相比，减少548.05万元，下降3.79%，主要原因是：当年安排项目减少，经费减少，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10,441.32</w:t>
      </w:r>
      <w:r>
        <w:rPr>
          <w:rFonts w:hint="eastAsia" w:ascii="仿宋_GB2312" w:eastAsia="仿宋_GB2312"/>
          <w:sz w:val="32"/>
          <w:szCs w:val="32"/>
        </w:rPr>
        <w:t>万元，决算数</w:t>
      </w:r>
      <w:r>
        <w:rPr>
          <w:rFonts w:ascii="仿宋_GB2312" w:eastAsia="仿宋_GB2312"/>
          <w:sz w:val="32"/>
          <w:szCs w:val="32"/>
        </w:rPr>
        <w:t>13,918.48</w:t>
      </w:r>
      <w:r>
        <w:rPr>
          <w:rFonts w:hint="eastAsia" w:ascii="仿宋_GB2312" w:eastAsia="仿宋_GB2312"/>
          <w:sz w:val="32"/>
          <w:szCs w:val="32"/>
        </w:rPr>
        <w:t>万元，预决算差异率</w:t>
      </w:r>
      <w:r>
        <w:rPr>
          <w:rFonts w:ascii="仿宋_GB2312" w:eastAsia="仿宋_GB2312"/>
          <w:sz w:val="32"/>
          <w:szCs w:val="32"/>
        </w:rPr>
        <w:t>33.30</w:t>
      </w:r>
      <w:r>
        <w:rPr>
          <w:rFonts w:hint="eastAsia" w:ascii="仿宋_GB2312" w:eastAsia="仿宋_GB2312"/>
          <w:sz w:val="32"/>
          <w:szCs w:val="32"/>
        </w:rPr>
        <w:t>%，主要原因是：人员经费支出增加，如人员晋升、工资提标、退休人员职业年金、丧葬抚恤金、“访惠聚”驻村专项经费等。财政拨款支出总计年初预算数</w:t>
      </w:r>
      <w:r>
        <w:rPr>
          <w:rFonts w:ascii="仿宋_GB2312" w:eastAsia="仿宋_GB2312"/>
          <w:sz w:val="32"/>
          <w:szCs w:val="32"/>
        </w:rPr>
        <w:t>10,441.32</w:t>
      </w:r>
      <w:r>
        <w:rPr>
          <w:rFonts w:hint="eastAsia" w:ascii="仿宋_GB2312" w:eastAsia="仿宋_GB2312"/>
          <w:sz w:val="32"/>
          <w:szCs w:val="32"/>
        </w:rPr>
        <w:t>万元，决算数</w:t>
      </w:r>
      <w:r>
        <w:rPr>
          <w:rFonts w:ascii="仿宋_GB2312" w:eastAsia="仿宋_GB2312"/>
          <w:sz w:val="32"/>
          <w:szCs w:val="32"/>
        </w:rPr>
        <w:t>13,918.48</w:t>
      </w:r>
      <w:r>
        <w:rPr>
          <w:rFonts w:hint="eastAsia" w:ascii="仿宋_GB2312" w:eastAsia="仿宋_GB2312"/>
          <w:sz w:val="32"/>
          <w:szCs w:val="32"/>
        </w:rPr>
        <w:t>万元，预决算差异率33.30%，主要原因是：人员经费支出增加，如人员晋升、工资提标、退休人员职业年金、丧葬抚恤金、“访惠聚”驻村专项经费等。</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color w:val="auto"/>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年度一般公共预算财政拨款支出11,772.82万元，占本年支出合计的</w:t>
      </w:r>
      <w:r>
        <w:rPr>
          <w:rFonts w:ascii="仿宋_GB2312" w:eastAsia="仿宋_GB2312"/>
          <w:sz w:val="32"/>
          <w:szCs w:val="32"/>
        </w:rPr>
        <w:t>83.90</w:t>
      </w:r>
      <w:r>
        <w:rPr>
          <w:rFonts w:hint="eastAsia" w:ascii="仿宋_GB2312" w:eastAsia="仿宋_GB2312"/>
          <w:sz w:val="32"/>
          <w:szCs w:val="32"/>
        </w:rPr>
        <w:t>%，与上年相比，</w:t>
      </w:r>
      <w:r>
        <w:rPr>
          <w:rFonts w:ascii="仿宋_GB2312" w:eastAsia="仿宋_GB2312"/>
          <w:sz w:val="32"/>
          <w:szCs w:val="32"/>
        </w:rPr>
        <w:t>增加297.62</w:t>
      </w:r>
      <w:r>
        <w:rPr>
          <w:rFonts w:hint="eastAsia" w:ascii="仿宋_GB2312" w:eastAsia="仿宋_GB2312"/>
          <w:sz w:val="32"/>
          <w:szCs w:val="32"/>
        </w:rPr>
        <w:t>万元，</w:t>
      </w:r>
      <w:r>
        <w:rPr>
          <w:rFonts w:ascii="仿宋_GB2312" w:eastAsia="仿宋_GB2312"/>
          <w:sz w:val="32"/>
          <w:szCs w:val="32"/>
        </w:rPr>
        <w:t>增长2.59</w:t>
      </w:r>
      <w:r>
        <w:rPr>
          <w:rFonts w:hint="eastAsia" w:ascii="仿宋_GB2312" w:eastAsia="仿宋_GB2312"/>
          <w:sz w:val="32"/>
          <w:szCs w:val="32"/>
        </w:rPr>
        <w:t>%，主要原因是：</w:t>
      </w:r>
      <w:r>
        <w:rPr>
          <w:rFonts w:hint="eastAsia" w:ascii="仿宋_GB2312" w:eastAsia="仿宋_GB2312"/>
          <w:color w:val="auto"/>
          <w:sz w:val="32"/>
          <w:szCs w:val="32"/>
          <w:lang w:eastAsia="zh-CN"/>
        </w:rPr>
        <w:t>“明天计划”项目资金结转继续使用</w:t>
      </w:r>
      <w:r>
        <w:rPr>
          <w:rFonts w:hint="eastAsia" w:ascii="仿宋_GB2312" w:eastAsia="仿宋_GB2312"/>
          <w:color w:val="auto"/>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1.社会保障和就业支出(类)10,939.73万元,占92.92%。</w:t>
      </w:r>
    </w:p>
    <w:p>
      <w:pPr>
        <w:ind w:firstLine="640" w:firstLineChars="200"/>
        <w:outlineLvl w:val="2"/>
        <w:rPr>
          <w:rFonts w:ascii="黑体" w:hAnsi="黑体" w:eastAsia="黑体"/>
          <w:sz w:val="32"/>
          <w:szCs w:val="32"/>
        </w:rPr>
      </w:pPr>
      <w:r>
        <w:rPr>
          <w:rFonts w:hint="eastAsia" w:ascii="仿宋_GB2312" w:eastAsia="仿宋_GB2312"/>
          <w:sz w:val="32"/>
          <w:szCs w:val="32"/>
        </w:rPr>
        <w:t>2.卫生健康支出(类)467.91万元,占3.97%。</w:t>
      </w:r>
    </w:p>
    <w:p>
      <w:pPr>
        <w:ind w:firstLine="640" w:firstLineChars="200"/>
        <w:outlineLvl w:val="2"/>
        <w:rPr>
          <w:rFonts w:ascii="黑体" w:hAnsi="黑体" w:eastAsia="黑体"/>
          <w:sz w:val="32"/>
          <w:szCs w:val="32"/>
        </w:rPr>
      </w:pPr>
      <w:r>
        <w:rPr>
          <w:rFonts w:hint="eastAsia" w:ascii="仿宋_GB2312" w:eastAsia="仿宋_GB2312"/>
          <w:sz w:val="32"/>
          <w:szCs w:val="32"/>
        </w:rPr>
        <w:t>3.住房保障支出(类)365.18万元,占3.11%。</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1.社会保障和就业支出(类)民政管理事务(款)行政运行(项):支出决算数为2,989.22万元，比上年决算增加118.57万元，增长4.13%</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仿宋_GB2312" w:eastAsia="仿宋_GB2312"/>
          <w:sz w:val="32"/>
          <w:szCs w:val="32"/>
        </w:rPr>
        <w:t>2.社会保障和就业支出(类)民政管理事务(款)机关服务(项):支出决算数为390.00万元，比上年决算增加68.21万元，增长21.20%</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3.社会保障和就业支出(类)民政管理事务(款)行政区划和地名管理(项):支出决算数为379.05万元，比上年决算增加63.81万元，增长20.24%</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4.社会保障和就业支出(类)民政管理事务(款)其他民政管理事务支出(项):支出决算数为1,270.12万元，比上年决算减少77.16万元，下降5.73%</w:t>
      </w:r>
      <w:r>
        <w:rPr>
          <w:rFonts w:ascii="仿宋_GB2312" w:eastAsia="仿宋_GB2312"/>
          <w:sz w:val="32"/>
          <w:szCs w:val="32"/>
        </w:rPr>
        <w:t>,</w:t>
      </w:r>
      <w:r>
        <w:rPr>
          <w:rFonts w:hint="eastAsia" w:ascii="仿宋_GB2312" w:eastAsia="仿宋_GB2312"/>
          <w:sz w:val="32"/>
          <w:szCs w:val="32"/>
        </w:rPr>
        <w:t>主要原因是:当年安排项目减少，经费减少，支出减少。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5.社会保障和就业支出(类)行政事业单位养老支出(款)行政单位离退休(项):支出决算数为665.68万元，比上年决算增加278.29万元，增长71.84%</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6.社会保障和就业支出(类)行政事业单位养老支出(款)事业单位离退休(项):支出决算数为498.82万元，比上年决算增加248.89万元，增长99.58%</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7.社会保障和就业支出(类)行政事业单位养老支出(款)机关事业单位基本养老保险缴费支出(项):支出决算数为486.91万元，比上年决算增加42.54万元，增长9.57%</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8.社会保障和就业支出(类)行政事业单位养老支出(款)机关事业单位职业年金缴费支出(项):支出决算数为71.66万元，比上年决算减少82.44万元，下降53.50%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highlight w:val="none"/>
        </w:rPr>
        <w:t>厉行节约，经费减少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9.社会保障和就业支出(类)社会福利(款)社会福利事业单位(项):支出决算数为2,557.42万元，比上年决算减少390.01万元，下降13.23%</w:t>
      </w:r>
      <w:r>
        <w:rPr>
          <w:rFonts w:ascii="仿宋_GB2312" w:eastAsia="仿宋_GB2312"/>
          <w:sz w:val="32"/>
          <w:szCs w:val="32"/>
        </w:rPr>
        <w:t>,</w:t>
      </w:r>
      <w:r>
        <w:rPr>
          <w:rFonts w:hint="eastAsia" w:ascii="仿宋_GB2312" w:eastAsia="仿宋_GB2312"/>
          <w:sz w:val="32"/>
          <w:szCs w:val="32"/>
        </w:rPr>
        <w:t>主要原因是:当年安排项目减少，经费减少，支出减少。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10.社会保障和就业支出(类)临时救助(款)临时救助支出(项):支出决算数为869.17万元，比上年决算增加618.34万元，增长246.52%</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11.社会保障和就业支出(类)临时救助(款)流浪乞讨人员救助支出(项):支出决算数为717.70万元，比上年决算减少82.30万元，下降10.29%</w:t>
      </w:r>
      <w:r>
        <w:rPr>
          <w:rFonts w:ascii="仿宋_GB2312" w:eastAsia="仿宋_GB2312"/>
          <w:sz w:val="32"/>
          <w:szCs w:val="32"/>
        </w:rPr>
        <w:t>,</w:t>
      </w:r>
      <w:r>
        <w:rPr>
          <w:rFonts w:hint="eastAsia" w:ascii="仿宋_GB2312" w:eastAsia="仿宋_GB2312"/>
          <w:sz w:val="32"/>
          <w:szCs w:val="32"/>
        </w:rPr>
        <w:t>主要原因是:当年安排项目减少，经费减少，支出减少。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12.社会保障和就业支出(类)特困人员救助供养(款)城市特困人员救助供养支出(项):支出决算数为44.00万元，比上年决算增加44.00万元，增长100.00%</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13.卫生健康支出(类)行政事业单位医疗(款)行政单位医疗(项):支出决算数为141.36万元，比上年决算增加30.86万元，增长27.93%</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14.卫生健康支出(类)行政事业单位医疗(款)事业单位医疗(项):支出决算数为144.72万元，比上年决算增加15.45万元，增长11.95%</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15.卫生健康支出(类)行政事业单位医疗(款)公务员医疗补助(项):支出决算数为181.83万元，比上年决算减少4.41万元，下降2.37%</w:t>
      </w:r>
      <w:r>
        <w:rPr>
          <w:rFonts w:ascii="仿宋_GB2312" w:eastAsia="仿宋_GB2312"/>
          <w:sz w:val="32"/>
          <w:szCs w:val="32"/>
        </w:rPr>
        <w:t>,</w:t>
      </w:r>
      <w:r>
        <w:rPr>
          <w:rFonts w:hint="eastAsia" w:ascii="仿宋_GB2312" w:eastAsia="仿宋_GB2312"/>
          <w:sz w:val="32"/>
          <w:szCs w:val="32"/>
        </w:rPr>
        <w:t>主要原因是:</w:t>
      </w:r>
      <w:bookmarkStart w:id="48" w:name="_GoBack"/>
      <w:r>
        <w:rPr>
          <w:rFonts w:hint="eastAsia" w:ascii="仿宋_GB2312" w:eastAsia="仿宋_GB2312"/>
          <w:sz w:val="32"/>
          <w:szCs w:val="32"/>
          <w:highlight w:val="none"/>
        </w:rPr>
        <w:t>厉行节约，经费减少</w:t>
      </w:r>
      <w:bookmarkEnd w:id="48"/>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16.住房保障支出(类)住房改革支出(款)住房公积金(项):支出决算数为365.18万元，比上年决算增加31.61万元，增长9.48%</w:t>
      </w:r>
      <w:r>
        <w:rPr>
          <w:rFonts w:ascii="仿宋_GB2312" w:eastAsia="仿宋_GB2312"/>
          <w:sz w:val="32"/>
          <w:szCs w:val="32"/>
        </w:rPr>
        <w:t>,</w:t>
      </w:r>
      <w:r>
        <w:rPr>
          <w:rFonts w:hint="eastAsia" w:ascii="仿宋_GB2312" w:eastAsia="仿宋_GB2312"/>
          <w:sz w:val="32"/>
          <w:szCs w:val="32"/>
        </w:rPr>
        <w:t>主要原因是:人员晋升晋级、工资调资，增加人员经费支出。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17.一般公共服务支出(类)人大事务(款)行政运行(项):支出决算数为0.00万元，比上年决算减少26.62万元，下降100%</w:t>
      </w:r>
      <w:r>
        <w:rPr>
          <w:rFonts w:ascii="仿宋_GB2312" w:eastAsia="仿宋_GB2312"/>
          <w:sz w:val="32"/>
          <w:szCs w:val="32"/>
        </w:rPr>
        <w:t>,</w:t>
      </w:r>
      <w:r>
        <w:rPr>
          <w:rFonts w:hint="eastAsia" w:ascii="仿宋_GB2312" w:eastAsia="仿宋_GB2312"/>
          <w:sz w:val="32"/>
          <w:szCs w:val="32"/>
        </w:rPr>
        <w:t>主要原因是:其他工资福利支出进行预算科目调整。</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18.社会保障和就业支出(类)民政管理事务(款)一般行政管理事务(项):支出决算数为0.00万元，比上年决算减少600.00万元，下降100%</w:t>
      </w:r>
      <w:r>
        <w:rPr>
          <w:rFonts w:ascii="仿宋_GB2312" w:eastAsia="仿宋_GB2312"/>
          <w:sz w:val="32"/>
          <w:szCs w:val="32"/>
        </w:rPr>
        <w:t>,</w:t>
      </w:r>
      <w:r>
        <w:rPr>
          <w:rFonts w:hint="eastAsia" w:ascii="仿宋_GB2312" w:eastAsia="仿宋_GB2312"/>
          <w:sz w:val="32"/>
          <w:szCs w:val="32"/>
        </w:rPr>
        <w:t>主要原因是:其他民政事务项目资金进行预算科目调整。</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8,339.59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7,519.52</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离休费、退休费、抚恤金、生活补助、救济费、医疗费补助、奖励金、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820.08万元，包括：办公费、印刷费、手续费、水费、电费、邮电费、取暖费、物业管理费、差旅费、维修（护）费、培训费、专用材料费、工会经费、福利费、公务用车运行维护费、其他交通费用、税金及附加费用、其他商品和服务支出、办公设备购置。</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44.33</w:t>
      </w:r>
      <w:r>
        <w:rPr>
          <w:rFonts w:hint="eastAsia" w:ascii="仿宋_GB2312" w:eastAsia="仿宋_GB2312"/>
          <w:sz w:val="32"/>
          <w:szCs w:val="32"/>
        </w:rPr>
        <w:t>万元，比上年</w:t>
      </w:r>
      <w:r>
        <w:rPr>
          <w:rFonts w:ascii="仿宋_GB2312" w:eastAsia="仿宋_GB2312"/>
          <w:sz w:val="32"/>
          <w:szCs w:val="32"/>
        </w:rPr>
        <w:t>减少22.11</w:t>
      </w:r>
      <w:r>
        <w:rPr>
          <w:rFonts w:hint="eastAsia" w:ascii="仿宋_GB2312" w:eastAsia="仿宋_GB2312"/>
          <w:sz w:val="32"/>
          <w:szCs w:val="32"/>
        </w:rPr>
        <w:t>万元，</w:t>
      </w:r>
      <w:r>
        <w:rPr>
          <w:rFonts w:ascii="仿宋_GB2312" w:eastAsia="仿宋_GB2312"/>
          <w:sz w:val="32"/>
          <w:szCs w:val="32"/>
        </w:rPr>
        <w:t>下降33.28</w:t>
      </w:r>
      <w:r>
        <w:rPr>
          <w:rFonts w:hint="eastAsia" w:ascii="仿宋_GB2312" w:eastAsia="仿宋_GB2312"/>
          <w:sz w:val="32"/>
          <w:szCs w:val="32"/>
        </w:rPr>
        <w:t>%，主要原因是：</w:t>
      </w:r>
      <w:r>
        <w:rPr>
          <w:rFonts w:ascii="仿宋_GB2312" w:eastAsia="仿宋_GB2312"/>
          <w:sz w:val="32"/>
          <w:szCs w:val="32"/>
        </w:rPr>
        <w:t>严格贯彻落实中央八项规定和自治区党委厉行节约，压减支出的要求；严格控制公务车辆运行费用，减少带车前往基层调研频率</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44.33</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%，比上年</w:t>
      </w:r>
      <w:r>
        <w:rPr>
          <w:rFonts w:ascii="仿宋_GB2312" w:eastAsia="仿宋_GB2312"/>
          <w:sz w:val="32"/>
          <w:szCs w:val="32"/>
        </w:rPr>
        <w:t>减少20.96</w:t>
      </w:r>
      <w:r>
        <w:rPr>
          <w:rFonts w:hint="eastAsia" w:ascii="仿宋_GB2312" w:eastAsia="仿宋_GB2312"/>
          <w:sz w:val="32"/>
          <w:szCs w:val="32"/>
        </w:rPr>
        <w:t>万元，</w:t>
      </w:r>
      <w:r>
        <w:rPr>
          <w:rFonts w:ascii="仿宋_GB2312" w:eastAsia="仿宋_GB2312"/>
          <w:sz w:val="32"/>
          <w:szCs w:val="32"/>
        </w:rPr>
        <w:t>下降32.10</w:t>
      </w:r>
      <w:r>
        <w:rPr>
          <w:rFonts w:hint="eastAsia" w:ascii="仿宋_GB2312" w:eastAsia="仿宋_GB2312"/>
          <w:sz w:val="32"/>
          <w:szCs w:val="32"/>
        </w:rPr>
        <w:t>%，主要原因是：</w:t>
      </w:r>
      <w:r>
        <w:rPr>
          <w:rFonts w:ascii="仿宋_GB2312" w:eastAsia="仿宋_GB2312"/>
          <w:sz w:val="32"/>
          <w:szCs w:val="32"/>
        </w:rPr>
        <w:t>严格贯彻落实中央八项规定和自治区党委厉行节约，压减支出的要求；严格控制公务车辆运行费用，减少带车前往基层调研频率</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减少1.15</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因疫情影响，兄弟省市无法前来调研、交流学习，未产生接待费用</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44.33</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44.33</w:t>
      </w:r>
      <w:r>
        <w:rPr>
          <w:rFonts w:hint="eastAsia" w:ascii="仿宋_GB2312" w:eastAsia="仿宋_GB2312"/>
          <w:sz w:val="32"/>
          <w:szCs w:val="32"/>
        </w:rPr>
        <w:t>万元。公务用车运行维护费开支内容包括公务用车燃料费、维修费、过桥过路费、保险费等。公务用车购置数</w:t>
      </w:r>
      <w:r>
        <w:rPr>
          <w:rFonts w:ascii="仿宋_GB2312" w:eastAsia="仿宋_GB2312"/>
          <w:sz w:val="32"/>
          <w:szCs w:val="32"/>
        </w:rPr>
        <w:t>0</w:t>
      </w:r>
      <w:r>
        <w:rPr>
          <w:rFonts w:hint="eastAsia" w:ascii="仿宋_GB2312" w:eastAsia="仿宋_GB2312"/>
          <w:sz w:val="32"/>
          <w:szCs w:val="32"/>
        </w:rPr>
        <w:t>辆，公务用车保有量22辆。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与全年预算数相比情况：“三公”经费支出全年预算数44.33万元，决算数</w:t>
      </w:r>
      <w:r>
        <w:rPr>
          <w:rFonts w:ascii="仿宋_GB2312" w:eastAsia="仿宋_GB2312"/>
          <w:sz w:val="32"/>
          <w:szCs w:val="32"/>
        </w:rPr>
        <w:t>44.33</w:t>
      </w:r>
      <w:r>
        <w:rPr>
          <w:rFonts w:hint="eastAsia" w:ascii="仿宋_GB2312" w:eastAsia="仿宋_GB2312"/>
          <w:sz w:val="32"/>
          <w:szCs w:val="32"/>
        </w:rPr>
        <w:t>万元，预决算差异率0.00%，主要原因是：严格贯彻落实中央八项规定和自治区党委厉行节约，压减支出的要求，严格按照预算安排支出。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预算数44.33万元，决算数44.33万元，预决算差异率0.00%，主要原因是：严格贯彻落实中央八项规定和自治区党委厉行节约，压减支出的要求，严格按照预算安排支出；</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年度政府性基金预算年初结转和结余389.43万元，财政拨款收入</w:t>
      </w:r>
      <w:r>
        <w:rPr>
          <w:rFonts w:ascii="仿宋_GB2312" w:eastAsia="仿宋_GB2312"/>
          <w:sz w:val="32"/>
          <w:szCs w:val="32"/>
        </w:rPr>
        <w:t>1,339.17</w:t>
      </w:r>
      <w:r>
        <w:rPr>
          <w:rFonts w:hint="eastAsia" w:ascii="仿宋_GB2312" w:eastAsia="仿宋_GB2312"/>
          <w:sz w:val="32"/>
          <w:szCs w:val="32"/>
        </w:rPr>
        <w:t>万元，与上年相比，</w:t>
      </w:r>
      <w:r>
        <w:rPr>
          <w:rFonts w:ascii="仿宋_GB2312" w:eastAsia="仿宋_GB2312"/>
          <w:sz w:val="32"/>
          <w:szCs w:val="32"/>
        </w:rPr>
        <w:t>减少252.35</w:t>
      </w:r>
      <w:r>
        <w:rPr>
          <w:rFonts w:hint="eastAsia" w:ascii="仿宋_GB2312" w:eastAsia="仿宋_GB2312"/>
          <w:sz w:val="32"/>
          <w:szCs w:val="32"/>
        </w:rPr>
        <w:t>万元，</w:t>
      </w:r>
      <w:r>
        <w:rPr>
          <w:rFonts w:ascii="仿宋_GB2312" w:eastAsia="仿宋_GB2312"/>
          <w:sz w:val="32"/>
          <w:szCs w:val="32"/>
        </w:rPr>
        <w:t>下降15.86</w:t>
      </w:r>
      <w:r>
        <w:rPr>
          <w:rFonts w:hint="eastAsia" w:ascii="仿宋_GB2312" w:eastAsia="仿宋_GB2312"/>
          <w:sz w:val="32"/>
          <w:szCs w:val="32"/>
        </w:rPr>
        <w:t>%，主要原因是：</w:t>
      </w:r>
      <w:r>
        <w:rPr>
          <w:rFonts w:ascii="仿宋_GB2312" w:eastAsia="仿宋_GB2312"/>
          <w:sz w:val="32"/>
          <w:szCs w:val="32"/>
        </w:rPr>
        <w:t>当年安排项目减少，经费减少，支出减少</w:t>
      </w:r>
      <w:r>
        <w:rPr>
          <w:rFonts w:hint="eastAsia" w:ascii="仿宋_GB2312" w:eastAsia="仿宋_GB2312"/>
          <w:sz w:val="32"/>
          <w:szCs w:val="32"/>
        </w:rPr>
        <w:t>。政府性基金预算年末结转结余616.57万元，财政拨款支出</w:t>
      </w:r>
      <w:r>
        <w:rPr>
          <w:rFonts w:ascii="仿宋_GB2312" w:eastAsia="仿宋_GB2312"/>
          <w:sz w:val="32"/>
          <w:szCs w:val="32"/>
        </w:rPr>
        <w:t>1,112.02</w:t>
      </w:r>
      <w:r>
        <w:rPr>
          <w:rFonts w:hint="eastAsia" w:ascii="仿宋_GB2312" w:eastAsia="仿宋_GB2312"/>
          <w:sz w:val="32"/>
          <w:szCs w:val="32"/>
        </w:rPr>
        <w:t>万元，与上年相比，</w:t>
      </w:r>
      <w:r>
        <w:rPr>
          <w:rFonts w:ascii="仿宋_GB2312" w:eastAsia="仿宋_GB2312"/>
          <w:sz w:val="32"/>
          <w:szCs w:val="32"/>
        </w:rPr>
        <w:t>减少783.80</w:t>
      </w:r>
      <w:r>
        <w:rPr>
          <w:rFonts w:hint="eastAsia" w:ascii="仿宋_GB2312" w:eastAsia="仿宋_GB2312"/>
          <w:sz w:val="32"/>
          <w:szCs w:val="32"/>
        </w:rPr>
        <w:t>万元，</w:t>
      </w:r>
      <w:r>
        <w:rPr>
          <w:rFonts w:ascii="仿宋_GB2312" w:eastAsia="仿宋_GB2312"/>
          <w:sz w:val="32"/>
          <w:szCs w:val="32"/>
        </w:rPr>
        <w:t>下降41.34</w:t>
      </w:r>
      <w:r>
        <w:rPr>
          <w:rFonts w:hint="eastAsia" w:ascii="仿宋_GB2312" w:eastAsia="仿宋_GB2312"/>
          <w:sz w:val="32"/>
          <w:szCs w:val="32"/>
        </w:rPr>
        <w:t>%，主要原因是：</w:t>
      </w:r>
      <w:r>
        <w:rPr>
          <w:rFonts w:ascii="仿宋_GB2312" w:eastAsia="仿宋_GB2312"/>
          <w:sz w:val="32"/>
          <w:szCs w:val="32"/>
        </w:rPr>
        <w:t>当年安排项目减少，经费减少，支出减少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政府性基金预算财政拨款支出1,112.02万元。按功能分类科目项级科目公开，其中：</w:t>
      </w:r>
    </w:p>
    <w:p>
      <w:pPr>
        <w:ind w:firstLine="640" w:firstLineChars="200"/>
        <w:jc w:val="left"/>
        <w:rPr>
          <w:rFonts w:ascii="仿宋_GB2312" w:eastAsia="仿宋_GB2312"/>
          <w:sz w:val="32"/>
          <w:szCs w:val="32"/>
        </w:rPr>
      </w:pPr>
      <w:r>
        <w:rPr>
          <w:rFonts w:hint="eastAsia" w:ascii="仿宋_GB2312" w:eastAsia="仿宋_GB2312"/>
          <w:sz w:val="32"/>
          <w:szCs w:val="32"/>
        </w:rPr>
        <w:t>2296002用于社会福利的彩票公益金支出1,112.02万元。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2022年度新疆维吾尔自治区民政厅（行政单位和参照公务员法管理事业单位）机关运行经费支出</w:t>
      </w:r>
      <w:r>
        <w:rPr>
          <w:rFonts w:ascii="仿宋_GB2312" w:eastAsia="仿宋_GB2312"/>
          <w:sz w:val="32"/>
          <w:szCs w:val="32"/>
        </w:rPr>
        <w:t>560.91</w:t>
      </w:r>
      <w:r>
        <w:rPr>
          <w:rFonts w:hint="eastAsia" w:ascii="仿宋_GB2312" w:eastAsia="仿宋_GB2312"/>
          <w:sz w:val="32"/>
          <w:szCs w:val="32"/>
        </w:rPr>
        <w:t>万元，比上年减少0.22万元，下降0.04%，主要原因是：自治区民政厅直属单位自治区救助管理站供暖方式由自行供暖改为集中供暖，经费减少。</w:t>
      </w:r>
    </w:p>
    <w:p>
      <w:pPr>
        <w:ind w:firstLine="640" w:firstLineChars="200"/>
        <w:rPr>
          <w:rFonts w:ascii="仿宋_GB2312" w:eastAsia="仿宋_GB2312"/>
          <w:sz w:val="32"/>
          <w:szCs w:val="32"/>
        </w:rPr>
      </w:pPr>
      <w:r>
        <w:rPr>
          <w:rFonts w:hint="eastAsia" w:ascii="仿宋_GB2312" w:eastAsia="仿宋_GB2312"/>
          <w:sz w:val="32"/>
          <w:szCs w:val="32"/>
        </w:rPr>
        <w:t>2022年度新疆维吾尔自治区民政厅（事业单位）公用经费</w:t>
      </w:r>
      <w:r>
        <w:rPr>
          <w:rFonts w:ascii="仿宋_GB2312" w:eastAsia="仿宋_GB2312"/>
          <w:sz w:val="32"/>
          <w:szCs w:val="32"/>
        </w:rPr>
        <w:t>259.17</w:t>
      </w:r>
      <w:r>
        <w:rPr>
          <w:rFonts w:hint="eastAsia" w:ascii="仿宋_GB2312" w:eastAsia="仿宋_GB2312"/>
          <w:sz w:val="32"/>
          <w:szCs w:val="32"/>
        </w:rPr>
        <w:t>万元，比上年</w:t>
      </w:r>
      <w:r>
        <w:rPr>
          <w:rFonts w:ascii="仿宋_GB2312" w:eastAsia="仿宋_GB2312"/>
          <w:sz w:val="32"/>
          <w:szCs w:val="32"/>
        </w:rPr>
        <w:t>增加49.47</w:t>
      </w:r>
      <w:r>
        <w:rPr>
          <w:rFonts w:hint="eastAsia" w:ascii="仿宋_GB2312" w:eastAsia="仿宋_GB2312"/>
          <w:sz w:val="32"/>
          <w:szCs w:val="32"/>
        </w:rPr>
        <w:t>万元，</w:t>
      </w:r>
      <w:r>
        <w:rPr>
          <w:rFonts w:ascii="仿宋_GB2312" w:eastAsia="仿宋_GB2312"/>
          <w:sz w:val="32"/>
          <w:szCs w:val="32"/>
        </w:rPr>
        <w:t>增长23.59</w:t>
      </w:r>
      <w:r>
        <w:rPr>
          <w:rFonts w:hint="eastAsia" w:ascii="仿宋_GB2312" w:eastAsia="仿宋_GB2312"/>
          <w:sz w:val="32"/>
          <w:szCs w:val="32"/>
        </w:rPr>
        <w:t>%，主要原因是：因疫情影响，防疫物资经费支出增加。</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5,710.52</w:t>
      </w:r>
      <w:r>
        <w:rPr>
          <w:rFonts w:hint="eastAsia" w:ascii="仿宋_GB2312" w:eastAsia="仿宋_GB2312"/>
          <w:sz w:val="32"/>
          <w:szCs w:val="32"/>
        </w:rPr>
        <w:t>万元，其中：政府采购货物支出</w:t>
      </w:r>
      <w:r>
        <w:rPr>
          <w:rFonts w:ascii="仿宋_GB2312" w:eastAsia="仿宋_GB2312"/>
          <w:sz w:val="32"/>
          <w:szCs w:val="32"/>
        </w:rPr>
        <w:t>2,452.09</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3,258.43</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5,705.84</w:t>
      </w:r>
      <w:r>
        <w:rPr>
          <w:rFonts w:hint="eastAsia" w:ascii="仿宋_GB2312" w:eastAsia="仿宋_GB2312"/>
          <w:sz w:val="32"/>
          <w:szCs w:val="32"/>
        </w:rPr>
        <w:t>万元，占政府采购支出总额的</w:t>
      </w:r>
      <w:r>
        <w:rPr>
          <w:rFonts w:ascii="仿宋_GB2312" w:eastAsia="仿宋_GB2312"/>
          <w:sz w:val="32"/>
          <w:szCs w:val="32"/>
        </w:rPr>
        <w:t>99.92</w:t>
      </w:r>
      <w:r>
        <w:rPr>
          <w:rFonts w:hint="eastAsia" w:ascii="仿宋_GB2312" w:eastAsia="仿宋_GB2312"/>
          <w:sz w:val="32"/>
          <w:szCs w:val="32"/>
        </w:rPr>
        <w:t>%，其中：授予小微企业合同金额</w:t>
      </w:r>
      <w:r>
        <w:rPr>
          <w:rFonts w:ascii="仿宋_GB2312" w:eastAsia="仿宋_GB2312"/>
          <w:sz w:val="32"/>
          <w:szCs w:val="32"/>
        </w:rPr>
        <w:t>5,705.34</w:t>
      </w:r>
      <w:r>
        <w:rPr>
          <w:rFonts w:hint="eastAsia" w:ascii="仿宋_GB2312" w:eastAsia="仿宋_GB2312"/>
          <w:sz w:val="32"/>
          <w:szCs w:val="32"/>
        </w:rPr>
        <w:t>万元，占政府采购支出总额的</w:t>
      </w:r>
      <w:r>
        <w:rPr>
          <w:rFonts w:ascii="仿宋_GB2312" w:eastAsia="仿宋_GB2312"/>
          <w:sz w:val="32"/>
          <w:szCs w:val="32"/>
        </w:rPr>
        <w:t>99.91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4" w:name="_Toc4591"/>
      <w:bookmarkStart w:id="25" w:name="_Toc8391"/>
      <w:r>
        <w:rPr>
          <w:rFonts w:hint="eastAsia" w:ascii="黑体" w:hAnsi="黑体" w:eastAsia="黑体"/>
          <w:sz w:val="32"/>
          <w:szCs w:val="32"/>
        </w:rPr>
        <w:t>（三）国有资产占用情况说明</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截止2022年12月31日，固定资产原值42,034.29万元，房屋</w:t>
      </w:r>
      <w:r>
        <w:rPr>
          <w:rFonts w:ascii="仿宋_GB2312" w:eastAsia="仿宋_GB2312"/>
          <w:sz w:val="32"/>
          <w:szCs w:val="32"/>
        </w:rPr>
        <w:t>170,791.57</w:t>
      </w:r>
      <w:r>
        <w:rPr>
          <w:rFonts w:hint="eastAsia" w:ascii="仿宋_GB2312" w:eastAsia="仿宋_GB2312"/>
          <w:sz w:val="32"/>
          <w:szCs w:val="32"/>
        </w:rPr>
        <w:t>平方米，价值</w:t>
      </w:r>
      <w:r>
        <w:rPr>
          <w:rFonts w:ascii="仿宋_GB2312" w:eastAsia="仿宋_GB2312"/>
          <w:sz w:val="32"/>
          <w:szCs w:val="32"/>
        </w:rPr>
        <w:t>27,812.29</w:t>
      </w:r>
      <w:r>
        <w:rPr>
          <w:rFonts w:hint="eastAsia" w:ascii="仿宋_GB2312" w:eastAsia="仿宋_GB2312"/>
          <w:sz w:val="32"/>
          <w:szCs w:val="32"/>
        </w:rPr>
        <w:t>万元。车辆</w:t>
      </w:r>
      <w:r>
        <w:rPr>
          <w:rFonts w:ascii="仿宋_GB2312" w:eastAsia="仿宋_GB2312"/>
          <w:sz w:val="32"/>
          <w:szCs w:val="32"/>
        </w:rPr>
        <w:t>92</w:t>
      </w:r>
      <w:r>
        <w:rPr>
          <w:rFonts w:hint="eastAsia" w:ascii="仿宋_GB2312" w:eastAsia="仿宋_GB2312"/>
          <w:sz w:val="32"/>
          <w:szCs w:val="32"/>
        </w:rPr>
        <w:t>辆，价值</w:t>
      </w:r>
      <w:r>
        <w:rPr>
          <w:rFonts w:ascii="仿宋_GB2312" w:eastAsia="仿宋_GB2312"/>
          <w:sz w:val="32"/>
          <w:szCs w:val="32"/>
        </w:rPr>
        <w:t>1,680.90</w:t>
      </w:r>
      <w:r>
        <w:rPr>
          <w:rFonts w:hint="eastAsia" w:ascii="仿宋_GB2312" w:eastAsia="仿宋_GB2312"/>
          <w:sz w:val="32"/>
          <w:szCs w:val="32"/>
        </w:rPr>
        <w:t>万元，其中：副部（省）级及以上领导用车0辆、主要领导干部用车6辆、机要通信用车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1</w:t>
      </w:r>
      <w:r>
        <w:rPr>
          <w:rFonts w:hint="eastAsia" w:ascii="仿宋_GB2312" w:eastAsia="仿宋_GB2312"/>
          <w:sz w:val="32"/>
          <w:szCs w:val="32"/>
        </w:rPr>
        <w:t>辆、特种专业技术用车</w:t>
      </w:r>
      <w:r>
        <w:rPr>
          <w:rFonts w:ascii="仿宋_GB2312" w:eastAsia="仿宋_GB2312"/>
          <w:sz w:val="32"/>
          <w:szCs w:val="32"/>
        </w:rPr>
        <w:t>1</w:t>
      </w:r>
      <w:r>
        <w:rPr>
          <w:rFonts w:hint="eastAsia" w:ascii="仿宋_GB2312" w:eastAsia="仿宋_GB2312"/>
          <w:sz w:val="32"/>
          <w:szCs w:val="32"/>
        </w:rPr>
        <w:t>辆、离退休干部用车</w:t>
      </w:r>
      <w:r>
        <w:rPr>
          <w:rFonts w:ascii="仿宋_GB2312" w:eastAsia="仿宋_GB2312"/>
          <w:sz w:val="32"/>
          <w:szCs w:val="32"/>
        </w:rPr>
        <w:t>3</w:t>
      </w:r>
      <w:r>
        <w:rPr>
          <w:rFonts w:hint="eastAsia" w:ascii="仿宋_GB2312" w:eastAsia="仿宋_GB2312"/>
          <w:sz w:val="32"/>
          <w:szCs w:val="32"/>
        </w:rPr>
        <w:t>辆、其他用车</w:t>
      </w:r>
      <w:r>
        <w:rPr>
          <w:rFonts w:ascii="仿宋_GB2312" w:eastAsia="仿宋_GB2312"/>
          <w:sz w:val="32"/>
          <w:szCs w:val="32"/>
        </w:rPr>
        <w:t>81</w:t>
      </w:r>
      <w:r>
        <w:rPr>
          <w:rFonts w:hint="eastAsia" w:ascii="仿宋_GB2312" w:eastAsia="仿宋_GB2312"/>
          <w:sz w:val="32"/>
          <w:szCs w:val="32"/>
        </w:rPr>
        <w:t>辆，其他用车主要是：保障各单位专项业务开展和办公运行；单价100万元（含）以上设备（不含车辆）</w:t>
      </w:r>
      <w:r>
        <w:rPr>
          <w:rFonts w:ascii="仿宋_GB2312" w:eastAsia="仿宋_GB2312"/>
          <w:sz w:val="32"/>
          <w:szCs w:val="32"/>
        </w:rPr>
        <w:t>6</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6" w:name="_Toc435"/>
      <w:bookmarkStart w:id="27" w:name="_Toc11283"/>
      <w:r>
        <w:rPr>
          <w:rFonts w:hint="eastAsia" w:ascii="黑体" w:hAnsi="黑体" w:eastAsia="黑体" w:cs="宋体"/>
          <w:bCs/>
          <w:kern w:val="0"/>
          <w:sz w:val="32"/>
          <w:szCs w:val="32"/>
        </w:rPr>
        <w:t>十一、预算绩效的情况说明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18</w:t>
      </w:r>
      <w:r>
        <w:rPr>
          <w:rFonts w:hint="eastAsia" w:ascii="仿宋_GB2312" w:eastAsia="仿宋_GB2312"/>
          <w:sz w:val="32"/>
          <w:szCs w:val="32"/>
        </w:rPr>
        <w:t>个，全年预算数6555.35万元，全年执行数5123.72万元。预算绩效管理取得的成效：</w:t>
      </w:r>
      <w:r>
        <w:rPr>
          <w:rFonts w:ascii="仿宋_GB2312" w:eastAsia="仿宋_GB2312"/>
          <w:sz w:val="32"/>
          <w:szCs w:val="32"/>
        </w:rPr>
        <w:t>一是帮助困难残障人员实现生活自理能力，提高生活质量；二是培育扶持社会组织，激活社会组织活力</w:t>
      </w:r>
      <w:r>
        <w:rPr>
          <w:rFonts w:hint="eastAsia" w:ascii="仿宋_GB2312" w:eastAsia="仿宋_GB2312"/>
          <w:sz w:val="32"/>
          <w:szCs w:val="32"/>
        </w:rPr>
        <w:t>。发现的问题及原因：</w:t>
      </w:r>
      <w:r>
        <w:rPr>
          <w:rFonts w:ascii="仿宋_GB2312" w:eastAsia="仿宋_GB2312"/>
          <w:sz w:val="32"/>
          <w:szCs w:val="32"/>
        </w:rPr>
        <w:t>一是部分项目实施单位对评价工作的重视程度还不够，对提高预算绩效管理的认识仍然不到位；二是项目绩效目标指标体系的设置还需进一步完善，建立符合民政事业发展的绩效指标，解决绩效指标混乱，统一标准便于考核、评估</w:t>
      </w:r>
      <w:r>
        <w:rPr>
          <w:rFonts w:hint="eastAsia" w:ascii="仿宋_GB2312" w:eastAsia="仿宋_GB2312"/>
          <w:sz w:val="32"/>
          <w:szCs w:val="32"/>
        </w:rPr>
        <w:t>。下一步改进措施：</w:t>
      </w:r>
      <w:r>
        <w:rPr>
          <w:rFonts w:ascii="仿宋_GB2312" w:eastAsia="仿宋_GB2312"/>
          <w:sz w:val="32"/>
          <w:szCs w:val="32"/>
        </w:rPr>
        <w:t>一是坚持全面落实预算绩效管理工作责任。全面实施预算绩效管理是一项重要的政治任务，是优化资源配置、提升服务质量的关键举措，是衡量工作成效的重要手段。强化日常跟踪调度，及时掌握工作动态，抓好制度贯彻落实，确保资金使用依法依规、安全有效，全面提升了预算资金绩效管理能力和水平；二是坚持预算绩效管理实现全覆盖。始终坚持民生优先、群众第一，不折不扣地贯彻落实全面实施预算绩效管理各项政策规定。坚持需求导向，从实际出发，以强化预算绩效管理为主线，以分析、运用绩效评价结果为手段，以构建“全方位、全过程、全覆盖”的预算绩效管理体系为目标，不断增强责任意识，落实管理责任，将资金分配使用融入到预算编制、执行进度、日常监督全过程，着力提高预算绩效管理水平，充分发挥财政资金使用效益，为确保民政事业高质量发展提供有力保障；三是坚持预算绩效管理与重点业务工作有效衔接。各级民政部门始终牢记政治责任，自觉践行“民政为民、民政爱民”工作理念，聚焦民政基本民生保障、基层社会治理、基本社会服务职责；四是坚持预算绩效管理与审计监督贯通协同。开展审计监督是落实预算绩效管理的必然要求，是加强资金使用管理、防范控制风险的重要环节</w:t>
      </w:r>
      <w:r>
        <w:rPr>
          <w:rFonts w:hint="eastAsia" w:ascii="仿宋_GB2312" w:eastAsia="仿宋_GB2312"/>
          <w:sz w:val="32"/>
          <w:szCs w:val="32"/>
        </w:rPr>
        <w:t>。具体项目自评情况见附件。</w:t>
      </w:r>
    </w:p>
    <w:p>
      <w:pPr>
        <w:widowControl/>
        <w:jc w:val="left"/>
        <w:rPr>
          <w:rFonts w:ascii="黑体" w:hAnsi="黑体" w:eastAsia="黑体"/>
          <w:sz w:val="32"/>
          <w:szCs w:val="32"/>
        </w:rPr>
      </w:pPr>
      <w:bookmarkStart w:id="28" w:name="_Toc24143"/>
      <w:bookmarkStart w:id="29" w:name="_Toc3250"/>
      <w:r>
        <w:rPr>
          <w:rFonts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28"/>
      <w:bookmarkEnd w:id="29"/>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0" w:name="_Toc28903"/>
      <w:bookmarkStart w:id="31" w:name="_Toc22784"/>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0"/>
      <w:bookmarkEnd w:id="31"/>
    </w:p>
    <w:p>
      <w:pPr>
        <w:ind w:firstLine="640" w:firstLineChars="200"/>
        <w:outlineLvl w:val="1"/>
        <w:rPr>
          <w:rFonts w:ascii="黑体" w:hAnsi="黑体" w:eastAsia="黑体" w:cs="宋体"/>
          <w:bCs/>
          <w:kern w:val="0"/>
          <w:sz w:val="32"/>
          <w:szCs w:val="32"/>
        </w:rPr>
      </w:pPr>
      <w:bookmarkStart w:id="32" w:name="_Toc2183"/>
      <w:bookmarkStart w:id="33" w:name="_Toc6062"/>
      <w:r>
        <w:rPr>
          <w:rFonts w:hint="eastAsia" w:ascii="黑体" w:hAnsi="黑体" w:eastAsia="黑体" w:cs="宋体"/>
          <w:bCs/>
          <w:kern w:val="0"/>
          <w:sz w:val="32"/>
          <w:szCs w:val="32"/>
        </w:rPr>
        <w:t>一、《收入支出决算总表》</w:t>
      </w:r>
      <w:bookmarkEnd w:id="32"/>
      <w:bookmarkEnd w:id="33"/>
    </w:p>
    <w:p>
      <w:pPr>
        <w:ind w:firstLine="640" w:firstLineChars="200"/>
        <w:outlineLvl w:val="1"/>
        <w:rPr>
          <w:rFonts w:ascii="黑体" w:hAnsi="黑体" w:eastAsia="黑体" w:cs="宋体"/>
          <w:bCs/>
          <w:kern w:val="0"/>
          <w:sz w:val="32"/>
          <w:szCs w:val="32"/>
        </w:rPr>
      </w:pPr>
      <w:bookmarkStart w:id="34" w:name="_Toc30364"/>
      <w:bookmarkStart w:id="35" w:name="_Toc24532"/>
      <w:r>
        <w:rPr>
          <w:rFonts w:hint="eastAsia" w:ascii="黑体" w:hAnsi="黑体" w:eastAsia="黑体" w:cs="宋体"/>
          <w:bCs/>
          <w:kern w:val="0"/>
          <w:sz w:val="32"/>
          <w:szCs w:val="32"/>
        </w:rPr>
        <w:t>二、《收入决算表》</w:t>
      </w:r>
      <w:bookmarkEnd w:id="34"/>
      <w:bookmarkEnd w:id="35"/>
    </w:p>
    <w:p>
      <w:pPr>
        <w:ind w:firstLine="640" w:firstLineChars="200"/>
        <w:outlineLvl w:val="1"/>
        <w:rPr>
          <w:rFonts w:ascii="黑体" w:hAnsi="黑体" w:eastAsia="黑体" w:cs="宋体"/>
          <w:bCs/>
          <w:kern w:val="0"/>
          <w:sz w:val="32"/>
          <w:szCs w:val="32"/>
        </w:rPr>
      </w:pPr>
      <w:bookmarkStart w:id="36" w:name="_Toc21304"/>
      <w:bookmarkStart w:id="37" w:name="_Toc32434"/>
      <w:r>
        <w:rPr>
          <w:rFonts w:hint="eastAsia" w:ascii="黑体" w:hAnsi="黑体" w:eastAsia="黑体" w:cs="宋体"/>
          <w:bCs/>
          <w:kern w:val="0"/>
          <w:sz w:val="32"/>
          <w:szCs w:val="32"/>
        </w:rPr>
        <w:t>三、《支出决算表》</w:t>
      </w:r>
      <w:bookmarkEnd w:id="36"/>
      <w:bookmarkEnd w:id="37"/>
    </w:p>
    <w:p>
      <w:pPr>
        <w:ind w:firstLine="640" w:firstLineChars="200"/>
        <w:outlineLvl w:val="1"/>
        <w:rPr>
          <w:rFonts w:ascii="黑体" w:hAnsi="黑体" w:eastAsia="黑体" w:cs="宋体"/>
          <w:bCs/>
          <w:kern w:val="0"/>
          <w:sz w:val="32"/>
          <w:szCs w:val="32"/>
        </w:rPr>
      </w:pPr>
      <w:bookmarkStart w:id="38" w:name="_Toc14238"/>
      <w:bookmarkStart w:id="39" w:name="_Toc28786"/>
      <w:r>
        <w:rPr>
          <w:rFonts w:hint="eastAsia" w:ascii="黑体" w:hAnsi="黑体" w:eastAsia="黑体" w:cs="宋体"/>
          <w:bCs/>
          <w:kern w:val="0"/>
          <w:sz w:val="32"/>
          <w:szCs w:val="32"/>
        </w:rPr>
        <w:t>四、《财政拨款收入支出决算总表》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10347"/>
      <w:bookmarkStart w:id="41" w:name="_Toc14869"/>
      <w:r>
        <w:rPr>
          <w:rFonts w:hint="eastAsia" w:ascii="黑体" w:hAnsi="黑体" w:eastAsia="黑体" w:cs="宋体"/>
          <w:bCs/>
          <w:kern w:val="0"/>
          <w:sz w:val="32"/>
          <w:szCs w:val="32"/>
        </w:rPr>
        <w:t>五、《一般公共预算财政拨款支出决算表》</w:t>
      </w:r>
      <w:bookmarkEnd w:id="40"/>
      <w:bookmarkEnd w:id="41"/>
    </w:p>
    <w:p>
      <w:pPr>
        <w:ind w:firstLine="640" w:firstLineChars="200"/>
        <w:outlineLvl w:val="1"/>
        <w:rPr>
          <w:rFonts w:ascii="黑体" w:hAnsi="黑体" w:eastAsia="黑体" w:cs="宋体"/>
          <w:bCs/>
          <w:kern w:val="0"/>
          <w:sz w:val="32"/>
          <w:szCs w:val="32"/>
        </w:rPr>
      </w:pPr>
      <w:bookmarkStart w:id="42" w:name="_Toc5626"/>
      <w:bookmarkStart w:id="43" w:name="_Toc8884"/>
      <w:r>
        <w:rPr>
          <w:rFonts w:hint="eastAsia" w:ascii="黑体" w:hAnsi="黑体" w:eastAsia="黑体" w:cs="宋体"/>
          <w:bCs/>
          <w:kern w:val="0"/>
          <w:sz w:val="32"/>
          <w:szCs w:val="32"/>
        </w:rPr>
        <w:t>六、《一般公共预算财政拨款基本支出决算表》</w:t>
      </w:r>
      <w:bookmarkEnd w:id="42"/>
      <w:bookmarkEnd w:id="4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4" w:name="_Toc32663"/>
      <w:bookmarkStart w:id="45" w:name="_Toc29106"/>
      <w:r>
        <w:rPr>
          <w:rFonts w:hint="eastAsia" w:ascii="黑体" w:hAnsi="黑体" w:eastAsia="黑体" w:cs="宋体"/>
          <w:bCs/>
          <w:kern w:val="0"/>
          <w:sz w:val="32"/>
          <w:szCs w:val="32"/>
        </w:rPr>
        <w:t>《财政拨款“三公”经费支出决算表》</w:t>
      </w:r>
      <w:bookmarkEnd w:id="44"/>
      <w:bookmarkEnd w:id="45"/>
    </w:p>
    <w:p>
      <w:pPr>
        <w:ind w:firstLine="640" w:firstLineChars="200"/>
        <w:outlineLvl w:val="1"/>
        <w:rPr>
          <w:rFonts w:ascii="黑体" w:hAnsi="黑体" w:eastAsia="黑体" w:cs="宋体"/>
          <w:bCs/>
          <w:kern w:val="0"/>
          <w:sz w:val="32"/>
          <w:szCs w:val="32"/>
        </w:rPr>
      </w:pPr>
      <w:bookmarkStart w:id="46" w:name="_Toc5453"/>
      <w:bookmarkStart w:id="47" w:name="_Toc7643"/>
      <w:r>
        <w:rPr>
          <w:rFonts w:hint="eastAsia" w:ascii="黑体" w:hAnsi="黑体" w:eastAsia="黑体" w:cs="宋体"/>
          <w:bCs/>
          <w:kern w:val="0"/>
          <w:sz w:val="32"/>
          <w:szCs w:val="32"/>
        </w:rPr>
        <w:t>八、《政府性基金预算财政拨款收入支出决算表》</w:t>
      </w:r>
      <w:bookmarkEnd w:id="46"/>
      <w:bookmarkEnd w:id="47"/>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jMDRkMjQ2YzMyMjNlYzg5YTZlYWFlMjM2Y2NkNWIifQ=="/>
  </w:docVars>
  <w:rsids>
    <w:rsidRoot w:val="00312C27"/>
    <w:rsid w:val="00012F23"/>
    <w:rsid w:val="00021E76"/>
    <w:rsid w:val="000229DC"/>
    <w:rsid w:val="0002765D"/>
    <w:rsid w:val="0003297B"/>
    <w:rsid w:val="000379B3"/>
    <w:rsid w:val="0005626F"/>
    <w:rsid w:val="000724E7"/>
    <w:rsid w:val="0008509D"/>
    <w:rsid w:val="00090520"/>
    <w:rsid w:val="000A0B31"/>
    <w:rsid w:val="000D2344"/>
    <w:rsid w:val="000D267C"/>
    <w:rsid w:val="000E7B17"/>
    <w:rsid w:val="00135BB7"/>
    <w:rsid w:val="0016194B"/>
    <w:rsid w:val="001762A3"/>
    <w:rsid w:val="00185C9C"/>
    <w:rsid w:val="001B0BD1"/>
    <w:rsid w:val="001B147B"/>
    <w:rsid w:val="001C3354"/>
    <w:rsid w:val="00215836"/>
    <w:rsid w:val="00221441"/>
    <w:rsid w:val="00224B57"/>
    <w:rsid w:val="002259E8"/>
    <w:rsid w:val="00235C0B"/>
    <w:rsid w:val="00240AA1"/>
    <w:rsid w:val="00263A81"/>
    <w:rsid w:val="00271C68"/>
    <w:rsid w:val="00294495"/>
    <w:rsid w:val="0029483B"/>
    <w:rsid w:val="002A2698"/>
    <w:rsid w:val="002D1584"/>
    <w:rsid w:val="00312C27"/>
    <w:rsid w:val="00352E78"/>
    <w:rsid w:val="00366326"/>
    <w:rsid w:val="003A21C7"/>
    <w:rsid w:val="003B1B1F"/>
    <w:rsid w:val="003C2E0F"/>
    <w:rsid w:val="003D686F"/>
    <w:rsid w:val="003F04B0"/>
    <w:rsid w:val="003F1325"/>
    <w:rsid w:val="003F3219"/>
    <w:rsid w:val="00411B2D"/>
    <w:rsid w:val="00435C19"/>
    <w:rsid w:val="00436039"/>
    <w:rsid w:val="00460D47"/>
    <w:rsid w:val="00484954"/>
    <w:rsid w:val="004A0689"/>
    <w:rsid w:val="004C2483"/>
    <w:rsid w:val="004C3288"/>
    <w:rsid w:val="004C4A14"/>
    <w:rsid w:val="004C6A74"/>
    <w:rsid w:val="004D41E0"/>
    <w:rsid w:val="0050663B"/>
    <w:rsid w:val="00517943"/>
    <w:rsid w:val="005310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49BA"/>
    <w:rsid w:val="007A247A"/>
    <w:rsid w:val="007A31DF"/>
    <w:rsid w:val="007B559C"/>
    <w:rsid w:val="007D31C5"/>
    <w:rsid w:val="007E0AAA"/>
    <w:rsid w:val="007E2227"/>
    <w:rsid w:val="007F2258"/>
    <w:rsid w:val="0081064F"/>
    <w:rsid w:val="0084474D"/>
    <w:rsid w:val="0089722A"/>
    <w:rsid w:val="008A0B2C"/>
    <w:rsid w:val="008A44AF"/>
    <w:rsid w:val="008B33C8"/>
    <w:rsid w:val="008D0631"/>
    <w:rsid w:val="00905908"/>
    <w:rsid w:val="00914C96"/>
    <w:rsid w:val="00926C84"/>
    <w:rsid w:val="00927CCC"/>
    <w:rsid w:val="00955F5A"/>
    <w:rsid w:val="00986787"/>
    <w:rsid w:val="00A22AE4"/>
    <w:rsid w:val="00A347A6"/>
    <w:rsid w:val="00A3556A"/>
    <w:rsid w:val="00A636E4"/>
    <w:rsid w:val="00A87103"/>
    <w:rsid w:val="00AB776D"/>
    <w:rsid w:val="00B03B50"/>
    <w:rsid w:val="00B33BF0"/>
    <w:rsid w:val="00B35A42"/>
    <w:rsid w:val="00B4517D"/>
    <w:rsid w:val="00B92C80"/>
    <w:rsid w:val="00BA3B30"/>
    <w:rsid w:val="00BC6347"/>
    <w:rsid w:val="00BC69BD"/>
    <w:rsid w:val="00BD3218"/>
    <w:rsid w:val="00BD5200"/>
    <w:rsid w:val="00BE4763"/>
    <w:rsid w:val="00BF7AA6"/>
    <w:rsid w:val="00C0408D"/>
    <w:rsid w:val="00C23286"/>
    <w:rsid w:val="00C25C01"/>
    <w:rsid w:val="00C37871"/>
    <w:rsid w:val="00C65103"/>
    <w:rsid w:val="00C66483"/>
    <w:rsid w:val="00C72285"/>
    <w:rsid w:val="00C77B7E"/>
    <w:rsid w:val="00C90C12"/>
    <w:rsid w:val="00CA6634"/>
    <w:rsid w:val="00CB036E"/>
    <w:rsid w:val="00CD3225"/>
    <w:rsid w:val="00CF5B51"/>
    <w:rsid w:val="00CF7E34"/>
    <w:rsid w:val="00D020FB"/>
    <w:rsid w:val="00D41FF8"/>
    <w:rsid w:val="00D6267B"/>
    <w:rsid w:val="00D64C5E"/>
    <w:rsid w:val="00D66A40"/>
    <w:rsid w:val="00D76208"/>
    <w:rsid w:val="00D8609B"/>
    <w:rsid w:val="00DA3B1B"/>
    <w:rsid w:val="00DF2FD8"/>
    <w:rsid w:val="00E04D53"/>
    <w:rsid w:val="00E2268A"/>
    <w:rsid w:val="00E25E17"/>
    <w:rsid w:val="00E3623A"/>
    <w:rsid w:val="00E45222"/>
    <w:rsid w:val="00EB34D7"/>
    <w:rsid w:val="00EC60C6"/>
    <w:rsid w:val="00EE4EA5"/>
    <w:rsid w:val="00EE6071"/>
    <w:rsid w:val="00F0691A"/>
    <w:rsid w:val="00F20986"/>
    <w:rsid w:val="00F20EB6"/>
    <w:rsid w:val="00F216E3"/>
    <w:rsid w:val="00F26856"/>
    <w:rsid w:val="00F30DDE"/>
    <w:rsid w:val="00F53C2D"/>
    <w:rsid w:val="00F66B7F"/>
    <w:rsid w:val="00F7210D"/>
    <w:rsid w:val="00F8314A"/>
    <w:rsid w:val="00F95054"/>
    <w:rsid w:val="00FF6A37"/>
    <w:rsid w:val="034D4FEF"/>
    <w:rsid w:val="043E5B56"/>
    <w:rsid w:val="06792773"/>
    <w:rsid w:val="0A7B4867"/>
    <w:rsid w:val="0AE83DE6"/>
    <w:rsid w:val="0B8C3ECC"/>
    <w:rsid w:val="0BBA0A81"/>
    <w:rsid w:val="0BFB8529"/>
    <w:rsid w:val="0C7227A7"/>
    <w:rsid w:val="0F3317C1"/>
    <w:rsid w:val="12386E6F"/>
    <w:rsid w:val="14155180"/>
    <w:rsid w:val="15F06E99"/>
    <w:rsid w:val="1C7A04C1"/>
    <w:rsid w:val="1DAF458D"/>
    <w:rsid w:val="1EF995AE"/>
    <w:rsid w:val="20DD6197"/>
    <w:rsid w:val="21A91B81"/>
    <w:rsid w:val="222A65E3"/>
    <w:rsid w:val="23BC04D2"/>
    <w:rsid w:val="23FB0802"/>
    <w:rsid w:val="25F019F2"/>
    <w:rsid w:val="277F0ACA"/>
    <w:rsid w:val="27CF2642"/>
    <w:rsid w:val="2A053397"/>
    <w:rsid w:val="2CEE4744"/>
    <w:rsid w:val="2D1136DF"/>
    <w:rsid w:val="2DD47676"/>
    <w:rsid w:val="2E743C6A"/>
    <w:rsid w:val="2F916B46"/>
    <w:rsid w:val="2FD27414"/>
    <w:rsid w:val="2FD45ADE"/>
    <w:rsid w:val="31C63837"/>
    <w:rsid w:val="341E030F"/>
    <w:rsid w:val="34531D84"/>
    <w:rsid w:val="35D6F27C"/>
    <w:rsid w:val="35FB19DD"/>
    <w:rsid w:val="3914510A"/>
    <w:rsid w:val="3B12207E"/>
    <w:rsid w:val="3B3C07D5"/>
    <w:rsid w:val="3D2A665C"/>
    <w:rsid w:val="3D5275AC"/>
    <w:rsid w:val="40834692"/>
    <w:rsid w:val="41A84A67"/>
    <w:rsid w:val="448437A4"/>
    <w:rsid w:val="44F4368F"/>
    <w:rsid w:val="454126C2"/>
    <w:rsid w:val="45E16709"/>
    <w:rsid w:val="46901EEE"/>
    <w:rsid w:val="469C74D2"/>
    <w:rsid w:val="46DA4E4A"/>
    <w:rsid w:val="47A53BB1"/>
    <w:rsid w:val="49B933AA"/>
    <w:rsid w:val="4A6B0F8B"/>
    <w:rsid w:val="4B4C0111"/>
    <w:rsid w:val="50DB5F45"/>
    <w:rsid w:val="52F92565"/>
    <w:rsid w:val="55CE6BE9"/>
    <w:rsid w:val="56DF2CCF"/>
    <w:rsid w:val="57E43B01"/>
    <w:rsid w:val="583059FA"/>
    <w:rsid w:val="5ABB586A"/>
    <w:rsid w:val="5FA17648"/>
    <w:rsid w:val="5FFFA7DE"/>
    <w:rsid w:val="61A46A97"/>
    <w:rsid w:val="62CE58C5"/>
    <w:rsid w:val="62DD7D21"/>
    <w:rsid w:val="65D97752"/>
    <w:rsid w:val="675AF75A"/>
    <w:rsid w:val="68DB0208"/>
    <w:rsid w:val="69AD798C"/>
    <w:rsid w:val="6B68175F"/>
    <w:rsid w:val="6E0F7A08"/>
    <w:rsid w:val="6EFC15CC"/>
    <w:rsid w:val="71473612"/>
    <w:rsid w:val="718F7F65"/>
    <w:rsid w:val="73F7554E"/>
    <w:rsid w:val="73FB6630"/>
    <w:rsid w:val="74E76DCD"/>
    <w:rsid w:val="779F98E5"/>
    <w:rsid w:val="77ED6F44"/>
    <w:rsid w:val="79B7B2DF"/>
    <w:rsid w:val="7EEFA9D3"/>
    <w:rsid w:val="BBF7A191"/>
    <w:rsid w:val="BE5EE88F"/>
    <w:rsid w:val="BE7ED5C1"/>
    <w:rsid w:val="D5EFC120"/>
    <w:rsid w:val="DDF50548"/>
    <w:rsid w:val="EF9FD094"/>
    <w:rsid w:val="FA74411E"/>
    <w:rsid w:val="FFFEB13B"/>
  </w:rsids>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annotation reference"/>
    <w:basedOn w:val="9"/>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character" w:customStyle="1" w:styleId="15">
    <w:name w:val="批注框文本 字符"/>
    <w:basedOn w:val="9"/>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21</Pages>
  <Words>7832</Words>
  <Characters>8896</Characters>
  <Lines>79</Lines>
  <Paragraphs>22</Paragraphs>
  <ScaleCrop>false</ScaleCrop>
  <LinksUpToDate>false</LinksUpToDate>
  <CharactersWithSpaces>8932</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GXR</dc:creator>
  <cp:lastModifiedBy>1205</cp:lastModifiedBy>
  <dcterms:modified xsi:type="dcterms:W3CDTF">2024-08-06T12:22:21Z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450F969ACD1B426EA23123C3601580AE_13</vt:lpwstr>
  </property>
</Properties>
</file>