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w:t>
      </w:r>
      <w:r>
        <w:rPr>
          <w:rFonts w:hint="eastAsia" w:ascii="方正小标宋_GBK" w:hAnsi="华文中宋" w:eastAsia="方正小标宋_GBK" w:cs="宋体"/>
          <w:b/>
          <w:kern w:val="0"/>
          <w:sz w:val="48"/>
          <w:szCs w:val="48"/>
          <w:lang w:eastAsia="zh-CN"/>
        </w:rPr>
        <w:t>整体</w:t>
      </w: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w:t>
      </w:r>
      <w:r>
        <w:rPr>
          <w:rStyle w:val="19"/>
          <w:rFonts w:hint="eastAsia" w:ascii="楷体" w:hAnsi="楷体" w:eastAsia="楷体"/>
          <w:spacing w:val="-4"/>
          <w:sz w:val="32"/>
          <w:szCs w:val="32"/>
          <w:lang w:val="en-US" w:eastAsia="zh-CN"/>
        </w:rPr>
        <w:t>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w w:val="66"/>
          <w:kern w:val="0"/>
          <w:sz w:val="36"/>
          <w:szCs w:val="36"/>
        </w:rPr>
        <w:t>救助管理站流浪未成年人教育培训安置中心建设项目</w:t>
      </w:r>
    </w:p>
    <w:p>
      <w:pPr>
        <w:spacing w:line="540" w:lineRule="exact"/>
        <w:ind w:firstLine="567"/>
        <w:rPr>
          <w:rFonts w:ascii="楷体" w:hAnsi="楷体" w:eastAsia="楷体"/>
          <w:b/>
          <w:bCs/>
          <w:spacing w:val="-4"/>
          <w:w w:val="90"/>
          <w:sz w:val="32"/>
          <w:szCs w:val="32"/>
        </w:rPr>
      </w:pPr>
      <w:r>
        <w:rPr>
          <w:rFonts w:hint="eastAsia" w:hAnsi="宋体" w:eastAsia="仿宋_GB2312" w:cs="宋体"/>
          <w:kern w:val="0"/>
          <w:sz w:val="36"/>
          <w:szCs w:val="36"/>
        </w:rPr>
        <w:t xml:space="preserve">  实施单位（公章）：</w:t>
      </w:r>
      <w:r>
        <w:rPr>
          <w:rFonts w:hint="eastAsia" w:hAnsi="宋体" w:eastAsia="仿宋_GB2312" w:cs="宋体"/>
          <w:w w:val="90"/>
          <w:kern w:val="0"/>
          <w:sz w:val="36"/>
          <w:szCs w:val="36"/>
        </w:rPr>
        <w:t>新疆维吾尔自治区救助管理站</w:t>
      </w:r>
    </w:p>
    <w:p>
      <w:pPr>
        <w:spacing w:line="540" w:lineRule="exact"/>
        <w:ind w:firstLine="900" w:firstLineChars="250"/>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新疆维吾尔自治区民政厅</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项目负责人（签章）：米热阿地力江·阿不来提</w:t>
      </w:r>
    </w:p>
    <w:p>
      <w:pPr>
        <w:spacing w:line="540" w:lineRule="exact"/>
        <w:ind w:left="273" w:firstLine="567"/>
        <w:rPr>
          <w:rStyle w:val="19"/>
          <w:rFonts w:hint="default" w:ascii="楷体" w:hAnsi="楷体" w:eastAsia="仿宋_GB2312"/>
          <w:spacing w:val="-4"/>
          <w:sz w:val="32"/>
          <w:szCs w:val="32"/>
          <w:lang w:val="en-US" w:eastAsia="zh-CN"/>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2023年1月13日</w:t>
      </w:r>
    </w:p>
    <w:p>
      <w:pPr>
        <w:spacing w:line="700" w:lineRule="exact"/>
        <w:ind w:firstLine="707"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b w:val="0"/>
          <w:spacing w:val="-4"/>
          <w:sz w:val="32"/>
          <w:szCs w:val="32"/>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1.项目背景及主要内容</w:t>
      </w:r>
      <w:r>
        <w:rPr>
          <w:rStyle w:val="19"/>
          <w:rFonts w:hint="eastAsia" w:ascii="楷体" w:hAnsi="楷体" w:eastAsia="楷体"/>
          <w:spacing w:val="-4"/>
          <w:sz w:val="32"/>
          <w:szCs w:val="32"/>
          <w:lang w:eastAsia="zh-CN"/>
        </w:rPr>
        <w:t>。</w:t>
      </w:r>
      <w:r>
        <w:rPr>
          <w:rStyle w:val="19"/>
          <w:rFonts w:hint="eastAsia" w:ascii="方正仿宋_GBK" w:hAnsi="方正仿宋_GBK" w:eastAsia="方正仿宋_GBK" w:cs="方正仿宋_GBK"/>
          <w:b w:val="0"/>
          <w:bCs w:val="0"/>
          <w:spacing w:val="-4"/>
          <w:sz w:val="32"/>
          <w:szCs w:val="32"/>
        </w:rPr>
        <w:t>为切实加强和改进流浪乞讨人员及未成年人保护、救助能力，保障其基本生活，维护合法权益，</w:t>
      </w:r>
      <w:r>
        <w:rPr>
          <w:rStyle w:val="19"/>
          <w:rFonts w:hint="eastAsia" w:ascii="方正仿宋_GBK" w:hAnsi="方正仿宋_GBK" w:eastAsia="方正仿宋_GBK" w:cs="方正仿宋_GBK"/>
          <w:b w:val="0"/>
          <w:bCs w:val="0"/>
          <w:spacing w:val="-4"/>
          <w:sz w:val="32"/>
          <w:szCs w:val="32"/>
          <w:lang w:val="en-US" w:eastAsia="zh-CN"/>
        </w:rPr>
        <w:t>根据</w:t>
      </w:r>
      <w:r>
        <w:rPr>
          <w:rStyle w:val="19"/>
          <w:rFonts w:hint="eastAsia" w:ascii="方正仿宋_GBK" w:hAnsi="方正仿宋_GBK" w:eastAsia="方正仿宋_GBK" w:cs="方正仿宋_GBK"/>
          <w:b w:val="0"/>
          <w:bCs w:val="0"/>
          <w:spacing w:val="-4"/>
          <w:sz w:val="32"/>
          <w:szCs w:val="32"/>
        </w:rPr>
        <w:t>新发改社会【2011】3222号文件《关于自治区救助管理站流浪未成年人教育培训安置中心建设项目立项的批复》</w:t>
      </w:r>
      <w:r>
        <w:rPr>
          <w:rStyle w:val="19"/>
          <w:rFonts w:hint="eastAsia" w:ascii="方正仿宋_GBK" w:hAnsi="方正仿宋_GBK" w:eastAsia="方正仿宋_GBK" w:cs="方正仿宋_GBK"/>
          <w:b w:val="0"/>
          <w:bCs w:val="0"/>
          <w:spacing w:val="-4"/>
          <w:sz w:val="32"/>
          <w:szCs w:val="32"/>
          <w:lang w:eastAsia="zh-CN"/>
        </w:rPr>
        <w:t>、</w:t>
      </w:r>
      <w:r>
        <w:rPr>
          <w:rStyle w:val="19"/>
          <w:rFonts w:hint="eastAsia" w:ascii="方正仿宋_GBK" w:hAnsi="方正仿宋_GBK" w:eastAsia="方正仿宋_GBK" w:cs="方正仿宋_GBK"/>
          <w:b w:val="0"/>
          <w:bCs w:val="0"/>
          <w:spacing w:val="-4"/>
          <w:sz w:val="32"/>
          <w:szCs w:val="32"/>
        </w:rPr>
        <w:t>自治区人民政府办公厅2012年4月5日的“关于协调解决自治区本级民政福利设施建设项目用地问题现场办公会议纪要”</w:t>
      </w:r>
      <w:r>
        <w:rPr>
          <w:rStyle w:val="19"/>
          <w:rFonts w:hint="eastAsia" w:ascii="方正仿宋_GBK" w:hAnsi="方正仿宋_GBK" w:eastAsia="方正仿宋_GBK" w:cs="方正仿宋_GBK"/>
          <w:b w:val="0"/>
          <w:bCs w:val="0"/>
          <w:spacing w:val="-4"/>
          <w:sz w:val="32"/>
          <w:szCs w:val="32"/>
          <w:lang w:eastAsia="zh-CN"/>
        </w:rPr>
        <w:t>、</w:t>
      </w:r>
      <w:r>
        <w:rPr>
          <w:rStyle w:val="19"/>
          <w:rFonts w:hint="eastAsia" w:ascii="方正仿宋_GBK" w:hAnsi="方正仿宋_GBK" w:eastAsia="方正仿宋_GBK" w:cs="方正仿宋_GBK"/>
          <w:b w:val="0"/>
          <w:bCs w:val="0"/>
          <w:spacing w:val="-4"/>
          <w:sz w:val="32"/>
          <w:szCs w:val="32"/>
        </w:rPr>
        <w:t>新发改社会【2014】1799号文件《自治区发展改革委关于自治区救助管理站流浪未成年人教育培训安置中心建设项目可行性研究报告的批复》</w:t>
      </w:r>
      <w:r>
        <w:rPr>
          <w:rStyle w:val="19"/>
          <w:rFonts w:hint="eastAsia" w:ascii="方正仿宋_GBK" w:hAnsi="方正仿宋_GBK" w:eastAsia="方正仿宋_GBK" w:cs="方正仿宋_GBK"/>
          <w:b w:val="0"/>
          <w:bCs w:val="0"/>
          <w:spacing w:val="-4"/>
          <w:sz w:val="32"/>
          <w:szCs w:val="32"/>
          <w:lang w:val="en-US" w:eastAsia="zh-CN"/>
        </w:rPr>
        <w:t>和</w:t>
      </w:r>
      <w:r>
        <w:rPr>
          <w:rStyle w:val="19"/>
          <w:rFonts w:hint="eastAsia" w:ascii="方正仿宋_GBK" w:hAnsi="方正仿宋_GBK" w:eastAsia="方正仿宋_GBK" w:cs="方正仿宋_GBK"/>
          <w:b w:val="0"/>
          <w:bCs w:val="0"/>
          <w:spacing w:val="-4"/>
          <w:sz w:val="32"/>
          <w:szCs w:val="32"/>
        </w:rPr>
        <w:t>新发改社会【2015】386号文件，《自治区发展改革委关于自治区救助管理站流浪未成年人教育培训安置中心建设项目初步设计的批复》</w:t>
      </w:r>
      <w:r>
        <w:rPr>
          <w:rStyle w:val="19"/>
          <w:rFonts w:hint="eastAsia" w:ascii="方正仿宋_GBK" w:hAnsi="方正仿宋_GBK" w:eastAsia="方正仿宋_GBK" w:cs="方正仿宋_GBK"/>
          <w:b w:val="0"/>
          <w:bCs w:val="0"/>
          <w:spacing w:val="-4"/>
          <w:sz w:val="32"/>
          <w:szCs w:val="32"/>
          <w:lang w:val="en-US" w:eastAsia="zh-CN"/>
        </w:rPr>
        <w:t>等</w:t>
      </w:r>
      <w:r>
        <w:rPr>
          <w:rStyle w:val="19"/>
          <w:rFonts w:hint="eastAsia" w:ascii="方正仿宋_GBK" w:hAnsi="方正仿宋_GBK" w:eastAsia="方正仿宋_GBK" w:cs="方正仿宋_GBK"/>
          <w:b w:val="0"/>
          <w:bCs w:val="0"/>
          <w:spacing w:val="-4"/>
          <w:sz w:val="32"/>
          <w:szCs w:val="32"/>
        </w:rPr>
        <w:t>实施自治区救助站流浪未成年人教育培训安置中心建设项目</w:t>
      </w:r>
      <w:r>
        <w:rPr>
          <w:rStyle w:val="19"/>
          <w:rFonts w:hint="eastAsia" w:ascii="方正仿宋_GBK" w:hAnsi="方正仿宋_GBK" w:eastAsia="方正仿宋_GBK" w:cs="方正仿宋_GBK"/>
          <w:b w:val="0"/>
          <w:bCs w:val="0"/>
          <w:spacing w:val="-4"/>
          <w:sz w:val="32"/>
          <w:szCs w:val="32"/>
          <w:lang w:eastAsia="zh-CN"/>
        </w:rPr>
        <w:t>。</w:t>
      </w:r>
      <w:r>
        <w:rPr>
          <w:rStyle w:val="19"/>
          <w:rFonts w:hint="eastAsia" w:ascii="方正仿宋_GBK" w:hAnsi="方正仿宋_GBK" w:eastAsia="方正仿宋_GBK" w:cs="方正仿宋_GBK"/>
          <w:b w:val="0"/>
          <w:bCs w:val="0"/>
          <w:spacing w:val="-4"/>
          <w:sz w:val="32"/>
          <w:szCs w:val="32"/>
        </w:rPr>
        <w:tab/>
      </w:r>
      <w:r>
        <w:rPr>
          <w:rStyle w:val="19"/>
          <w:rFonts w:hint="eastAsia" w:ascii="方正仿宋_GBK" w:hAnsi="方正仿宋_GBK" w:eastAsia="方正仿宋_GBK" w:cs="方正仿宋_GBK"/>
          <w:b w:val="0"/>
          <w:bCs w:val="0"/>
          <w:spacing w:val="-4"/>
          <w:sz w:val="32"/>
          <w:szCs w:val="32"/>
        </w:rPr>
        <w:tab/>
      </w:r>
      <w:r>
        <w:rPr>
          <w:rStyle w:val="19"/>
          <w:rFonts w:hint="eastAsia" w:ascii="方正仿宋_GBK" w:hAnsi="方正仿宋_GBK" w:eastAsia="方正仿宋_GBK" w:cs="方正仿宋_GBK"/>
          <w:b w:val="0"/>
          <w:bCs w:val="0"/>
          <w:spacing w:val="-4"/>
          <w:sz w:val="32"/>
          <w:szCs w:val="32"/>
        </w:rPr>
        <w:tab/>
      </w:r>
      <w:r>
        <w:rPr>
          <w:rStyle w:val="19"/>
          <w:rFonts w:hint="eastAsia" w:ascii="楷体" w:hAnsi="楷体" w:eastAsia="楷体"/>
          <w:spacing w:val="-4"/>
          <w:sz w:val="32"/>
          <w:szCs w:val="32"/>
        </w:rPr>
        <w:tab/>
      </w:r>
      <w:r>
        <w:rPr>
          <w:rStyle w:val="19"/>
          <w:rFonts w:hint="eastAsia" w:ascii="楷体" w:hAnsi="楷体" w:eastAsia="楷体"/>
          <w:spacing w:val="-4"/>
          <w:sz w:val="32"/>
          <w:szCs w:val="32"/>
        </w:rPr>
        <w:tab/>
      </w:r>
      <w:r>
        <w:rPr>
          <w:rStyle w:val="19"/>
          <w:rFonts w:hint="eastAsia" w:ascii="楷体" w:hAnsi="楷体" w:eastAsia="楷体"/>
          <w:spacing w:val="-4"/>
          <w:sz w:val="32"/>
          <w:szCs w:val="32"/>
        </w:rPr>
        <w:tab/>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default" w:ascii="楷体" w:hAnsi="楷体" w:eastAsia="方正仿宋_GBK"/>
          <w:spacing w:val="-4"/>
          <w:sz w:val="32"/>
          <w:szCs w:val="32"/>
          <w:lang w:val="en-US" w:eastAsia="zh-CN"/>
        </w:rPr>
      </w:pPr>
      <w:r>
        <w:rPr>
          <w:rStyle w:val="19"/>
          <w:rFonts w:hint="eastAsia" w:ascii="楷体" w:hAnsi="楷体" w:eastAsia="楷体"/>
          <w:spacing w:val="-4"/>
          <w:sz w:val="32"/>
          <w:szCs w:val="32"/>
        </w:rPr>
        <w:t>2.主要内容及实施情况</w:t>
      </w:r>
      <w:r>
        <w:rPr>
          <w:rStyle w:val="19"/>
          <w:rFonts w:hint="eastAsia" w:ascii="楷体" w:hAnsi="楷体" w:eastAsia="楷体"/>
          <w:spacing w:val="-4"/>
          <w:sz w:val="32"/>
          <w:szCs w:val="32"/>
          <w:lang w:eastAsia="zh-CN"/>
        </w:rPr>
        <w:t>。</w:t>
      </w:r>
      <w:r>
        <w:rPr>
          <w:rStyle w:val="19"/>
          <w:rFonts w:hint="eastAsia" w:ascii="方正仿宋_GBK" w:hAnsi="方正仿宋_GBK" w:eastAsia="方正仿宋_GBK" w:cs="方正仿宋_GBK"/>
          <w:b w:val="0"/>
          <w:bCs w:val="0"/>
          <w:spacing w:val="-4"/>
          <w:sz w:val="32"/>
          <w:szCs w:val="32"/>
        </w:rPr>
        <w:t>项目主要建设内容包括救助中心用房、技能培训室、医疗服务中心、生活用房及其他辅助用房等，并配置教育、技能培训等设备</w:t>
      </w:r>
      <w:r>
        <w:rPr>
          <w:rStyle w:val="19"/>
          <w:rFonts w:hint="eastAsia" w:ascii="方正仿宋_GBK" w:hAnsi="方正仿宋_GBK" w:eastAsia="方正仿宋_GBK" w:cs="方正仿宋_GBK"/>
          <w:b w:val="0"/>
          <w:bCs w:val="0"/>
          <w:spacing w:val="-4"/>
          <w:sz w:val="32"/>
          <w:szCs w:val="32"/>
          <w:lang w:eastAsia="zh-CN"/>
        </w:rPr>
        <w:t>。</w:t>
      </w:r>
      <w:r>
        <w:rPr>
          <w:rStyle w:val="19"/>
          <w:rFonts w:hint="eastAsia" w:ascii="方正仿宋_GBK" w:hAnsi="方正仿宋_GBK" w:eastAsia="方正仿宋_GBK" w:cs="方正仿宋_GBK"/>
          <w:b w:val="0"/>
          <w:bCs w:val="0"/>
          <w:spacing w:val="-4"/>
          <w:sz w:val="32"/>
          <w:szCs w:val="32"/>
          <w:lang w:val="en-US" w:eastAsia="zh-CN"/>
        </w:rPr>
        <w:t>该</w:t>
      </w:r>
      <w:r>
        <w:rPr>
          <w:rStyle w:val="19"/>
          <w:rFonts w:hint="eastAsia" w:ascii="方正仿宋_GBK" w:hAnsi="方正仿宋_GBK" w:eastAsia="方正仿宋_GBK" w:cs="方正仿宋_GBK"/>
          <w:b w:val="0"/>
          <w:bCs w:val="0"/>
          <w:spacing w:val="-4"/>
          <w:sz w:val="32"/>
          <w:szCs w:val="32"/>
        </w:rPr>
        <w:t>工程于2013年开工建设，2015年底主体建筑完工，2019年11月投入使用</w:t>
      </w:r>
      <w:r>
        <w:rPr>
          <w:rStyle w:val="19"/>
          <w:rFonts w:hint="eastAsia" w:ascii="方正仿宋_GBK" w:hAnsi="方正仿宋_GBK" w:eastAsia="方正仿宋_GBK" w:cs="方正仿宋_GBK"/>
          <w:b w:val="0"/>
          <w:bCs w:val="0"/>
          <w:spacing w:val="-4"/>
          <w:sz w:val="32"/>
          <w:szCs w:val="32"/>
          <w:lang w:eastAsia="zh-CN"/>
        </w:rPr>
        <w:t>；</w:t>
      </w:r>
      <w:r>
        <w:rPr>
          <w:rStyle w:val="19"/>
          <w:rFonts w:hint="eastAsia" w:ascii="方正仿宋_GBK" w:hAnsi="方正仿宋_GBK" w:eastAsia="方正仿宋_GBK" w:cs="方正仿宋_GBK"/>
          <w:b w:val="0"/>
          <w:bCs w:val="0"/>
          <w:spacing w:val="-4"/>
          <w:sz w:val="32"/>
          <w:szCs w:val="32"/>
        </w:rPr>
        <w:t>但受原民政厅党组书记莫娟违法违纪案件影响，厅党组重新委托第三方工程咨询造价有限公司进行二次审核结算，发现前任出具的跟踪审计结算报告缺少发票确认等关键环节、不合规，导致审计结算价金额与原跟踪审计结算价金额差异较大；且施工方坚持要求等关键当事人该项目经理王军（因行贿违法被检察机关羁押、判刑，于2022年3月刑满释放）出狱后才能继续协商，由此该结算纠纷不得不搁浅</w:t>
      </w:r>
      <w:r>
        <w:rPr>
          <w:rStyle w:val="19"/>
          <w:rFonts w:hint="eastAsia" w:ascii="方正仿宋_GBK" w:hAnsi="方正仿宋_GBK" w:eastAsia="方正仿宋_GBK" w:cs="方正仿宋_GBK"/>
          <w:b w:val="0"/>
          <w:bCs w:val="0"/>
          <w:spacing w:val="-4"/>
          <w:sz w:val="32"/>
          <w:szCs w:val="32"/>
          <w:lang w:eastAsia="zh-CN"/>
        </w:rPr>
        <w:t>，</w:t>
      </w:r>
      <w:r>
        <w:rPr>
          <w:rStyle w:val="19"/>
          <w:rFonts w:hint="eastAsia" w:ascii="方正仿宋_GBK" w:hAnsi="方正仿宋_GBK" w:eastAsia="方正仿宋_GBK" w:cs="方正仿宋_GBK"/>
          <w:b w:val="0"/>
          <w:bCs w:val="0"/>
          <w:spacing w:val="-4"/>
          <w:sz w:val="32"/>
          <w:szCs w:val="32"/>
          <w:lang w:val="en-US" w:eastAsia="zh-CN"/>
        </w:rPr>
        <w:t>经上级部门批准年初将项目因纠纷未支付的部分尾款和质保金、履约保证金等申报该“流浪未成年人教育培训安置中心建设项目”（实有资金），合计748.01万元。</w:t>
      </w:r>
    </w:p>
    <w:p>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default" w:ascii="方正仿宋_GBK" w:hAnsi="方正仿宋_GBK" w:eastAsia="方正仿宋_GBK" w:cs="方正仿宋_GBK"/>
          <w:b w:val="0"/>
          <w:bCs w:val="0"/>
          <w:spacing w:val="-4"/>
          <w:sz w:val="32"/>
          <w:szCs w:val="32"/>
          <w:lang w:val="en-US" w:eastAsia="zh-CN"/>
        </w:rPr>
      </w:pPr>
      <w:r>
        <w:rPr>
          <w:rStyle w:val="19"/>
          <w:rFonts w:hint="eastAsia" w:ascii="楷体" w:hAnsi="楷体" w:eastAsia="楷体"/>
          <w:spacing w:val="-4"/>
          <w:sz w:val="32"/>
          <w:szCs w:val="32"/>
        </w:rPr>
        <w:t>（1）资金投入情况</w:t>
      </w:r>
      <w:r>
        <w:rPr>
          <w:rStyle w:val="19"/>
          <w:rFonts w:hint="eastAsia" w:ascii="楷体" w:hAnsi="楷体" w:eastAsia="楷体"/>
          <w:spacing w:val="-4"/>
          <w:sz w:val="32"/>
          <w:szCs w:val="32"/>
          <w:lang w:eastAsia="zh-CN"/>
        </w:rPr>
        <w:t>。</w:t>
      </w:r>
      <w:r>
        <w:rPr>
          <w:rStyle w:val="19"/>
          <w:rFonts w:hint="eastAsia" w:ascii="方正仿宋_GBK" w:hAnsi="方正仿宋_GBK" w:eastAsia="方正仿宋_GBK" w:cs="方正仿宋_GBK"/>
          <w:b w:val="0"/>
          <w:bCs w:val="0"/>
          <w:spacing w:val="-4"/>
          <w:sz w:val="32"/>
          <w:szCs w:val="32"/>
          <w:lang w:val="en-US" w:eastAsia="zh-CN"/>
        </w:rPr>
        <w:t>该实有资金项目主要由因纠纷未支付的主体工程和室外附属工程尾款，及项目质保金和履约保证金等组成，合计748.01万元。</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（2）使用情况</w:t>
      </w:r>
      <w:r>
        <w:rPr>
          <w:rStyle w:val="19"/>
          <w:rFonts w:hint="eastAsia" w:ascii="楷体" w:hAnsi="楷体" w:eastAsia="楷体"/>
          <w:color w:val="auto"/>
          <w:spacing w:val="-4"/>
          <w:sz w:val="32"/>
          <w:szCs w:val="32"/>
          <w:lang w:eastAsia="zh-CN"/>
        </w:rPr>
        <w:t>。</w:t>
      </w:r>
      <w:r>
        <w:rPr>
          <w:rStyle w:val="19"/>
          <w:rFonts w:hint="eastAsia" w:ascii="方正仿宋_GBK" w:hAnsi="方正仿宋_GBK" w:eastAsia="方正仿宋_GBK" w:cs="方正仿宋_GBK"/>
          <w:b w:val="0"/>
          <w:bCs w:val="0"/>
          <w:color w:val="auto"/>
          <w:spacing w:val="-4"/>
          <w:sz w:val="32"/>
          <w:szCs w:val="32"/>
          <w:lang w:val="en-US" w:eastAsia="zh-CN"/>
        </w:rPr>
        <w:t>截止12月31日，资金执行57.96万元，支出进度7.75%。</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楷体" w:hAnsi="楷体" w:eastAsia="楷体"/>
          <w:spacing w:val="-4"/>
          <w:sz w:val="32"/>
          <w:szCs w:val="32"/>
        </w:rPr>
        <w:t>（1）总体目标</w:t>
      </w:r>
      <w:r>
        <w:rPr>
          <w:rStyle w:val="19"/>
          <w:rFonts w:hint="eastAsia" w:ascii="楷体" w:hAnsi="楷体" w:eastAsia="楷体"/>
          <w:spacing w:val="-4"/>
          <w:sz w:val="32"/>
          <w:szCs w:val="32"/>
          <w:lang w:eastAsia="zh-CN"/>
        </w:rPr>
        <w:t>。</w:t>
      </w:r>
      <w:r>
        <w:rPr>
          <w:rStyle w:val="19"/>
          <w:rFonts w:hint="eastAsia" w:ascii="方正仿宋_GBK" w:hAnsi="方正仿宋_GBK" w:eastAsia="方正仿宋_GBK" w:cs="方正仿宋_GBK"/>
          <w:b w:val="0"/>
          <w:bCs w:val="0"/>
          <w:spacing w:val="-4"/>
          <w:sz w:val="32"/>
          <w:szCs w:val="32"/>
          <w:lang w:val="en-US" w:eastAsia="zh-CN"/>
        </w:rPr>
        <w:t>为切实加强和改进流浪乞讨人员及未成年人保护、救助能力，保障其基本生活，维护合法权益，实施自治区救助站流浪未成年人教育培训安置中心建设项目，主要建设内容包括：救助中心用房、技能培训室、医疗服务中心、生活用房及其他辅助用房等，并配置教育、技能培训等设备。</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楷体" w:hAnsi="楷体" w:eastAsia="楷体"/>
          <w:spacing w:val="-4"/>
          <w:sz w:val="32"/>
          <w:szCs w:val="32"/>
          <w:lang w:eastAsia="zh-CN"/>
        </w:rPr>
      </w:pPr>
      <w:r>
        <w:rPr>
          <w:rStyle w:val="19"/>
          <w:rFonts w:hint="eastAsia" w:ascii="楷体" w:hAnsi="楷体" w:eastAsia="楷体"/>
          <w:spacing w:val="-4"/>
          <w:sz w:val="32"/>
          <w:szCs w:val="32"/>
        </w:rPr>
        <w:t>（2）阶段性目标</w:t>
      </w:r>
      <w:r>
        <w:rPr>
          <w:rStyle w:val="19"/>
          <w:rFonts w:hint="eastAsia" w:ascii="楷体" w:hAnsi="楷体" w:eastAsia="楷体"/>
          <w:spacing w:val="-4"/>
          <w:sz w:val="32"/>
          <w:szCs w:val="32"/>
          <w:lang w:eastAsia="zh-CN"/>
        </w:rPr>
        <w:t>。</w:t>
      </w:r>
      <w:r>
        <w:rPr>
          <w:rStyle w:val="19"/>
          <w:rFonts w:hint="eastAsia" w:ascii="方正仿宋_GBK" w:hAnsi="方正仿宋_GBK" w:eastAsia="方正仿宋_GBK" w:cs="方正仿宋_GBK"/>
          <w:b w:val="0"/>
          <w:bCs w:val="0"/>
          <w:spacing w:val="-4"/>
          <w:sz w:val="32"/>
          <w:szCs w:val="32"/>
          <w:lang w:val="en-US" w:eastAsia="zh-CN"/>
        </w:rPr>
        <w:t>按照民政部提出的“救急难、托底线、保民生”的民政工作要求，单位认真执行新发改项目[2015]386号等文件要求，确保项目建设进度和工程质量，并不断完善教育、技能培训等设备的配置，为安置救助流浪乞讨人员、生活无着危重病人和精神病人、临时遇困群众和未成年人等各项工作提供必要保障。</w:t>
      </w:r>
      <w:r>
        <w:rPr>
          <w:rStyle w:val="19"/>
          <w:rFonts w:hint="eastAsia" w:ascii="方正仿宋_GBK" w:hAnsi="方正仿宋_GBK" w:eastAsia="方正仿宋_GBK" w:cs="方正仿宋_GBK"/>
          <w:b w:val="0"/>
          <w:bCs w:val="0"/>
          <w:spacing w:val="-4"/>
          <w:sz w:val="32"/>
          <w:szCs w:val="32"/>
          <w:lang w:val="en-US" w:eastAsia="zh-CN"/>
        </w:rPr>
        <w:tab/>
      </w:r>
      <w:r>
        <w:rPr>
          <w:rStyle w:val="19"/>
          <w:rFonts w:hint="eastAsia" w:ascii="方正仿宋_GBK" w:hAnsi="方正仿宋_GBK" w:eastAsia="方正仿宋_GBK" w:cs="方正仿宋_GBK"/>
          <w:b w:val="0"/>
          <w:bCs w:val="0"/>
          <w:spacing w:val="-4"/>
          <w:sz w:val="32"/>
          <w:szCs w:val="32"/>
          <w:lang w:val="en-US" w:eastAsia="zh-CN"/>
        </w:rPr>
        <w:tab/>
      </w:r>
      <w:r>
        <w:rPr>
          <w:rStyle w:val="19"/>
          <w:rFonts w:hint="eastAsia" w:ascii="方正仿宋_GBK" w:hAnsi="方正仿宋_GBK" w:eastAsia="方正仿宋_GBK" w:cs="方正仿宋_GBK"/>
          <w:b w:val="0"/>
          <w:bCs w:val="0"/>
          <w:spacing w:val="-4"/>
          <w:sz w:val="32"/>
          <w:szCs w:val="32"/>
          <w:lang w:val="en-US" w:eastAsia="zh-CN"/>
        </w:rPr>
        <w:tab/>
      </w:r>
      <w:r>
        <w:rPr>
          <w:rStyle w:val="19"/>
          <w:rFonts w:hint="eastAsia" w:ascii="方正仿宋_GBK" w:hAnsi="方正仿宋_GBK" w:eastAsia="方正仿宋_GBK" w:cs="方正仿宋_GBK"/>
          <w:b w:val="0"/>
          <w:bCs w:val="0"/>
          <w:spacing w:val="-4"/>
          <w:sz w:val="32"/>
          <w:szCs w:val="32"/>
          <w:lang w:val="en-US" w:eastAsia="zh-CN"/>
        </w:rPr>
        <w:tab/>
      </w:r>
      <w:r>
        <w:rPr>
          <w:rStyle w:val="19"/>
          <w:rFonts w:hint="eastAsia" w:ascii="方正仿宋_GBK" w:hAnsi="方正仿宋_GBK" w:eastAsia="方正仿宋_GBK" w:cs="方正仿宋_GBK"/>
          <w:b w:val="0"/>
          <w:bCs w:val="0"/>
          <w:spacing w:val="-4"/>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通过绩效评价了解流浪未成年人教育培训安置中心建设项目情况及取得的效果，监控项目资金管理中存在的问题，为确保资金安全、提升资金使用效益，加强财政支出的规范化管理，完善预算编制、加强绩效目标管理和绩效考核等工作提供重要参考依据，并提出有效建议和措施等，从而更好完成“救急难、托底线、保民生”的民政工作要求。</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楷体" w:hAnsi="楷体" w:eastAsia="楷体"/>
          <w:spacing w:val="-4"/>
          <w:sz w:val="32"/>
          <w:szCs w:val="32"/>
          <w:lang w:val="en-US" w:eastAsia="zh-CN"/>
        </w:rPr>
        <w:t>1、绩效评价原则。</w:t>
      </w:r>
      <w:r>
        <w:rPr>
          <w:rStyle w:val="19"/>
          <w:rFonts w:hint="eastAsia" w:ascii="方正仿宋_GBK" w:hAnsi="方正仿宋_GBK" w:eastAsia="方正仿宋_GBK" w:cs="方正仿宋_GBK"/>
          <w:b w:val="0"/>
          <w:bCs w:val="0"/>
          <w:spacing w:val="-4"/>
          <w:sz w:val="32"/>
          <w:szCs w:val="32"/>
          <w:lang w:val="en-US" w:eastAsia="zh-CN"/>
        </w:rPr>
        <w:t>（1）科学规范。绩效评价应当运用科学合理的方法，严格遵循既定程序。对项目绩效进行客观、公正的反映。（2）分级分类。根据该资金的使用过程，根据救助原则及特点分类组织实施。（3）绩效相关。支出与其产出之间有紧密相关关系，绩效评价结果应与预算安排、政策调整、改进管理实质性挂钩，体现奖优罚劣和激励相容导向，有效要安排、低效要压减、无效要问责。（4）公开公正。绩效评价结果应客观公正并依法依规公开，并自觉接受社会监督。</w:t>
      </w:r>
    </w:p>
    <w:p>
      <w:pPr>
        <w:spacing w:line="560" w:lineRule="exact"/>
        <w:ind w:firstLine="626" w:firstLineChars="200"/>
        <w:jc w:val="left"/>
        <w:rPr>
          <w:rFonts w:hint="eastAsia" w:ascii="仿宋_GB2312" w:hAnsi="仿宋" w:eastAsia="仿宋_GB2312" w:cs="宋体"/>
          <w:color w:val="333333"/>
          <w:sz w:val="32"/>
          <w:szCs w:val="32"/>
          <w:lang w:bidi="ar"/>
        </w:rPr>
      </w:pPr>
      <w:r>
        <w:rPr>
          <w:rStyle w:val="19"/>
          <w:rFonts w:hint="eastAsia" w:ascii="楷体" w:hAnsi="楷体" w:eastAsia="楷体"/>
          <w:spacing w:val="-4"/>
          <w:sz w:val="32"/>
          <w:szCs w:val="32"/>
          <w:lang w:val="en-US" w:eastAsia="zh-CN"/>
        </w:rPr>
        <w:t>2、评价指标体系。</w:t>
      </w:r>
      <w:r>
        <w:rPr>
          <w:rFonts w:hint="eastAsia" w:ascii="仿宋_GB2312" w:hAnsi="仿宋" w:eastAsia="仿宋_GB2312" w:cs="宋体"/>
          <w:color w:val="333333"/>
          <w:sz w:val="32"/>
          <w:szCs w:val="32"/>
          <w:lang w:bidi="ar"/>
        </w:rPr>
        <w:t>本次</w:t>
      </w:r>
      <w:r>
        <w:rPr>
          <w:rFonts w:hint="eastAsia" w:ascii="仿宋_GB2312" w:hAnsi="仿宋" w:eastAsia="仿宋_GB2312" w:cs="宋体"/>
          <w:color w:val="333333"/>
          <w:sz w:val="32"/>
          <w:szCs w:val="32"/>
          <w:lang w:val="en-US" w:eastAsia="zh-CN" w:bidi="ar"/>
        </w:rPr>
        <w:t>项目绩效评价指标体系</w:t>
      </w:r>
      <w:r>
        <w:rPr>
          <w:rStyle w:val="19"/>
          <w:rFonts w:hint="eastAsia" w:ascii="方正仿宋_GBK" w:hAnsi="方正仿宋_GBK" w:eastAsia="方正仿宋_GBK" w:cs="方正仿宋_GBK"/>
          <w:b w:val="0"/>
          <w:bCs w:val="0"/>
          <w:spacing w:val="-4"/>
          <w:sz w:val="32"/>
          <w:szCs w:val="32"/>
          <w:lang w:val="en-US" w:eastAsia="zh-CN"/>
        </w:rPr>
        <w:t>由共性指标和个性指标两部分构成，</w:t>
      </w:r>
      <w:r>
        <w:rPr>
          <w:rFonts w:hint="eastAsia" w:ascii="仿宋_GB2312" w:hAnsi="仿宋" w:eastAsia="仿宋_GB2312" w:cs="宋体"/>
          <w:color w:val="333333"/>
          <w:sz w:val="32"/>
          <w:szCs w:val="32"/>
          <w:lang w:bidi="ar"/>
        </w:rPr>
        <w:t>共性指标下设预算执行数1个一级指标；个性指标下设产出指标、效益指标和满意度指标3个一级指标，其中：产出指标下设数量、质量、时效和成本4个二级指标；效益指标下设社会效益1个二级指标；满意度指标下设满意度1个二级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项目绩效评价指标体系详见下表：</w:t>
      </w:r>
    </w:p>
    <w:tbl>
      <w:tblPr>
        <w:tblStyle w:val="17"/>
        <w:tblW w:w="84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416"/>
        <w:gridCol w:w="1313"/>
        <w:gridCol w:w="2034"/>
        <w:gridCol w:w="3080"/>
        <w:gridCol w:w="1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blHeader/>
          <w:jc w:val="center"/>
        </w:trPr>
        <w:tc>
          <w:tcPr>
            <w:tcW w:w="286" w:type="dxa"/>
            <w:vMerge w:val="restart"/>
            <w:tcBorders>
              <w:tl2br w:val="nil"/>
              <w:tr2bl w:val="nil"/>
            </w:tcBorders>
            <w:shd w:val="clear" w:color="auto" w:fill="D7D7D7" w:themeFill="background1" w:themeFillShade="D8"/>
            <w:vAlign w:val="center"/>
          </w:tcPr>
          <w:p>
            <w:pPr>
              <w:bidi w:val="0"/>
              <w:rPr>
                <w:rFonts w:hint="eastAsia"/>
              </w:rPr>
            </w:pPr>
          </w:p>
        </w:tc>
        <w:tc>
          <w:tcPr>
            <w:tcW w:w="1334" w:type="dxa"/>
            <w:vMerge w:val="restart"/>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2070" w:type="dxa"/>
            <w:vMerge w:val="restart"/>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135" w:type="dxa"/>
            <w:vMerge w:val="restart"/>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665" w:type="dxa"/>
            <w:vMerge w:val="restart"/>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blHeader/>
          <w:jc w:val="center"/>
        </w:trPr>
        <w:tc>
          <w:tcPr>
            <w:tcW w:w="286" w:type="dxa"/>
            <w:vMerge w:val="continue"/>
            <w:tcBorders>
              <w:bottom w:val="single" w:color="auto" w:sz="4" w:space="0"/>
              <w:tl2br w:val="nil"/>
              <w:tr2bl w:val="nil"/>
            </w:tcBorders>
            <w:shd w:val="clear" w:color="auto" w:fill="D7D7D7" w:themeFill="background1" w:themeFillShade="D8"/>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D7D7D7" w:themeFill="background1" w:themeFillShade="D8"/>
            <w:vAlign w:val="center"/>
          </w:tcPr>
          <w:p>
            <w:pPr>
              <w:jc w:val="center"/>
              <w:rPr>
                <w:rFonts w:hint="eastAsia" w:ascii="宋体" w:hAnsi="宋体" w:eastAsia="宋体" w:cs="宋体"/>
                <w:i w:val="0"/>
                <w:iCs w:val="0"/>
                <w:color w:val="000000"/>
                <w:sz w:val="20"/>
                <w:szCs w:val="20"/>
                <w:u w:val="none"/>
              </w:rPr>
            </w:pPr>
          </w:p>
        </w:tc>
        <w:tc>
          <w:tcPr>
            <w:tcW w:w="2070" w:type="dxa"/>
            <w:vMerge w:val="continue"/>
            <w:tcBorders>
              <w:tl2br w:val="nil"/>
              <w:tr2bl w:val="nil"/>
            </w:tcBorders>
            <w:shd w:val="clear" w:color="auto" w:fill="D7D7D7" w:themeFill="background1" w:themeFillShade="D8"/>
            <w:vAlign w:val="center"/>
          </w:tcPr>
          <w:p>
            <w:pPr>
              <w:jc w:val="center"/>
              <w:rPr>
                <w:rFonts w:hint="eastAsia" w:ascii="宋体" w:hAnsi="宋体" w:eastAsia="宋体" w:cs="宋体"/>
                <w:i w:val="0"/>
                <w:iCs w:val="0"/>
                <w:color w:val="000000"/>
                <w:sz w:val="20"/>
                <w:szCs w:val="20"/>
                <w:u w:val="none"/>
              </w:rPr>
            </w:pPr>
          </w:p>
        </w:tc>
        <w:tc>
          <w:tcPr>
            <w:tcW w:w="3135" w:type="dxa"/>
            <w:vMerge w:val="continue"/>
            <w:tcBorders>
              <w:tl2br w:val="nil"/>
              <w:tr2bl w:val="nil"/>
            </w:tcBorders>
            <w:shd w:val="clear" w:color="auto" w:fill="D7D7D7" w:themeFill="background1" w:themeFillShade="D8"/>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l2br w:val="nil"/>
              <w:tr2bl w:val="nil"/>
            </w:tcBorders>
            <w:shd w:val="clear" w:color="auto" w:fill="D7D7D7" w:themeFill="background1" w:themeFillShade="D8"/>
            <w:vAlign w:val="center"/>
          </w:tcPr>
          <w:p>
            <w:pPr>
              <w:jc w:val="center"/>
              <w:rPr>
                <w:rFonts w:hint="eastAsia" w:ascii="宋体" w:hAnsi="宋体" w:eastAsia="宋体" w:cs="宋体"/>
                <w:i w:val="0"/>
                <w:iCs w:val="0"/>
                <w:color w:val="000000"/>
                <w:sz w:val="20"/>
                <w:szCs w:val="20"/>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restart"/>
            <w:tcBorders>
              <w:top w:val="single" w:color="auto" w:sz="4" w:space="0"/>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334"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预算执行</w:t>
            </w:r>
          </w:p>
        </w:tc>
        <w:tc>
          <w:tcPr>
            <w:tcW w:w="2070"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预算执行</w:t>
            </w: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预算执行率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按计划执行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07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项目建设面积</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=17658平方米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r>
              <w:rPr>
                <w:rStyle w:val="47"/>
                <w:lang w:val="en-US" w:eastAsia="zh-CN" w:bidi="ar"/>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工程按期完成率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日常巡查维修及时率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2070"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3135"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加强和改进流浪未成年人救助保护能力，提高流浪未成年人基本生活保障度</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正常运转率</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86"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07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313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政策适用的流浪未成年人满意度</w:t>
            </w:r>
          </w:p>
        </w:tc>
        <w:tc>
          <w:tcPr>
            <w:tcW w:w="166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楷体" w:hAnsi="楷体" w:eastAsia="楷体"/>
          <w:spacing w:val="-4"/>
          <w:sz w:val="32"/>
          <w:szCs w:val="32"/>
          <w:lang w:val="en-US" w:eastAsia="zh-CN"/>
        </w:rPr>
        <w:t>3、绩效评价标准。</w:t>
      </w:r>
      <w:r>
        <w:rPr>
          <w:rStyle w:val="19"/>
          <w:rFonts w:hint="eastAsia" w:ascii="方正仿宋_GBK" w:hAnsi="方正仿宋_GBK" w:eastAsia="方正仿宋_GBK" w:cs="方正仿宋_GBK"/>
          <w:b w:val="0"/>
          <w:bCs w:val="0"/>
          <w:spacing w:val="-4"/>
          <w:sz w:val="32"/>
          <w:szCs w:val="32"/>
          <w:lang w:val="en-US" w:eastAsia="zh-CN"/>
        </w:rPr>
        <w:t>本次绩效评价综合采用计划标准、历史标准、预算支出标准等对绩效指标完成情况进行比较。</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楷体" w:hAnsi="楷体" w:eastAsia="楷体"/>
          <w:spacing w:val="-4"/>
          <w:sz w:val="32"/>
          <w:szCs w:val="32"/>
          <w:lang w:val="en-US" w:eastAsia="zh-CN"/>
        </w:rPr>
        <w:t>4、评价方法。</w:t>
      </w:r>
      <w:r>
        <w:rPr>
          <w:rStyle w:val="19"/>
          <w:rFonts w:hint="eastAsia" w:ascii="方正仿宋_GBK" w:hAnsi="方正仿宋_GBK" w:eastAsia="方正仿宋_GBK" w:cs="方正仿宋_GBK"/>
          <w:b w:val="0"/>
          <w:bCs w:val="0"/>
          <w:spacing w:val="-4"/>
          <w:sz w:val="32"/>
          <w:szCs w:val="32"/>
          <w:lang w:val="en-US" w:eastAsia="zh-CN"/>
        </w:rPr>
        <w:t>本次绩效评价将2022年内的资金支出、项目完成情况、社会效益等进行综合分析，以评价绩效目标实现程度。针对本项目，在评价过程中主要采用了综合指数评价法法。</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楷体" w:hAnsi="楷体" w:eastAsia="楷体"/>
          <w:spacing w:val="-4"/>
          <w:sz w:val="32"/>
          <w:szCs w:val="32"/>
          <w:lang w:val="en-US" w:eastAsia="zh-CN"/>
        </w:rPr>
        <w:t>（三）绩效评价工作过程。</w:t>
      </w:r>
      <w:r>
        <w:rPr>
          <w:rStyle w:val="19"/>
          <w:rFonts w:hint="eastAsia" w:ascii="方正仿宋_GBK" w:hAnsi="方正仿宋_GBK" w:eastAsia="方正仿宋_GBK" w:cs="方正仿宋_GBK"/>
          <w:b w:val="0"/>
          <w:bCs w:val="0"/>
          <w:spacing w:val="-4"/>
          <w:sz w:val="32"/>
          <w:szCs w:val="32"/>
          <w:lang w:val="en-US" w:eastAsia="zh-CN"/>
        </w:rPr>
        <w:t>根据年初制定的评价指标体系及评分标准，通过数据采集、资料来源和依据等佐证材料，开展绩效评价工作。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对流浪未成年人教育培训安置中心建设项目进行客观评价，最终评分结果：总得分为83.27分，属于“良好”。其中：项目预算执行指标权重为10分，得分为0.78分，得分率为7.75%；项目绩效权重为90分，得分为82.49分，得分率为91.66%。</w:t>
      </w:r>
    </w:p>
    <w:tbl>
      <w:tblPr>
        <w:tblStyle w:val="17"/>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0" w:type="dxa"/>
          <w:left w:w="108" w:type="dxa"/>
          <w:bottom w:w="0" w:type="dxa"/>
          <w:right w:w="108" w:type="dxa"/>
        </w:tblCellMar>
      </w:tblPr>
      <w:tblGrid>
        <w:gridCol w:w="2660"/>
        <w:gridCol w:w="2127"/>
        <w:gridCol w:w="1986"/>
        <w:gridCol w:w="17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tblHeader/>
        </w:trPr>
        <w:tc>
          <w:tcPr>
            <w:tcW w:w="2660" w:type="dxa"/>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一级指标</w:t>
            </w:r>
          </w:p>
        </w:tc>
        <w:tc>
          <w:tcPr>
            <w:tcW w:w="2127" w:type="dxa"/>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权重</w:t>
            </w:r>
          </w:p>
        </w:tc>
        <w:tc>
          <w:tcPr>
            <w:tcW w:w="1986" w:type="dxa"/>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得分率</w:t>
            </w:r>
          </w:p>
        </w:tc>
        <w:tc>
          <w:tcPr>
            <w:tcW w:w="1700" w:type="dxa"/>
            <w:tcBorders>
              <w:tl2br w:val="nil"/>
              <w:tr2bl w:val="nil"/>
            </w:tcBorders>
            <w:shd w:val="clear" w:color="auto" w:fill="D7D7D7" w:themeFill="background1" w:themeFillShade="D8"/>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tblHeader/>
        </w:trPr>
        <w:tc>
          <w:tcPr>
            <w:tcW w:w="26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项目预算执行</w:t>
            </w:r>
          </w:p>
        </w:tc>
        <w:tc>
          <w:tcPr>
            <w:tcW w:w="2127"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w:t>
            </w:r>
          </w:p>
        </w:tc>
        <w:tc>
          <w:tcPr>
            <w:tcW w:w="1986"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7.75%</w:t>
            </w:r>
          </w:p>
        </w:tc>
        <w:tc>
          <w:tcPr>
            <w:tcW w:w="1700"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0.78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tblHeader/>
        </w:trPr>
        <w:tc>
          <w:tcPr>
            <w:tcW w:w="26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项目绩效</w:t>
            </w:r>
          </w:p>
        </w:tc>
        <w:tc>
          <w:tcPr>
            <w:tcW w:w="2127"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90</w:t>
            </w:r>
          </w:p>
        </w:tc>
        <w:tc>
          <w:tcPr>
            <w:tcW w:w="1986" w:type="dxa"/>
            <w:tcBorders>
              <w:tl2br w:val="nil"/>
              <w:tr2bl w:val="nil"/>
            </w:tcBorders>
            <w:shd w:val="clear" w:color="auto" w:fill="auto"/>
            <w:vAlign w:val="center"/>
          </w:tcPr>
          <w:p>
            <w:pPr>
              <w:keepNext w:val="0"/>
              <w:keepLines w:val="0"/>
              <w:widowControl/>
              <w:suppressLineNumbers w:val="0"/>
              <w:ind w:firstLine="600" w:firstLineChars="30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91.66</w:t>
            </w:r>
            <w:r>
              <w:rPr>
                <w:rFonts w:hint="eastAsia" w:ascii="宋体" w:hAnsi="宋体" w:eastAsia="宋体" w:cs="宋体"/>
                <w:i w:val="0"/>
                <w:iCs w:val="0"/>
                <w:color w:val="000000"/>
                <w:kern w:val="0"/>
                <w:sz w:val="20"/>
                <w:szCs w:val="20"/>
                <w:u w:val="none"/>
                <w:lang w:val="en-US" w:eastAsia="zh-CN" w:bidi="ar"/>
              </w:rPr>
              <w:t>%</w:t>
            </w:r>
          </w:p>
        </w:tc>
        <w:tc>
          <w:tcPr>
            <w:tcW w:w="1700"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82.49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tblHeader/>
        </w:trPr>
        <w:tc>
          <w:tcPr>
            <w:tcW w:w="26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  计</w:t>
            </w:r>
          </w:p>
        </w:tc>
        <w:tc>
          <w:tcPr>
            <w:tcW w:w="212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986"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83.27</w:t>
            </w:r>
            <w:r>
              <w:rPr>
                <w:rFonts w:hint="eastAsia" w:ascii="宋体" w:hAnsi="宋体" w:eastAsia="宋体" w:cs="宋体"/>
                <w:i w:val="0"/>
                <w:iCs w:val="0"/>
                <w:color w:val="000000"/>
                <w:kern w:val="0"/>
                <w:sz w:val="20"/>
                <w:szCs w:val="20"/>
                <w:u w:val="none"/>
                <w:lang w:val="en-US" w:eastAsia="zh-CN" w:bidi="ar"/>
              </w:rPr>
              <w:t>%</w:t>
            </w:r>
          </w:p>
        </w:tc>
        <w:tc>
          <w:tcPr>
            <w:tcW w:w="1700"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83.27</w:t>
            </w:r>
          </w:p>
        </w:tc>
      </w:tr>
    </w:tbl>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Fonts w:hint="default" w:ascii="楷体" w:hAnsi="楷体" w:eastAsia="楷体"/>
          <w:b/>
          <w:spacing w:val="-4"/>
          <w:sz w:val="32"/>
          <w:szCs w:val="32"/>
          <w:lang w:val="en-US"/>
        </w:rPr>
      </w:pPr>
      <w:r>
        <w:rPr>
          <w:rFonts w:hint="eastAsia" w:ascii="楷体" w:hAnsi="楷体" w:eastAsia="楷体"/>
          <w:b/>
          <w:spacing w:val="-4"/>
          <w:sz w:val="32"/>
          <w:szCs w:val="32"/>
        </w:rPr>
        <w:t>（一）项目预算执行情况。</w:t>
      </w:r>
      <w:r>
        <w:rPr>
          <w:rStyle w:val="19"/>
          <w:rFonts w:hint="eastAsia" w:ascii="方正仿宋_GBK" w:hAnsi="方正仿宋_GBK" w:eastAsia="方正仿宋_GBK" w:cs="方正仿宋_GBK"/>
          <w:b w:val="0"/>
          <w:bCs w:val="0"/>
          <w:spacing w:val="-4"/>
          <w:sz w:val="32"/>
          <w:szCs w:val="32"/>
          <w:lang w:val="en-US" w:eastAsia="zh-CN"/>
        </w:rPr>
        <w:t>流浪未成年人教育培训安置中心项目受原民政厅党组书记莫娟违法违纪案件影响产生结算纠纷，未支付的部分尾款和质保金、履约保证金等经批准本年初申报实有资金项目，合计748.01万元。因为施工方坚持要求等关键当事人项目经理王军（因行贿违法被检察机关羁押、判刑，于2022年3月刑满释放）出狱后才能继续协商，且今年我单位因疫情多次封闭管理累计超过180多天，与施工方多次协商未果，对方表示要通过司法途径解决，故本年仅对有民政厅批复项目所涉及的57.96万元进行了支付，导致预算执行率较低，为7.75%。</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Fonts w:hint="eastAsia" w:ascii="楷体" w:hAnsi="楷体" w:eastAsia="楷体"/>
          <w:b/>
          <w:spacing w:val="-4"/>
          <w:sz w:val="32"/>
          <w:szCs w:val="32"/>
        </w:rPr>
      </w:pPr>
      <w:r>
        <w:rPr>
          <w:rFonts w:hint="eastAsia" w:ascii="楷体" w:hAnsi="楷体" w:eastAsia="楷体"/>
          <w:b/>
          <w:spacing w:val="-4"/>
          <w:sz w:val="32"/>
          <w:szCs w:val="32"/>
        </w:rPr>
        <w:t>（二）项目产出情况。</w:t>
      </w:r>
      <w:r>
        <w:rPr>
          <w:rStyle w:val="19"/>
          <w:rFonts w:hint="eastAsia" w:ascii="方正仿宋_GBK" w:hAnsi="方正仿宋_GBK" w:eastAsia="方正仿宋_GBK" w:cs="方正仿宋_GBK"/>
          <w:b w:val="0"/>
          <w:bCs w:val="0"/>
          <w:spacing w:val="-4"/>
          <w:sz w:val="32"/>
          <w:szCs w:val="32"/>
          <w:lang w:val="en-US" w:eastAsia="zh-CN"/>
        </w:rPr>
        <w:t>主要从项目的产出数量、产出质量、产出时效、成本情况4个方面对项目的绩效情况进行评价。项目产出类指标分值50分，实际得分42.49分，得分率为84.98%。项目绩效指标得分情况如表所示。</w:t>
      </w:r>
    </w:p>
    <w:tbl>
      <w:tblPr>
        <w:tblStyle w:val="17"/>
        <w:tblW w:w="8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722"/>
        <w:gridCol w:w="2160"/>
        <w:gridCol w:w="1560"/>
        <w:gridCol w:w="1350"/>
        <w:gridCol w:w="1017"/>
        <w:gridCol w:w="1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160"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2160"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项目建设面积</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=17658平方米</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17658</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7.84</w:t>
            </w:r>
            <w:r>
              <w:rPr>
                <w:rFonts w:hint="eastAsia" w:ascii="宋体" w:hAnsi="宋体" w:eastAsia="宋体" w:cs="宋体"/>
                <w:i w:val="0"/>
                <w:iCs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7.75</w:t>
            </w:r>
            <w:r>
              <w:rPr>
                <w:rFonts w:hint="eastAsia" w:ascii="宋体" w:hAnsi="宋体" w:eastAsia="宋体" w:cs="宋体"/>
                <w:i w:val="0"/>
                <w:iCs w:val="0"/>
                <w:color w:val="000000"/>
                <w:kern w:val="0"/>
                <w:sz w:val="20"/>
                <w:szCs w:val="20"/>
                <w:u w:val="none"/>
                <w:lang w:val="en-US" w:eastAsia="zh-CN" w:bidi="ar"/>
              </w:rPr>
              <w:t>%</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0.65</w:t>
            </w:r>
            <w:r>
              <w:rPr>
                <w:rFonts w:hint="eastAsia" w:ascii="宋体" w:hAnsi="宋体" w:eastAsia="宋体" w:cs="宋体"/>
                <w:i w:val="0"/>
                <w:iCs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工程按期完成率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日常巡查维修及时率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8.00</w:t>
            </w:r>
            <w:r>
              <w:rPr>
                <w:rFonts w:hint="eastAsia" w:ascii="宋体" w:hAnsi="宋体" w:eastAsia="宋体" w:cs="宋体"/>
                <w:i w:val="0"/>
                <w:iCs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宋体" w:hAnsi="宋体" w:eastAsia="宋体" w:cs="宋体"/>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8.00</w:t>
            </w:r>
            <w:r>
              <w:rPr>
                <w:rFonts w:hint="eastAsia" w:ascii="宋体" w:hAnsi="宋体" w:eastAsia="宋体" w:cs="宋体"/>
                <w:i w:val="0"/>
                <w:iCs w:val="0"/>
                <w:color w:val="000000"/>
                <w:kern w:val="0"/>
                <w:sz w:val="22"/>
                <w:szCs w:val="22"/>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default"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该工程于2013年开工建设，2015年底主体建筑完工，2019年11月投入使用。项目建设面积实际完成值17658平方米，得分10</w:t>
      </w:r>
      <w:bookmarkStart w:id="0" w:name="_GoBack"/>
      <w:bookmarkEnd w:id="0"/>
      <w:r>
        <w:rPr>
          <w:rStyle w:val="19"/>
          <w:rFonts w:hint="eastAsia" w:ascii="方正仿宋_GBK" w:hAnsi="方正仿宋_GBK" w:eastAsia="方正仿宋_GBK" w:cs="方正仿宋_GBK"/>
          <w:b w:val="0"/>
          <w:bCs w:val="0"/>
          <w:spacing w:val="-4"/>
          <w:sz w:val="32"/>
          <w:szCs w:val="32"/>
          <w:lang w:val="en-US" w:eastAsia="zh-CN"/>
        </w:rPr>
        <w:t>分；项目工程验收合格率98%，得分7.84分；资金支付率7.75%，得分0.65分，主要原因系施工方坚持等待关键当事人项目经理王军出狱后才能继续结算纠纷的谈判，且今年我单位因疫情多次封闭管理累计超过180多天，与施工方多次协商未果，对方表示要通过司法途径解决，故本年仅对有民政厅批复项目所涉及的57.96万元进行了支付。工程按期完成率100%，得分8分；日常巡查维修及时率93%，得分8分；项目预算控制率100%，得分8分，工程结算价款受历史问题影响需要通过司法途径才能正式确认，目前只是将在建工程按暂估价值转固定资产，后期根据最终工程结算价进行调整。</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Fonts w:hint="eastAsia" w:ascii="楷体" w:hAnsi="楷体" w:eastAsia="楷体"/>
          <w:b/>
          <w:spacing w:val="-4"/>
          <w:sz w:val="32"/>
          <w:szCs w:val="32"/>
        </w:rPr>
        <w:t>（四）项目效益情况。</w:t>
      </w:r>
      <w:r>
        <w:rPr>
          <w:rStyle w:val="19"/>
          <w:rFonts w:hint="eastAsia" w:ascii="方正仿宋_GBK" w:hAnsi="方正仿宋_GBK" w:eastAsia="方正仿宋_GBK" w:cs="方正仿宋_GBK"/>
          <w:b w:val="0"/>
          <w:bCs w:val="0"/>
          <w:spacing w:val="-4"/>
          <w:sz w:val="32"/>
          <w:szCs w:val="32"/>
          <w:lang w:val="en-US" w:eastAsia="zh-CN"/>
        </w:rPr>
        <w:t>主要从定性和定量2个方面对项目的绩效情况进行评价。项目效益类指标分值30分，实际得分30分，得分率为100%。项目绩效指标得分情况如表所示。</w:t>
      </w:r>
    </w:p>
    <w:tbl>
      <w:tblPr>
        <w:tblStyle w:val="17"/>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705"/>
        <w:gridCol w:w="2595"/>
        <w:gridCol w:w="1395"/>
        <w:gridCol w:w="1275"/>
        <w:gridCol w:w="780"/>
        <w:gridCol w:w="11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1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2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加强和改进流浪未成年人救助保护能力，提高流浪未成年人基本生活保障度</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不断提高</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正常运转率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r>
    </w:tbl>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default"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加强和改进流浪未成年人救助保护能力、提高流浪未成年人基本生活保障度，得分15分；正常运转率95%，得分15分。</w:t>
      </w:r>
    </w:p>
    <w:p>
      <w:pPr>
        <w:keepNext w:val="0"/>
        <w:keepLines w:val="0"/>
        <w:pageBreakBefore w:val="0"/>
        <w:widowControl w:val="0"/>
        <w:kinsoku/>
        <w:wordWrap/>
        <w:overflowPunct/>
        <w:topLinePunct w:val="0"/>
        <w:autoSpaceDE/>
        <w:autoSpaceDN/>
        <w:bidi w:val="0"/>
        <w:adjustRightInd/>
        <w:snapToGrid/>
        <w:spacing w:line="540" w:lineRule="exact"/>
        <w:ind w:firstLine="626" w:firstLineChars="200"/>
        <w:textAlignment w:val="auto"/>
      </w:pPr>
      <w:r>
        <w:rPr>
          <w:rFonts w:hint="eastAsia" w:ascii="楷体" w:hAnsi="楷体" w:eastAsia="楷体"/>
          <w:b/>
          <w:spacing w:val="-4"/>
          <w:sz w:val="32"/>
          <w:szCs w:val="32"/>
        </w:rPr>
        <w:t>（五）满意度指标完成情况分析。</w:t>
      </w:r>
      <w:r>
        <w:rPr>
          <w:rStyle w:val="19"/>
          <w:rFonts w:hint="eastAsia" w:ascii="方正仿宋_GBK" w:hAnsi="方正仿宋_GBK" w:eastAsia="方正仿宋_GBK" w:cs="方正仿宋_GBK"/>
          <w:b w:val="0"/>
          <w:bCs w:val="0"/>
          <w:spacing w:val="-4"/>
          <w:sz w:val="32"/>
          <w:szCs w:val="32"/>
          <w:lang w:val="en-US" w:eastAsia="zh-CN"/>
        </w:rPr>
        <w:t>政策适用的流浪未成年人满意度为90%，得分10分。</w:t>
      </w:r>
    </w:p>
    <w:tbl>
      <w:tblPr>
        <w:tblStyle w:val="17"/>
        <w:tblW w:w="8586"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861"/>
        <w:gridCol w:w="1410"/>
        <w:gridCol w:w="2092"/>
        <w:gridCol w:w="1312"/>
        <w:gridCol w:w="975"/>
        <w:gridCol w:w="721"/>
        <w:gridCol w:w="12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861"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410"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92"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12"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9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21"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21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861"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92"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12"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5"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21"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vMerge w:val="continue"/>
            <w:tcBorders>
              <w:tl2br w:val="nil"/>
              <w:tr2bl w:val="nil"/>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8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1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209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政策适用的流浪未成年人满意度</w:t>
            </w:r>
          </w:p>
        </w:tc>
        <w:tc>
          <w:tcPr>
            <w:tcW w:w="131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7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2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5"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r>
    </w:tbl>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ascii="黑体" w:hAnsi="黑体" w:eastAsia="黑体"/>
          <w:spacing w:val="-4"/>
          <w:sz w:val="32"/>
          <w:szCs w:val="32"/>
        </w:rPr>
      </w:pPr>
      <w:r>
        <w:rPr>
          <w:rStyle w:val="19"/>
          <w:rFonts w:hint="eastAsia" w:ascii="黑体" w:hAnsi="黑体" w:eastAsia="黑体"/>
          <w:b w:val="0"/>
          <w:spacing w:val="-4"/>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对受助人员保障的要求逐步提高，各项社会救助制度逐步完善，救助程序公平、公正、公开，受助群众对社会救助政策及项目满意度较高，困难群众得到及时救助，为建设团结和谐、繁荣富裕、文明进步、安居乐业、生态良好的美丽新疆发挥了积极作用，取得了较好的社会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存在的问题是本年度资金执行率低。主要原因一是施工方坚持等待关键当事人项目经理王军2022年3月出狱后才能继续结算纠纷的谈判，二是今年新疆疫情多发频发，我单位因疫情多次封闭管理累计超过180多天，与施工方多次协商未果，对方表示要通过司法途径解决。</w:t>
      </w:r>
    </w:p>
    <w:p>
      <w:pPr>
        <w:keepNext w:val="0"/>
        <w:keepLines w:val="0"/>
        <w:pageBreakBefore w:val="0"/>
        <w:widowControl w:val="0"/>
        <w:kinsoku/>
        <w:wordWrap/>
        <w:overflowPunct/>
        <w:topLinePunct w:val="0"/>
        <w:autoSpaceDE/>
        <w:autoSpaceDN/>
        <w:bidi w:val="0"/>
        <w:adjustRightInd/>
        <w:snapToGrid/>
        <w:ind w:firstLine="624" w:firstLineChars="20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目前，我单位已计划将两次审计共同确认部分的金额报请民政厅批复，同意后进行结算支付，其余部分金额由司法途径解决。</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r>
        <w:rPr>
          <w:rStyle w:val="19"/>
          <w:rFonts w:hint="eastAsia" w:ascii="方正仿宋_GBK" w:hAnsi="方正仿宋_GBK" w:eastAsia="方正仿宋_GBK" w:cs="方正仿宋_GBK"/>
          <w:b w:val="0"/>
          <w:bCs w:val="0"/>
          <w:spacing w:val="-4"/>
          <w:sz w:val="32"/>
          <w:szCs w:val="32"/>
          <w:lang w:val="en-US" w:eastAsia="zh-CN"/>
        </w:rPr>
        <w:t>该项目因历史问题产生纠纷未做最终结算，故导致遗留部分款项无法支付，经上级部门批准2023年继续申报实有资金账户项目。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方正仿宋_GBK" w:hAnsi="方正仿宋_GBK" w:eastAsia="方正仿宋_GBK" w:cs="方正仿宋_GBK"/>
          <w:b w:val="0"/>
          <w:bCs w:val="0"/>
          <w:spacing w:val="-4"/>
          <w:sz w:val="32"/>
          <w:szCs w:val="32"/>
          <w:lang w:val="en-US" w:eastAsia="zh-CN"/>
        </w:rPr>
      </w:pPr>
    </w:p>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mNmJkZWJmZjA5N2JiNmJkZDA0ODc2NjA4MWQzNWE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16C0258"/>
    <w:rsid w:val="02FB4A88"/>
    <w:rsid w:val="03C37AA4"/>
    <w:rsid w:val="04853664"/>
    <w:rsid w:val="052F404B"/>
    <w:rsid w:val="06574A5D"/>
    <w:rsid w:val="09802DC1"/>
    <w:rsid w:val="0DED4094"/>
    <w:rsid w:val="102E76EB"/>
    <w:rsid w:val="111451B1"/>
    <w:rsid w:val="11612452"/>
    <w:rsid w:val="12EA10E3"/>
    <w:rsid w:val="1399374C"/>
    <w:rsid w:val="14915ADC"/>
    <w:rsid w:val="14917344"/>
    <w:rsid w:val="14BB5167"/>
    <w:rsid w:val="14C145E4"/>
    <w:rsid w:val="14EC1F13"/>
    <w:rsid w:val="160A4DF9"/>
    <w:rsid w:val="164E6092"/>
    <w:rsid w:val="175F20B9"/>
    <w:rsid w:val="176337D8"/>
    <w:rsid w:val="19771686"/>
    <w:rsid w:val="1B81489C"/>
    <w:rsid w:val="1F250C18"/>
    <w:rsid w:val="22140B6D"/>
    <w:rsid w:val="239C706C"/>
    <w:rsid w:val="24CE0AC1"/>
    <w:rsid w:val="275D0A33"/>
    <w:rsid w:val="27EA6F67"/>
    <w:rsid w:val="29BD6C2D"/>
    <w:rsid w:val="2B413D19"/>
    <w:rsid w:val="2B8D0BBC"/>
    <w:rsid w:val="2BAE2033"/>
    <w:rsid w:val="2F6C183E"/>
    <w:rsid w:val="307C449F"/>
    <w:rsid w:val="30E75C41"/>
    <w:rsid w:val="39095C03"/>
    <w:rsid w:val="39C62167"/>
    <w:rsid w:val="3AFA0A22"/>
    <w:rsid w:val="3DB11986"/>
    <w:rsid w:val="3DD612C3"/>
    <w:rsid w:val="3F8658C8"/>
    <w:rsid w:val="3FEB029F"/>
    <w:rsid w:val="3FF64539"/>
    <w:rsid w:val="40647E77"/>
    <w:rsid w:val="44004F9E"/>
    <w:rsid w:val="457B0D80"/>
    <w:rsid w:val="4752054A"/>
    <w:rsid w:val="4761252E"/>
    <w:rsid w:val="4AAA2A37"/>
    <w:rsid w:val="4AE47681"/>
    <w:rsid w:val="4AFE30DC"/>
    <w:rsid w:val="4B383405"/>
    <w:rsid w:val="4D2606A1"/>
    <w:rsid w:val="4D5F3401"/>
    <w:rsid w:val="4F010118"/>
    <w:rsid w:val="528D25DE"/>
    <w:rsid w:val="5392346A"/>
    <w:rsid w:val="550058CC"/>
    <w:rsid w:val="583035BA"/>
    <w:rsid w:val="5B1F2F3D"/>
    <w:rsid w:val="5C4E31BC"/>
    <w:rsid w:val="5CEB1411"/>
    <w:rsid w:val="5D812854"/>
    <w:rsid w:val="5E616762"/>
    <w:rsid w:val="5F2659B9"/>
    <w:rsid w:val="608B3A48"/>
    <w:rsid w:val="65CD6910"/>
    <w:rsid w:val="679318E2"/>
    <w:rsid w:val="67DF64B6"/>
    <w:rsid w:val="685B1520"/>
    <w:rsid w:val="68846970"/>
    <w:rsid w:val="691C4C7F"/>
    <w:rsid w:val="69C800C5"/>
    <w:rsid w:val="69CA0647"/>
    <w:rsid w:val="6B844369"/>
    <w:rsid w:val="6C7E6210"/>
    <w:rsid w:val="6D475D9B"/>
    <w:rsid w:val="6D844AAC"/>
    <w:rsid w:val="6DD715C1"/>
    <w:rsid w:val="6E752A23"/>
    <w:rsid w:val="6FF45107"/>
    <w:rsid w:val="701755BC"/>
    <w:rsid w:val="75BA05CE"/>
    <w:rsid w:val="78073145"/>
    <w:rsid w:val="7CD24477"/>
    <w:rsid w:val="7CD51320"/>
    <w:rsid w:val="B3F7965A"/>
    <w:rsid w:val="B7D7DADA"/>
    <w:rsid w:val="BDB9985A"/>
    <w:rsid w:val="BEF7DE16"/>
    <w:rsid w:val="E3AF4A41"/>
    <w:rsid w:val="FFC2FC77"/>
    <w:rsid w:val="FFDBA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5"/>
    <w:semiHidden/>
    <w:qFormat/>
    <w:uiPriority w:val="9"/>
    <w:rPr>
      <w:rFonts w:asciiTheme="majorHAnsi" w:hAnsiTheme="majorHAnsi" w:eastAsiaTheme="majorEastAsia"/>
      <w:b/>
      <w:bCs/>
      <w:sz w:val="26"/>
      <w:szCs w:val="26"/>
    </w:rPr>
  </w:style>
  <w:style w:type="character" w:customStyle="1" w:styleId="24">
    <w:name w:val="标题 4 字符"/>
    <w:basedOn w:val="18"/>
    <w:link w:val="6"/>
    <w:qFormat/>
    <w:uiPriority w:val="9"/>
    <w:rPr>
      <w:b/>
      <w:bCs/>
      <w:sz w:val="28"/>
      <w:szCs w:val="28"/>
    </w:rPr>
  </w:style>
  <w:style w:type="character" w:customStyle="1" w:styleId="25">
    <w:name w:val="标题 5 字符"/>
    <w:basedOn w:val="18"/>
    <w:link w:val="7"/>
    <w:semiHidden/>
    <w:qFormat/>
    <w:uiPriority w:val="9"/>
    <w:rPr>
      <w:b/>
      <w:bCs/>
      <w:i/>
      <w:iCs/>
      <w:sz w:val="26"/>
      <w:szCs w:val="26"/>
    </w:rPr>
  </w:style>
  <w:style w:type="character" w:customStyle="1" w:styleId="26">
    <w:name w:val="标题 6 字符"/>
    <w:basedOn w:val="18"/>
    <w:link w:val="8"/>
    <w:semiHidden/>
    <w:qFormat/>
    <w:uiPriority w:val="9"/>
    <w:rPr>
      <w:b/>
      <w:bCs/>
    </w:rPr>
  </w:style>
  <w:style w:type="character" w:customStyle="1" w:styleId="27">
    <w:name w:val="标题 7 字符"/>
    <w:basedOn w:val="18"/>
    <w:link w:val="9"/>
    <w:semiHidden/>
    <w:qFormat/>
    <w:uiPriority w:val="9"/>
    <w:rPr>
      <w:sz w:val="24"/>
      <w:szCs w:val="24"/>
    </w:rPr>
  </w:style>
  <w:style w:type="character" w:customStyle="1" w:styleId="28">
    <w:name w:val="标题 8 字符"/>
    <w:basedOn w:val="18"/>
    <w:link w:val="10"/>
    <w:semiHidden/>
    <w:qFormat/>
    <w:uiPriority w:val="9"/>
    <w:rPr>
      <w:i/>
      <w:iCs/>
      <w:sz w:val="24"/>
      <w:szCs w:val="24"/>
    </w:rPr>
  </w:style>
  <w:style w:type="character" w:customStyle="1" w:styleId="29">
    <w:name w:val="标题 9 字符"/>
    <w:basedOn w:val="18"/>
    <w:link w:val="11"/>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 w:type="character" w:customStyle="1" w:styleId="47">
    <w:name w:val="font1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3745</Words>
  <Characters>4068</Characters>
  <Lines>5</Lines>
  <Paragraphs>1</Paragraphs>
  <TotalTime>32</TotalTime>
  <ScaleCrop>false</ScaleCrop>
  <LinksUpToDate>false</LinksUpToDate>
  <CharactersWithSpaces>4103</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2018-08-17T10:06:00Z</dcterms:created>
  <dc:creator>赵 恺（预算处）</dc:creator>
  <cp:lastModifiedBy>user</cp:lastModifiedBy>
  <cp:lastPrinted>2019-01-02T18:56:00Z</cp:lastPrinted>
  <dcterms:modified xsi:type="dcterms:W3CDTF">2023-08-29T18:01:32Z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5E9FAEC072B342EFA6B78A63E3FAC237</vt:lpwstr>
  </property>
</Properties>
</file>