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新疆维吾尔自治区人民政府办公厅文印中心2022年度部门决算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黑体" w:hAnsi="黑体" w:eastAsia="黑体" w:cs="宋体"/>
          <w:bCs/>
          <w:kern w:val="0"/>
          <w:sz w:val="32"/>
          <w:szCs w:val="32"/>
        </w:rPr>
      </w:pPr>
      <w:bookmarkStart w:id="4" w:name="_Toc31238"/>
      <w:bookmarkStart w:id="5" w:name="_Toc2151"/>
      <w:r>
        <w:rPr>
          <w:rFonts w:ascii="仿宋_GB2312" w:eastAsia="仿宋_GB2312"/>
          <w:sz w:val="32"/>
          <w:szCs w:val="32"/>
        </w:rPr>
        <w:t>　　自治区人民政府办公厅文印中心系自治区人民政府办公厅直属公益一类事业单位，核定编制34人。机构规格相当县（处）级，经费实行全额预算管理，主要职责负责自治区人民政府办公厅各类文件、函电、领导讲话和公报期刊等文字材料印刷工作</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新疆维吾尔自治区人民政府办公厅文印中心</w:t>
      </w:r>
      <w:r>
        <w:rPr>
          <w:rFonts w:ascii="仿宋_GB2312" w:eastAsia="仿宋_GB2312"/>
          <w:sz w:val="32"/>
          <w:szCs w:val="32"/>
        </w:rPr>
        <w:t>2022</w:t>
      </w:r>
      <w:r>
        <w:rPr>
          <w:rFonts w:hint="eastAsia" w:ascii="仿宋_GB2312" w:eastAsia="仿宋_GB2312"/>
          <w:sz w:val="32"/>
          <w:szCs w:val="32"/>
        </w:rPr>
        <w:t>年度，实有人数</w:t>
      </w:r>
      <w:r>
        <w:rPr>
          <w:rFonts w:ascii="仿宋_GB2312" w:eastAsia="仿宋_GB2312"/>
          <w:sz w:val="32"/>
          <w:szCs w:val="32"/>
        </w:rPr>
        <w:t>72</w:t>
      </w:r>
      <w:r>
        <w:rPr>
          <w:rFonts w:hint="eastAsia" w:ascii="仿宋_GB2312" w:eastAsia="仿宋_GB2312"/>
          <w:sz w:val="32"/>
          <w:szCs w:val="32"/>
        </w:rPr>
        <w:t>人，其中：在职人员</w:t>
      </w:r>
      <w:r>
        <w:rPr>
          <w:rFonts w:ascii="仿宋_GB2312" w:eastAsia="仿宋_GB2312"/>
          <w:sz w:val="32"/>
          <w:szCs w:val="32"/>
        </w:rPr>
        <w:t>28</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44</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从部门决算单位构成看，新疆维吾尔自治区人民政府办公厅文印中心部门决算包括：新疆维吾尔自治区人民政府办公厅文印中心决算。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3</w:t>
      </w:r>
      <w:r>
        <w:rPr>
          <w:rFonts w:hint="eastAsia" w:ascii="仿宋_GB2312" w:hAnsi="黑体" w:eastAsia="仿宋_GB2312" w:cs="宋体"/>
          <w:bCs/>
          <w:kern w:val="0"/>
          <w:sz w:val="32"/>
          <w:szCs w:val="32"/>
        </w:rPr>
        <w:t>个处室，分别是：办公室、微机快印室、印装室</w:t>
      </w:r>
      <w:r>
        <w:rPr>
          <w:rFonts w:hint="eastAsia" w:ascii="仿宋_GB2312" w:hAnsi="宋体" w:eastAsia="仿宋_GB2312" w:cs="宋体"/>
          <w:kern w:val="0"/>
          <w:sz w:val="32"/>
          <w:szCs w:val="32"/>
        </w:rPr>
        <w:t>。</w:t>
      </w:r>
    </w:p>
    <w:p>
      <w:pPr>
        <w:ind w:firstLine="640" w:firstLineChars="200"/>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br w:type="page"/>
      </w: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年度收入总计723.82万元，其中：本年收入合计</w:t>
      </w:r>
      <w:r>
        <w:rPr>
          <w:rFonts w:ascii="仿宋_GB2312" w:eastAsia="仿宋_GB2312"/>
          <w:sz w:val="32"/>
          <w:szCs w:val="32"/>
        </w:rPr>
        <w:t>634.28</w:t>
      </w:r>
      <w:r>
        <w:rPr>
          <w:rFonts w:hint="eastAsia" w:ascii="仿宋_GB2312" w:eastAsia="仿宋_GB2312"/>
          <w:sz w:val="32"/>
          <w:szCs w:val="32"/>
        </w:rPr>
        <w:t>万元，使用非财政拨款结余89.55万元，年初结转和结余0.00万元。收入总计与上年相比，增加40.96万元，</w:t>
      </w:r>
      <w:r>
        <w:rPr>
          <w:rFonts w:ascii="仿宋_GB2312" w:eastAsia="仿宋_GB2312"/>
          <w:sz w:val="32"/>
          <w:szCs w:val="32"/>
        </w:rPr>
        <w:t>增长6.00</w:t>
      </w:r>
      <w:r>
        <w:rPr>
          <w:rFonts w:hint="eastAsia" w:ascii="仿宋_GB2312" w:eastAsia="仿宋_GB2312"/>
          <w:sz w:val="32"/>
          <w:szCs w:val="32"/>
        </w:rPr>
        <w:t>%，主要原因是：2022年度人员工资调增导致人员经费收支调整预算数有所增加。</w:t>
      </w:r>
    </w:p>
    <w:p>
      <w:pPr>
        <w:ind w:firstLine="640" w:firstLineChars="200"/>
        <w:rPr>
          <w:rFonts w:ascii="仿宋_GB2312" w:eastAsia="仿宋_GB2312"/>
          <w:sz w:val="32"/>
          <w:szCs w:val="32"/>
        </w:rPr>
      </w:pPr>
      <w:r>
        <w:rPr>
          <w:rFonts w:hint="eastAsia" w:ascii="仿宋_GB2312" w:eastAsia="仿宋_GB2312"/>
          <w:sz w:val="32"/>
          <w:szCs w:val="32"/>
        </w:rPr>
        <w:t>本年支出总计723.82万元，其中：本年支出合计</w:t>
      </w:r>
      <w:r>
        <w:rPr>
          <w:rFonts w:ascii="仿宋_GB2312" w:eastAsia="仿宋_GB2312"/>
          <w:sz w:val="32"/>
          <w:szCs w:val="32"/>
        </w:rPr>
        <w:t>723.82</w:t>
      </w:r>
      <w:r>
        <w:rPr>
          <w:rFonts w:hint="eastAsia" w:ascii="仿宋_GB2312" w:eastAsia="仿宋_GB2312"/>
          <w:sz w:val="32"/>
          <w:szCs w:val="32"/>
        </w:rPr>
        <w:t>万元，结余分配0.00万元，年末结转和结余0.00万元。支出总计与上年相比，</w:t>
      </w:r>
      <w:r>
        <w:rPr>
          <w:rFonts w:ascii="仿宋_GB2312" w:eastAsia="仿宋_GB2312"/>
          <w:sz w:val="32"/>
          <w:szCs w:val="32"/>
        </w:rPr>
        <w:t>增加40.96</w:t>
      </w:r>
      <w:r>
        <w:rPr>
          <w:rFonts w:hint="eastAsia" w:ascii="仿宋_GB2312" w:eastAsia="仿宋_GB2312"/>
          <w:sz w:val="32"/>
          <w:szCs w:val="32"/>
        </w:rPr>
        <w:t>万元，</w:t>
      </w:r>
      <w:r>
        <w:rPr>
          <w:rFonts w:ascii="仿宋_GB2312" w:eastAsia="仿宋_GB2312"/>
          <w:sz w:val="32"/>
          <w:szCs w:val="32"/>
        </w:rPr>
        <w:t>增长6.00</w:t>
      </w:r>
      <w:r>
        <w:rPr>
          <w:rFonts w:hint="eastAsia" w:ascii="仿宋_GB2312" w:eastAsia="仿宋_GB2312"/>
          <w:sz w:val="32"/>
          <w:szCs w:val="32"/>
        </w:rPr>
        <w:t>%，主要原因是：2022年度人员工资调增导致人员经费收支决算数有所增加。</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年度本年收入</w:t>
      </w:r>
      <w:r>
        <w:rPr>
          <w:rFonts w:ascii="仿宋_GB2312" w:eastAsia="仿宋_GB2312"/>
          <w:sz w:val="32"/>
          <w:szCs w:val="32"/>
        </w:rPr>
        <w:t>634.28</w:t>
      </w:r>
      <w:r>
        <w:rPr>
          <w:rFonts w:hint="eastAsia" w:ascii="仿宋_GB2312" w:eastAsia="仿宋_GB2312"/>
          <w:sz w:val="32"/>
          <w:szCs w:val="32"/>
        </w:rPr>
        <w:t>万元，其中：财政拨款收入</w:t>
      </w:r>
      <w:r>
        <w:rPr>
          <w:rFonts w:ascii="仿宋_GB2312" w:eastAsia="仿宋_GB2312"/>
          <w:sz w:val="32"/>
          <w:szCs w:val="32"/>
        </w:rPr>
        <w:t>633.39</w:t>
      </w:r>
      <w:r>
        <w:rPr>
          <w:rFonts w:hint="eastAsia" w:ascii="仿宋_GB2312" w:eastAsia="仿宋_GB2312"/>
          <w:sz w:val="32"/>
          <w:szCs w:val="32"/>
        </w:rPr>
        <w:t>万元，占99.86%；上级补助收入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0.89</w:t>
      </w:r>
      <w:r>
        <w:rPr>
          <w:rFonts w:hint="eastAsia" w:ascii="仿宋_GB2312" w:eastAsia="仿宋_GB2312"/>
          <w:sz w:val="32"/>
          <w:szCs w:val="32"/>
        </w:rPr>
        <w:t>万元，占0.14%。</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年度本年支出723.82万元，其中：基本支出</w:t>
      </w:r>
      <w:r>
        <w:rPr>
          <w:rFonts w:ascii="仿宋_GB2312" w:eastAsia="仿宋_GB2312"/>
          <w:sz w:val="32"/>
          <w:szCs w:val="32"/>
        </w:rPr>
        <w:t>578.82</w:t>
      </w:r>
      <w:r>
        <w:rPr>
          <w:rFonts w:hint="eastAsia" w:ascii="仿宋_GB2312" w:eastAsia="仿宋_GB2312"/>
          <w:sz w:val="32"/>
          <w:szCs w:val="32"/>
        </w:rPr>
        <w:t>万元，占79.97%；项目支出</w:t>
      </w:r>
      <w:r>
        <w:rPr>
          <w:rFonts w:ascii="仿宋_GB2312" w:eastAsia="仿宋_GB2312"/>
          <w:sz w:val="32"/>
          <w:szCs w:val="32"/>
        </w:rPr>
        <w:t>145.00</w:t>
      </w:r>
      <w:r>
        <w:rPr>
          <w:rFonts w:hint="eastAsia" w:ascii="仿宋_GB2312" w:eastAsia="仿宋_GB2312"/>
          <w:sz w:val="32"/>
          <w:szCs w:val="32"/>
        </w:rPr>
        <w:t>万元，占20.03%；上缴上级支出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收入总计633.39万元，其中：年初财政拨款结转和结余0.00万元，财政拨款本年收入633.39万元。财政拨款收入总计与上年相比，增加91.32万元，增长16.85%，主要原因是：2022年度人员工资调增导致人员经费收支调整预算数有所增加。</w:t>
      </w:r>
    </w:p>
    <w:p>
      <w:pPr>
        <w:ind w:firstLine="640" w:firstLineChars="200"/>
        <w:rPr>
          <w:rFonts w:ascii="仿宋_GB2312" w:eastAsia="仿宋_GB2312"/>
          <w:sz w:val="32"/>
          <w:szCs w:val="32"/>
        </w:rPr>
      </w:pPr>
      <w:r>
        <w:rPr>
          <w:rFonts w:hint="eastAsia" w:ascii="仿宋_GB2312" w:eastAsia="仿宋_GB2312"/>
          <w:sz w:val="32"/>
          <w:szCs w:val="32"/>
        </w:rPr>
        <w:t>财政拨款支出总计633.39万元，其中：年末财政拨款结转和结余0.00万元，财政拨款本年支出633.39万元。财政拨款支出总计与上年相比，增加91.32万元，增长16.85%，主要原因是：2022年度人员工资调增导致人员经费收支决算数有所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与年初预算数相比情况：财政拨款收入总计年初预算数</w:t>
      </w:r>
      <w:r>
        <w:rPr>
          <w:rFonts w:ascii="仿宋_GB2312" w:eastAsia="仿宋_GB2312"/>
          <w:sz w:val="32"/>
          <w:szCs w:val="32"/>
        </w:rPr>
        <w:t>560.70</w:t>
      </w:r>
      <w:r>
        <w:rPr>
          <w:rFonts w:hint="eastAsia" w:ascii="仿宋_GB2312" w:eastAsia="仿宋_GB2312"/>
          <w:sz w:val="32"/>
          <w:szCs w:val="32"/>
        </w:rPr>
        <w:t>万元，决算数</w:t>
      </w:r>
      <w:r>
        <w:rPr>
          <w:rFonts w:ascii="仿宋_GB2312" w:eastAsia="仿宋_GB2312"/>
          <w:sz w:val="32"/>
          <w:szCs w:val="32"/>
        </w:rPr>
        <w:t>633.39</w:t>
      </w:r>
      <w:r>
        <w:rPr>
          <w:rFonts w:hint="eastAsia" w:ascii="仿宋_GB2312" w:eastAsia="仿宋_GB2312"/>
          <w:sz w:val="32"/>
          <w:szCs w:val="32"/>
        </w:rPr>
        <w:t>万元，预决算差异率</w:t>
      </w:r>
      <w:r>
        <w:rPr>
          <w:rFonts w:ascii="仿宋_GB2312" w:eastAsia="仿宋_GB2312"/>
          <w:sz w:val="32"/>
          <w:szCs w:val="32"/>
        </w:rPr>
        <w:t>12.96</w:t>
      </w:r>
      <w:r>
        <w:rPr>
          <w:rFonts w:hint="eastAsia" w:ascii="仿宋_GB2312" w:eastAsia="仿宋_GB2312"/>
          <w:sz w:val="32"/>
          <w:szCs w:val="32"/>
        </w:rPr>
        <w:t>%，主要原因是：2022年度人员工资调增导致人员经费收支调整预算数有所增加。财政拨款支出总计年初预算数</w:t>
      </w:r>
      <w:r>
        <w:rPr>
          <w:rFonts w:ascii="仿宋_GB2312" w:eastAsia="仿宋_GB2312"/>
          <w:sz w:val="32"/>
          <w:szCs w:val="32"/>
        </w:rPr>
        <w:t>560.70</w:t>
      </w:r>
      <w:r>
        <w:rPr>
          <w:rFonts w:hint="eastAsia" w:ascii="仿宋_GB2312" w:eastAsia="仿宋_GB2312"/>
          <w:sz w:val="32"/>
          <w:szCs w:val="32"/>
        </w:rPr>
        <w:t>万元，决算数</w:t>
      </w:r>
      <w:r>
        <w:rPr>
          <w:rFonts w:ascii="仿宋_GB2312" w:eastAsia="仿宋_GB2312"/>
          <w:sz w:val="32"/>
          <w:szCs w:val="32"/>
        </w:rPr>
        <w:t>633.39</w:t>
      </w:r>
      <w:r>
        <w:rPr>
          <w:rFonts w:hint="eastAsia" w:ascii="仿宋_GB2312" w:eastAsia="仿宋_GB2312"/>
          <w:sz w:val="32"/>
          <w:szCs w:val="32"/>
        </w:rPr>
        <w:t>万元，预决算差异率12.96%，主要原因是：2022年度人员工资调增导致人员经费收支决算数有所增加。</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年度一般公共预算财政拨款支出633.39万元，占本年支出合计的</w:t>
      </w:r>
      <w:r>
        <w:rPr>
          <w:rFonts w:ascii="仿宋_GB2312" w:eastAsia="仿宋_GB2312"/>
          <w:sz w:val="32"/>
          <w:szCs w:val="32"/>
        </w:rPr>
        <w:t>87.51</w:t>
      </w:r>
      <w:r>
        <w:rPr>
          <w:rFonts w:hint="eastAsia" w:ascii="仿宋_GB2312" w:eastAsia="仿宋_GB2312"/>
          <w:sz w:val="32"/>
          <w:szCs w:val="32"/>
        </w:rPr>
        <w:t>%，与上年相比，</w:t>
      </w:r>
      <w:r>
        <w:rPr>
          <w:rFonts w:ascii="仿宋_GB2312" w:eastAsia="仿宋_GB2312"/>
          <w:sz w:val="32"/>
          <w:szCs w:val="32"/>
        </w:rPr>
        <w:t>增加91.32</w:t>
      </w:r>
      <w:r>
        <w:rPr>
          <w:rFonts w:hint="eastAsia" w:ascii="仿宋_GB2312" w:eastAsia="仿宋_GB2312"/>
          <w:sz w:val="32"/>
          <w:szCs w:val="32"/>
        </w:rPr>
        <w:t>万元，</w:t>
      </w:r>
      <w:r>
        <w:rPr>
          <w:rFonts w:ascii="仿宋_GB2312" w:eastAsia="仿宋_GB2312"/>
          <w:sz w:val="32"/>
          <w:szCs w:val="32"/>
        </w:rPr>
        <w:t>增长16.85</w:t>
      </w:r>
      <w:r>
        <w:rPr>
          <w:rFonts w:hint="eastAsia" w:ascii="仿宋_GB2312" w:eastAsia="仿宋_GB2312"/>
          <w:sz w:val="32"/>
          <w:szCs w:val="32"/>
        </w:rPr>
        <w:t>%，主要原因是：2022年度人员工资调增导致人员经费收支决算数有所增加。</w:t>
      </w:r>
    </w:p>
    <w:p>
      <w:pPr>
        <w:ind w:firstLine="640" w:firstLineChars="200"/>
        <w:outlineLvl w:val="2"/>
        <w:rPr>
          <w:rFonts w:ascii="黑体" w:hAnsi="黑体" w:eastAsia="黑体"/>
          <w:sz w:val="32"/>
          <w:szCs w:val="32"/>
        </w:rPr>
      </w:pPr>
      <w:r>
        <w:rPr>
          <w:rFonts w:hint="eastAsia" w:ascii="黑体" w:hAnsi="黑体" w:eastAsia="黑体"/>
          <w:sz w:val="32"/>
          <w:szCs w:val="32"/>
        </w:rPr>
        <w:t>（二）一般公共预算财政拨款支出决算结构情况</w:t>
      </w:r>
    </w:p>
    <w:p>
      <w:pPr>
        <w:ind w:firstLine="640" w:firstLineChars="200"/>
        <w:rPr>
          <w:rFonts w:ascii="黑体" w:hAnsi="黑体" w:eastAsia="黑体"/>
          <w:sz w:val="32"/>
          <w:szCs w:val="32"/>
        </w:rPr>
      </w:pPr>
      <w:r>
        <w:rPr>
          <w:rFonts w:hint="eastAsia" w:ascii="仿宋_GB2312" w:eastAsia="仿宋_GB2312"/>
          <w:sz w:val="32"/>
          <w:szCs w:val="32"/>
        </w:rPr>
        <w:t>1.一般公共服务支出(类)522.94万元,占82.56%。</w:t>
      </w:r>
    </w:p>
    <w:p>
      <w:pPr>
        <w:ind w:firstLine="640" w:firstLineChars="200"/>
        <w:outlineLvl w:val="2"/>
        <w:rPr>
          <w:rFonts w:ascii="黑体" w:hAnsi="黑体" w:eastAsia="黑体"/>
          <w:sz w:val="32"/>
          <w:szCs w:val="32"/>
        </w:rPr>
      </w:pPr>
      <w:r>
        <w:rPr>
          <w:rFonts w:hint="eastAsia" w:ascii="仿宋_GB2312" w:eastAsia="仿宋_GB2312"/>
          <w:sz w:val="32"/>
          <w:szCs w:val="32"/>
        </w:rPr>
        <w:t>2.社会保障和就业支出(类)40.75万元,占6.43%。</w:t>
      </w:r>
    </w:p>
    <w:p>
      <w:pPr>
        <w:ind w:firstLine="640" w:firstLineChars="200"/>
        <w:outlineLvl w:val="2"/>
        <w:rPr>
          <w:rFonts w:ascii="黑体" w:hAnsi="黑体" w:eastAsia="黑体"/>
          <w:sz w:val="32"/>
          <w:szCs w:val="32"/>
        </w:rPr>
      </w:pPr>
      <w:r>
        <w:rPr>
          <w:rFonts w:hint="eastAsia" w:ascii="仿宋_GB2312" w:eastAsia="仿宋_GB2312"/>
          <w:sz w:val="32"/>
          <w:szCs w:val="32"/>
        </w:rPr>
        <w:t>3.卫生健康支出(类)39.14万元,占6.18%。</w:t>
      </w:r>
    </w:p>
    <w:p>
      <w:pPr>
        <w:ind w:firstLine="640" w:firstLineChars="200"/>
        <w:outlineLvl w:val="2"/>
        <w:rPr>
          <w:rFonts w:ascii="黑体" w:hAnsi="黑体" w:eastAsia="黑体"/>
          <w:sz w:val="32"/>
          <w:szCs w:val="32"/>
        </w:rPr>
      </w:pPr>
      <w:r>
        <w:rPr>
          <w:rFonts w:hint="eastAsia" w:ascii="仿宋_GB2312" w:eastAsia="仿宋_GB2312"/>
          <w:sz w:val="32"/>
          <w:szCs w:val="32"/>
        </w:rPr>
        <w:t>4.住房保障支出(类)30.56万元,占4.83%。</w:t>
      </w:r>
    </w:p>
    <w:p>
      <w:pPr>
        <w:ind w:firstLine="640" w:firstLineChars="200"/>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ascii="仿宋_GB2312" w:eastAsia="仿宋_GB2312"/>
          <w:b/>
          <w:bCs/>
          <w:sz w:val="32"/>
          <w:szCs w:val="32"/>
          <w:highlight w:val="yellow"/>
        </w:rPr>
      </w:pPr>
      <w:r>
        <w:rPr>
          <w:rFonts w:hint="eastAsia" w:ascii="仿宋_GB2312" w:eastAsia="仿宋_GB2312"/>
          <w:sz w:val="32"/>
          <w:szCs w:val="32"/>
        </w:rPr>
        <w:t>1.一般公共服务支出(类)政府办公厅（室）及相关机构事务(款)事业运行(项):支出决算数为377.94万元，比上年决算增加76.11万元，增长25.22%</w:t>
      </w:r>
      <w:r>
        <w:rPr>
          <w:rFonts w:ascii="仿宋_GB2312" w:eastAsia="仿宋_GB2312"/>
          <w:sz w:val="32"/>
          <w:szCs w:val="32"/>
        </w:rPr>
        <w:t>,</w:t>
      </w:r>
      <w:r>
        <w:rPr>
          <w:rFonts w:hint="eastAsia" w:ascii="仿宋_GB2312" w:eastAsia="仿宋_GB2312"/>
          <w:sz w:val="32"/>
          <w:szCs w:val="32"/>
        </w:rPr>
        <w:t>主要原因是:2022年度人员工资调增导致人员经费收支决算数有所增加。</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仿宋_GB2312" w:eastAsia="仿宋_GB2312"/>
          <w:sz w:val="32"/>
          <w:szCs w:val="32"/>
        </w:rPr>
        <w:t>2.一般公共服务支出(类)政府办公厅（室）及相关机构事务(款)其他政府办公厅（室）及相关机构事务支出(项):支出决算数为145.00万元，比上年决算增加0.02万元，增长0.01%</w:t>
      </w:r>
      <w:r>
        <w:rPr>
          <w:rFonts w:ascii="仿宋_GB2312" w:eastAsia="仿宋_GB2312"/>
          <w:sz w:val="32"/>
          <w:szCs w:val="32"/>
        </w:rPr>
        <w:t>,</w:t>
      </w:r>
      <w:r>
        <w:rPr>
          <w:rFonts w:hint="eastAsia" w:ascii="仿宋_GB2312" w:eastAsia="仿宋_GB2312"/>
          <w:sz w:val="32"/>
          <w:szCs w:val="32"/>
        </w:rPr>
        <w:t>主要原因是:</w:t>
      </w:r>
      <w:r>
        <w:rPr>
          <w:rFonts w:hint="eastAsia" w:ascii="仿宋_GB2312" w:eastAsia="仿宋_GB2312"/>
          <w:sz w:val="32"/>
          <w:szCs w:val="32"/>
          <w:lang w:eastAsia="zh-CN"/>
        </w:rPr>
        <w:t>与上年相比，本年印刷耗材购置量增多</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3.社会保障和就业支出(类)行政事业单位养老支出(款)机关事业单位基本养老保险缴费支出(项):支出决算数为40.75万元，比上年决算增加5.57万元，增长15.83%</w:t>
      </w:r>
      <w:r>
        <w:rPr>
          <w:rFonts w:ascii="仿宋_GB2312" w:eastAsia="仿宋_GB2312"/>
          <w:sz w:val="32"/>
          <w:szCs w:val="32"/>
        </w:rPr>
        <w:t>,</w:t>
      </w:r>
      <w:r>
        <w:rPr>
          <w:rFonts w:hint="eastAsia" w:ascii="仿宋_GB2312" w:eastAsia="仿宋_GB2312"/>
          <w:sz w:val="32"/>
          <w:szCs w:val="32"/>
        </w:rPr>
        <w:t>主要原因是:2021年工资收入增加使得2022年养老保险缴费基数调增。</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4.卫生健康支出(类)行政事业单位医疗(款)事业单位医疗(项):支出决算数为22.02万元，比上年决算增加3.07万元，增长16.20%</w:t>
      </w:r>
      <w:r>
        <w:rPr>
          <w:rFonts w:ascii="仿宋_GB2312" w:eastAsia="仿宋_GB2312"/>
          <w:sz w:val="32"/>
          <w:szCs w:val="32"/>
        </w:rPr>
        <w:t>,</w:t>
      </w:r>
      <w:r>
        <w:rPr>
          <w:rFonts w:hint="eastAsia" w:ascii="仿宋_GB2312" w:eastAsia="仿宋_GB2312"/>
          <w:sz w:val="32"/>
          <w:szCs w:val="32"/>
        </w:rPr>
        <w:t>主要原因是:2021年工资收入增加使得2022年医疗保险缴费基数调增。</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5.卫生健康支出(类)行政事业单位医疗(款)公务员医疗补助(项):支出决算数为17.12万元，比上年决算增加2.38万元，增长16.15%</w:t>
      </w:r>
      <w:r>
        <w:rPr>
          <w:rFonts w:ascii="仿宋_GB2312" w:eastAsia="仿宋_GB2312"/>
          <w:sz w:val="32"/>
          <w:szCs w:val="32"/>
        </w:rPr>
        <w:t>,</w:t>
      </w:r>
      <w:r>
        <w:rPr>
          <w:rFonts w:hint="eastAsia" w:ascii="仿宋_GB2312" w:eastAsia="仿宋_GB2312"/>
          <w:sz w:val="32"/>
          <w:szCs w:val="32"/>
        </w:rPr>
        <w:t>主要原因是:2021年工资收入增加使得2022年公务员医疗补助缴费基数调增。</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6.住房保障支出(类)住房改革支出(款)住房公积金(项):支出决算数为30.56万元，比上年决算增加4.17万元，增长15.80%</w:t>
      </w:r>
      <w:r>
        <w:rPr>
          <w:rFonts w:ascii="仿宋_GB2312" w:eastAsia="仿宋_GB2312"/>
          <w:sz w:val="32"/>
          <w:szCs w:val="32"/>
        </w:rPr>
        <w:t>,</w:t>
      </w:r>
      <w:r>
        <w:rPr>
          <w:rFonts w:hint="eastAsia" w:ascii="仿宋_GB2312" w:eastAsia="仿宋_GB2312"/>
          <w:sz w:val="32"/>
          <w:szCs w:val="32"/>
        </w:rPr>
        <w:t>主要原因是:2021年工资收入增加使得2022年公积金缴费基数调增。</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年度一般公共预算财政拨款基本支出</w:t>
      </w:r>
      <w:r>
        <w:rPr>
          <w:rFonts w:ascii="仿宋_GB2312" w:eastAsia="仿宋_GB2312"/>
          <w:sz w:val="32"/>
          <w:szCs w:val="32"/>
        </w:rPr>
        <w:t>488.39</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445.91</w:t>
      </w:r>
      <w:r>
        <w:rPr>
          <w:rFonts w:hint="eastAsia" w:ascii="仿宋_GB2312" w:eastAsia="仿宋_GB2312"/>
          <w:sz w:val="32"/>
          <w:szCs w:val="32"/>
        </w:rPr>
        <w:t>万元，包括：基本工资、津贴补贴、奖金、绩效工资、机关事业单位基本养老保险缴费、职工基本医疗保险缴费、公务员医疗补助缴费、其他社会保障缴费、住房公积金、退休费。</w:t>
      </w:r>
    </w:p>
    <w:p>
      <w:pPr>
        <w:ind w:firstLine="640" w:firstLineChars="200"/>
        <w:rPr>
          <w:rFonts w:ascii="仿宋_GB2312" w:hAnsi="宋体" w:eastAsia="仿宋_GB2312" w:cs="宋体"/>
          <w:kern w:val="0"/>
          <w:sz w:val="32"/>
          <w:szCs w:val="32"/>
        </w:rPr>
      </w:pPr>
      <w:r>
        <w:rPr>
          <w:rFonts w:hint="eastAsia" w:ascii="仿宋_GB2312" w:eastAsia="仿宋_GB2312"/>
          <w:sz w:val="32"/>
          <w:szCs w:val="32"/>
        </w:rPr>
        <w:t>公用经费42.48万元，包括：办公费、印刷费、手续费、水费、电费、取暖费、差旅费、培训费、劳务费、工会经费、福利费、其他商品和服务支出。</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年度财政拨款“三公”经费支出决算</w:t>
      </w:r>
      <w:r>
        <w:rPr>
          <w:rFonts w:ascii="仿宋_GB2312" w:eastAsia="仿宋_GB2312"/>
          <w:sz w:val="32"/>
          <w:szCs w:val="32"/>
        </w:rPr>
        <w:t>0.00</w:t>
      </w:r>
      <w:r>
        <w:rPr>
          <w:rFonts w:hint="eastAsia" w:ascii="仿宋_GB2312" w:eastAsia="仿宋_GB2312"/>
          <w:sz w:val="32"/>
          <w:szCs w:val="32"/>
        </w:rPr>
        <w:t>万元，比上年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我单位无财政拨款“三公”经费支出</w:t>
      </w:r>
      <w:r>
        <w:rPr>
          <w:rFonts w:hint="eastAsia" w:ascii="仿宋_GB2312" w:eastAsia="仿宋_GB2312"/>
          <w:sz w:val="32"/>
          <w:szCs w:val="32"/>
        </w:rPr>
        <w:t>。其中：因公出国（境）费支出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我单位无因公出国（境）费</w:t>
      </w:r>
      <w:r>
        <w:rPr>
          <w:rFonts w:hint="eastAsia" w:ascii="仿宋_GB2312" w:eastAsia="仿宋_GB2312"/>
          <w:sz w:val="32"/>
          <w:szCs w:val="32"/>
        </w:rPr>
        <w:t>；公务用车购置及运行维护费支出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我单位无公务用车购置及运行维护费</w:t>
      </w:r>
      <w:r>
        <w:rPr>
          <w:rFonts w:hint="eastAsia" w:ascii="仿宋_GB2312" w:eastAsia="仿宋_GB2312"/>
          <w:sz w:val="32"/>
          <w:szCs w:val="32"/>
        </w:rPr>
        <w:t>；公务接待费支出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我单位无公务接待费</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与全年预算数相比情况：“三公”经费支出全年预算数0.00万元，决算数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万元，预决算差异率0.00%，主要原因是：我单位无财政拨款“三公”经费支出。</w:t>
      </w:r>
      <w:r>
        <w:rPr>
          <w:rFonts w:hint="eastAsia" w:ascii="仿宋_GB2312" w:hAnsi="宋体" w:eastAsia="仿宋_GB2312" w:cs="宋体"/>
          <w:kern w:val="0"/>
          <w:sz w:val="32"/>
          <w:szCs w:val="32"/>
        </w:rPr>
        <w:t>其中：因公出国（境）费全年预算数</w:t>
      </w:r>
      <w:r>
        <w:rPr>
          <w:rFonts w:hint="eastAsia" w:ascii="仿宋_GB2312" w:eastAsia="仿宋_GB2312"/>
          <w:sz w:val="32"/>
          <w:szCs w:val="32"/>
        </w:rPr>
        <w:t>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费全年预算数0.00万元，决算数0.00万元，预决算差异率0.00%，主要原因是：我单位无公务用车购置费；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rPr>
          <w:rFonts w:ascii="Arial" w:hAnsi="Arial" w:cs="Arial"/>
          <w:color w:val="4D4D4D"/>
          <w:shd w:val="clear" w:color="auto" w:fill="FFFFFF"/>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rPr>
          <w:rFonts w:ascii="仿宋_GB2312" w:eastAsia="仿宋_GB2312"/>
          <w:sz w:val="32"/>
          <w:szCs w:val="32"/>
        </w:rPr>
      </w:pPr>
      <w:r>
        <w:rPr>
          <w:rFonts w:hint="eastAsia" w:ascii="黑体" w:hAnsi="黑体" w:eastAsia="黑体" w:cs="宋体"/>
          <w:bCs/>
          <w:kern w:val="0"/>
          <w:sz w:val="32"/>
          <w:szCs w:val="32"/>
        </w:rPr>
        <w:t>十、其他重要事项的情况说明</w:t>
      </w:r>
    </w:p>
    <w:p>
      <w:pPr>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pPr>
        <w:ind w:firstLine="640" w:firstLineChars="200"/>
        <w:outlineLvl w:val="2"/>
        <w:rPr>
          <w:rFonts w:ascii="黑体" w:hAnsi="黑体" w:eastAsia="黑体"/>
          <w:sz w:val="32"/>
          <w:szCs w:val="32"/>
        </w:rPr>
      </w:pPr>
      <w:r>
        <w:rPr>
          <w:rFonts w:hint="eastAsia" w:ascii="仿宋_GB2312" w:eastAsia="仿宋_GB2312"/>
          <w:sz w:val="32"/>
          <w:szCs w:val="32"/>
        </w:rPr>
        <w:t>2022年度新疆维吾尔自治区人民政府办公厅文印中心（事业单位）公用经费42.48万元，比上年增加20.45万元，增长92.83%，主要原因是：按照疫情封闭办公要求，办公设施调整，</w:t>
      </w:r>
      <w:r>
        <w:rPr>
          <w:rFonts w:hint="eastAsia" w:ascii="仿宋_GB2312" w:eastAsia="仿宋_GB2312"/>
          <w:sz w:val="32"/>
          <w:szCs w:val="32"/>
          <w:lang w:eastAsia="zh-CN"/>
        </w:rPr>
        <w:t>疫情防护用品支出增多，导致</w:t>
      </w:r>
      <w:r>
        <w:rPr>
          <w:rFonts w:hint="eastAsia" w:ascii="仿宋_GB2312" w:eastAsia="仿宋_GB2312"/>
          <w:sz w:val="32"/>
          <w:szCs w:val="32"/>
        </w:rPr>
        <w:t>公用</w:t>
      </w:r>
      <w:bookmarkStart w:id="50" w:name="_GoBack"/>
      <w:r>
        <w:rPr>
          <w:rFonts w:hint="eastAsia" w:ascii="仿宋_GB2312" w:eastAsia="仿宋_GB2312"/>
          <w:color w:val="auto"/>
          <w:sz w:val="32"/>
          <w:szCs w:val="32"/>
        </w:rPr>
        <w:t>经费</w:t>
      </w:r>
      <w:bookmarkEnd w:id="50"/>
      <w:r>
        <w:rPr>
          <w:rFonts w:hint="eastAsia" w:ascii="仿宋_GB2312" w:eastAsia="仿宋_GB2312"/>
          <w:sz w:val="32"/>
          <w:szCs w:val="32"/>
        </w:rPr>
        <w:t>支出增加。</w:t>
      </w:r>
    </w:p>
    <w:p>
      <w:pPr>
        <w:ind w:firstLine="800" w:firstLineChars="250"/>
        <w:outlineLvl w:val="2"/>
        <w:rPr>
          <w:rFonts w:ascii="黑体" w:hAnsi="黑体" w:eastAsia="黑体"/>
          <w:sz w:val="32"/>
          <w:szCs w:val="32"/>
        </w:rPr>
      </w:pPr>
      <w:bookmarkStart w:id="24" w:name="_Toc227"/>
      <w:bookmarkStart w:id="25" w:name="_Toc26704"/>
      <w:r>
        <w:rPr>
          <w:rFonts w:hint="eastAsia" w:ascii="黑体" w:hAnsi="黑体" w:eastAsia="黑体"/>
          <w:sz w:val="32"/>
          <w:szCs w:val="32"/>
        </w:rPr>
        <w:t>（二）政府采购情况</w:t>
      </w:r>
      <w:bookmarkEnd w:id="24"/>
      <w:bookmarkEnd w:id="25"/>
    </w:p>
    <w:p>
      <w:pPr>
        <w:ind w:firstLine="640" w:firstLineChars="200"/>
        <w:rPr>
          <w:rFonts w:ascii="仿宋_GB2312" w:eastAsia="仿宋_GB2312"/>
          <w:sz w:val="32"/>
          <w:szCs w:val="32"/>
        </w:rPr>
      </w:pPr>
      <w:r>
        <w:rPr>
          <w:rFonts w:hint="eastAsia" w:ascii="仿宋_GB2312" w:eastAsia="仿宋_GB2312"/>
          <w:sz w:val="32"/>
          <w:szCs w:val="32"/>
        </w:rPr>
        <w:t>2022年度政府采购支出总额</w:t>
      </w:r>
      <w:r>
        <w:rPr>
          <w:rFonts w:ascii="仿宋_GB2312" w:eastAsia="仿宋_GB2312"/>
          <w:sz w:val="32"/>
          <w:szCs w:val="32"/>
        </w:rPr>
        <w:t>59.34</w:t>
      </w:r>
      <w:r>
        <w:rPr>
          <w:rFonts w:hint="eastAsia" w:ascii="仿宋_GB2312" w:eastAsia="仿宋_GB2312"/>
          <w:sz w:val="32"/>
          <w:szCs w:val="32"/>
        </w:rPr>
        <w:t>万元，其中：政府采购货物支出</w:t>
      </w:r>
      <w:r>
        <w:rPr>
          <w:rFonts w:ascii="仿宋_GB2312" w:eastAsia="仿宋_GB2312"/>
          <w:sz w:val="32"/>
          <w:szCs w:val="32"/>
        </w:rPr>
        <w:t>36.34</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23.00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59.34</w:t>
      </w:r>
      <w:r>
        <w:rPr>
          <w:rFonts w:hint="eastAsia" w:ascii="仿宋_GB2312" w:eastAsia="仿宋_GB2312"/>
          <w:sz w:val="32"/>
          <w:szCs w:val="32"/>
        </w:rPr>
        <w:t>万元，占政府采购支出总额的</w:t>
      </w:r>
      <w:r>
        <w:rPr>
          <w:rFonts w:ascii="仿宋_GB2312" w:eastAsia="仿宋_GB2312"/>
          <w:sz w:val="32"/>
          <w:szCs w:val="32"/>
        </w:rPr>
        <w:t>100.00</w:t>
      </w:r>
      <w:r>
        <w:rPr>
          <w:rFonts w:hint="eastAsia" w:ascii="仿宋_GB2312" w:eastAsia="仿宋_GB2312"/>
          <w:sz w:val="32"/>
          <w:szCs w:val="32"/>
        </w:rPr>
        <w:t>%，其中：授予小微企业合同金额</w:t>
      </w:r>
      <w:r>
        <w:rPr>
          <w:rFonts w:ascii="仿宋_GB2312" w:eastAsia="仿宋_GB2312"/>
          <w:sz w:val="32"/>
          <w:szCs w:val="32"/>
        </w:rPr>
        <w:t>59.34</w:t>
      </w:r>
      <w:r>
        <w:rPr>
          <w:rFonts w:hint="eastAsia" w:ascii="仿宋_GB2312" w:eastAsia="仿宋_GB2312"/>
          <w:sz w:val="32"/>
          <w:szCs w:val="32"/>
        </w:rPr>
        <w:t>万元，占政府采购支出总额的</w:t>
      </w:r>
      <w:r>
        <w:rPr>
          <w:rFonts w:ascii="仿宋_GB2312" w:eastAsia="仿宋_GB2312"/>
          <w:sz w:val="32"/>
          <w:szCs w:val="32"/>
        </w:rPr>
        <w:t>100.00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26" w:name="_Toc8391"/>
      <w:bookmarkStart w:id="27" w:name="_Toc4591"/>
      <w:r>
        <w:rPr>
          <w:rFonts w:hint="eastAsia" w:ascii="黑体" w:hAnsi="黑体" w:eastAsia="黑体"/>
          <w:sz w:val="32"/>
          <w:szCs w:val="32"/>
        </w:rPr>
        <w:t>（三）国有资产占用情况说明</w:t>
      </w:r>
      <w:bookmarkEnd w:id="26"/>
      <w:bookmarkEnd w:id="27"/>
    </w:p>
    <w:p>
      <w:pPr>
        <w:ind w:firstLine="640" w:firstLineChars="200"/>
        <w:rPr>
          <w:rFonts w:ascii="仿宋_GB2312" w:eastAsia="仿宋_GB2312"/>
          <w:sz w:val="32"/>
          <w:szCs w:val="32"/>
        </w:rPr>
      </w:pPr>
      <w:r>
        <w:rPr>
          <w:rFonts w:hint="eastAsia" w:ascii="仿宋_GB2312" w:eastAsia="仿宋_GB2312"/>
          <w:sz w:val="32"/>
          <w:szCs w:val="32"/>
        </w:rPr>
        <w:t>截止2022年12月31日，固定资产原值539.61万元，房屋</w:t>
      </w:r>
      <w:r>
        <w:rPr>
          <w:rFonts w:ascii="仿宋_GB2312" w:eastAsia="仿宋_GB2312"/>
          <w:sz w:val="32"/>
          <w:szCs w:val="32"/>
        </w:rPr>
        <w:t>5,251.11</w:t>
      </w:r>
      <w:r>
        <w:rPr>
          <w:rFonts w:hint="eastAsia" w:ascii="仿宋_GB2312" w:eastAsia="仿宋_GB2312"/>
          <w:sz w:val="32"/>
          <w:szCs w:val="32"/>
        </w:rPr>
        <w:t>平方米，价值</w:t>
      </w:r>
      <w:r>
        <w:rPr>
          <w:rFonts w:ascii="仿宋_GB2312" w:eastAsia="仿宋_GB2312"/>
          <w:sz w:val="32"/>
          <w:szCs w:val="32"/>
        </w:rPr>
        <w:t>250.53</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辆，其他用车主要是：我单位无其他用车；单价100万元（含）以上设备（不含车辆）</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w:t>
      </w:r>
      <w:r>
        <w:rPr>
          <w:rFonts w:ascii="仿宋_GB2312" w:eastAsia="仿宋_GB2312"/>
          <w:sz w:val="32"/>
          <w:szCs w:val="32"/>
        </w:rPr>
        <w:t>2022</w:t>
      </w:r>
      <w:r>
        <w:rPr>
          <w:rFonts w:hint="eastAsia" w:ascii="仿宋_GB2312" w:eastAsia="仿宋_GB2312"/>
          <w:sz w:val="32"/>
          <w:szCs w:val="32"/>
        </w:rPr>
        <w:t>年度开展预算绩效评价项目</w:t>
      </w:r>
      <w:r>
        <w:rPr>
          <w:rFonts w:ascii="仿宋_GB2312" w:eastAsia="仿宋_GB2312"/>
          <w:sz w:val="32"/>
          <w:szCs w:val="32"/>
        </w:rPr>
        <w:t>2</w:t>
      </w:r>
      <w:r>
        <w:rPr>
          <w:rFonts w:hint="eastAsia" w:ascii="仿宋_GB2312" w:eastAsia="仿宋_GB2312"/>
          <w:sz w:val="32"/>
          <w:szCs w:val="32"/>
        </w:rPr>
        <w:t>个，全年预算数226.00万元，全年执行数226.00万元。预算绩效管理取得的成效：</w:t>
      </w:r>
      <w:r>
        <w:rPr>
          <w:rFonts w:ascii="仿宋_GB2312" w:eastAsia="仿宋_GB2312"/>
          <w:sz w:val="32"/>
          <w:szCs w:val="32"/>
        </w:rPr>
        <w:t>一是项目绩效目标完成情况。政府办公厅文印中心在2022年严格执行部门预算，认真落实《中央八项规定》，严格按照政府采购制度推进采购业务的进行，不断提高服务水平和服务质量；文印中心承担着政府和办公厅各处室（单位）各类文件、电报、纪要、简报、会议材料、学习材料、资料汇编等印制任务，全年扎实推进了各项工作的开展，较好的完成了年初既定绩效目标。</w:t>
      </w:r>
      <w:r>
        <w:rPr>
          <w:rFonts w:ascii="仿宋_GB2312" w:eastAsia="仿宋_GB2312"/>
          <w:sz w:val="32"/>
          <w:szCs w:val="32"/>
        </w:rPr>
        <w:br w:type="textWrapping"/>
      </w:r>
      <w:r>
        <w:rPr>
          <w:rFonts w:ascii="仿宋_GB2312" w:eastAsia="仿宋_GB2312"/>
          <w:sz w:val="32"/>
          <w:szCs w:val="32"/>
        </w:rPr>
        <w:t>二是整体支出绩效目标实现情况。自治区人民政府办公厅文印中心认真学习贯彻落实自治区党委、自治区人民政府《关于全面实施预算绩效管理的实施意见》（新党发[2018]30号），组织相关单位（处室）认真学习文件内容，领会精神实质，统一思想认识，准确把握核心内涵，加强绩效监控手段，突出绩效导向作用，将全面绩效管理落实到各项工作之中，有力推动了工作开展。如：与下设办公室不等不靠，积极配合，主动协调项目单位，合理编制绩效目标和实施计划，并严格按照计划稳步推进。根据自治区财政厅对2022年预算执行情况的通报，政府办公厅项目预算执行情况良好，如期完成了预算执行任务，实现了既定的绩效目标，有力保障了自治区重点项目及其他项目的顺利实施</w:t>
      </w:r>
      <w:r>
        <w:rPr>
          <w:rFonts w:hint="eastAsia" w:ascii="仿宋_GB2312" w:eastAsia="仿宋_GB2312"/>
          <w:sz w:val="32"/>
          <w:szCs w:val="32"/>
        </w:rPr>
        <w:t>。发现的问题及原因：</w:t>
      </w:r>
      <w:r>
        <w:rPr>
          <w:rFonts w:ascii="仿宋_GB2312" w:eastAsia="仿宋_GB2312"/>
          <w:sz w:val="32"/>
          <w:szCs w:val="32"/>
        </w:rPr>
        <w:t>一是预算编制中仍存在不规范、不合理，致使预算执行过程中存在支出不规范、不合理现象；二是财务人员政策法规平时学习不够，致使财务收支行为还存在一定的随意性，导致决算审核问题较多</w:t>
      </w:r>
      <w:r>
        <w:rPr>
          <w:rFonts w:hint="eastAsia" w:ascii="仿宋_GB2312" w:eastAsia="仿宋_GB2312"/>
          <w:sz w:val="32"/>
          <w:szCs w:val="32"/>
        </w:rPr>
        <w:t>。下一步改进措施：</w:t>
      </w:r>
      <w:r>
        <w:rPr>
          <w:rFonts w:ascii="仿宋_GB2312" w:eastAsia="仿宋_GB2312"/>
          <w:sz w:val="32"/>
          <w:szCs w:val="32"/>
        </w:rPr>
        <w:t>一是文印中心将加大对预、决算工作的审核力度；二是加强对财务人员的业务培训，将各类政策法规严格落实到各项收支业务之中，不断提高财政预算执行的准确性、及时性和规范性；三是按要求完成绩效目标，切实发挥好财政资金的效用</w:t>
      </w:r>
      <w:r>
        <w:rPr>
          <w:rFonts w:hint="eastAsia" w:ascii="仿宋_GB2312" w:eastAsia="仿宋_GB2312"/>
          <w:sz w:val="32"/>
          <w:szCs w:val="32"/>
        </w:rPr>
        <w:t>。具体项目自评情况见附件。</w:t>
      </w:r>
    </w:p>
    <w:p>
      <w:pPr>
        <w:widowControl/>
        <w:jc w:val="left"/>
        <w:rPr>
          <w:rFonts w:ascii="黑体" w:hAnsi="黑体" w:eastAsia="黑体"/>
          <w:sz w:val="32"/>
          <w:szCs w:val="32"/>
        </w:rPr>
      </w:pPr>
      <w:bookmarkStart w:id="30" w:name="_Toc24143"/>
      <w:bookmarkStart w:id="31" w:name="_Toc3250"/>
      <w:r>
        <w:rPr>
          <w:rFonts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bookmarkEnd w:id="30"/>
      <w:bookmarkEnd w:id="31"/>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bookmarkStart w:id="32" w:name="_Toc22784"/>
      <w:bookmarkStart w:id="33" w:name="_Toc28903"/>
      <w:r>
        <w:rPr>
          <w:rFonts w:hint="eastAsia" w:ascii="黑体" w:hAnsi="黑体" w:eastAsia="黑体"/>
          <w:sz w:val="32"/>
          <w:szCs w:val="32"/>
        </w:rPr>
        <w:br w:type="page"/>
      </w:r>
      <w:r>
        <w:rPr>
          <w:rFonts w:hint="eastAsia" w:ascii="黑体" w:hAnsi="黑体" w:eastAsia="黑体"/>
          <w:sz w:val="32"/>
          <w:szCs w:val="32"/>
        </w:rPr>
        <w:t>第四部分 部门决算报表（见附表）</w:t>
      </w:r>
      <w:bookmarkEnd w:id="32"/>
      <w:bookmarkEnd w:id="33"/>
    </w:p>
    <w:p>
      <w:pPr>
        <w:ind w:firstLine="640" w:firstLineChars="200"/>
        <w:outlineLvl w:val="1"/>
        <w:rPr>
          <w:rFonts w:ascii="黑体" w:hAnsi="黑体" w:eastAsia="黑体" w:cs="宋体"/>
          <w:bCs/>
          <w:kern w:val="0"/>
          <w:sz w:val="32"/>
          <w:szCs w:val="32"/>
        </w:rPr>
      </w:pPr>
      <w:bookmarkStart w:id="34" w:name="_Toc6062"/>
      <w:bookmarkStart w:id="35" w:name="_Toc2183"/>
      <w:r>
        <w:rPr>
          <w:rFonts w:hint="eastAsia" w:ascii="黑体" w:hAnsi="黑体" w:eastAsia="黑体" w:cs="宋体"/>
          <w:bCs/>
          <w:kern w:val="0"/>
          <w:sz w:val="32"/>
          <w:szCs w:val="32"/>
        </w:rPr>
        <w:t>一、《收入支出决算总表》</w:t>
      </w:r>
      <w:bookmarkEnd w:id="34"/>
      <w:bookmarkEnd w:id="35"/>
    </w:p>
    <w:p>
      <w:pPr>
        <w:ind w:firstLine="640" w:firstLineChars="200"/>
        <w:outlineLvl w:val="1"/>
        <w:rPr>
          <w:rFonts w:ascii="黑体" w:hAnsi="黑体" w:eastAsia="黑体" w:cs="宋体"/>
          <w:bCs/>
          <w:kern w:val="0"/>
          <w:sz w:val="32"/>
          <w:szCs w:val="32"/>
        </w:rPr>
      </w:pPr>
      <w:bookmarkStart w:id="36" w:name="_Toc24532"/>
      <w:bookmarkStart w:id="37" w:name="_Toc30364"/>
      <w:r>
        <w:rPr>
          <w:rFonts w:hint="eastAsia" w:ascii="黑体" w:hAnsi="黑体" w:eastAsia="黑体" w:cs="宋体"/>
          <w:bCs/>
          <w:kern w:val="0"/>
          <w:sz w:val="32"/>
          <w:szCs w:val="32"/>
        </w:rPr>
        <w:t>二、《收入决算表》</w:t>
      </w:r>
      <w:bookmarkEnd w:id="36"/>
      <w:bookmarkEnd w:id="37"/>
    </w:p>
    <w:p>
      <w:pPr>
        <w:ind w:firstLine="640" w:firstLineChars="200"/>
        <w:outlineLvl w:val="1"/>
        <w:rPr>
          <w:rFonts w:ascii="黑体" w:hAnsi="黑体" w:eastAsia="黑体" w:cs="宋体"/>
          <w:bCs/>
          <w:kern w:val="0"/>
          <w:sz w:val="32"/>
          <w:szCs w:val="32"/>
        </w:rPr>
      </w:pPr>
      <w:bookmarkStart w:id="38" w:name="_Toc32434"/>
      <w:bookmarkStart w:id="39" w:name="_Toc21304"/>
      <w:r>
        <w:rPr>
          <w:rFonts w:hint="eastAsia" w:ascii="黑体" w:hAnsi="黑体" w:eastAsia="黑体" w:cs="宋体"/>
          <w:bCs/>
          <w:kern w:val="0"/>
          <w:sz w:val="32"/>
          <w:szCs w:val="32"/>
        </w:rPr>
        <w:t>三、《支出决算表》</w:t>
      </w:r>
      <w:bookmarkEnd w:id="38"/>
      <w:bookmarkEnd w:id="39"/>
    </w:p>
    <w:p>
      <w:pPr>
        <w:ind w:firstLine="640" w:firstLineChars="200"/>
        <w:outlineLvl w:val="1"/>
        <w:rPr>
          <w:rFonts w:ascii="黑体" w:hAnsi="黑体" w:eastAsia="黑体" w:cs="宋体"/>
          <w:bCs/>
          <w:kern w:val="0"/>
          <w:sz w:val="32"/>
          <w:szCs w:val="32"/>
        </w:rPr>
      </w:pPr>
      <w:bookmarkStart w:id="40" w:name="_Toc28786"/>
      <w:bookmarkStart w:id="41" w:name="_Toc14238"/>
      <w:r>
        <w:rPr>
          <w:rFonts w:hint="eastAsia" w:ascii="黑体" w:hAnsi="黑体" w:eastAsia="黑体" w:cs="宋体"/>
          <w:bCs/>
          <w:kern w:val="0"/>
          <w:sz w:val="32"/>
          <w:szCs w:val="32"/>
        </w:rPr>
        <w:t>四、《财政拨款收入支出决算总表》</w:t>
      </w:r>
      <w:bookmarkEnd w:id="40"/>
      <w:bookmarkEnd w:id="41"/>
    </w:p>
    <w:p>
      <w:pPr>
        <w:ind w:firstLine="640" w:firstLineChars="200"/>
        <w:outlineLvl w:val="1"/>
        <w:rPr>
          <w:rFonts w:ascii="黑体" w:hAnsi="黑体" w:eastAsia="黑体" w:cs="宋体"/>
          <w:bCs/>
          <w:kern w:val="0"/>
          <w:sz w:val="32"/>
          <w:szCs w:val="32"/>
        </w:rPr>
      </w:pPr>
      <w:bookmarkStart w:id="42" w:name="_Toc14869"/>
      <w:bookmarkStart w:id="43" w:name="_Toc10347"/>
      <w:r>
        <w:rPr>
          <w:rFonts w:hint="eastAsia" w:ascii="黑体" w:hAnsi="黑体" w:eastAsia="黑体" w:cs="宋体"/>
          <w:bCs/>
          <w:kern w:val="0"/>
          <w:sz w:val="32"/>
          <w:szCs w:val="32"/>
        </w:rPr>
        <w:t>五、《一般公共预算财政拨款支出决算表》</w:t>
      </w:r>
      <w:bookmarkEnd w:id="42"/>
      <w:bookmarkEnd w:id="43"/>
    </w:p>
    <w:p>
      <w:pPr>
        <w:ind w:firstLine="640" w:firstLineChars="200"/>
        <w:outlineLvl w:val="1"/>
        <w:rPr>
          <w:rFonts w:ascii="黑体" w:hAnsi="黑体" w:eastAsia="黑体" w:cs="宋体"/>
          <w:bCs/>
          <w:kern w:val="0"/>
          <w:sz w:val="32"/>
          <w:szCs w:val="32"/>
        </w:rPr>
      </w:pPr>
      <w:bookmarkStart w:id="44" w:name="_Toc8884"/>
      <w:bookmarkStart w:id="45" w:name="_Toc5626"/>
      <w:r>
        <w:rPr>
          <w:rFonts w:hint="eastAsia" w:ascii="黑体" w:hAnsi="黑体" w:eastAsia="黑体" w:cs="宋体"/>
          <w:bCs/>
          <w:kern w:val="0"/>
          <w:sz w:val="32"/>
          <w:szCs w:val="32"/>
        </w:rPr>
        <w:t>六、《一般公共预算财政拨款基本支出决算表》</w:t>
      </w:r>
      <w:bookmarkEnd w:id="44"/>
      <w:bookmarkEnd w:id="45"/>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w:t>
      </w:r>
      <w:bookmarkStart w:id="46" w:name="_Toc29106"/>
      <w:bookmarkStart w:id="47" w:name="_Toc32663"/>
      <w:r>
        <w:rPr>
          <w:rFonts w:hint="eastAsia" w:ascii="黑体" w:hAnsi="黑体" w:eastAsia="黑体" w:cs="宋体"/>
          <w:bCs/>
          <w:kern w:val="0"/>
          <w:sz w:val="32"/>
          <w:szCs w:val="32"/>
        </w:rPr>
        <w:t>《财政拨款“三公”经费支出决算表》</w:t>
      </w:r>
      <w:bookmarkEnd w:id="46"/>
      <w:bookmarkEnd w:id="47"/>
    </w:p>
    <w:p>
      <w:pPr>
        <w:ind w:firstLine="640" w:firstLineChars="200"/>
        <w:outlineLvl w:val="1"/>
        <w:rPr>
          <w:rFonts w:ascii="黑体" w:hAnsi="黑体" w:eastAsia="黑体" w:cs="宋体"/>
          <w:bCs/>
          <w:kern w:val="0"/>
          <w:sz w:val="32"/>
          <w:szCs w:val="32"/>
        </w:rPr>
      </w:pPr>
      <w:bookmarkStart w:id="48" w:name="_Toc5453"/>
      <w:bookmarkStart w:id="49" w:name="_Toc7643"/>
      <w:r>
        <w:rPr>
          <w:rFonts w:hint="eastAsia" w:ascii="黑体" w:hAnsi="黑体" w:eastAsia="黑体" w:cs="宋体"/>
          <w:bCs/>
          <w:kern w:val="0"/>
          <w:sz w:val="32"/>
          <w:szCs w:val="32"/>
        </w:rPr>
        <w:t>八、《政府性基金预算财政拨款收入支出决算表》</w:t>
      </w:r>
      <w:bookmarkEnd w:id="48"/>
      <w:bookmarkEnd w:id="49"/>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5MDBhMzM1YjRlYjQ0ZDVkY2QwOTIwNWQxNjQyNTMifQ=="/>
  </w:docVars>
  <w:rsids>
    <w:rsidRoot w:val="00312C27"/>
    <w:rsid w:val="00012F23"/>
    <w:rsid w:val="00021E76"/>
    <w:rsid w:val="000229DC"/>
    <w:rsid w:val="0002765D"/>
    <w:rsid w:val="0003297B"/>
    <w:rsid w:val="000379B3"/>
    <w:rsid w:val="0005626F"/>
    <w:rsid w:val="000724E7"/>
    <w:rsid w:val="0008509D"/>
    <w:rsid w:val="00090520"/>
    <w:rsid w:val="000A0B31"/>
    <w:rsid w:val="000D2344"/>
    <w:rsid w:val="000D267C"/>
    <w:rsid w:val="000E7B17"/>
    <w:rsid w:val="00135BB7"/>
    <w:rsid w:val="0016194B"/>
    <w:rsid w:val="001762A3"/>
    <w:rsid w:val="00185C9C"/>
    <w:rsid w:val="001B0BD1"/>
    <w:rsid w:val="001B147B"/>
    <w:rsid w:val="001C3354"/>
    <w:rsid w:val="00215836"/>
    <w:rsid w:val="00221441"/>
    <w:rsid w:val="00224B57"/>
    <w:rsid w:val="002259E8"/>
    <w:rsid w:val="00235C0B"/>
    <w:rsid w:val="00240AA1"/>
    <w:rsid w:val="00263A81"/>
    <w:rsid w:val="00271C68"/>
    <w:rsid w:val="00294495"/>
    <w:rsid w:val="0029483B"/>
    <w:rsid w:val="002A2698"/>
    <w:rsid w:val="002D1584"/>
    <w:rsid w:val="00312C27"/>
    <w:rsid w:val="00352E78"/>
    <w:rsid w:val="00366326"/>
    <w:rsid w:val="003A21C7"/>
    <w:rsid w:val="003B1B1F"/>
    <w:rsid w:val="003C2E0F"/>
    <w:rsid w:val="003D686F"/>
    <w:rsid w:val="003F04B0"/>
    <w:rsid w:val="003F1325"/>
    <w:rsid w:val="003F3219"/>
    <w:rsid w:val="00411B2D"/>
    <w:rsid w:val="00435C19"/>
    <w:rsid w:val="00436039"/>
    <w:rsid w:val="00460D47"/>
    <w:rsid w:val="00484954"/>
    <w:rsid w:val="004A0689"/>
    <w:rsid w:val="004C2483"/>
    <w:rsid w:val="004C3288"/>
    <w:rsid w:val="004C4A14"/>
    <w:rsid w:val="004C6A74"/>
    <w:rsid w:val="004D41E0"/>
    <w:rsid w:val="0050663B"/>
    <w:rsid w:val="00517943"/>
    <w:rsid w:val="00531043"/>
    <w:rsid w:val="00531F92"/>
    <w:rsid w:val="00556D35"/>
    <w:rsid w:val="00557718"/>
    <w:rsid w:val="00561710"/>
    <w:rsid w:val="00571ACE"/>
    <w:rsid w:val="00572CBD"/>
    <w:rsid w:val="005A07B6"/>
    <w:rsid w:val="005A161C"/>
    <w:rsid w:val="005B643B"/>
    <w:rsid w:val="005C3DEB"/>
    <w:rsid w:val="005D0AD9"/>
    <w:rsid w:val="005D1C2D"/>
    <w:rsid w:val="005E3B4A"/>
    <w:rsid w:val="0060159A"/>
    <w:rsid w:val="00626A93"/>
    <w:rsid w:val="00656E06"/>
    <w:rsid w:val="00665BE8"/>
    <w:rsid w:val="00680772"/>
    <w:rsid w:val="006B52D5"/>
    <w:rsid w:val="006C27D5"/>
    <w:rsid w:val="006C2D78"/>
    <w:rsid w:val="006D1EE8"/>
    <w:rsid w:val="006E797E"/>
    <w:rsid w:val="006F4050"/>
    <w:rsid w:val="006F66CC"/>
    <w:rsid w:val="0071348F"/>
    <w:rsid w:val="00752DF5"/>
    <w:rsid w:val="00753B65"/>
    <w:rsid w:val="00760DE7"/>
    <w:rsid w:val="007649BA"/>
    <w:rsid w:val="007A247A"/>
    <w:rsid w:val="007A31DF"/>
    <w:rsid w:val="007B559C"/>
    <w:rsid w:val="007D31C5"/>
    <w:rsid w:val="007E0AAA"/>
    <w:rsid w:val="007E2227"/>
    <w:rsid w:val="007F2258"/>
    <w:rsid w:val="0081064F"/>
    <w:rsid w:val="0084474D"/>
    <w:rsid w:val="0089722A"/>
    <w:rsid w:val="008A0B2C"/>
    <w:rsid w:val="008A44AF"/>
    <w:rsid w:val="008B33C8"/>
    <w:rsid w:val="008D0631"/>
    <w:rsid w:val="00905908"/>
    <w:rsid w:val="00914C96"/>
    <w:rsid w:val="00926C84"/>
    <w:rsid w:val="00927CCC"/>
    <w:rsid w:val="00955F5A"/>
    <w:rsid w:val="00986787"/>
    <w:rsid w:val="00A22AE4"/>
    <w:rsid w:val="00A347A6"/>
    <w:rsid w:val="00A3556A"/>
    <w:rsid w:val="00A636E4"/>
    <w:rsid w:val="00A87103"/>
    <w:rsid w:val="00AB776D"/>
    <w:rsid w:val="00B03B50"/>
    <w:rsid w:val="00B33BF0"/>
    <w:rsid w:val="00B35A42"/>
    <w:rsid w:val="00B4517D"/>
    <w:rsid w:val="00B92C80"/>
    <w:rsid w:val="00BA3B30"/>
    <w:rsid w:val="00BC6347"/>
    <w:rsid w:val="00BC69BD"/>
    <w:rsid w:val="00BD3218"/>
    <w:rsid w:val="00BD5200"/>
    <w:rsid w:val="00BE4763"/>
    <w:rsid w:val="00BF7AA6"/>
    <w:rsid w:val="00C0408D"/>
    <w:rsid w:val="00C23286"/>
    <w:rsid w:val="00C25C01"/>
    <w:rsid w:val="00C37871"/>
    <w:rsid w:val="00C65103"/>
    <w:rsid w:val="00C66483"/>
    <w:rsid w:val="00C72285"/>
    <w:rsid w:val="00C77B7E"/>
    <w:rsid w:val="00C90C12"/>
    <w:rsid w:val="00CA6634"/>
    <w:rsid w:val="00CB036E"/>
    <w:rsid w:val="00CD3225"/>
    <w:rsid w:val="00CF5B51"/>
    <w:rsid w:val="00CF7E34"/>
    <w:rsid w:val="00D020FB"/>
    <w:rsid w:val="00D41FF8"/>
    <w:rsid w:val="00D6267B"/>
    <w:rsid w:val="00D64C5E"/>
    <w:rsid w:val="00D66A40"/>
    <w:rsid w:val="00D76208"/>
    <w:rsid w:val="00D8609B"/>
    <w:rsid w:val="00DA3B1B"/>
    <w:rsid w:val="00DF2FD8"/>
    <w:rsid w:val="00E04D53"/>
    <w:rsid w:val="00E2268A"/>
    <w:rsid w:val="00E25E17"/>
    <w:rsid w:val="00E3623A"/>
    <w:rsid w:val="00E45222"/>
    <w:rsid w:val="00EB34D7"/>
    <w:rsid w:val="00EC60C6"/>
    <w:rsid w:val="00EE4EA5"/>
    <w:rsid w:val="00EE6071"/>
    <w:rsid w:val="00F0691A"/>
    <w:rsid w:val="00F20986"/>
    <w:rsid w:val="00F20EB6"/>
    <w:rsid w:val="00F216E3"/>
    <w:rsid w:val="00F26856"/>
    <w:rsid w:val="00F30DDE"/>
    <w:rsid w:val="00F53C2D"/>
    <w:rsid w:val="00F66B7F"/>
    <w:rsid w:val="00F7210D"/>
    <w:rsid w:val="00F8314A"/>
    <w:rsid w:val="00F95054"/>
    <w:rsid w:val="00FF6A37"/>
    <w:rsid w:val="034D4FEF"/>
    <w:rsid w:val="043E5B56"/>
    <w:rsid w:val="06792773"/>
    <w:rsid w:val="0A7B4867"/>
    <w:rsid w:val="0AE83DE6"/>
    <w:rsid w:val="0B8C3ECC"/>
    <w:rsid w:val="0BBA0A81"/>
    <w:rsid w:val="0C7227A7"/>
    <w:rsid w:val="0F3317C1"/>
    <w:rsid w:val="12386E6F"/>
    <w:rsid w:val="14155180"/>
    <w:rsid w:val="15F06E99"/>
    <w:rsid w:val="1B707488"/>
    <w:rsid w:val="1C7A04C1"/>
    <w:rsid w:val="1DAF458D"/>
    <w:rsid w:val="20DD6197"/>
    <w:rsid w:val="21A91B81"/>
    <w:rsid w:val="222A65E3"/>
    <w:rsid w:val="23BC04D2"/>
    <w:rsid w:val="23FB0802"/>
    <w:rsid w:val="277F0ACA"/>
    <w:rsid w:val="27CF2642"/>
    <w:rsid w:val="2A053397"/>
    <w:rsid w:val="2D1136DF"/>
    <w:rsid w:val="2DD47676"/>
    <w:rsid w:val="2E743C6A"/>
    <w:rsid w:val="2F916B46"/>
    <w:rsid w:val="2FD27414"/>
    <w:rsid w:val="2FD45ADE"/>
    <w:rsid w:val="317F6FF3"/>
    <w:rsid w:val="31C63837"/>
    <w:rsid w:val="35FB19DD"/>
    <w:rsid w:val="3914510A"/>
    <w:rsid w:val="3B12207E"/>
    <w:rsid w:val="3B3C07D5"/>
    <w:rsid w:val="3C5A6884"/>
    <w:rsid w:val="3D2A665C"/>
    <w:rsid w:val="3D5275AC"/>
    <w:rsid w:val="40834692"/>
    <w:rsid w:val="41A84A67"/>
    <w:rsid w:val="448437A4"/>
    <w:rsid w:val="44F4368F"/>
    <w:rsid w:val="454126C2"/>
    <w:rsid w:val="45E16709"/>
    <w:rsid w:val="46901EEE"/>
    <w:rsid w:val="469C74D2"/>
    <w:rsid w:val="47A53BB1"/>
    <w:rsid w:val="49B933AA"/>
    <w:rsid w:val="4A6B0F8B"/>
    <w:rsid w:val="4B4C0111"/>
    <w:rsid w:val="50DB5F45"/>
    <w:rsid w:val="52F92565"/>
    <w:rsid w:val="55CE6BE9"/>
    <w:rsid w:val="57E43B01"/>
    <w:rsid w:val="583059FA"/>
    <w:rsid w:val="5ABB586A"/>
    <w:rsid w:val="5FA17648"/>
    <w:rsid w:val="60091C60"/>
    <w:rsid w:val="61A46A97"/>
    <w:rsid w:val="62DD7D21"/>
    <w:rsid w:val="65D97752"/>
    <w:rsid w:val="68DB0208"/>
    <w:rsid w:val="69AD798C"/>
    <w:rsid w:val="6B68175F"/>
    <w:rsid w:val="6E0F7A08"/>
    <w:rsid w:val="712F040E"/>
    <w:rsid w:val="71473612"/>
    <w:rsid w:val="718F7F65"/>
    <w:rsid w:val="73F7554E"/>
    <w:rsid w:val="73FB6630"/>
    <w:rsid w:val="74E76DCD"/>
    <w:rsid w:val="77ED6F44"/>
    <w:rsid w:val="7E024769"/>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toc 3"/>
    <w:basedOn w:val="1"/>
    <w:next w:val="1"/>
    <w:autoRedefine/>
    <w:qFormat/>
    <w:uiPriority w:val="0"/>
    <w:pPr>
      <w:ind w:left="840" w:leftChars="400"/>
    </w:pPr>
  </w:style>
  <w:style w:type="paragraph" w:styleId="4">
    <w:name w:val="Balloon Text"/>
    <w:basedOn w:val="1"/>
    <w:link w:val="15"/>
    <w:autoRedefine/>
    <w:qFormat/>
    <w:uiPriority w:val="0"/>
    <w:rPr>
      <w:sz w:val="18"/>
      <w:szCs w:val="18"/>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autoRedefine/>
    <w:qFormat/>
    <w:uiPriority w:val="0"/>
  </w:style>
  <w:style w:type="paragraph" w:styleId="8">
    <w:name w:val="toc 2"/>
    <w:basedOn w:val="1"/>
    <w:next w:val="1"/>
    <w:autoRedefine/>
    <w:qFormat/>
    <w:uiPriority w:val="0"/>
    <w:pPr>
      <w:ind w:left="420" w:leftChars="200"/>
    </w:pPr>
  </w:style>
  <w:style w:type="character" w:styleId="11">
    <w:name w:val="annotation reference"/>
    <w:basedOn w:val="10"/>
    <w:autoRedefine/>
    <w:qFormat/>
    <w:uiPriority w:val="0"/>
    <w:rPr>
      <w:sz w:val="21"/>
      <w:szCs w:val="21"/>
    </w:rPr>
  </w:style>
  <w:style w:type="paragraph" w:customStyle="1" w:styleId="12">
    <w:name w:val="WPSOffice手动目录 3"/>
    <w:autoRedefine/>
    <w:qFormat/>
    <w:uiPriority w:val="0"/>
    <w:pPr>
      <w:ind w:left="400" w:leftChars="400"/>
    </w:pPr>
    <w:rPr>
      <w:rFonts w:ascii="Times New Roman" w:hAnsi="Times New Roman" w:eastAsia="宋体" w:cs="Times New Roman"/>
      <w:lang w:val="en-US" w:eastAsia="zh-CN" w:bidi="ug-CN"/>
    </w:rPr>
  </w:style>
  <w:style w:type="paragraph" w:customStyle="1" w:styleId="13">
    <w:name w:val="WPSOffice手动目录 2"/>
    <w:autoRedefine/>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autoRedefine/>
    <w:qFormat/>
    <w:uiPriority w:val="0"/>
    <w:rPr>
      <w:rFonts w:ascii="Times New Roman" w:hAnsi="Times New Roman" w:eastAsia="宋体" w:cs="Times New Roman"/>
      <w:lang w:val="en-US" w:eastAsia="zh-CN" w:bidi="ug-CN"/>
    </w:rPr>
  </w:style>
  <w:style w:type="character" w:customStyle="1" w:styleId="15">
    <w:name w:val="批注框文本 字符"/>
    <w:basedOn w:val="10"/>
    <w:link w:val="4"/>
    <w:autoRedefine/>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7A3A8B-760C-44B8-A160-C6454B62F5EE}">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19</Pages>
  <Words>1669</Words>
  <Characters>9517</Characters>
  <Lines>79</Lines>
  <Paragraphs>22</Paragraphs>
  <TotalTime>1</TotalTime>
  <ScaleCrop>false</ScaleCrop>
  <LinksUpToDate>false</LinksUpToDate>
  <CharactersWithSpaces>11164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辰公ོ子ོ</cp:lastModifiedBy>
  <dcterms:modified xsi:type="dcterms:W3CDTF">2023-12-28T03:43:52Z</dcterms:modified>
  <cp:revision>152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F665D1D1E1574770A7F082551D6BF84C_13</vt:lpwstr>
  </property>
</Properties>
</file>