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76" w:rsidRDefault="00CC272A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附1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FD6976" w:rsidTr="005751F0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D6976" w:rsidRDefault="00CC272A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D6976" w:rsidTr="005751F0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FD6976" w:rsidRDefault="00CC272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 w:rsidR="0001697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2022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FD6976" w:rsidTr="00867625">
        <w:trPr>
          <w:trHeight w:hRule="exact" w:val="553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46565" w:rsidP="006465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驻外办事处</w:t>
            </w:r>
            <w:r w:rsidR="0001697D" w:rsidRPr="0001697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业务工作经费</w:t>
            </w:r>
          </w:p>
        </w:tc>
      </w:tr>
      <w:tr w:rsidR="00FD6976" w:rsidTr="00435430">
        <w:trPr>
          <w:trHeight w:hRule="exact" w:val="431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1697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新疆维吾尔自治区人民政府办公厅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 w:rsidP="0001697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1697D">
              <w:rPr>
                <w:rFonts w:ascii="宋体" w:eastAsia="宋体" w:hAnsi="宋体" w:cs="宋体" w:hint="eastAsia"/>
                <w:kern w:val="0"/>
                <w:sz w:val="13"/>
                <w:szCs w:val="18"/>
              </w:rPr>
              <w:t>自治区人民政</w:t>
            </w:r>
            <w:r w:rsidRPr="0001697D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府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驻上海办事处</w:t>
            </w:r>
          </w:p>
        </w:tc>
      </w:tr>
      <w:tr w:rsidR="00FD6976" w:rsidTr="00867625">
        <w:trPr>
          <w:trHeight w:hRule="exact" w:val="41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D6976" w:rsidTr="00867625">
        <w:trPr>
          <w:trHeight w:hRule="exact" w:val="43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230.88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86.15%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40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83104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8.6</w:t>
            </w:r>
            <w:r w:rsidR="00483104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1</w:t>
            </w:r>
          </w:p>
        </w:tc>
      </w:tr>
      <w:tr w:rsidR="00FD6976" w:rsidTr="00867625">
        <w:trPr>
          <w:trHeight w:hRule="exact" w:val="422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01697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230.88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D6976" w:rsidTr="00867625">
        <w:trPr>
          <w:trHeight w:hRule="exact" w:val="428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D6976" w:rsidTr="00867625">
        <w:trPr>
          <w:trHeight w:hRule="exact" w:val="42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D6976" w:rsidTr="00435430">
        <w:trPr>
          <w:trHeight w:hRule="exact" w:val="472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D6976" w:rsidTr="00487722">
        <w:trPr>
          <w:trHeight w:hRule="exact" w:val="78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B16565" w:rsidP="0064656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项目经费主要用于</w:t>
            </w:r>
            <w:r w:rsidR="0001697D" w:rsidRPr="008676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弥</w:t>
            </w:r>
            <w:r w:rsidR="008676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补由于地域环境及工作性质比较特殊和</w:t>
            </w:r>
            <w:r w:rsidRPr="008676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财政基本经费</w:t>
            </w:r>
            <w:r w:rsidR="0001697D" w:rsidRPr="008676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不足的开支。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B16565" w:rsidP="00867625">
            <w:pPr>
              <w:widowControl/>
              <w:spacing w:line="22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实际使用项目支出230.88万元，资金使用严格履行预算管理，严格按规定开支费用，提高项目资金的使用效能</w:t>
            </w:r>
            <w:r w:rsidR="004C6882" w:rsidRPr="008676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FD6976" w:rsidTr="005751F0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D6976" w:rsidTr="00797C55">
        <w:trPr>
          <w:trHeight w:hRule="exact" w:val="41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854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原事业编制人员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285452" w:rsidRDefault="002854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B16EA" w:rsidP="00285452">
            <w:pPr>
              <w:widowControl/>
              <w:spacing w:line="240" w:lineRule="exact"/>
              <w:ind w:firstLineChars="150" w:firstLine="27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40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4.5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646565" w:rsidP="0086762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2022年1月退休1人</w:t>
            </w:r>
          </w:p>
        </w:tc>
      </w:tr>
      <w:tr w:rsidR="00FD6976" w:rsidTr="00797C55">
        <w:trPr>
          <w:trHeight w:hRule="exact" w:val="41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854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信息报送数量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854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54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&gt;200条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9F10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45569" w:rsidP="00F45569">
            <w:pPr>
              <w:widowControl/>
              <w:spacing w:line="1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45569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2022年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新</w:t>
            </w:r>
            <w:r w:rsidRPr="00F45569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增沪办信息荟萃和专报</w:t>
            </w:r>
          </w:p>
        </w:tc>
      </w:tr>
      <w:tr w:rsidR="00FD6976" w:rsidTr="00797C55">
        <w:trPr>
          <w:trHeight w:hRule="exact" w:val="41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854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公务用车数量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854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B16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D6976" w:rsidTr="00797C55">
        <w:trPr>
          <w:trHeight w:hRule="exact" w:val="41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854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公务接待活动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B1A8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B1A86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D5C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D5C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C82D41" w:rsidP="0086762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2022年因疫情</w:t>
            </w:r>
            <w:r w:rsidR="002240F0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原因</w:t>
            </w:r>
            <w:r w:rsidRPr="00867625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接待下降</w:t>
            </w:r>
          </w:p>
        </w:tc>
      </w:tr>
      <w:tr w:rsidR="00FD6976" w:rsidTr="00797C55">
        <w:trPr>
          <w:trHeight w:hRule="exact" w:val="42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854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信息报送完成率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B1A8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B1A8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483104" w:rsidP="00487722">
            <w:pPr>
              <w:widowControl/>
              <w:spacing w:line="240" w:lineRule="exact"/>
              <w:ind w:firstLineChars="100" w:firstLine="18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B1A8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D6976" w:rsidTr="00797C55">
        <w:trPr>
          <w:trHeight w:hRule="exact" w:val="43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53268" w:rsidP="00867625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76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8"/>
              </w:rPr>
              <w:t>弥补事业人员社保金和</w:t>
            </w:r>
            <w:r w:rsidR="00285452" w:rsidRPr="008676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8"/>
              </w:rPr>
              <w:t>聘用人员工资发放及时率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B1A8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B1A86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B16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B1A86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D6976" w:rsidTr="00487722">
        <w:trPr>
          <w:trHeight w:hRule="exact" w:val="6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4C6882" w:rsidP="00867625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676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发放事业人员、</w:t>
            </w:r>
            <w:r w:rsidR="00B276A1" w:rsidRPr="008676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聘用人员工</w:t>
            </w:r>
            <w:r w:rsidR="006D5C50" w:rsidRPr="008676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资</w:t>
            </w:r>
            <w:r w:rsidRPr="008676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B276A1" w:rsidRDefault="00B276A1" w:rsidP="006003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6"/>
                <w:szCs w:val="18"/>
              </w:rPr>
            </w:pPr>
            <w:r w:rsidRPr="00B276A1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91.</w:t>
            </w:r>
            <w:r w:rsidR="00600369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00369" w:rsidP="006003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00369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68.64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4831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83104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3.75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487722" w:rsidP="00487722">
            <w:pPr>
              <w:widowControl/>
              <w:spacing w:line="140" w:lineRule="exact"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487722">
              <w:rPr>
                <w:rFonts w:ascii="宋体" w:eastAsia="宋体" w:hAnsi="宋体" w:cs="宋体" w:hint="eastAsia"/>
                <w:kern w:val="0"/>
                <w:sz w:val="13"/>
                <w:szCs w:val="16"/>
              </w:rPr>
              <w:t>因事业单位机构改革办事处</w:t>
            </w:r>
            <w:r w:rsidR="006D5C50" w:rsidRPr="00487722">
              <w:rPr>
                <w:rFonts w:ascii="宋体" w:eastAsia="宋体" w:hAnsi="宋体" w:cs="宋体" w:hint="eastAsia"/>
                <w:kern w:val="0"/>
                <w:sz w:val="13"/>
                <w:szCs w:val="16"/>
              </w:rPr>
              <w:t>事业人员</w:t>
            </w:r>
            <w:r w:rsidRPr="00487722">
              <w:rPr>
                <w:rFonts w:ascii="宋体" w:eastAsia="宋体" w:hAnsi="宋体" w:cs="宋体" w:hint="eastAsia"/>
                <w:kern w:val="0"/>
                <w:sz w:val="13"/>
                <w:szCs w:val="16"/>
              </w:rPr>
              <w:t>编制</w:t>
            </w:r>
            <w:r w:rsidR="006D5C50" w:rsidRPr="00487722">
              <w:rPr>
                <w:rFonts w:ascii="宋体" w:eastAsia="宋体" w:hAnsi="宋体" w:cs="宋体" w:hint="eastAsia"/>
                <w:kern w:val="0"/>
                <w:sz w:val="13"/>
                <w:szCs w:val="16"/>
              </w:rPr>
              <w:t>转</w:t>
            </w:r>
            <w:r w:rsidRPr="00487722">
              <w:rPr>
                <w:rFonts w:ascii="宋体" w:eastAsia="宋体" w:hAnsi="宋体" w:cs="宋体" w:hint="eastAsia"/>
                <w:kern w:val="0"/>
                <w:sz w:val="13"/>
                <w:szCs w:val="16"/>
              </w:rPr>
              <w:t>入自治区政府办公</w:t>
            </w:r>
            <w:r w:rsidRPr="00487722">
              <w:rPr>
                <w:rFonts w:ascii="宋体" w:eastAsia="宋体" w:hAnsi="宋体" w:cs="宋体" w:hint="eastAsia"/>
                <w:kern w:val="0"/>
                <w:sz w:val="11"/>
                <w:szCs w:val="16"/>
              </w:rPr>
              <w:t>厅</w:t>
            </w:r>
            <w:r w:rsidR="006D5C50" w:rsidRPr="00487722">
              <w:rPr>
                <w:rFonts w:ascii="宋体" w:eastAsia="宋体" w:hAnsi="宋体" w:cs="宋体" w:hint="eastAsia"/>
                <w:kern w:val="0"/>
                <w:sz w:val="13"/>
                <w:szCs w:val="16"/>
              </w:rPr>
              <w:t>机关服务中心</w:t>
            </w:r>
          </w:p>
        </w:tc>
      </w:tr>
      <w:tr w:rsidR="00FD6976" w:rsidTr="002240F0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B276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弥补公用经费不足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B276A1" w:rsidRDefault="00B276A1" w:rsidP="006003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6"/>
                <w:szCs w:val="18"/>
              </w:rPr>
            </w:pPr>
            <w:r w:rsidRPr="00B276A1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171.6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00369" w:rsidP="006003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162.24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97C55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4</w:t>
            </w:r>
            <w:r w:rsidR="00797C55" w:rsidRPr="00797C55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.73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2240F0" w:rsidRDefault="002240F0" w:rsidP="00C82D41">
            <w:pPr>
              <w:widowControl/>
              <w:spacing w:line="160" w:lineRule="exact"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6"/>
              </w:rPr>
              <w:t>履行</w:t>
            </w:r>
            <w:r w:rsidR="006D5C50" w:rsidRPr="002240F0">
              <w:rPr>
                <w:rFonts w:ascii="宋体" w:eastAsia="宋体" w:hAnsi="宋体" w:cs="宋体" w:hint="eastAsia"/>
                <w:kern w:val="0"/>
                <w:sz w:val="15"/>
                <w:szCs w:val="16"/>
              </w:rPr>
              <w:t>厉行节约及疫情原因</w:t>
            </w:r>
            <w:r w:rsidR="00C82D41" w:rsidRPr="002240F0">
              <w:rPr>
                <w:rFonts w:ascii="宋体" w:eastAsia="宋体" w:hAnsi="宋体" w:cs="宋体" w:hint="eastAsia"/>
                <w:kern w:val="0"/>
                <w:sz w:val="15"/>
                <w:szCs w:val="16"/>
              </w:rPr>
              <w:t>有项目尚未完成</w:t>
            </w:r>
          </w:p>
        </w:tc>
      </w:tr>
      <w:tr w:rsidR="00FD6976" w:rsidTr="00797C55">
        <w:trPr>
          <w:trHeight w:hRule="exact" w:val="42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B276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公务接待支出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B276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003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8478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2240F0" w:rsidP="002240F0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2022年因疫情</w:t>
            </w: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原因</w:t>
            </w:r>
            <w:r w:rsidRPr="00867625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接待下降</w:t>
            </w:r>
          </w:p>
        </w:tc>
      </w:tr>
      <w:tr w:rsidR="00FD6976" w:rsidRPr="00C62DB4" w:rsidTr="00797C55">
        <w:trPr>
          <w:trHeight w:hRule="exact" w:val="57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B276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上缴非税收入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B276A1" w:rsidP="00B276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76A1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≥200万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6003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382.84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62DB4" w:rsidP="00C62DB4">
            <w:pPr>
              <w:widowControl/>
              <w:spacing w:line="1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2DB4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其中155.76万元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所属2021年度因财政入库有时间差就计入2022年</w:t>
            </w:r>
          </w:p>
        </w:tc>
      </w:tr>
      <w:tr w:rsidR="00FD6976" w:rsidTr="00797C55">
        <w:trPr>
          <w:trHeight w:hRule="exact" w:val="42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B276A1" w:rsidP="00867625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676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新疆代表团的组织协调与接待工作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B276A1" w:rsidP="00C82D41">
            <w:pPr>
              <w:widowControl/>
              <w:spacing w:line="160" w:lineRule="exact"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5"/>
                <w:szCs w:val="16"/>
              </w:rPr>
              <w:t>保障工作</w:t>
            </w:r>
            <w:r w:rsidR="005751F0" w:rsidRPr="00867625">
              <w:rPr>
                <w:rFonts w:ascii="宋体" w:eastAsia="宋体" w:hAnsi="宋体" w:cs="宋体" w:hint="eastAsia"/>
                <w:kern w:val="0"/>
                <w:sz w:val="15"/>
                <w:szCs w:val="16"/>
              </w:rPr>
              <w:t>全面完成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5751F0" w:rsidP="00867625">
            <w:pPr>
              <w:widowControl/>
              <w:spacing w:line="18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保障工作全面完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D6976" w:rsidTr="00797C55">
        <w:trPr>
          <w:trHeight w:hRule="exact" w:val="55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4C688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676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解决新疆籍人员来沪务工、就医、出差等后勤保障工作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5751F0" w:rsidP="00867625">
            <w:pPr>
              <w:widowControl/>
              <w:spacing w:line="160" w:lineRule="exac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满足新疆人民服务需要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867625" w:rsidRDefault="005751F0" w:rsidP="00867625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867625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满足新疆人民服务需要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768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751F0" w:rsidTr="00797C55">
        <w:trPr>
          <w:trHeight w:hRule="exact" w:val="43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276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服务工作满意度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76A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 w:rsidP="006B1C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76A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751F0" w:rsidTr="00797C55">
        <w:trPr>
          <w:trHeight w:hRule="exact" w:val="43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276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后勤保障满意度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76A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 w:rsidP="006B1C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76A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1F0" w:rsidRDefault="005751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D6976" w:rsidTr="002240F0">
        <w:trPr>
          <w:trHeight w:hRule="exact" w:val="423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435430" w:rsidRDefault="004354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3"/>
                <w:szCs w:val="18"/>
              </w:rPr>
            </w:pPr>
            <w:r w:rsidRPr="0043543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8"/>
              </w:rPr>
              <w:t>86.59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FD6976" w:rsidRDefault="00FD6976">
      <w:pPr>
        <w:rPr>
          <w:rFonts w:ascii="黑体" w:eastAsia="黑体" w:hAnsi="黑体"/>
        </w:rPr>
        <w:sectPr w:rsidR="00FD6976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D6976" w:rsidRDefault="00FD6976"/>
    <w:sectPr w:rsidR="00FD6976" w:rsidSect="00FD6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8FB" w:rsidRDefault="004B48FB" w:rsidP="00035A72">
      <w:r>
        <w:separator/>
      </w:r>
    </w:p>
  </w:endnote>
  <w:endnote w:type="continuationSeparator" w:id="1">
    <w:p w:rsidR="004B48FB" w:rsidRDefault="004B48FB" w:rsidP="00035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8FB" w:rsidRDefault="004B48FB" w:rsidP="00035A72">
      <w:r>
        <w:separator/>
      </w:r>
    </w:p>
  </w:footnote>
  <w:footnote w:type="continuationSeparator" w:id="1">
    <w:p w:rsidR="004B48FB" w:rsidRDefault="004B48FB" w:rsidP="00035A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I5MDBhMzM1YjRlYjQ0ZDVkY2QwOTIwNWQxNjQyNTMifQ=="/>
  </w:docVars>
  <w:rsids>
    <w:rsidRoot w:val="61211C33"/>
    <w:rsid w:val="0001697D"/>
    <w:rsid w:val="00035A72"/>
    <w:rsid w:val="002240F0"/>
    <w:rsid w:val="00285452"/>
    <w:rsid w:val="002B16EA"/>
    <w:rsid w:val="00384CBF"/>
    <w:rsid w:val="00435430"/>
    <w:rsid w:val="00483104"/>
    <w:rsid w:val="00487722"/>
    <w:rsid w:val="004B48FB"/>
    <w:rsid w:val="004C6882"/>
    <w:rsid w:val="005751F0"/>
    <w:rsid w:val="00590F41"/>
    <w:rsid w:val="005C4AF1"/>
    <w:rsid w:val="00600369"/>
    <w:rsid w:val="00636364"/>
    <w:rsid w:val="00640EE9"/>
    <w:rsid w:val="00646565"/>
    <w:rsid w:val="006D5C50"/>
    <w:rsid w:val="00797C55"/>
    <w:rsid w:val="00797ED4"/>
    <w:rsid w:val="007D0D00"/>
    <w:rsid w:val="0084789D"/>
    <w:rsid w:val="00853268"/>
    <w:rsid w:val="00867625"/>
    <w:rsid w:val="00923CB4"/>
    <w:rsid w:val="009F1064"/>
    <w:rsid w:val="00A76861"/>
    <w:rsid w:val="00AC1CC2"/>
    <w:rsid w:val="00B16565"/>
    <w:rsid w:val="00B276A1"/>
    <w:rsid w:val="00BD6582"/>
    <w:rsid w:val="00C62DB4"/>
    <w:rsid w:val="00C82D41"/>
    <w:rsid w:val="00C8780A"/>
    <w:rsid w:val="00CC272A"/>
    <w:rsid w:val="00DD3FAF"/>
    <w:rsid w:val="00F45569"/>
    <w:rsid w:val="00F5594B"/>
    <w:rsid w:val="00FB1A86"/>
    <w:rsid w:val="00FD6976"/>
    <w:rsid w:val="61211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976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rsid w:val="00FD6976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4">
    <w:name w:val="header"/>
    <w:basedOn w:val="a"/>
    <w:link w:val="Char"/>
    <w:rsid w:val="00035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35A72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辰公ོ子ོ</dc:creator>
  <cp:lastModifiedBy>Ren</cp:lastModifiedBy>
  <cp:revision>12</cp:revision>
  <cp:lastPrinted>2023-03-15T07:59:00Z</cp:lastPrinted>
  <dcterms:created xsi:type="dcterms:W3CDTF">2023-03-14T10:03:00Z</dcterms:created>
  <dcterms:modified xsi:type="dcterms:W3CDTF">2023-03-15T09:58:00Z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D803BD29DD654302AD99F836BE998683</vt:lpwstr>
  </property>
</Properties>
</file>