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hint="eastAsia" w:ascii="仿宋" w:hAnsi="仿宋" w:eastAsia="仿宋" w:cs="宋体"/>
          <w:kern w:val="0"/>
          <w:sz w:val="32"/>
          <w:szCs w:val="32"/>
          <w:lang w:val="en-US" w:eastAsia="zh-CN"/>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21"/>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0"/>
          <w:szCs w:val="30"/>
        </w:rPr>
      </w:pPr>
      <w:r>
        <w:rPr>
          <w:rFonts w:hint="eastAsia" w:hAnsi="宋体" w:eastAsia="仿宋_GB2312" w:cs="宋体"/>
          <w:kern w:val="0"/>
          <w:sz w:val="36"/>
          <w:szCs w:val="36"/>
        </w:rPr>
        <w:t>项目名称：</w:t>
      </w:r>
      <w:r>
        <w:rPr>
          <w:rFonts w:hint="eastAsia" w:hAnsi="宋体" w:eastAsia="仿宋_GB2312" w:cs="宋体"/>
          <w:kern w:val="0"/>
          <w:sz w:val="30"/>
          <w:szCs w:val="30"/>
        </w:rPr>
        <w:t>新疆维吾尔自治区人民政府研究室项目经费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0"/>
          <w:szCs w:val="30"/>
        </w:rPr>
        <w:t>新疆维吾尔自治区人民政府研究室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hAnsi="宋体" w:eastAsia="仿宋_GB2312" w:cs="宋体"/>
          <w:kern w:val="0"/>
          <w:sz w:val="30"/>
          <w:szCs w:val="30"/>
        </w:rPr>
        <w:t>新疆维吾尔自治区人民政府研究室</w:t>
      </w:r>
    </w:p>
    <w:p>
      <w:pPr>
        <w:spacing w:line="540" w:lineRule="exact"/>
        <w:ind w:firstLine="900" w:firstLineChars="250"/>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项目负责人（签章）：</w:t>
      </w:r>
      <w:bookmarkStart w:id="0" w:name="_GoBack"/>
      <w:r>
        <w:rPr>
          <w:rFonts w:hint="eastAsia" w:hAnsi="宋体" w:eastAsia="仿宋_GB2312" w:cs="宋体"/>
          <w:kern w:val="0"/>
          <w:sz w:val="30"/>
          <w:szCs w:val="30"/>
          <w:lang w:val="en-US" w:eastAsia="zh-CN"/>
        </w:rPr>
        <w:t>王平生</w:t>
      </w:r>
      <w:bookmarkEnd w:id="0"/>
    </w:p>
    <w:p>
      <w:pPr>
        <w:spacing w:line="540" w:lineRule="exact"/>
        <w:ind w:left="273" w:firstLine="567"/>
        <w:rPr>
          <w:rStyle w:val="21"/>
          <w:rFonts w:ascii="楷体" w:hAnsi="楷体" w:eastAsia="楷体"/>
          <w:spacing w:val="-4"/>
          <w:sz w:val="32"/>
          <w:szCs w:val="32"/>
        </w:rPr>
      </w:pPr>
      <w:r>
        <w:rPr>
          <w:rFonts w:hint="eastAsia" w:hAnsi="宋体" w:eastAsia="仿宋_GB2312" w:cs="宋体"/>
          <w:kern w:val="0"/>
          <w:sz w:val="36"/>
          <w:szCs w:val="36"/>
        </w:rPr>
        <w:t>填报时间：</w:t>
      </w:r>
      <w:r>
        <w:rPr>
          <w:rStyle w:val="21"/>
          <w:rFonts w:hint="eastAsia" w:ascii="楷体" w:hAnsi="楷体" w:eastAsia="楷体"/>
          <w:spacing w:val="-4"/>
          <w:sz w:val="32"/>
          <w:szCs w:val="32"/>
        </w:rPr>
        <w:t>2023年03月</w:t>
      </w:r>
      <w:r>
        <w:rPr>
          <w:rStyle w:val="21"/>
          <w:rFonts w:hint="eastAsia" w:ascii="楷体" w:hAnsi="楷体" w:eastAsia="楷体"/>
          <w:spacing w:val="-4"/>
          <w:sz w:val="32"/>
          <w:szCs w:val="32"/>
          <w:lang w:val="en-US" w:eastAsia="zh-CN"/>
        </w:rPr>
        <w:t>20</w:t>
      </w:r>
      <w:r>
        <w:rPr>
          <w:rStyle w:val="21"/>
          <w:rFonts w:hint="eastAsia" w:ascii="楷体" w:hAnsi="楷体" w:eastAsia="楷体"/>
          <w:spacing w:val="-4"/>
          <w:sz w:val="32"/>
          <w:szCs w:val="32"/>
        </w:rPr>
        <w:t>日</w:t>
      </w:r>
    </w:p>
    <w:p>
      <w:pPr>
        <w:spacing w:line="700" w:lineRule="exact"/>
        <w:ind w:firstLine="708" w:firstLineChars="236"/>
        <w:jc w:val="left"/>
        <w:rPr>
          <w:rFonts w:hAnsi="宋体" w:eastAsia="仿宋_GB2312" w:cs="宋体"/>
          <w:kern w:val="0"/>
          <w:sz w:val="30"/>
          <w:szCs w:val="30"/>
        </w:rPr>
      </w:pPr>
    </w:p>
    <w:p>
      <w:pPr>
        <w:spacing w:line="540" w:lineRule="exact"/>
        <w:rPr>
          <w:rStyle w:val="21"/>
          <w:rFonts w:ascii="黑体" w:hAnsi="黑体" w:eastAsia="黑体"/>
          <w:b w:val="0"/>
          <w:spacing w:val="-4"/>
          <w:sz w:val="32"/>
          <w:szCs w:val="32"/>
        </w:rPr>
      </w:pP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一、基本情况</w:t>
      </w:r>
    </w:p>
    <w:p>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（一）项目概况。包括项目背景、主要内容及实施情况、资金投入和使用情况等。</w:t>
      </w:r>
    </w:p>
    <w:p>
      <w:pPr>
        <w:snapToGrid w:val="0"/>
        <w:spacing w:line="52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rPr>
        <w:t>1</w:t>
      </w:r>
      <w:r>
        <w:rPr>
          <w:rFonts w:hint="eastAsia" w:ascii="楷体" w:hAnsi="楷体" w:eastAsia="楷体" w:cs="楷体"/>
          <w:sz w:val="32"/>
          <w:szCs w:val="32"/>
          <w:lang w:eastAsia="zh-CN"/>
        </w:rPr>
        <w:t>.</w:t>
      </w:r>
      <w:r>
        <w:rPr>
          <w:rFonts w:hint="eastAsia" w:ascii="楷体" w:hAnsi="楷体" w:eastAsia="楷体" w:cs="楷体"/>
          <w:sz w:val="32"/>
          <w:szCs w:val="32"/>
        </w:rPr>
        <w:t>承担的主要职能</w:t>
      </w:r>
    </w:p>
    <w:p>
      <w:pPr>
        <w:snapToGrid w:val="0"/>
        <w:spacing w:line="52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（1）围绕自治区人民政府中心工作，组织参与经济社会发展重大问题调查研究，提出政策建议和咨询意见。</w:t>
      </w:r>
    </w:p>
    <w:p>
      <w:pPr>
        <w:snapToGrid w:val="0"/>
        <w:spacing w:line="52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（2）负责组织起草《政府工作报告》，组织参与起草、修改政府重要文件、政府主要领导讲话等文稿。</w:t>
      </w:r>
    </w:p>
    <w:p>
      <w:pPr>
        <w:snapToGrid w:val="0"/>
        <w:spacing w:line="52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（3）指导自治区人民政府各部门和地（州、市）人民政府调查研究和决策咨询工作。</w:t>
      </w:r>
    </w:p>
    <w:p>
      <w:pPr>
        <w:snapToGrid w:val="0"/>
        <w:spacing w:line="520" w:lineRule="exact"/>
        <w:ind w:firstLine="320" w:firstLineChars="100"/>
        <w:rPr>
          <w:rFonts w:hint="default" w:ascii="仿宋" w:hAnsi="仿宋" w:eastAsia="仿宋" w:cs="仿宋"/>
          <w:sz w:val="32"/>
          <w:szCs w:val="32"/>
          <w:lang w:val="en-US" w:eastAsia="zh-CN"/>
        </w:rPr>
      </w:pPr>
      <w:r>
        <w:rPr>
          <w:rFonts w:hint="eastAsia" w:ascii="仿宋" w:hAnsi="仿宋" w:eastAsia="仿宋" w:cs="仿宋"/>
          <w:sz w:val="32"/>
          <w:szCs w:val="32"/>
        </w:rPr>
        <w:t>（4）搜集、整理、分析国内外理论研究动态、典型经验和经济社会发展</w:t>
      </w:r>
      <w:r>
        <w:rPr>
          <w:rFonts w:hint="eastAsia" w:ascii="仿宋" w:hAnsi="仿宋" w:eastAsia="仿宋" w:cs="仿宋"/>
          <w:sz w:val="32"/>
          <w:szCs w:val="32"/>
          <w:lang w:val="en-US" w:eastAsia="zh-CN"/>
        </w:rPr>
        <w:t>信息，为政府领导决策提供参考。</w:t>
      </w:r>
    </w:p>
    <w:p>
      <w:pPr>
        <w:snapToGrid w:val="0"/>
        <w:spacing w:line="52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（5）完成自治区党委、自治区人民政府领导交办的其他任务。</w:t>
      </w:r>
    </w:p>
    <w:p>
      <w:pPr>
        <w:numPr>
          <w:ilvl w:val="0"/>
          <w:numId w:val="0"/>
        </w:numPr>
        <w:snapToGrid w:val="0"/>
        <w:spacing w:line="520" w:lineRule="exact"/>
        <w:ind w:firstLine="640" w:firstLineChars="200"/>
        <w:rPr>
          <w:rFonts w:ascii="楷体" w:hAnsi="楷体" w:eastAsia="楷体" w:cs="楷体"/>
          <w:sz w:val="32"/>
          <w:szCs w:val="32"/>
        </w:rPr>
      </w:pPr>
      <w:r>
        <w:rPr>
          <w:rFonts w:hint="eastAsia" w:ascii="楷体" w:hAnsi="楷体" w:eastAsia="楷体" w:cs="楷体"/>
          <w:sz w:val="32"/>
          <w:szCs w:val="32"/>
          <w:lang w:val="en-US" w:eastAsia="zh-CN"/>
        </w:rPr>
        <w:t>2.</w:t>
      </w:r>
      <w:r>
        <w:rPr>
          <w:rFonts w:hint="eastAsia" w:ascii="楷体" w:hAnsi="楷体" w:eastAsia="楷体" w:cs="楷体"/>
          <w:sz w:val="32"/>
          <w:szCs w:val="32"/>
        </w:rPr>
        <w:t>机构</w:t>
      </w:r>
      <w:r>
        <w:rPr>
          <w:rFonts w:hint="eastAsia" w:ascii="楷体" w:hAnsi="楷体" w:eastAsia="楷体" w:cs="楷体"/>
          <w:sz w:val="32"/>
          <w:szCs w:val="32"/>
          <w:lang w:eastAsia="zh-CN"/>
        </w:rPr>
        <w:t>设置</w:t>
      </w:r>
      <w:r>
        <w:rPr>
          <w:rFonts w:hint="eastAsia" w:ascii="楷体" w:hAnsi="楷体" w:eastAsia="楷体" w:cs="楷体"/>
          <w:sz w:val="32"/>
          <w:szCs w:val="32"/>
        </w:rPr>
        <w:t>情况</w:t>
      </w:r>
    </w:p>
    <w:p>
      <w:pPr>
        <w:snapToGrid w:val="0"/>
        <w:spacing w:line="520" w:lineRule="exact"/>
        <w:rPr>
          <w:rFonts w:ascii="楷体" w:hAnsi="楷体" w:eastAsia="楷体" w:cs="楷体"/>
          <w:sz w:val="32"/>
          <w:szCs w:val="32"/>
        </w:rPr>
      </w:pPr>
      <w:r>
        <w:rPr>
          <w:rFonts w:hint="eastAsia" w:ascii="楷体" w:hAnsi="楷体" w:eastAsia="楷体" w:cs="楷体"/>
          <w:sz w:val="32"/>
          <w:szCs w:val="32"/>
        </w:rPr>
        <w:t xml:space="preserve">    </w:t>
      </w:r>
      <w:r>
        <w:rPr>
          <w:rFonts w:hint="eastAsia" w:ascii="仿宋" w:hAnsi="仿宋" w:eastAsia="仿宋" w:cs="仿宋"/>
          <w:sz w:val="32"/>
          <w:szCs w:val="32"/>
        </w:rPr>
        <w:t>政府研究室为一级预算单位，无下属预算单位，下设6个处室，分别是：秘书处、综合处、经济发展处、社会发展处、农业农村处、机关党委（人事处）</w:t>
      </w:r>
    </w:p>
    <w:p>
      <w:pPr>
        <w:snapToGrid w:val="0"/>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lang w:val="en-US" w:eastAsia="zh-CN"/>
        </w:rPr>
        <w:t>3.</w:t>
      </w:r>
      <w:r>
        <w:rPr>
          <w:rFonts w:hint="eastAsia" w:ascii="楷体" w:hAnsi="楷体" w:eastAsia="楷体" w:cs="楷体"/>
          <w:sz w:val="32"/>
          <w:szCs w:val="32"/>
        </w:rPr>
        <w:t>人员</w:t>
      </w:r>
      <w:r>
        <w:rPr>
          <w:rFonts w:hint="eastAsia" w:ascii="楷体" w:hAnsi="楷体" w:eastAsia="楷体" w:cs="楷体"/>
          <w:sz w:val="32"/>
          <w:szCs w:val="32"/>
          <w:lang w:eastAsia="zh-CN"/>
        </w:rPr>
        <w:t>编制</w:t>
      </w:r>
      <w:r>
        <w:rPr>
          <w:rFonts w:hint="eastAsia" w:ascii="楷体" w:hAnsi="楷体" w:eastAsia="楷体" w:cs="楷体"/>
          <w:sz w:val="32"/>
          <w:szCs w:val="32"/>
        </w:rPr>
        <w:t>情况</w:t>
      </w:r>
    </w:p>
    <w:p>
      <w:pPr>
        <w:snapToGri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单位编制数34人，2021年年末在</w:t>
      </w:r>
      <w:r>
        <w:rPr>
          <w:rFonts w:hint="eastAsia" w:ascii="仿宋" w:hAnsi="仿宋" w:eastAsia="仿宋" w:cs="仿宋"/>
          <w:sz w:val="32"/>
          <w:szCs w:val="32"/>
          <w:lang w:val="en-US" w:eastAsia="zh-CN"/>
        </w:rPr>
        <w:t>职</w:t>
      </w:r>
      <w:r>
        <w:rPr>
          <w:rFonts w:hint="eastAsia" w:ascii="仿宋" w:hAnsi="仿宋" w:eastAsia="仿宋" w:cs="仿宋"/>
          <w:sz w:val="32"/>
          <w:szCs w:val="32"/>
        </w:rPr>
        <w:t>人</w:t>
      </w:r>
      <w:r>
        <w:rPr>
          <w:rFonts w:hint="eastAsia" w:ascii="仿宋" w:hAnsi="仿宋" w:eastAsia="仿宋" w:cs="仿宋"/>
          <w:sz w:val="32"/>
          <w:szCs w:val="32"/>
          <w:lang w:val="en-US" w:eastAsia="zh-CN"/>
        </w:rPr>
        <w:t>员</w:t>
      </w:r>
      <w:r>
        <w:rPr>
          <w:rFonts w:hint="eastAsia" w:ascii="仿宋" w:hAnsi="仿宋" w:eastAsia="仿宋" w:cs="仿宋"/>
          <w:sz w:val="32"/>
          <w:szCs w:val="32"/>
        </w:rPr>
        <w:t>28人，调入1人，2022年年末在</w:t>
      </w:r>
      <w:r>
        <w:rPr>
          <w:rFonts w:hint="eastAsia" w:ascii="仿宋" w:hAnsi="仿宋" w:eastAsia="仿宋" w:cs="仿宋"/>
          <w:sz w:val="32"/>
          <w:szCs w:val="32"/>
          <w:lang w:val="en-US" w:eastAsia="zh-CN"/>
        </w:rPr>
        <w:t>职</w:t>
      </w:r>
      <w:r>
        <w:rPr>
          <w:rFonts w:hint="eastAsia" w:ascii="仿宋" w:hAnsi="仿宋" w:eastAsia="仿宋" w:cs="仿宋"/>
          <w:sz w:val="32"/>
          <w:szCs w:val="32"/>
        </w:rPr>
        <w:t>人</w:t>
      </w:r>
      <w:r>
        <w:rPr>
          <w:rFonts w:hint="eastAsia" w:ascii="仿宋" w:hAnsi="仿宋" w:eastAsia="仿宋" w:cs="仿宋"/>
          <w:sz w:val="32"/>
          <w:szCs w:val="32"/>
          <w:lang w:val="en-US" w:eastAsia="zh-CN"/>
        </w:rPr>
        <w:t>员</w:t>
      </w:r>
      <w:r>
        <w:rPr>
          <w:rFonts w:hint="eastAsia" w:ascii="仿宋" w:hAnsi="仿宋" w:eastAsia="仿宋" w:cs="仿宋"/>
          <w:sz w:val="32"/>
          <w:szCs w:val="32"/>
        </w:rPr>
        <w:t>29人。</w:t>
      </w:r>
    </w:p>
    <w:p>
      <w:pPr>
        <w:spacing w:line="540" w:lineRule="exact"/>
        <w:ind w:firstLine="567"/>
        <w:rPr>
          <w:rStyle w:val="21"/>
          <w:rFonts w:hint="eastAsia" w:ascii="仿宋" w:hAnsi="仿宋" w:eastAsia="仿宋" w:cs="仿宋"/>
          <w:b w:val="0"/>
          <w:bCs w:val="0"/>
          <w:spacing w:val="-4"/>
          <w:sz w:val="32"/>
          <w:szCs w:val="32"/>
          <w:lang w:val="en-US" w:eastAsia="zh-CN"/>
        </w:rPr>
      </w:pPr>
      <w:r>
        <w:rPr>
          <w:rFonts w:hint="eastAsia" w:ascii="楷体" w:hAnsi="楷体" w:eastAsia="楷体" w:cs="楷体"/>
          <w:sz w:val="32"/>
          <w:szCs w:val="32"/>
          <w:lang w:val="en-US" w:eastAsia="zh-CN"/>
        </w:rPr>
        <w:t>4.政府研究室项目资金收支情况</w:t>
      </w:r>
    </w:p>
    <w:p>
      <w:pPr>
        <w:spacing w:line="540" w:lineRule="exact"/>
        <w:ind w:firstLine="567"/>
        <w:rPr>
          <w:rStyle w:val="21"/>
          <w:rFonts w:hint="eastAsia" w:ascii="仿宋" w:hAnsi="仿宋" w:eastAsia="仿宋" w:cs="仿宋"/>
          <w:b w:val="0"/>
          <w:bCs w:val="0"/>
          <w:spacing w:val="-4"/>
          <w:sz w:val="32"/>
          <w:szCs w:val="32"/>
          <w:lang w:val="en-US" w:eastAsia="zh-CN"/>
        </w:rPr>
      </w:pPr>
      <w:r>
        <w:rPr>
          <w:rStyle w:val="21"/>
          <w:rFonts w:hint="eastAsia" w:ascii="仿宋" w:hAnsi="仿宋" w:eastAsia="仿宋" w:cs="仿宋"/>
          <w:b w:val="0"/>
          <w:bCs w:val="0"/>
          <w:spacing w:val="-4"/>
          <w:sz w:val="32"/>
          <w:szCs w:val="32"/>
          <w:lang w:val="en-US" w:eastAsia="zh-CN"/>
        </w:rPr>
        <w:t>2022年自治区财政年初批复政府研究室项目预算收入158万元，追加课题研究专项经费117.40万元，2022年部门决算实际执行数271.57万元，其中财政拨款支出271.57万元。</w:t>
      </w:r>
    </w:p>
    <w:p>
      <w:pPr>
        <w:pStyle w:val="2"/>
        <w:rPr>
          <w:rFonts w:hint="eastAsia"/>
        </w:rPr>
      </w:pPr>
    </w:p>
    <w:p>
      <w:pPr>
        <w:numPr>
          <w:ilvl w:val="0"/>
          <w:numId w:val="1"/>
        </w:numPr>
        <w:spacing w:line="540" w:lineRule="exact"/>
        <w:ind w:firstLine="567" w:firstLineChars="181"/>
        <w:rPr>
          <w:rStyle w:val="21"/>
          <w:rFonts w:hint="eastAsia" w:ascii="楷体" w:hAnsi="楷体" w:eastAsia="楷体"/>
          <w:spacing w:val="-4"/>
          <w:sz w:val="32"/>
          <w:szCs w:val="32"/>
        </w:rPr>
      </w:pPr>
      <w:r>
        <w:rPr>
          <w:rStyle w:val="21"/>
          <w:rFonts w:hint="eastAsia" w:ascii="楷体" w:hAnsi="楷体" w:eastAsia="楷体"/>
          <w:spacing w:val="-4"/>
          <w:sz w:val="32"/>
          <w:szCs w:val="32"/>
        </w:rPr>
        <w:t>项目绩效目标。包括总体目标和阶段性目标。</w:t>
      </w:r>
    </w:p>
    <w:p>
      <w:pPr>
        <w:numPr>
          <w:ilvl w:val="0"/>
          <w:numId w:val="0"/>
        </w:numPr>
        <w:spacing w:line="540" w:lineRule="exact"/>
        <w:rPr>
          <w:rStyle w:val="21"/>
          <w:rFonts w:hint="eastAsia" w:ascii="仿宋" w:hAnsi="仿宋" w:eastAsia="仿宋" w:cs="仿宋"/>
          <w:b w:val="0"/>
          <w:bCs w:val="0"/>
          <w:spacing w:val="-4"/>
          <w:sz w:val="32"/>
          <w:szCs w:val="32"/>
          <w:lang w:val="en-US" w:eastAsia="zh-CN"/>
        </w:rPr>
      </w:pPr>
      <w:r>
        <w:rPr>
          <w:rStyle w:val="21"/>
          <w:rFonts w:hint="eastAsia" w:ascii="楷体" w:hAnsi="楷体" w:eastAsia="楷体"/>
          <w:spacing w:val="-4"/>
          <w:sz w:val="32"/>
          <w:szCs w:val="32"/>
          <w:lang w:val="en-US" w:eastAsia="zh-CN"/>
        </w:rPr>
        <w:t xml:space="preserve">   </w:t>
      </w:r>
      <w:r>
        <w:rPr>
          <w:rStyle w:val="21"/>
          <w:rFonts w:hint="eastAsia" w:ascii="仿宋" w:hAnsi="仿宋" w:eastAsia="仿宋" w:cs="仿宋"/>
          <w:spacing w:val="-4"/>
          <w:sz w:val="32"/>
          <w:szCs w:val="32"/>
          <w:lang w:val="en-US" w:eastAsia="zh-CN"/>
        </w:rPr>
        <w:t xml:space="preserve"> </w:t>
      </w:r>
      <w:r>
        <w:rPr>
          <w:rStyle w:val="21"/>
          <w:rFonts w:hint="eastAsia" w:ascii="仿宋" w:hAnsi="仿宋" w:eastAsia="仿宋" w:cs="仿宋"/>
          <w:b w:val="0"/>
          <w:bCs w:val="0"/>
          <w:spacing w:val="-4"/>
          <w:sz w:val="32"/>
          <w:szCs w:val="32"/>
          <w:lang w:val="en-US" w:eastAsia="zh-CN"/>
        </w:rPr>
        <w:t>围绕自治区人民政府中心工作，完成《政府工作报告》，起草政府主要文件、政府主要领导文稿，</w:t>
      </w:r>
      <w:r>
        <w:rPr>
          <w:rFonts w:hint="eastAsia" w:ascii="仿宋" w:hAnsi="仿宋" w:eastAsia="仿宋" w:cs="仿宋"/>
          <w:sz w:val="32"/>
          <w:szCs w:val="32"/>
        </w:rPr>
        <w:t>牵头起草自治区每季度的经济运行分析报告</w:t>
      </w:r>
      <w:r>
        <w:rPr>
          <w:rStyle w:val="21"/>
          <w:rFonts w:hint="eastAsia" w:ascii="仿宋" w:hAnsi="仿宋" w:eastAsia="仿宋" w:cs="仿宋"/>
          <w:b w:val="0"/>
          <w:bCs w:val="0"/>
          <w:spacing w:val="-4"/>
          <w:sz w:val="32"/>
          <w:szCs w:val="32"/>
          <w:lang w:val="en-US" w:eastAsia="zh-CN"/>
        </w:rPr>
        <w:t>；指导各地部门调查研究和决策咨询工作，完成民生调查、富民兴疆、陆港区建设、营商环境、劳动力转移、旅游新疆、科技人才等课题调研任务，定期编印《调查研究》专报、《决策咨询》信息，为政府领导决策提供科学依据，完成自治区党委及政府领导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21"/>
          <w:rFonts w:hint="eastAsia" w:ascii="仿宋" w:hAnsi="仿宋" w:eastAsia="仿宋" w:cs="仿宋"/>
          <w:b w:val="0"/>
          <w:bCs w:val="0"/>
          <w:spacing w:val="-4"/>
          <w:sz w:val="32"/>
          <w:szCs w:val="32"/>
          <w:lang w:val="en-US" w:eastAsia="zh-CN"/>
        </w:rPr>
      </w:pPr>
      <w:r>
        <w:rPr>
          <w:rStyle w:val="21"/>
          <w:rFonts w:hint="eastAsia" w:ascii="仿宋" w:hAnsi="仿宋" w:eastAsia="仿宋" w:cs="仿宋"/>
          <w:b w:val="0"/>
          <w:bCs w:val="0"/>
          <w:spacing w:val="-4"/>
          <w:sz w:val="32"/>
          <w:szCs w:val="32"/>
          <w:lang w:val="en-US" w:eastAsia="zh-CN"/>
        </w:rPr>
        <w:t>为保障新疆维吾尔自治区人民政府研究室工作正常运转，2022年年初财政厅批复政府研究室项目经费158万元，政府研究室项目资金全年预算数271.57万元，涉及5个项目，政府研究室总体目标完成情况达100%。</w:t>
      </w:r>
    </w:p>
    <w:p>
      <w:pPr>
        <w:spacing w:line="540" w:lineRule="exact"/>
        <w:ind w:firstLine="640"/>
        <w:rPr>
          <w:rStyle w:val="21"/>
          <w:rFonts w:hint="eastAsia" w:ascii="黑体" w:hAnsi="黑体" w:eastAsia="黑体"/>
          <w:b w:val="0"/>
          <w:spacing w:val="-4"/>
          <w:sz w:val="32"/>
          <w:szCs w:val="32"/>
        </w:rPr>
      </w:pPr>
      <w:r>
        <w:rPr>
          <w:rStyle w:val="21"/>
          <w:rFonts w:hint="eastAsia" w:ascii="黑体" w:hAnsi="黑体" w:eastAsia="黑体"/>
          <w:b w:val="0"/>
          <w:spacing w:val="-4"/>
          <w:sz w:val="32"/>
          <w:szCs w:val="32"/>
        </w:rPr>
        <w:t>二、绩效评价工作开展情况</w:t>
      </w:r>
    </w:p>
    <w:p>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（一）绩效评价目的、对象和范围。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21"/>
          <w:rFonts w:hint="eastAsia" w:ascii="仿宋" w:hAnsi="仿宋" w:eastAsia="仿宋" w:cs="仿宋"/>
          <w:b w:val="0"/>
          <w:bCs w:val="0"/>
          <w:spacing w:val="-4"/>
          <w:sz w:val="32"/>
          <w:szCs w:val="32"/>
          <w:lang w:val="en-US" w:eastAsia="zh-CN"/>
        </w:rPr>
      </w:pPr>
      <w:r>
        <w:rPr>
          <w:rStyle w:val="21"/>
          <w:rFonts w:hint="eastAsia" w:ascii="楷体" w:hAnsi="楷体" w:eastAsia="楷体"/>
          <w:b w:val="0"/>
          <w:bCs w:val="0"/>
          <w:spacing w:val="-4"/>
          <w:sz w:val="32"/>
          <w:szCs w:val="32"/>
        </w:rPr>
        <w:t xml:space="preserve"> </w:t>
      </w:r>
      <w:r>
        <w:rPr>
          <w:rStyle w:val="21"/>
          <w:rFonts w:hint="eastAsia" w:ascii="楷体" w:hAnsi="楷体" w:eastAsia="楷体"/>
          <w:b w:val="0"/>
          <w:bCs w:val="0"/>
          <w:spacing w:val="-4"/>
          <w:sz w:val="32"/>
          <w:szCs w:val="32"/>
          <w:lang w:val="en-US" w:eastAsia="zh-CN"/>
        </w:rPr>
        <w:t>1.绩效评价的目的：</w:t>
      </w:r>
      <w:r>
        <w:rPr>
          <w:rStyle w:val="21"/>
          <w:rFonts w:hint="eastAsia" w:ascii="仿宋" w:hAnsi="仿宋" w:eastAsia="仿宋" w:cs="仿宋"/>
          <w:b w:val="0"/>
          <w:bCs w:val="0"/>
          <w:spacing w:val="-4"/>
          <w:sz w:val="32"/>
          <w:szCs w:val="32"/>
          <w:lang w:val="en-US" w:eastAsia="zh-CN"/>
        </w:rPr>
        <w:t>一是了解各项项目资金使用情况和取得的成效，总结项目资金管理经验，进一步加强和规范项目资金管理，用有限的资金取得最大的效益，完善项目和资金的管理办法，为指导预算编制和申报绩效目标、优化财政支出结构提供参考和依据。二是通过对2022年政府研究室项目专项资金的绩效评价，进一步提高财政资金使用效益，合理分配财政资金。通过项目资金绩效自评，全面、客观地反映专项工作执行情况，综合评价专项资金支出效率和效果，同时总结经验，分析存在的问题及原因，提出对策建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21"/>
          <w:rFonts w:hint="eastAsia" w:ascii="仿宋" w:hAnsi="仿宋" w:eastAsia="仿宋" w:cs="仿宋"/>
          <w:b w:val="0"/>
          <w:bCs w:val="0"/>
          <w:spacing w:val="-4"/>
          <w:sz w:val="32"/>
          <w:szCs w:val="32"/>
          <w:lang w:val="en-US" w:eastAsia="zh-CN"/>
        </w:rPr>
      </w:pPr>
      <w:r>
        <w:rPr>
          <w:rStyle w:val="21"/>
          <w:rFonts w:hint="eastAsia" w:ascii="楷体" w:hAnsi="楷体" w:eastAsia="楷体"/>
          <w:b w:val="0"/>
          <w:bCs w:val="0"/>
          <w:spacing w:val="-4"/>
          <w:sz w:val="32"/>
          <w:szCs w:val="32"/>
        </w:rPr>
        <w:t>2.绩效评价对象：</w:t>
      </w:r>
      <w:r>
        <w:rPr>
          <w:rStyle w:val="21"/>
          <w:rFonts w:hint="eastAsia" w:ascii="仿宋" w:hAnsi="仿宋" w:eastAsia="仿宋" w:cs="仿宋"/>
          <w:b w:val="0"/>
          <w:bCs w:val="0"/>
          <w:spacing w:val="-4"/>
          <w:sz w:val="32"/>
          <w:szCs w:val="32"/>
          <w:lang w:val="en-US" w:eastAsia="zh-CN"/>
        </w:rPr>
        <w:t>本次绩效评价涉及项目：（一）2022年自治区《政府工作报告》,政府重要文件、政府主要领导讲话</w:t>
      </w:r>
      <w:r>
        <w:rPr>
          <w:rStyle w:val="21"/>
          <w:rFonts w:hint="eastAsia" w:ascii="仿宋" w:hAnsi="仿宋" w:eastAsia="仿宋" w:cs="仿宋"/>
          <w:b w:val="0"/>
          <w:bCs w:val="0"/>
          <w:spacing w:val="-4"/>
          <w:sz w:val="32"/>
          <w:szCs w:val="32"/>
          <w:lang w:val="en" w:eastAsia="zh-CN"/>
        </w:rPr>
        <w:t>，</w:t>
      </w:r>
      <w:r>
        <w:rPr>
          <w:rStyle w:val="21"/>
          <w:rFonts w:hint="eastAsia" w:ascii="仿宋" w:hAnsi="仿宋" w:eastAsia="仿宋" w:cs="仿宋"/>
          <w:b w:val="0"/>
          <w:bCs w:val="0"/>
          <w:spacing w:val="-4"/>
          <w:sz w:val="32"/>
          <w:szCs w:val="32"/>
          <w:lang w:val="en-US" w:eastAsia="zh-CN"/>
        </w:rPr>
        <w:t>自治区每季度的经济运行分析报告；（二）围绕政府中心工作，组织参与经济社会发展重大问题调查研究，开展自治区推进富民兴疆路径及对策、中国民生调查、推进我区旅游业高质量发展的思路和对策、优化营商环境、乌鲁木齐陆港区建设、南疆劳动力转移就业、优化人才政策促进创新发展思路等重点研究课题；（三）指导自治区人民政府各部门和地（州、市）人民政府调查研究和决策咨询工作；（四）搜集、整理、分析国内外理论研究动态、典型经验和经济社会发展信息，定期编印《调查研究》专报、《决策咨询》信息，为政府领导决策提供科学依据；（五）完成自治区党委、自治区人民政府领导交办的其他任务；（六）全力保障驻村工作队、第一书记各项经费补助及开展其他业务工作所需的费用；（七）保障各类会议、办公用品及各类维修、公务保障用车，支付聘用人员工资、劳务等费用。</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21"/>
          <w:rFonts w:hint="eastAsia" w:ascii="仿宋" w:hAnsi="仿宋" w:eastAsia="仿宋" w:cs="仿宋"/>
          <w:b w:val="0"/>
          <w:bCs w:val="0"/>
          <w:spacing w:val="-4"/>
          <w:sz w:val="32"/>
          <w:szCs w:val="32"/>
          <w:lang w:val="en-US" w:eastAsia="zh-CN"/>
        </w:rPr>
      </w:pPr>
      <w:r>
        <w:rPr>
          <w:rStyle w:val="21"/>
          <w:rFonts w:hint="eastAsia" w:ascii="楷体" w:hAnsi="楷体" w:eastAsia="楷体"/>
          <w:b w:val="0"/>
          <w:bCs w:val="0"/>
          <w:spacing w:val="-4"/>
          <w:sz w:val="32"/>
          <w:szCs w:val="32"/>
        </w:rPr>
        <w:t>3.绩效评价范围：</w:t>
      </w:r>
      <w:r>
        <w:rPr>
          <w:rStyle w:val="21"/>
          <w:rFonts w:hint="eastAsia" w:ascii="仿宋" w:hAnsi="仿宋" w:eastAsia="仿宋" w:cs="仿宋"/>
          <w:b w:val="0"/>
          <w:bCs w:val="0"/>
          <w:spacing w:val="-4"/>
          <w:sz w:val="32"/>
          <w:szCs w:val="32"/>
          <w:lang w:val="en-US" w:eastAsia="zh-CN"/>
        </w:rPr>
        <w:t>新疆维吾尔自治区人民政府研究室年初预算数158万元，全年预算数271.57万元，涉及5个评价项目，一是围绕自治区人民政府中心工作开展相关调研工作经费支出完成率；二是完成决策咨询课题研究支出完成率；三是聘用劳务派遣人员成本支出完成率；四是公务保障用车及办公设备维修维护成本支出完成率；五是其他支出安排资金支出完成率。</w:t>
      </w:r>
    </w:p>
    <w:p>
      <w:pPr>
        <w:numPr>
          <w:ilvl w:val="0"/>
          <w:numId w:val="2"/>
        </w:num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绩效评价原则、评价指标体系（附表说明）、评价方法、评价标准等。</w:t>
      </w:r>
    </w:p>
    <w:p>
      <w:pPr>
        <w:spacing w:line="580" w:lineRule="exact"/>
        <w:ind w:firstLine="640" w:firstLineChars="200"/>
        <w:rPr>
          <w:rFonts w:ascii="楷体" w:hAnsi="楷体" w:eastAsia="楷体"/>
        </w:rPr>
      </w:pPr>
      <w:r>
        <w:rPr>
          <w:rFonts w:ascii="楷体" w:hAnsi="楷体" w:eastAsia="楷体"/>
          <w:sz w:val="32"/>
          <w:szCs w:val="32"/>
        </w:rPr>
        <w:t>1.绩效评价原则</w:t>
      </w:r>
    </w:p>
    <w:p>
      <w:pPr>
        <w:spacing w:line="580" w:lineRule="exact"/>
        <w:ind w:firstLine="640" w:firstLineChars="200"/>
        <w:rPr>
          <w:rFonts w:hint="eastAsia" w:ascii="仿宋" w:hAnsi="仿宋" w:eastAsia="仿宋" w:cs="仿宋"/>
        </w:rPr>
      </w:pPr>
      <w:r>
        <w:rPr>
          <w:rFonts w:hint="eastAsia" w:ascii="仿宋" w:hAnsi="仿宋" w:eastAsia="仿宋" w:cs="仿宋"/>
          <w:sz w:val="32"/>
          <w:szCs w:val="32"/>
        </w:rPr>
        <w:t>政府研究室项目绩效评价遵循以下原则：</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（1）科学公正原则；</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（2）统筹兼顾原则；</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（3）激励约束原则；</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（4）公开透明原则。</w:t>
      </w:r>
    </w:p>
    <w:p>
      <w:pPr>
        <w:spacing w:line="580" w:lineRule="exact"/>
        <w:ind w:firstLine="640" w:firstLineChars="200"/>
        <w:rPr>
          <w:rFonts w:ascii="楷体" w:hAnsi="楷体" w:eastAsia="楷体"/>
        </w:rPr>
      </w:pPr>
      <w:r>
        <w:rPr>
          <w:rFonts w:ascii="楷体" w:hAnsi="楷体" w:eastAsia="楷体"/>
          <w:sz w:val="32"/>
          <w:szCs w:val="32"/>
        </w:rPr>
        <w:t>2.评价指标体系</w:t>
      </w:r>
    </w:p>
    <w:p>
      <w:pPr>
        <w:spacing w:line="580" w:lineRule="exact"/>
        <w:ind w:firstLine="640" w:firstLineChars="200"/>
        <w:rPr>
          <w:rFonts w:hint="eastAsia" w:ascii="仿宋" w:hAnsi="仿宋" w:eastAsia="仿宋" w:cs="仿宋"/>
        </w:rPr>
      </w:pPr>
      <w:r>
        <w:rPr>
          <w:rFonts w:hint="eastAsia" w:ascii="仿宋" w:hAnsi="仿宋" w:eastAsia="仿宋" w:cs="仿宋"/>
          <w:sz w:val="32"/>
          <w:szCs w:val="32"/>
        </w:rPr>
        <w:t>根据财政部《项目支出绩效评价管理办法》（财预﹝2020﹞10号）等文件精神，设置了合理可行的评价体系，包括完成指标（数量指标、质量指标、时效指标）、效益指标（社会效益指标）、满意度指标（服务对象满意度指标）等，具体详见项目支出绩效自评表。</w:t>
      </w:r>
    </w:p>
    <w:p>
      <w:pPr>
        <w:spacing w:line="580" w:lineRule="exact"/>
        <w:ind w:firstLine="640" w:firstLineChars="200"/>
        <w:rPr>
          <w:rFonts w:ascii="楷体" w:hAnsi="楷体" w:eastAsia="楷体"/>
        </w:rPr>
      </w:pPr>
      <w:r>
        <w:rPr>
          <w:rFonts w:ascii="楷体" w:hAnsi="楷体" w:eastAsia="楷体"/>
          <w:sz w:val="32"/>
          <w:szCs w:val="32"/>
        </w:rPr>
        <w:t>3.评价方法</w:t>
      </w:r>
    </w:p>
    <w:p>
      <w:pPr>
        <w:spacing w:line="580" w:lineRule="exact"/>
        <w:ind w:firstLine="640" w:firstLineChars="200"/>
        <w:rPr>
          <w:rFonts w:hint="eastAsia" w:ascii="仿宋" w:hAnsi="仿宋" w:eastAsia="仿宋" w:cs="仿宋"/>
        </w:rPr>
      </w:pPr>
      <w:r>
        <w:rPr>
          <w:rFonts w:hint="eastAsia" w:ascii="仿宋" w:hAnsi="仿宋" w:eastAsia="仿宋" w:cs="仿宋"/>
          <w:sz w:val="32"/>
          <w:szCs w:val="32"/>
        </w:rPr>
        <w:t>本项目绩效评价主要采用</w:t>
      </w:r>
      <w:r>
        <w:rPr>
          <w:rFonts w:hint="eastAsia" w:ascii="仿宋" w:hAnsi="仿宋" w:eastAsia="仿宋" w:cs="仿宋"/>
          <w:bCs/>
          <w:sz w:val="32"/>
          <w:szCs w:val="32"/>
        </w:rPr>
        <w:t>自评采用定量与定性评价相结合的比较法，总分由各项指标得分汇总形成。</w:t>
      </w:r>
    </w:p>
    <w:p>
      <w:pPr>
        <w:spacing w:line="580" w:lineRule="exact"/>
        <w:ind w:firstLine="640"/>
        <w:rPr>
          <w:rFonts w:hint="eastAsia" w:ascii="仿宋" w:hAnsi="仿宋" w:eastAsia="仿宋" w:cs="仿宋"/>
          <w:bCs/>
        </w:rPr>
      </w:pPr>
      <w:r>
        <w:rPr>
          <w:rFonts w:hint="eastAsia" w:ascii="仿宋" w:hAnsi="仿宋" w:eastAsia="仿宋" w:cs="仿宋"/>
          <w:bCs/>
          <w:sz w:val="32"/>
          <w:szCs w:val="32"/>
        </w:rPr>
        <w:t>定量指标得分按照以下方法评定：与年初指标值相比，完成指标值的，记账指标所赋全部分值；对完成值高于指标值较多的，要分析原因，如果是由于年初指标值设定明显偏低造成的，要按照偏离度适度调减分值；未完成指标值的，按照完成值与指标值的比例记分。</w:t>
      </w:r>
    </w:p>
    <w:p>
      <w:pPr>
        <w:spacing w:line="580" w:lineRule="exact"/>
        <w:ind w:firstLine="640"/>
        <w:rPr>
          <w:rFonts w:hint="eastAsia" w:ascii="仿宋" w:hAnsi="仿宋" w:eastAsia="仿宋" w:cs="仿宋"/>
          <w:b/>
          <w:bCs/>
        </w:rPr>
      </w:pPr>
      <w:r>
        <w:rPr>
          <w:rFonts w:hint="eastAsia" w:ascii="仿宋" w:hAnsi="仿宋" w:eastAsia="仿宋" w:cs="仿宋"/>
          <w:bCs/>
          <w:sz w:val="32"/>
          <w:szCs w:val="32"/>
        </w:rPr>
        <w:t>定性指标得分按照以下方法评定：根据指标完成情况分为达成年度指标、部分达成年度指标并具有一定效果、未达成年度指标且效果较差三档，分别按照该指标对应分值区间100%-80%（含）、80%-60%（含）、60%-0%合理确定分值。</w:t>
      </w:r>
    </w:p>
    <w:p>
      <w:pPr>
        <w:spacing w:line="580" w:lineRule="exact"/>
        <w:ind w:firstLine="640" w:firstLineChars="200"/>
        <w:rPr>
          <w:rFonts w:ascii="楷体" w:hAnsi="楷体" w:eastAsia="楷体"/>
        </w:rPr>
      </w:pPr>
      <w:r>
        <w:rPr>
          <w:rFonts w:ascii="楷体" w:hAnsi="楷体" w:eastAsia="楷体"/>
          <w:sz w:val="32"/>
          <w:szCs w:val="32"/>
        </w:rPr>
        <w:t>4.评价标准</w:t>
      </w:r>
    </w:p>
    <w:p>
      <w:pPr>
        <w:pStyle w:val="18"/>
        <w:widowControl/>
        <w:spacing w:after="0" w:line="580" w:lineRule="exact"/>
        <w:ind w:left="0" w:leftChars="0" w:firstLine="640"/>
        <w:rPr>
          <w:rFonts w:hint="eastAsia" w:ascii="仿宋" w:hAnsi="仿宋" w:eastAsia="仿宋" w:cs="仿宋"/>
          <w:lang w:eastAsia="zh-CN"/>
        </w:rPr>
      </w:pPr>
      <w:r>
        <w:rPr>
          <w:rFonts w:hint="eastAsia" w:ascii="仿宋" w:hAnsi="仿宋" w:eastAsia="仿宋" w:cs="仿宋"/>
          <w:lang w:val="en-US" w:eastAsia="zh-CN"/>
        </w:rPr>
        <w:t>依照</w:t>
      </w:r>
      <w:r>
        <w:rPr>
          <w:rFonts w:hint="eastAsia" w:ascii="仿宋" w:hAnsi="仿宋" w:eastAsia="仿宋" w:cs="仿宋"/>
        </w:rPr>
        <w:t>财政部《项目支出绩效评价管理办法》（财预﹝2020﹞10号）</w:t>
      </w:r>
      <w:r>
        <w:rPr>
          <w:rFonts w:hint="eastAsia" w:ascii="仿宋" w:hAnsi="仿宋" w:eastAsia="仿宋" w:cs="仿宋"/>
          <w:lang w:val="en-US" w:eastAsia="zh-CN"/>
        </w:rPr>
        <w:t>文件相关规定为评价标准</w:t>
      </w:r>
      <w:r>
        <w:rPr>
          <w:rFonts w:hint="eastAsia" w:ascii="仿宋" w:hAnsi="仿宋" w:eastAsia="仿宋" w:cs="仿宋"/>
          <w:lang w:eastAsia="zh-CN"/>
        </w:rPr>
        <w:t>。</w:t>
      </w:r>
    </w:p>
    <w:p>
      <w:pPr>
        <w:pStyle w:val="41"/>
        <w:numPr>
          <w:ilvl w:val="0"/>
          <w:numId w:val="0"/>
        </w:numPr>
        <w:spacing w:line="540" w:lineRule="exact"/>
        <w:ind w:leftChars="0"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lang w:eastAsia="zh-CN"/>
        </w:rPr>
        <w:t>（三）</w:t>
      </w:r>
      <w:r>
        <w:rPr>
          <w:rStyle w:val="21"/>
          <w:rFonts w:hint="eastAsia" w:ascii="楷体" w:hAnsi="楷体" w:eastAsia="楷体"/>
          <w:spacing w:val="-4"/>
          <w:sz w:val="32"/>
          <w:szCs w:val="32"/>
        </w:rPr>
        <w:t>绩效评价工作过程。</w:t>
      </w:r>
    </w:p>
    <w:p>
      <w:pPr>
        <w:pStyle w:val="18"/>
        <w:widowControl/>
        <w:spacing w:after="0" w:line="580" w:lineRule="exact"/>
        <w:ind w:left="0" w:leftChars="0" w:firstLine="640"/>
        <w:rPr>
          <w:rFonts w:hint="eastAsia" w:ascii="仿宋" w:hAnsi="仿宋" w:eastAsia="仿宋" w:cs="仿宋"/>
          <w:lang w:val="en-US" w:eastAsia="zh-CN"/>
        </w:rPr>
      </w:pPr>
      <w:r>
        <w:rPr>
          <w:rFonts w:hint="eastAsia" w:ascii="仿宋" w:hAnsi="仿宋" w:eastAsia="仿宋" w:cs="仿宋"/>
          <w:lang w:val="en-US" w:eastAsia="zh-CN"/>
        </w:rPr>
        <w:t>政府研究室党组高度重视绩效管理工作，严格落实《关于全面实施预算绩效管理的实施意见》（新党发﹝2018﹞30号）的文件精神，准确把握核心内容，加强绩效监控手段，突出绩效导向作用，将全面绩效管理落实到各项工作之中，有力推动研究室调查研究、撰写政府重要文稿等工作的开展。在前期调研的基础上，我们明确了评价的目的、方法、评价原则、指标体系、评价标准等，顺利完成了绩效评价报告工作。具体实施过程如下：</w:t>
      </w:r>
    </w:p>
    <w:p>
      <w:pPr>
        <w:spacing w:line="580" w:lineRule="exact"/>
        <w:ind w:firstLine="640" w:firstLineChars="200"/>
        <w:rPr>
          <w:rFonts w:hint="eastAsia" w:ascii="方正楷体_GBK" w:hAnsi="方正楷体_GBK" w:eastAsia="方正楷体_GBK" w:cs="方正楷体_GBK"/>
        </w:rPr>
      </w:pPr>
      <w:r>
        <w:rPr>
          <w:rFonts w:hint="eastAsia" w:ascii="方正楷体_GBK" w:hAnsi="方正楷体_GBK" w:eastAsia="方正楷体_GBK" w:cs="方正楷体_GBK"/>
          <w:sz w:val="32"/>
          <w:szCs w:val="32"/>
        </w:rPr>
        <w:t>1.数据收集</w:t>
      </w:r>
    </w:p>
    <w:p>
      <w:pPr>
        <w:pStyle w:val="18"/>
        <w:widowControl/>
        <w:spacing w:after="0" w:line="580" w:lineRule="exact"/>
        <w:ind w:left="0" w:leftChars="0" w:firstLine="640"/>
        <w:rPr>
          <w:rFonts w:hint="eastAsia" w:ascii="仿宋" w:hAnsi="仿宋" w:eastAsia="仿宋" w:cs="仿宋"/>
          <w:lang w:val="en-US" w:eastAsia="zh-CN"/>
        </w:rPr>
      </w:pPr>
      <w:r>
        <w:rPr>
          <w:rFonts w:hint="eastAsia" w:ascii="仿宋" w:hAnsi="仿宋" w:eastAsia="仿宋" w:cs="仿宋"/>
          <w:lang w:val="en-US" w:eastAsia="zh-CN"/>
        </w:rPr>
        <w:t>收集相关调研、出差附件、出刊报告数量、查看档案、协议合同文件等，为填报所需数据做好准备。</w:t>
      </w:r>
    </w:p>
    <w:p>
      <w:pPr>
        <w:spacing w:line="580" w:lineRule="exact"/>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2.数据填报</w:t>
      </w:r>
    </w:p>
    <w:p>
      <w:pPr>
        <w:pStyle w:val="18"/>
        <w:widowControl/>
        <w:spacing w:after="0" w:line="580" w:lineRule="exact"/>
        <w:ind w:left="0" w:leftChars="0" w:firstLine="640"/>
        <w:rPr>
          <w:rFonts w:hint="eastAsia" w:ascii="仿宋" w:hAnsi="仿宋" w:eastAsia="仿宋" w:cs="仿宋"/>
          <w:lang w:val="en-US" w:eastAsia="zh-CN"/>
        </w:rPr>
      </w:pPr>
      <w:r>
        <w:rPr>
          <w:rFonts w:hint="eastAsia" w:ascii="仿宋" w:hAnsi="仿宋" w:eastAsia="仿宋" w:cs="仿宋"/>
          <w:lang w:val="en-US" w:eastAsia="zh-CN"/>
        </w:rPr>
        <w:t>核实相关数据的准确性、完整性并完成填报。</w:t>
      </w:r>
    </w:p>
    <w:p>
      <w:pPr>
        <w:spacing w:line="580" w:lineRule="exact"/>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3.数据分析及撰写报告</w:t>
      </w:r>
    </w:p>
    <w:p>
      <w:pPr>
        <w:pStyle w:val="18"/>
        <w:widowControl/>
        <w:spacing w:after="0" w:line="580" w:lineRule="exact"/>
        <w:ind w:left="0" w:leftChars="0" w:firstLine="640"/>
        <w:rPr>
          <w:rFonts w:hint="eastAsia" w:ascii="仿宋" w:hAnsi="仿宋" w:eastAsia="仿宋" w:cs="仿宋"/>
          <w:lang w:val="en-US" w:eastAsia="zh-CN"/>
        </w:rPr>
      </w:pPr>
      <w:r>
        <w:rPr>
          <w:rFonts w:hint="eastAsia" w:ascii="仿宋" w:hAnsi="仿宋" w:eastAsia="仿宋" w:cs="仿宋"/>
          <w:lang w:val="en-US" w:eastAsia="zh-CN"/>
        </w:rPr>
        <w:t>对确认后的数据、资料、文件进行综合分析，撰写绩效评价报告。</w:t>
      </w:r>
    </w:p>
    <w:p>
      <w:pPr>
        <w:spacing w:line="540" w:lineRule="exact"/>
        <w:ind w:firstLine="640"/>
        <w:rPr>
          <w:rStyle w:val="21"/>
          <w:rFonts w:hint="eastAsia" w:ascii="黑体" w:hAnsi="黑体" w:eastAsia="黑体"/>
          <w:b w:val="0"/>
          <w:spacing w:val="-4"/>
          <w:sz w:val="32"/>
          <w:szCs w:val="32"/>
        </w:rPr>
      </w:pPr>
      <w:r>
        <w:rPr>
          <w:rStyle w:val="21"/>
          <w:rFonts w:hint="eastAsia" w:ascii="黑体" w:hAnsi="黑体" w:eastAsia="黑体"/>
          <w:b w:val="0"/>
          <w:spacing w:val="-4"/>
          <w:sz w:val="32"/>
          <w:szCs w:val="32"/>
          <w:lang w:eastAsia="zh-CN"/>
        </w:rPr>
        <w:t>三、</w:t>
      </w:r>
      <w:r>
        <w:rPr>
          <w:rStyle w:val="21"/>
          <w:rFonts w:hint="eastAsia" w:ascii="黑体" w:hAnsi="黑体" w:eastAsia="黑体"/>
          <w:b w:val="0"/>
          <w:spacing w:val="-4"/>
          <w:sz w:val="32"/>
          <w:szCs w:val="32"/>
        </w:rPr>
        <w:t>综合评价情况及评价结论</w:t>
      </w:r>
    </w:p>
    <w:p>
      <w:pPr>
        <w:numPr>
          <w:ilvl w:val="0"/>
          <w:numId w:val="0"/>
        </w:numPr>
        <w:spacing w:line="540" w:lineRule="exact"/>
        <w:ind w:firstLine="627" w:firstLineChars="200"/>
        <w:rPr>
          <w:rFonts w:hint="eastAsia" w:ascii="仿宋" w:hAnsi="仿宋" w:eastAsia="仿宋" w:cs="仿宋"/>
          <w:kern w:val="2"/>
          <w:sz w:val="32"/>
          <w:szCs w:val="32"/>
          <w:lang w:val="en-US" w:eastAsia="zh-CN" w:bidi="ar-SA"/>
        </w:rPr>
      </w:pPr>
      <w:r>
        <w:rPr>
          <w:rFonts w:hint="eastAsia" w:ascii="楷体" w:hAnsi="楷体" w:eastAsia="楷体" w:cs="Times New Roman"/>
          <w:b/>
          <w:spacing w:val="-4"/>
          <w:kern w:val="2"/>
          <w:sz w:val="32"/>
          <w:szCs w:val="32"/>
          <w:lang w:val="en-US" w:eastAsia="zh-CN" w:bidi="ar-SA"/>
        </w:rPr>
        <w:t>（一）加强绩效管理制度建设。</w:t>
      </w:r>
      <w:r>
        <w:rPr>
          <w:rFonts w:hint="eastAsia" w:ascii="仿宋" w:hAnsi="仿宋" w:eastAsia="仿宋" w:cs="仿宋"/>
          <w:kern w:val="2"/>
          <w:sz w:val="32"/>
          <w:szCs w:val="32"/>
          <w:lang w:val="en-US" w:eastAsia="zh-CN" w:bidi="ar-SA"/>
        </w:rPr>
        <w:t>政府研究室牢固树立“讲绩效、重绩效、用绩效”、“花钱必问效、无效必问责”的绩效管理理念，进一步增强支出责任和效率意识，坚决坚持无预算不支出，全面加强预算管理，提高财政资金使用绩效和科学精细管理水平。</w:t>
      </w:r>
    </w:p>
    <w:p>
      <w:pPr>
        <w:numPr>
          <w:ilvl w:val="0"/>
          <w:numId w:val="0"/>
        </w:numPr>
        <w:spacing w:line="54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2022年，结合本单位实际情况建立健全了财务管理制度和约束机制，依法、有效地利用财政资金，提高财政资金使用效率，合理分配人、财、物，完成了单位职能目标，实现了较高的工作效率和支出绩效。</w:t>
      </w:r>
    </w:p>
    <w:p>
      <w:pPr>
        <w:numPr>
          <w:ilvl w:val="0"/>
          <w:numId w:val="0"/>
        </w:numPr>
        <w:spacing w:line="540" w:lineRule="exact"/>
        <w:ind w:firstLine="627" w:firstLineChars="200"/>
        <w:rPr>
          <w:rFonts w:hint="eastAsia" w:ascii="仿宋" w:hAnsi="仿宋" w:eastAsia="仿宋" w:cs="仿宋"/>
          <w:kern w:val="2"/>
          <w:sz w:val="32"/>
          <w:szCs w:val="32"/>
          <w:lang w:val="en-US" w:eastAsia="zh-CN" w:bidi="ar-SA"/>
        </w:rPr>
      </w:pPr>
      <w:r>
        <w:rPr>
          <w:rFonts w:hint="eastAsia" w:ascii="楷体" w:hAnsi="楷体" w:eastAsia="楷体" w:cs="Times New Roman"/>
          <w:b/>
          <w:spacing w:val="-4"/>
          <w:kern w:val="2"/>
          <w:sz w:val="32"/>
          <w:szCs w:val="32"/>
          <w:lang w:val="en-US" w:eastAsia="zh-CN" w:bidi="ar-SA"/>
        </w:rPr>
        <w:t>（二）严格执行部门预算。</w:t>
      </w:r>
      <w:r>
        <w:rPr>
          <w:rFonts w:hint="eastAsia" w:ascii="仿宋" w:hAnsi="仿宋" w:eastAsia="仿宋" w:cs="仿宋"/>
          <w:kern w:val="2"/>
          <w:sz w:val="32"/>
          <w:szCs w:val="32"/>
          <w:lang w:val="en-US" w:eastAsia="zh-CN" w:bidi="ar-SA"/>
        </w:rPr>
        <w:t>政府研究室严格执行预算批复，所有项目支出资金按预算用途规范使用，不提前支付，不混用科目；对重大开支事项，上党组会议集体研究决定，坚持做到财务管理与监督机制相辅相成，使党组决策制度得到严格贯彻落实；各类款项支付流程做到合理合规、有据可循，每笔支出均由相关审核人员把关后进行支付。</w:t>
      </w:r>
    </w:p>
    <w:p>
      <w:pPr>
        <w:numPr>
          <w:ilvl w:val="0"/>
          <w:numId w:val="0"/>
        </w:numPr>
        <w:spacing w:line="54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2022年部门决算的编制准确、详实、真实地反映了本单位的财政收支情况。</w:t>
      </w:r>
    </w:p>
    <w:p>
      <w:pPr>
        <w:pStyle w:val="59"/>
        <w:spacing w:line="600" w:lineRule="exact"/>
        <w:ind w:firstLine="627" w:firstLineChars="200"/>
        <w:rPr>
          <w:rFonts w:hint="eastAsia" w:ascii="仿宋_GB2312" w:hAnsi="仿宋_GB2312" w:eastAsia="仿宋_GB2312" w:cs="仿宋_GB2312"/>
          <w:sz w:val="32"/>
          <w:szCs w:val="30"/>
          <w:lang w:eastAsia="zh-CN"/>
        </w:rPr>
      </w:pPr>
      <w:r>
        <w:rPr>
          <w:rFonts w:hint="eastAsia" w:ascii="楷体" w:hAnsi="楷体" w:eastAsia="楷体" w:cs="Times New Roman"/>
          <w:b/>
          <w:spacing w:val="-4"/>
          <w:kern w:val="2"/>
          <w:sz w:val="32"/>
          <w:szCs w:val="32"/>
          <w:lang w:val="en-US" w:eastAsia="zh-CN" w:bidi="ar-SA"/>
        </w:rPr>
        <w:t>（三）积极推进项目绩效评价。</w:t>
      </w:r>
      <w:r>
        <w:rPr>
          <w:rFonts w:hint="eastAsia" w:ascii="仿宋" w:hAnsi="仿宋" w:eastAsia="仿宋" w:cs="仿宋"/>
          <w:kern w:val="2"/>
          <w:sz w:val="32"/>
          <w:szCs w:val="32"/>
          <w:lang w:val="en-US" w:eastAsia="zh-CN" w:bidi="ar-SA"/>
        </w:rPr>
        <w:t>政府研究室在加强预算编制环节的基础上，严格预算执行监管和执行结果评价，将监督渗透到预算管理的事前、事中、事后各个环节，定期分析预算执行进度，积极开展整体支出绩效自评。</w:t>
      </w:r>
    </w:p>
    <w:p>
      <w:pPr>
        <w:pStyle w:val="59"/>
        <w:spacing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2022年单位自我评价得分100分，其中：预算执行率得分10分、产出指标得分61分、成本指标得分20分、效益指标得分3分、满意度指标得分6分。</w:t>
      </w:r>
    </w:p>
    <w:p>
      <w:pPr>
        <w:numPr>
          <w:ilvl w:val="0"/>
          <w:numId w:val="0"/>
        </w:numPr>
        <w:spacing w:line="540" w:lineRule="exact"/>
        <w:ind w:firstLine="627" w:firstLineChars="200"/>
        <w:rPr>
          <w:rFonts w:hint="eastAsia" w:ascii="仿宋" w:hAnsi="仿宋" w:eastAsia="仿宋" w:cs="仿宋"/>
          <w:kern w:val="2"/>
          <w:sz w:val="32"/>
          <w:szCs w:val="32"/>
          <w:lang w:val="en-US" w:eastAsia="zh-CN" w:bidi="ar-SA"/>
        </w:rPr>
      </w:pPr>
      <w:r>
        <w:rPr>
          <w:rFonts w:hint="eastAsia" w:ascii="楷体" w:hAnsi="楷体" w:eastAsia="楷体"/>
          <w:b/>
          <w:spacing w:val="-4"/>
          <w:sz w:val="32"/>
          <w:szCs w:val="32"/>
          <w:lang w:eastAsia="zh-CN"/>
        </w:rPr>
        <w:t>（四）</w:t>
      </w:r>
      <w:r>
        <w:rPr>
          <w:rFonts w:hint="eastAsia" w:ascii="楷体" w:hAnsi="楷体" w:eastAsia="楷体"/>
          <w:b/>
          <w:spacing w:val="-4"/>
          <w:sz w:val="32"/>
          <w:szCs w:val="32"/>
        </w:rPr>
        <w:t>切实树立过“紧日子”思想。</w:t>
      </w:r>
      <w:r>
        <w:rPr>
          <w:rFonts w:hint="eastAsia" w:ascii="仿宋" w:hAnsi="仿宋" w:eastAsia="仿宋" w:cs="仿宋"/>
          <w:kern w:val="2"/>
          <w:sz w:val="32"/>
          <w:szCs w:val="32"/>
          <w:lang w:val="en-US" w:eastAsia="zh-CN" w:bidi="ar-SA"/>
        </w:rPr>
        <w:t>2022年，政府研究室严格执行各项财经纪律和规定，坚决落实《关于贯彻落实过“紧日子”要求进一步加强和规范自治区本级部门预算管理的通知》等规定，突出制度保障，严格落实相关财务制度，坚持规范化、制度化、常态化。在预算、采购、工程等方面切实做到不铺张不浪费，杜绝不合理开支。</w:t>
      </w:r>
    </w:p>
    <w:p>
      <w:pPr>
        <w:numPr>
          <w:ilvl w:val="0"/>
          <w:numId w:val="0"/>
        </w:numPr>
        <w:spacing w:line="54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政府研究室从2022年部门决算情况看项目预算执行进度情况比较好，研究室合理编制绩效目标和实施计划，并严格按照计划稳步推进，如期完成了预算执行目标，有力保障了机关单位的正常业务开展。</w:t>
      </w:r>
    </w:p>
    <w:p>
      <w:pPr>
        <w:spacing w:line="540" w:lineRule="exact"/>
        <w:ind w:firstLine="640"/>
        <w:rPr>
          <w:rStyle w:val="21"/>
          <w:rFonts w:hint="eastAsia" w:ascii="黑体" w:hAnsi="黑体" w:eastAsia="黑体" w:cs="黑体"/>
          <w:b w:val="0"/>
          <w:bCs/>
        </w:rPr>
      </w:pPr>
      <w:r>
        <w:rPr>
          <w:rStyle w:val="21"/>
          <w:rFonts w:hint="eastAsia" w:ascii="黑体" w:hAnsi="黑体" w:eastAsia="黑体" w:cs="黑体"/>
          <w:b w:val="0"/>
          <w:bCs/>
          <w:spacing w:val="-4"/>
          <w:sz w:val="32"/>
          <w:szCs w:val="32"/>
        </w:rPr>
        <w:t xml:space="preserve">四、绩效评价指标分析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numPr>
          <w:ilvl w:val="0"/>
          <w:numId w:val="0"/>
        </w:numPr>
        <w:spacing w:line="54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根据习近平总书记关于大兴调查研究之风的重要指示精神和党中央、国务院以及自治区党委关于加强调查研究的工作要求，切实发挥研究室的职能作用，加强战略性、前瞻性、实操性等重大政策措施的研究，按照自治区政府主要领导的指示要求，2022年，政府研究室党组多次召开会议进行认真研究、反复论证，初步确定了《自治区推进富民兴疆路径及对策研究》、2022年度“中国民生调查”项目等8个重点研究课题，并设定了绩效目标、进行了绩效评估、逐项细化编制了项目预算，制定了实施计划。经自治区政府审定后，按照最终确定方案采取：实地调研、组织召开专题会、业务委托等方式，深入开展调查研究，按时间节点完成高质量文稿，为政府领导科学决策提供有力支撑。过程中遇有重大事项、重大开支、项目调整等均事前进行充分考证，而后上党组会议集体研究决定，坚持做到财务管理与监督机制相辅相成，使党组决策制度得到严格贯彻落实。</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6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2022年度绩效管理促进了研究室不断提高以文辅政能力：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kern w:val="2"/>
          <w:sz w:val="32"/>
          <w:szCs w:val="32"/>
          <w:lang w:val="en-US" w:eastAsia="zh-CN" w:bidi="ar-SA"/>
        </w:rPr>
      </w:pPr>
      <w:r>
        <w:rPr>
          <w:rFonts w:hint="eastAsia" w:ascii="仿宋_GB2312" w:hAnsi="仿宋_GB2312" w:eastAsia="仿宋_GB2312" w:cs="仿宋_GB2312"/>
          <w:b/>
          <w:bCs/>
          <w:kern w:val="0"/>
          <w:sz w:val="32"/>
          <w:szCs w:val="30"/>
          <w:lang w:val="en-US" w:eastAsia="zh-CN" w:bidi="ar-SA"/>
        </w:rPr>
        <w:t>1.认真做好《政府工作报告》起草有关工作。</w:t>
      </w:r>
      <w:r>
        <w:rPr>
          <w:rFonts w:hint="eastAsia" w:ascii="仿宋" w:hAnsi="仿宋" w:eastAsia="仿宋" w:cs="仿宋"/>
          <w:kern w:val="2"/>
          <w:sz w:val="32"/>
          <w:szCs w:val="32"/>
          <w:lang w:val="en-US" w:eastAsia="zh-CN" w:bidi="ar-SA"/>
        </w:rPr>
        <w:t>高质量完成2022年《政府工作报告》起草工作任务，得到了自治区领导和人大代表、政协委员广泛好评。组织起草印发《自治区人民政府关于落实〈政府工作报告〉重点工作责任分工的意见》。全力以赴抓好2023年《政府工作报告》起草工作。2022年10月份以来，努力克服疫情影响，组织起草专班集中封闭办公，按照工作时间进度紧张有序开展各环节有关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仿宋_GB2312" w:hAnsi="仿宋_GB2312" w:eastAsia="仿宋_GB2312" w:cs="仿宋_GB2312"/>
          <w:b/>
          <w:bCs/>
          <w:kern w:val="0"/>
          <w:sz w:val="32"/>
          <w:szCs w:val="30"/>
          <w:lang w:val="en-US" w:eastAsia="zh-CN" w:bidi="ar-SA"/>
        </w:rPr>
        <w:t>2.全面做好经济运行分析有关工作。</w:t>
      </w:r>
      <w:r>
        <w:rPr>
          <w:rFonts w:hint="eastAsia" w:ascii="仿宋" w:hAnsi="仿宋" w:eastAsia="仿宋" w:cs="仿宋"/>
          <w:kern w:val="2"/>
          <w:sz w:val="32"/>
          <w:szCs w:val="32"/>
          <w:lang w:val="en-US" w:eastAsia="zh-CN" w:bidi="ar-SA"/>
        </w:rPr>
        <w:t>制定印发《自治区经济运行情况重要数据指标研究分析工作方案》，建立了由研究室牵头，自治区统计局、发改委等20个相关厅局参与的经济运行分析机制和报告起草机制。采取赴企业调研、召开座谈会等方式，了解企业生产经营中遇到的困难和问题，听取企业关于经济工作的意见建议，增强经济运行分析的时效性、针对性、可操作性，全面加强经济运行分析研究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kern w:val="2"/>
          <w:sz w:val="32"/>
          <w:szCs w:val="32"/>
          <w:lang w:val="en-US" w:eastAsia="zh-CN" w:bidi="ar-SA"/>
        </w:rPr>
      </w:pPr>
      <w:r>
        <w:rPr>
          <w:rFonts w:hint="eastAsia" w:ascii="仿宋_GB2312" w:hAnsi="仿宋_GB2312" w:eastAsia="仿宋_GB2312" w:cs="仿宋_GB2312"/>
          <w:b/>
          <w:bCs/>
          <w:kern w:val="0"/>
          <w:sz w:val="32"/>
          <w:szCs w:val="30"/>
          <w:lang w:val="en-US" w:eastAsia="zh-CN" w:bidi="ar-SA"/>
        </w:rPr>
        <w:t>3.扎实做好自治区政府文稿服务有关工作。</w:t>
      </w:r>
      <w:r>
        <w:rPr>
          <w:rFonts w:hint="eastAsia" w:ascii="仿宋" w:hAnsi="仿宋" w:eastAsia="仿宋" w:cs="仿宋"/>
          <w:kern w:val="2"/>
          <w:sz w:val="32"/>
          <w:szCs w:val="32"/>
          <w:lang w:val="en-US" w:eastAsia="zh-CN" w:bidi="ar-SA"/>
        </w:rPr>
        <w:t>先后起草了自治区政府党组2021年工作总结、2022年工作要点、2022年上半年工作情况报告。做好重要文件起草工作，先后研究起草了《自治区贯彻落实国发〔2022〕12号文件精神推进经济稳增长一揽子政策措施》《关于进一步加大对中小微企业和个体工商户助企纾困力度若干政策措施》等一系列政策文件。做好政府主要领导讲话起草工作，参与起草艾尔肯·吐尼亚孜主席在自治区党委十届三次全会上所作的《自治区经济工作专题报告》以及在政府全体会议、推动经济稳增长电视电话会议、廉政工作会议上的讲话等多篇材料。做好综合性文件起草工作，起草《自治区第十三届人民政府领导班子工作总结》，起草自治区党委、政府《关于贯彻落实中发22号文件精神进一步扎实做好当前经济工作的情况报告》，起草《2022年自治区上半年经济社会发展情况报告》；为迎接国务院大督查，起草《新疆经济社会发展综合报告》《自治区实施稳增长15条接续措施助企纾困促发展典型材料》，审核相关厅局和地州上报的11个专项报告以及13个典型经验材料。</w:t>
      </w:r>
    </w:p>
    <w:p>
      <w:pPr>
        <w:spacing w:line="560" w:lineRule="exact"/>
        <w:ind w:firstLine="643" w:firstLineChars="200"/>
        <w:rPr>
          <w:rFonts w:hint="eastAsia" w:ascii="仿宋" w:hAnsi="仿宋" w:eastAsia="仿宋" w:cs="仿宋"/>
          <w:sz w:val="32"/>
          <w:szCs w:val="32"/>
        </w:rPr>
      </w:pPr>
      <w:r>
        <w:rPr>
          <w:rFonts w:hint="eastAsia" w:ascii="仿宋_GB2312" w:hAnsi="仿宋_GB2312" w:eastAsia="仿宋_GB2312" w:cs="仿宋_GB2312"/>
          <w:b/>
          <w:bCs/>
          <w:kern w:val="0"/>
          <w:sz w:val="32"/>
          <w:szCs w:val="30"/>
          <w:lang w:val="en-US" w:eastAsia="zh-CN" w:bidi="ar-SA"/>
        </w:rPr>
        <w:t>4.切实加强调查研究工作。</w:t>
      </w:r>
      <w:r>
        <w:rPr>
          <w:rFonts w:hint="eastAsia" w:ascii="仿宋" w:hAnsi="仿宋" w:eastAsia="仿宋" w:cs="仿宋"/>
          <w:kern w:val="2"/>
          <w:sz w:val="32"/>
          <w:szCs w:val="32"/>
          <w:lang w:val="en-US" w:eastAsia="zh-CN" w:bidi="ar-SA"/>
        </w:rPr>
        <w:t>根据自治区党委筹备召开十届三次全会前开展大调研的有关安排，会同政府办公厅前往喀什、阿克苏等地调研，主笔起草艾尔肯·吐尼亚孜主席相关调研材料。先后形成《关于双钱集团（新疆）昆仑轮胎有限公司物流运输问题调研情况的报告》《自治区口岸管理体制改革调研报告》《关于深化乌鲁木齐国际陆港区改革发展的研究报告》《管好用好扶贫资产，促进乡村全面振兴》等调研报告，其中多篇报告得到自治区党委、政府领导的批示。围绕推动高质量发展，年初确定七个专项调研课题，虽受疫情影响，大部分课题于2022年年底完成，只有富民兴疆课题于2023年3月完成终稿。组织开展“中国民生调查”，2023年2月前完成报告初稿。起草并提请自治区政府办公厅印发《关于加强自治区政府系统调查研究和决策咨询工作的通知》，明确工作要求和任务。</w:t>
      </w:r>
    </w:p>
    <w:p>
      <w:pPr>
        <w:spacing w:line="560" w:lineRule="exact"/>
        <w:ind w:firstLine="643" w:firstLineChars="200"/>
        <w:rPr>
          <w:rFonts w:hint="eastAsia" w:ascii="仿宋" w:hAnsi="仿宋" w:eastAsia="仿宋" w:cs="仿宋"/>
          <w:kern w:val="2"/>
          <w:sz w:val="32"/>
          <w:szCs w:val="32"/>
          <w:lang w:val="en-US" w:eastAsia="zh-CN" w:bidi="ar-SA"/>
        </w:rPr>
      </w:pPr>
      <w:r>
        <w:rPr>
          <w:rFonts w:hint="eastAsia" w:ascii="仿宋_GB2312" w:hAnsi="仿宋_GB2312" w:eastAsia="仿宋_GB2312" w:cs="仿宋_GB2312"/>
          <w:b/>
          <w:bCs/>
          <w:kern w:val="0"/>
          <w:sz w:val="32"/>
          <w:szCs w:val="30"/>
          <w:lang w:val="en-US" w:eastAsia="zh-CN" w:bidi="ar-SA"/>
        </w:rPr>
        <w:t>5.进一步做好信息服务工作。</w:t>
      </w:r>
      <w:r>
        <w:rPr>
          <w:rFonts w:hint="eastAsia" w:ascii="仿宋" w:hAnsi="仿宋" w:eastAsia="仿宋" w:cs="仿宋"/>
          <w:kern w:val="2"/>
          <w:sz w:val="32"/>
          <w:szCs w:val="32"/>
          <w:lang w:val="en-US" w:eastAsia="zh-CN" w:bidi="ar-SA"/>
        </w:rPr>
        <w:t>修订《自治区概况》（2022年），外办组织力量将《新疆概况》翻译成英文，作为自治区对外介绍新疆的重要材料。收集整理编印分发《政府工作报告》汇编（2022年）。今年共编印《调查研究（专报）》15期、《决策参阅》31期。</w:t>
      </w:r>
    </w:p>
    <w:p>
      <w:pPr>
        <w:spacing w:line="560" w:lineRule="exact"/>
        <w:ind w:firstLine="627" w:firstLineChars="200"/>
        <w:rPr>
          <w:rStyle w:val="21"/>
          <w:rFonts w:hint="eastAsia" w:ascii="仿宋" w:hAnsi="仿宋" w:eastAsia="仿宋" w:cs="仿宋"/>
          <w:b w:val="0"/>
          <w:bCs w:val="0"/>
          <w:spacing w:val="-4"/>
          <w:sz w:val="32"/>
          <w:szCs w:val="32"/>
          <w:lang w:val="en-US" w:eastAsia="zh-CN"/>
        </w:rPr>
      </w:pPr>
      <w:r>
        <w:rPr>
          <w:rFonts w:hint="eastAsia" w:ascii="楷体" w:hAnsi="楷体" w:eastAsia="楷体"/>
          <w:b/>
          <w:spacing w:val="-4"/>
          <w:sz w:val="32"/>
          <w:szCs w:val="32"/>
        </w:rPr>
        <w:t>（三）项目产出情况。</w:t>
      </w:r>
    </w:p>
    <w:p>
      <w:pPr>
        <w:spacing w:line="560" w:lineRule="exact"/>
        <w:ind w:firstLine="640" w:firstLineChars="200"/>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课题调研活动完成数（次）预期指标值大于等于15次，实际完成指标值15次。2.向自治区人民政府领导提出建议数量预期指标值大于等于12条，实际完成指标值12条。3.聘用劳务派遣人数预期指标值大于等于5人，实际完成指标值5人。4.起草编写《政府工作报告》数量预期指标值大于等于1份，实际完成指标值1份。5.公务保障用车数量预期指标值大于等于6辆，实际完成指标值6辆。6.课题研究报告数（个）预期指标值大于等于10个，实际完成指标值10个。7.聘用劳务派遣人员工资发放完成率预期指标值等于100%，实际完成指标值100%。8.开展课题研究合格率预期指标值等于100%，实际完成指标值100%。9.聘用劳务派遣人员工资发放及时率预期指标值等于100%，实际完成指标值100%。10.起草编写《政府工作报告》提交及时率预期指标值等于100%，实际完成指标值100%。11.聘用劳务派遣人员成本预期指标值小于等于30万元，实际完成指标值30万元。12.公务保障用车及办公设备维修维护成本预期指标值小于等于10万元，实际完成指标值10万元。13.完成决策咨询课题研究预期指标值小于等于20万元，实际完成指标值133.57万元。14.围绕自治区人民政府中心工作开展相关调研工作经费预期指标值小于等于45万元，实际完成指标值45万元。15.其他支出安排资金预期指标值小于等于53万元，实际完成指标值53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6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通过2022年全年绩效管理工作，研究室年初设定的绩效项目全部实施完毕，重要文稿、领导讲话得到自治区人民政府领导认可；《政府工作报告》在两会上得到两会代表、政协委员高度评价；调研报告、决策咨询、经济运行分析等多次受到党委政府领导的批示指示，为政府提供了决策参考依据，充分履行了研究室以文辅政的职能，有效提高了对政府工作服务质量；监测、研究及工作成果对决策及完善政策机制起到了持续促进作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6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通过2022年全年绩效管理工作，研究室年初设定的绩效项目全部实施完毕，经满意度测评，聘用人员满意度预期指标值大于等于90%，实际完成指标值99%，调查工作人员满意度预期指标值大于等于90%，实际完成指标值100%。</w:t>
      </w:r>
    </w:p>
    <w:p>
      <w:pPr>
        <w:spacing w:line="540" w:lineRule="exact"/>
        <w:ind w:firstLine="640"/>
        <w:rPr>
          <w:rStyle w:val="21"/>
          <w:rFonts w:ascii="黑体" w:hAnsi="黑体" w:eastAsia="黑体"/>
          <w:spacing w:val="-4"/>
          <w:sz w:val="32"/>
          <w:szCs w:val="32"/>
        </w:rPr>
      </w:pPr>
      <w:r>
        <w:rPr>
          <w:rStyle w:val="21"/>
          <w:rFonts w:hint="eastAsia" w:ascii="黑体" w:hAnsi="黑体" w:eastAsia="黑体"/>
          <w:b w:val="0"/>
          <w:spacing w:val="-4"/>
          <w:sz w:val="32"/>
          <w:szCs w:val="32"/>
        </w:rPr>
        <w:t>五、</w:t>
      </w:r>
      <w:r>
        <w:rPr>
          <w:rStyle w:val="21"/>
          <w:rFonts w:ascii="黑体" w:hAnsi="黑体" w:eastAsia="黑体"/>
          <w:b w:val="0"/>
          <w:spacing w:val="-4"/>
          <w:sz w:val="32"/>
          <w:szCs w:val="32"/>
        </w:rPr>
        <w:t>预算执行进度与绩效指标偏差</w:t>
      </w:r>
    </w:p>
    <w:p>
      <w:pPr>
        <w:tabs>
          <w:tab w:val="left" w:pos="2163"/>
        </w:tabs>
        <w:spacing w:line="540" w:lineRule="exact"/>
        <w:ind w:firstLine="64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政府研究室专项业务经费年初预算数158万元，年中追加课题研究专项经费117.40万元，全年总计预算数275.4万元，2022年预算执行数271.57万元。全年预算执行进度与预算计划基本一致，绩效指标基本无偏差。</w:t>
      </w:r>
    </w:p>
    <w:p>
      <w:pPr>
        <w:numPr>
          <w:ilvl w:val="0"/>
          <w:numId w:val="3"/>
        </w:numPr>
        <w:spacing w:line="540" w:lineRule="exact"/>
        <w:ind w:firstLine="640"/>
        <w:rPr>
          <w:rStyle w:val="21"/>
          <w:rFonts w:ascii="黑体" w:hAnsi="黑体" w:eastAsia="黑体"/>
          <w:b w:val="0"/>
          <w:spacing w:val="-4"/>
          <w:sz w:val="32"/>
          <w:szCs w:val="32"/>
        </w:rPr>
      </w:pPr>
      <w:r>
        <w:rPr>
          <w:rStyle w:val="21"/>
          <w:rFonts w:ascii="黑体" w:hAnsi="黑体" w:eastAsia="黑体"/>
          <w:b w:val="0"/>
          <w:spacing w:val="-4"/>
          <w:sz w:val="32"/>
          <w:szCs w:val="32"/>
        </w:rPr>
        <w:t>主要经验及做法、存在的问题及原因分析</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（一）主要经验及做法</w:t>
      </w:r>
    </w:p>
    <w:p>
      <w:pPr>
        <w:ind w:firstLine="615"/>
        <w:rPr>
          <w:rFonts w:hint="eastAsia" w:ascii="仿宋" w:hAnsi="仿宋" w:eastAsia="仿宋" w:cs="仿宋"/>
          <w:kern w:val="2"/>
          <w:sz w:val="32"/>
          <w:szCs w:val="32"/>
          <w:lang w:val="en-US" w:eastAsia="zh-CN" w:bidi="ar-SA"/>
        </w:rPr>
      </w:pPr>
      <w:r>
        <w:rPr>
          <w:rFonts w:hint="eastAsia" w:ascii="仿宋_GB2312" w:hAnsi="仿宋_GB2312" w:eastAsia="仿宋_GB2312" w:cs="仿宋_GB2312"/>
          <w:b/>
          <w:bCs/>
          <w:sz w:val="32"/>
          <w:szCs w:val="30"/>
        </w:rPr>
        <w:t>一是</w:t>
      </w:r>
      <w:r>
        <w:rPr>
          <w:rFonts w:hint="eastAsia" w:ascii="仿宋" w:hAnsi="仿宋" w:eastAsia="仿宋" w:cs="仿宋"/>
          <w:kern w:val="2"/>
          <w:sz w:val="32"/>
          <w:szCs w:val="32"/>
          <w:lang w:val="en-US" w:eastAsia="zh-CN" w:bidi="ar-SA"/>
        </w:rPr>
        <w:t>初步树立了绩效管理理念，通过开展绩效评价，单位全体人员开始转变观念，重视经费支出由重资金争取向支出责任和结果转变；</w:t>
      </w:r>
      <w:r>
        <w:rPr>
          <w:rFonts w:hint="eastAsia" w:ascii="仿宋_GB2312" w:hAnsi="仿宋_GB2312" w:eastAsia="仿宋_GB2312" w:cs="仿宋_GB2312"/>
          <w:b/>
          <w:bCs/>
          <w:sz w:val="32"/>
          <w:szCs w:val="30"/>
        </w:rPr>
        <w:t>二是</w:t>
      </w:r>
      <w:r>
        <w:rPr>
          <w:rFonts w:hint="eastAsia" w:ascii="仿宋" w:hAnsi="仿宋" w:eastAsia="仿宋" w:cs="仿宋"/>
          <w:kern w:val="2"/>
          <w:sz w:val="32"/>
          <w:szCs w:val="32"/>
          <w:lang w:val="en-US" w:eastAsia="zh-CN" w:bidi="ar-SA"/>
        </w:rPr>
        <w:t>强化责任意识，通过设定目标权重值，让单位更清楚地了解资金支出所取得的社会和经济效益，其职能和目标得到进一步明确；</w:t>
      </w:r>
      <w:r>
        <w:rPr>
          <w:rFonts w:hint="eastAsia" w:ascii="仿宋_GB2312" w:hAnsi="仿宋_GB2312" w:eastAsia="仿宋_GB2312" w:cs="仿宋_GB2312"/>
          <w:b/>
          <w:bCs/>
          <w:sz w:val="32"/>
          <w:szCs w:val="30"/>
        </w:rPr>
        <w:t>三是</w:t>
      </w:r>
      <w:r>
        <w:rPr>
          <w:rFonts w:hint="eastAsia" w:ascii="仿宋" w:hAnsi="仿宋" w:eastAsia="仿宋" w:cs="仿宋"/>
          <w:kern w:val="2"/>
          <w:sz w:val="32"/>
          <w:szCs w:val="32"/>
          <w:lang w:val="en-US" w:eastAsia="zh-CN" w:bidi="ar-SA"/>
        </w:rPr>
        <w:t>增强了绩效管理的科学性，对经费支出的科学性、效益性和管理水平的评价，有利于促进单位不断完善内部管理，自觉加强和促进资金的管理和监督，不断提高绩效管理水平。</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（二）存在的不足及原因分析</w:t>
      </w:r>
    </w:p>
    <w:p>
      <w:pPr>
        <w:spacing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总体来看，自开展预算绩效管理工作以来，我单位预算绩效管理工作整体水平有了较大的提高，但也存在一些不足。</w:t>
      </w:r>
    </w:p>
    <w:p>
      <w:pPr>
        <w:spacing w:line="600" w:lineRule="exact"/>
        <w:ind w:firstLine="643" w:firstLineChars="200"/>
        <w:rPr>
          <w:rFonts w:hint="eastAsia" w:ascii="仿宋" w:hAnsi="仿宋" w:eastAsia="仿宋" w:cs="仿宋"/>
          <w:kern w:val="2"/>
          <w:sz w:val="32"/>
          <w:szCs w:val="32"/>
          <w:lang w:val="en-US" w:eastAsia="zh-CN" w:bidi="ar-SA"/>
        </w:rPr>
      </w:pPr>
      <w:r>
        <w:rPr>
          <w:rFonts w:hint="eastAsia" w:ascii="仿宋" w:hAnsi="仿宋" w:eastAsia="仿宋" w:cs="仿宋"/>
          <w:b/>
          <w:bCs/>
          <w:kern w:val="0"/>
          <w:sz w:val="32"/>
          <w:szCs w:val="30"/>
          <w:lang w:val="en-US" w:eastAsia="zh-CN"/>
        </w:rPr>
        <w:t>1.绩效管理理念有待进一步提高。</w:t>
      </w:r>
      <w:r>
        <w:rPr>
          <w:rFonts w:hint="eastAsia" w:ascii="仿宋" w:hAnsi="仿宋" w:eastAsia="仿宋" w:cs="仿宋"/>
          <w:kern w:val="2"/>
          <w:sz w:val="32"/>
          <w:szCs w:val="32"/>
          <w:lang w:val="en-US" w:eastAsia="zh-CN" w:bidi="ar-SA"/>
        </w:rPr>
        <w:t>对绩效管理的职能定位还存在模糊认识，停留在绩效评价初级阶段，影响到财务管理水平的促进效果。</w:t>
      </w:r>
    </w:p>
    <w:p>
      <w:pPr>
        <w:spacing w:line="600" w:lineRule="exact"/>
        <w:ind w:firstLine="643" w:firstLineChars="200"/>
        <w:rPr>
          <w:rFonts w:hint="eastAsia" w:ascii="仿宋" w:hAnsi="仿宋" w:eastAsia="仿宋" w:cs="仿宋"/>
          <w:kern w:val="2"/>
          <w:sz w:val="32"/>
          <w:szCs w:val="32"/>
          <w:lang w:val="en-US" w:eastAsia="zh-CN" w:bidi="ar-SA"/>
        </w:rPr>
      </w:pPr>
      <w:r>
        <w:rPr>
          <w:rFonts w:hint="eastAsia" w:ascii="仿宋" w:hAnsi="仿宋" w:eastAsia="仿宋" w:cs="仿宋"/>
          <w:b/>
          <w:bCs/>
          <w:kern w:val="0"/>
          <w:sz w:val="32"/>
          <w:szCs w:val="30"/>
          <w:lang w:val="en-US" w:eastAsia="zh-CN"/>
        </w:rPr>
        <w:t>2.</w:t>
      </w:r>
      <w:r>
        <w:rPr>
          <w:rFonts w:hint="eastAsia" w:ascii="仿宋" w:hAnsi="仿宋" w:eastAsia="仿宋" w:cs="仿宋"/>
          <w:b/>
          <w:bCs/>
          <w:kern w:val="0"/>
          <w:sz w:val="32"/>
          <w:szCs w:val="30"/>
        </w:rPr>
        <w:t>评价指标体系需要进一步完善。</w:t>
      </w:r>
      <w:r>
        <w:rPr>
          <w:rFonts w:hint="eastAsia" w:ascii="仿宋" w:hAnsi="仿宋" w:eastAsia="仿宋" w:cs="仿宋"/>
          <w:kern w:val="2"/>
          <w:sz w:val="32"/>
          <w:szCs w:val="32"/>
          <w:lang w:val="en-US" w:eastAsia="zh-CN" w:bidi="ar-SA"/>
        </w:rPr>
        <w:t>由于对制度标准学习的不够深入，目标权重值设置的不够合理，需要进一步优化设置，以满足绩效管理工作需要。</w:t>
      </w:r>
    </w:p>
    <w:p>
      <w:pPr>
        <w:spacing w:line="600" w:lineRule="exact"/>
        <w:ind w:firstLine="643" w:firstLineChars="200"/>
        <w:rPr>
          <w:rFonts w:hint="eastAsia" w:ascii="仿宋" w:hAnsi="仿宋" w:eastAsia="仿宋" w:cs="仿宋"/>
          <w:kern w:val="2"/>
          <w:sz w:val="32"/>
          <w:szCs w:val="32"/>
          <w:lang w:val="en-US" w:eastAsia="zh-CN" w:bidi="ar-SA"/>
        </w:rPr>
      </w:pPr>
      <w:r>
        <w:rPr>
          <w:rFonts w:hint="eastAsia" w:ascii="仿宋" w:hAnsi="仿宋" w:eastAsia="仿宋" w:cs="仿宋"/>
          <w:b/>
          <w:bCs/>
          <w:kern w:val="0"/>
          <w:sz w:val="32"/>
          <w:szCs w:val="30"/>
          <w:lang w:val="en-US" w:eastAsia="zh-CN"/>
        </w:rPr>
        <w:t>3.人员素质有待进一步提高。</w:t>
      </w:r>
      <w:r>
        <w:rPr>
          <w:rFonts w:hint="eastAsia" w:ascii="仿宋" w:hAnsi="仿宋" w:eastAsia="仿宋" w:cs="仿宋"/>
          <w:kern w:val="2"/>
          <w:sz w:val="32"/>
          <w:szCs w:val="32"/>
          <w:lang w:val="en-US" w:eastAsia="zh-CN" w:bidi="ar-SA"/>
        </w:rPr>
        <w:t>由于对预算绩效管理理解不充分，对预算绩效管理业务不熟练，对工作重点把握不到位，需要业务人员加强学习，提高绩效管理工作水平。</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（三）下一步打算</w:t>
      </w:r>
    </w:p>
    <w:p>
      <w:pPr>
        <w:spacing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2023年度，政府研究室将以实现绩效目标为导向，提升预算管理质量，使预算绩效管理工作取得新成效，为研究室更高质量的“以文辅政”提供服务保障。</w:t>
      </w:r>
      <w:r>
        <w:rPr>
          <w:rFonts w:hint="eastAsia" w:ascii="仿宋_GB2312" w:hAnsi="仿宋_GB2312" w:eastAsia="仿宋_GB2312" w:cs="仿宋_GB2312"/>
          <w:b/>
          <w:bCs/>
          <w:kern w:val="0"/>
          <w:sz w:val="32"/>
          <w:szCs w:val="30"/>
          <w:lang w:eastAsia="zh-CN"/>
        </w:rPr>
        <w:t>一是</w:t>
      </w:r>
      <w:r>
        <w:rPr>
          <w:rFonts w:hint="eastAsia" w:ascii="仿宋" w:hAnsi="仿宋" w:eastAsia="仿宋" w:cs="仿宋"/>
          <w:kern w:val="2"/>
          <w:sz w:val="32"/>
          <w:szCs w:val="32"/>
          <w:lang w:val="en-US" w:eastAsia="zh-CN" w:bidi="ar-SA"/>
        </w:rPr>
        <w:t>根据研究室实际情况，进一步优化设置评价指标体系，合理设置目标权重值；</w:t>
      </w:r>
      <w:r>
        <w:rPr>
          <w:rFonts w:hint="eastAsia" w:ascii="仿宋_GB2312" w:hAnsi="仿宋_GB2312" w:eastAsia="仿宋_GB2312" w:cs="仿宋_GB2312"/>
          <w:b/>
          <w:bCs/>
          <w:kern w:val="0"/>
          <w:sz w:val="32"/>
          <w:szCs w:val="30"/>
          <w:lang w:eastAsia="zh-CN"/>
        </w:rPr>
        <w:t>二是</w:t>
      </w:r>
      <w:r>
        <w:rPr>
          <w:rFonts w:hint="eastAsia" w:ascii="仿宋" w:hAnsi="仿宋" w:eastAsia="仿宋" w:cs="仿宋"/>
          <w:kern w:val="2"/>
          <w:sz w:val="32"/>
          <w:szCs w:val="32"/>
          <w:lang w:val="en-US" w:eastAsia="zh-CN" w:bidi="ar-SA"/>
        </w:rPr>
        <w:t>提高领导班子绩效管理理念，加强对会计出纳人员的业务培训，提高绩效管理水平；</w:t>
      </w:r>
      <w:r>
        <w:rPr>
          <w:rFonts w:hint="eastAsia" w:ascii="仿宋_GB2312" w:hAnsi="仿宋_GB2312" w:eastAsia="仿宋_GB2312" w:cs="仿宋_GB2312"/>
          <w:b/>
          <w:bCs/>
          <w:kern w:val="0"/>
          <w:sz w:val="32"/>
          <w:szCs w:val="30"/>
          <w:lang w:eastAsia="zh-CN"/>
        </w:rPr>
        <w:t>三是</w:t>
      </w:r>
      <w:r>
        <w:rPr>
          <w:rFonts w:hint="eastAsia" w:ascii="仿宋" w:hAnsi="仿宋" w:eastAsia="仿宋" w:cs="仿宋"/>
          <w:kern w:val="2"/>
          <w:sz w:val="32"/>
          <w:szCs w:val="32"/>
          <w:lang w:val="en-US" w:eastAsia="zh-CN" w:bidi="ar-SA"/>
        </w:rPr>
        <w:t>严格落实各项财经制度，不断总结预算绩效管理工作存在的问题、经验和不足之处，为今后更好地开展预算绩效管理工作打下坚实基础。</w:t>
      </w:r>
    </w:p>
    <w:p>
      <w:pPr>
        <w:ind w:firstLine="624" w:firstLineChars="200"/>
        <w:rPr>
          <w:rStyle w:val="21"/>
          <w:rFonts w:ascii="黑体" w:hAnsi="黑体" w:eastAsia="黑体"/>
          <w:b w:val="0"/>
          <w:spacing w:val="-4"/>
          <w:sz w:val="32"/>
          <w:szCs w:val="32"/>
        </w:rPr>
      </w:pPr>
      <w:r>
        <w:rPr>
          <w:rStyle w:val="21"/>
          <w:rFonts w:ascii="黑体" w:hAnsi="黑体" w:eastAsia="黑体"/>
          <w:b w:val="0"/>
          <w:spacing w:val="-4"/>
          <w:sz w:val="32"/>
          <w:szCs w:val="32"/>
        </w:rPr>
        <w:t>七、有关建议</w:t>
      </w:r>
    </w:p>
    <w:p>
      <w:pPr>
        <w:spacing w:line="54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本年度研究室财务人员更换较为频繁，建议业务部门适时组织一次全面的业务培训，提高相关人员业务水平。同时建议将评价得分较高单位好的经验做法作以推广，促进业务工作共同进步。</w:t>
      </w:r>
    </w:p>
    <w:p>
      <w:pPr>
        <w:spacing w:line="540" w:lineRule="exact"/>
        <w:ind w:firstLine="567"/>
        <w:rPr>
          <w:rStyle w:val="21"/>
          <w:rFonts w:ascii="黑体" w:hAnsi="黑体" w:eastAsia="黑体"/>
          <w:b w:val="0"/>
          <w:spacing w:val="-4"/>
          <w:sz w:val="32"/>
          <w:szCs w:val="32"/>
        </w:rPr>
      </w:pPr>
      <w:r>
        <w:rPr>
          <w:rStyle w:val="21"/>
          <w:rFonts w:hint="eastAsia" w:ascii="黑体" w:hAnsi="黑体" w:eastAsia="黑体"/>
          <w:b w:val="0"/>
          <w:spacing w:val="-4"/>
          <w:sz w:val="32"/>
          <w:szCs w:val="32"/>
        </w:rPr>
        <w:t>八、其他需要说明的问题</w:t>
      </w:r>
    </w:p>
    <w:p>
      <w:pPr>
        <w:spacing w:line="540" w:lineRule="exact"/>
        <w:ind w:firstLine="579" w:firstLineChars="181"/>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项目产出中完成决策咨询课题研究预期指标值小于等于20万元，实际完成指标值133.57万元，原因为研究室项目增加年中追加预算经费117.4万元。</w:t>
      </w:r>
    </w:p>
    <w:p>
      <w:pPr>
        <w:spacing w:line="540" w:lineRule="exact"/>
        <w:ind w:firstLine="627" w:firstLineChars="200"/>
        <w:rPr>
          <w:rStyle w:val="21"/>
          <w:rFonts w:ascii="楷体" w:hAnsi="楷体" w:eastAsia="楷体"/>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2</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7F1684"/>
    <w:multiLevelType w:val="singleLevel"/>
    <w:tmpl w:val="DE7F1684"/>
    <w:lvl w:ilvl="0" w:tentative="0">
      <w:start w:val="2"/>
      <w:numFmt w:val="chineseCounting"/>
      <w:suff w:val="nothing"/>
      <w:lvlText w:val="（%1）"/>
      <w:lvlJc w:val="left"/>
      <w:rPr>
        <w:rFonts w:hint="eastAsia"/>
      </w:rPr>
    </w:lvl>
  </w:abstractNum>
  <w:abstractNum w:abstractNumId="1">
    <w:nsid w:val="E2819542"/>
    <w:multiLevelType w:val="singleLevel"/>
    <w:tmpl w:val="E2819542"/>
    <w:lvl w:ilvl="0" w:tentative="0">
      <w:start w:val="6"/>
      <w:numFmt w:val="chineseCounting"/>
      <w:suff w:val="nothing"/>
      <w:lvlText w:val="%1、"/>
      <w:lvlJc w:val="left"/>
      <w:rPr>
        <w:rFonts w:hint="eastAsia"/>
      </w:rPr>
    </w:lvl>
  </w:abstractNum>
  <w:abstractNum w:abstractNumId="2">
    <w:nsid w:val="72B6D97F"/>
    <w:multiLevelType w:val="singleLevel"/>
    <w:tmpl w:val="72B6D97F"/>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wYzIzMGJmNzNkMWFlYTMyOGQzNjc5ZGNmZDRkZjAifQ=="/>
  </w:docVars>
  <w:rsids>
    <w:rsidRoot w:val="00CA6457"/>
    <w:rsid w:val="000110C4"/>
    <w:rsid w:val="00037D50"/>
    <w:rsid w:val="00043A16"/>
    <w:rsid w:val="0005416C"/>
    <w:rsid w:val="00056465"/>
    <w:rsid w:val="0007012F"/>
    <w:rsid w:val="000E06C8"/>
    <w:rsid w:val="001028C5"/>
    <w:rsid w:val="00102DFF"/>
    <w:rsid w:val="00121AE4"/>
    <w:rsid w:val="0014601B"/>
    <w:rsid w:val="00146AAD"/>
    <w:rsid w:val="00150F05"/>
    <w:rsid w:val="0017431A"/>
    <w:rsid w:val="001965DC"/>
    <w:rsid w:val="001B3A40"/>
    <w:rsid w:val="00273CCD"/>
    <w:rsid w:val="00291BC0"/>
    <w:rsid w:val="00311DBE"/>
    <w:rsid w:val="00345DD7"/>
    <w:rsid w:val="00351EFF"/>
    <w:rsid w:val="003B0577"/>
    <w:rsid w:val="003C0DE4"/>
    <w:rsid w:val="003C18B3"/>
    <w:rsid w:val="003E7E58"/>
    <w:rsid w:val="003F5180"/>
    <w:rsid w:val="00414C3A"/>
    <w:rsid w:val="004366A8"/>
    <w:rsid w:val="004A05EE"/>
    <w:rsid w:val="004C38BC"/>
    <w:rsid w:val="004C7B9D"/>
    <w:rsid w:val="004F1F3C"/>
    <w:rsid w:val="00502BA7"/>
    <w:rsid w:val="005162F1"/>
    <w:rsid w:val="005335DD"/>
    <w:rsid w:val="00535153"/>
    <w:rsid w:val="00554F82"/>
    <w:rsid w:val="0056390D"/>
    <w:rsid w:val="005719B0"/>
    <w:rsid w:val="00581DC5"/>
    <w:rsid w:val="005A4F2E"/>
    <w:rsid w:val="005A5018"/>
    <w:rsid w:val="005C51DF"/>
    <w:rsid w:val="005D10D6"/>
    <w:rsid w:val="005E7C5E"/>
    <w:rsid w:val="0073126B"/>
    <w:rsid w:val="0075584F"/>
    <w:rsid w:val="00855E3A"/>
    <w:rsid w:val="0091457F"/>
    <w:rsid w:val="00920DC8"/>
    <w:rsid w:val="00922CB9"/>
    <w:rsid w:val="00925D36"/>
    <w:rsid w:val="00944DD1"/>
    <w:rsid w:val="009E16EC"/>
    <w:rsid w:val="009E5CD9"/>
    <w:rsid w:val="009F4373"/>
    <w:rsid w:val="00A26421"/>
    <w:rsid w:val="00A34588"/>
    <w:rsid w:val="00A413B8"/>
    <w:rsid w:val="00A4293B"/>
    <w:rsid w:val="00A67D50"/>
    <w:rsid w:val="00A8691A"/>
    <w:rsid w:val="00A972DF"/>
    <w:rsid w:val="00AC0F49"/>
    <w:rsid w:val="00AC1946"/>
    <w:rsid w:val="00AC3A96"/>
    <w:rsid w:val="00AD5E52"/>
    <w:rsid w:val="00AF683C"/>
    <w:rsid w:val="00B2343E"/>
    <w:rsid w:val="00B40063"/>
    <w:rsid w:val="00B41F61"/>
    <w:rsid w:val="00B74D04"/>
    <w:rsid w:val="00BA46E6"/>
    <w:rsid w:val="00BB5015"/>
    <w:rsid w:val="00C3342B"/>
    <w:rsid w:val="00C56C72"/>
    <w:rsid w:val="00C62CB9"/>
    <w:rsid w:val="00C82930"/>
    <w:rsid w:val="00C91C43"/>
    <w:rsid w:val="00C94934"/>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3301A"/>
    <w:rsid w:val="00FB10BB"/>
    <w:rsid w:val="01A024AF"/>
    <w:rsid w:val="049D365A"/>
    <w:rsid w:val="0ADF757C"/>
    <w:rsid w:val="0C91288B"/>
    <w:rsid w:val="0F43310F"/>
    <w:rsid w:val="11646D50"/>
    <w:rsid w:val="12412C67"/>
    <w:rsid w:val="13C97541"/>
    <w:rsid w:val="148D505F"/>
    <w:rsid w:val="18153E01"/>
    <w:rsid w:val="1A5000AA"/>
    <w:rsid w:val="1F150140"/>
    <w:rsid w:val="21AF2715"/>
    <w:rsid w:val="25F62749"/>
    <w:rsid w:val="278F2F82"/>
    <w:rsid w:val="27C94753"/>
    <w:rsid w:val="2B5244B4"/>
    <w:rsid w:val="2C0C679F"/>
    <w:rsid w:val="2CB74B8B"/>
    <w:rsid w:val="309A756F"/>
    <w:rsid w:val="34996054"/>
    <w:rsid w:val="34AC60ED"/>
    <w:rsid w:val="37F012DD"/>
    <w:rsid w:val="381145A3"/>
    <w:rsid w:val="397D33E0"/>
    <w:rsid w:val="3CD05E6F"/>
    <w:rsid w:val="3DAB5160"/>
    <w:rsid w:val="3FC50393"/>
    <w:rsid w:val="42E211DB"/>
    <w:rsid w:val="441B2F7B"/>
    <w:rsid w:val="45377734"/>
    <w:rsid w:val="47E56984"/>
    <w:rsid w:val="485921E9"/>
    <w:rsid w:val="49BE225B"/>
    <w:rsid w:val="4D2606A1"/>
    <w:rsid w:val="4E177BF1"/>
    <w:rsid w:val="53EE4F8F"/>
    <w:rsid w:val="54752E3E"/>
    <w:rsid w:val="5F0003A4"/>
    <w:rsid w:val="646475B1"/>
    <w:rsid w:val="64DF562F"/>
    <w:rsid w:val="653A7EB8"/>
    <w:rsid w:val="66100C18"/>
    <w:rsid w:val="6623724E"/>
    <w:rsid w:val="67C077EC"/>
    <w:rsid w:val="6B7A684E"/>
    <w:rsid w:val="6CD85790"/>
    <w:rsid w:val="71E674B1"/>
    <w:rsid w:val="71FF3892"/>
    <w:rsid w:val="7A567060"/>
    <w:rsid w:val="7B7A23E2"/>
    <w:rsid w:val="AF993C7E"/>
    <w:rsid w:val="B6FB4EE8"/>
    <w:rsid w:val="BA7B23C6"/>
    <w:rsid w:val="DFFC2E85"/>
    <w:rsid w:val="FB373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30"/>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3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32"/>
    <w:autoRedefine/>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33"/>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4"/>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5"/>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6"/>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7"/>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11">
    <w:name w:val="Body Text Indent"/>
    <w:basedOn w:val="1"/>
    <w:link w:val="57"/>
    <w:autoRedefine/>
    <w:semiHidden/>
    <w:unhideWhenUsed/>
    <w:qFormat/>
    <w:uiPriority w:val="99"/>
    <w:pPr>
      <w:spacing w:after="120"/>
      <w:ind w:left="420" w:leftChars="200"/>
    </w:pPr>
  </w:style>
  <w:style w:type="paragraph" w:styleId="12">
    <w:name w:val="Balloon Text"/>
    <w:basedOn w:val="1"/>
    <w:link w:val="54"/>
    <w:autoRedefine/>
    <w:semiHidden/>
    <w:unhideWhenUsed/>
    <w:qFormat/>
    <w:uiPriority w:val="99"/>
    <w:rPr>
      <w:sz w:val="18"/>
      <w:szCs w:val="18"/>
    </w:rPr>
  </w:style>
  <w:style w:type="paragraph" w:styleId="13">
    <w:name w:val="footer"/>
    <w:basedOn w:val="1"/>
    <w:link w:val="53"/>
    <w:autoRedefine/>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52"/>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9"/>
    <w:autoRedefine/>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autoRedefine/>
    <w:semiHidden/>
    <w:unhideWhenUsed/>
    <w:qFormat/>
    <w:uiPriority w:val="99"/>
    <w:pPr>
      <w:spacing w:beforeAutospacing="1" w:afterAutospacing="1"/>
      <w:jc w:val="left"/>
    </w:pPr>
    <w:rPr>
      <w:kern w:val="0"/>
      <w:sz w:val="24"/>
    </w:rPr>
  </w:style>
  <w:style w:type="paragraph" w:styleId="17">
    <w:name w:val="Title"/>
    <w:basedOn w:val="1"/>
    <w:next w:val="1"/>
    <w:link w:val="38"/>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8">
    <w:name w:val="Body Text First Indent 2"/>
    <w:basedOn w:val="11"/>
    <w:link w:val="58"/>
    <w:autoRedefine/>
    <w:unhideWhenUsed/>
    <w:qFormat/>
    <w:uiPriority w:val="99"/>
    <w:pPr>
      <w:ind w:firstLine="420" w:firstLineChars="200"/>
    </w:pPr>
    <w:rPr>
      <w:rFonts w:hint="eastAsia" w:ascii="仿宋_GB2312" w:hAnsi="仿宋_GB2312" w:eastAsia="仿宋_GB2312"/>
      <w:sz w:val="32"/>
      <w:szCs w:val="32"/>
    </w:rPr>
  </w:style>
  <w:style w:type="character" w:styleId="21">
    <w:name w:val="Strong"/>
    <w:basedOn w:val="20"/>
    <w:autoRedefine/>
    <w:qFormat/>
    <w:uiPriority w:val="0"/>
    <w:rPr>
      <w:b/>
      <w:bCs/>
    </w:rPr>
  </w:style>
  <w:style w:type="character" w:styleId="22">
    <w:name w:val="FollowedHyperlink"/>
    <w:basedOn w:val="20"/>
    <w:autoRedefine/>
    <w:semiHidden/>
    <w:unhideWhenUsed/>
    <w:qFormat/>
    <w:uiPriority w:val="99"/>
    <w:rPr>
      <w:color w:val="2965B1"/>
      <w:u w:val="none"/>
    </w:rPr>
  </w:style>
  <w:style w:type="character" w:styleId="23">
    <w:name w:val="Emphasis"/>
    <w:basedOn w:val="20"/>
    <w:autoRedefine/>
    <w:qFormat/>
    <w:uiPriority w:val="20"/>
    <w:rPr>
      <w:rFonts w:asciiTheme="minorHAnsi" w:hAnsiTheme="minorHAnsi"/>
      <w:b/>
      <w:i/>
      <w:iCs/>
    </w:rPr>
  </w:style>
  <w:style w:type="character" w:styleId="24">
    <w:name w:val="HTML Definition"/>
    <w:basedOn w:val="20"/>
    <w:autoRedefine/>
    <w:semiHidden/>
    <w:unhideWhenUsed/>
    <w:qFormat/>
    <w:uiPriority w:val="99"/>
  </w:style>
  <w:style w:type="character" w:styleId="25">
    <w:name w:val="HTML Variable"/>
    <w:basedOn w:val="20"/>
    <w:autoRedefine/>
    <w:semiHidden/>
    <w:unhideWhenUsed/>
    <w:qFormat/>
    <w:uiPriority w:val="99"/>
  </w:style>
  <w:style w:type="character" w:styleId="26">
    <w:name w:val="Hyperlink"/>
    <w:basedOn w:val="20"/>
    <w:autoRedefine/>
    <w:semiHidden/>
    <w:unhideWhenUsed/>
    <w:qFormat/>
    <w:uiPriority w:val="99"/>
    <w:rPr>
      <w:color w:val="2965B1"/>
      <w:u w:val="none"/>
    </w:rPr>
  </w:style>
  <w:style w:type="character" w:styleId="27">
    <w:name w:val="HTML Code"/>
    <w:basedOn w:val="20"/>
    <w:autoRedefine/>
    <w:semiHidden/>
    <w:unhideWhenUsed/>
    <w:qFormat/>
    <w:uiPriority w:val="99"/>
    <w:rPr>
      <w:rFonts w:ascii="Courier New" w:hAnsi="Courier New"/>
      <w:sz w:val="20"/>
    </w:rPr>
  </w:style>
  <w:style w:type="character" w:styleId="28">
    <w:name w:val="HTML Cite"/>
    <w:basedOn w:val="20"/>
    <w:autoRedefine/>
    <w:semiHidden/>
    <w:unhideWhenUsed/>
    <w:qFormat/>
    <w:uiPriority w:val="99"/>
  </w:style>
  <w:style w:type="character" w:customStyle="1" w:styleId="29">
    <w:name w:val="标题 1 Char"/>
    <w:basedOn w:val="20"/>
    <w:link w:val="3"/>
    <w:autoRedefine/>
    <w:qFormat/>
    <w:uiPriority w:val="9"/>
    <w:rPr>
      <w:rFonts w:asciiTheme="majorHAnsi" w:hAnsiTheme="majorHAnsi" w:eastAsiaTheme="majorEastAsia"/>
      <w:b/>
      <w:bCs/>
      <w:kern w:val="32"/>
      <w:sz w:val="32"/>
      <w:szCs w:val="32"/>
    </w:rPr>
  </w:style>
  <w:style w:type="character" w:customStyle="1" w:styleId="30">
    <w:name w:val="标题 2 Char"/>
    <w:basedOn w:val="20"/>
    <w:link w:val="4"/>
    <w:autoRedefine/>
    <w:semiHidden/>
    <w:qFormat/>
    <w:uiPriority w:val="9"/>
    <w:rPr>
      <w:rFonts w:asciiTheme="majorHAnsi" w:hAnsiTheme="majorHAnsi" w:eastAsiaTheme="majorEastAsia"/>
      <w:b/>
      <w:bCs/>
      <w:i/>
      <w:iCs/>
      <w:sz w:val="28"/>
      <w:szCs w:val="28"/>
    </w:rPr>
  </w:style>
  <w:style w:type="character" w:customStyle="1" w:styleId="31">
    <w:name w:val="标题 3 Char"/>
    <w:basedOn w:val="20"/>
    <w:link w:val="2"/>
    <w:autoRedefine/>
    <w:semiHidden/>
    <w:qFormat/>
    <w:uiPriority w:val="9"/>
    <w:rPr>
      <w:rFonts w:asciiTheme="majorHAnsi" w:hAnsiTheme="majorHAnsi" w:eastAsiaTheme="majorEastAsia"/>
      <w:b/>
      <w:bCs/>
      <w:sz w:val="26"/>
      <w:szCs w:val="26"/>
    </w:rPr>
  </w:style>
  <w:style w:type="character" w:customStyle="1" w:styleId="32">
    <w:name w:val="标题 4 Char"/>
    <w:basedOn w:val="20"/>
    <w:link w:val="5"/>
    <w:autoRedefine/>
    <w:qFormat/>
    <w:uiPriority w:val="9"/>
    <w:rPr>
      <w:b/>
      <w:bCs/>
      <w:sz w:val="28"/>
      <w:szCs w:val="28"/>
    </w:rPr>
  </w:style>
  <w:style w:type="character" w:customStyle="1" w:styleId="33">
    <w:name w:val="标题 5 Char"/>
    <w:basedOn w:val="20"/>
    <w:link w:val="6"/>
    <w:autoRedefine/>
    <w:semiHidden/>
    <w:qFormat/>
    <w:uiPriority w:val="9"/>
    <w:rPr>
      <w:b/>
      <w:bCs/>
      <w:i/>
      <w:iCs/>
      <w:sz w:val="26"/>
      <w:szCs w:val="26"/>
    </w:rPr>
  </w:style>
  <w:style w:type="character" w:customStyle="1" w:styleId="34">
    <w:name w:val="标题 6 Char"/>
    <w:basedOn w:val="20"/>
    <w:link w:val="7"/>
    <w:autoRedefine/>
    <w:semiHidden/>
    <w:qFormat/>
    <w:uiPriority w:val="9"/>
    <w:rPr>
      <w:b/>
      <w:bCs/>
    </w:rPr>
  </w:style>
  <w:style w:type="character" w:customStyle="1" w:styleId="35">
    <w:name w:val="标题 7 Char"/>
    <w:basedOn w:val="20"/>
    <w:link w:val="8"/>
    <w:autoRedefine/>
    <w:semiHidden/>
    <w:qFormat/>
    <w:uiPriority w:val="9"/>
    <w:rPr>
      <w:sz w:val="24"/>
      <w:szCs w:val="24"/>
    </w:rPr>
  </w:style>
  <w:style w:type="character" w:customStyle="1" w:styleId="36">
    <w:name w:val="标题 8 Char"/>
    <w:basedOn w:val="20"/>
    <w:link w:val="9"/>
    <w:autoRedefine/>
    <w:semiHidden/>
    <w:qFormat/>
    <w:uiPriority w:val="9"/>
    <w:rPr>
      <w:i/>
      <w:iCs/>
      <w:sz w:val="24"/>
      <w:szCs w:val="24"/>
    </w:rPr>
  </w:style>
  <w:style w:type="character" w:customStyle="1" w:styleId="37">
    <w:name w:val="标题 9 Char"/>
    <w:basedOn w:val="20"/>
    <w:link w:val="10"/>
    <w:autoRedefine/>
    <w:semiHidden/>
    <w:qFormat/>
    <w:uiPriority w:val="9"/>
    <w:rPr>
      <w:rFonts w:asciiTheme="majorHAnsi" w:hAnsiTheme="majorHAnsi" w:eastAsiaTheme="majorEastAsia"/>
    </w:rPr>
  </w:style>
  <w:style w:type="character" w:customStyle="1" w:styleId="38">
    <w:name w:val="标题 Char"/>
    <w:basedOn w:val="20"/>
    <w:link w:val="17"/>
    <w:autoRedefine/>
    <w:qFormat/>
    <w:uiPriority w:val="10"/>
    <w:rPr>
      <w:rFonts w:asciiTheme="majorHAnsi" w:hAnsiTheme="majorHAnsi" w:eastAsiaTheme="majorEastAsia"/>
      <w:b/>
      <w:bCs/>
      <w:kern w:val="28"/>
      <w:sz w:val="32"/>
      <w:szCs w:val="32"/>
    </w:rPr>
  </w:style>
  <w:style w:type="character" w:customStyle="1" w:styleId="39">
    <w:name w:val="副标题 Char"/>
    <w:basedOn w:val="20"/>
    <w:link w:val="15"/>
    <w:autoRedefine/>
    <w:qFormat/>
    <w:uiPriority w:val="11"/>
    <w:rPr>
      <w:rFonts w:asciiTheme="majorHAnsi" w:hAnsiTheme="majorHAnsi" w:eastAsiaTheme="majorEastAsia"/>
      <w:sz w:val="24"/>
      <w:szCs w:val="24"/>
    </w:rPr>
  </w:style>
  <w:style w:type="paragraph" w:styleId="40">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41">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2">
    <w:name w:val="Quote"/>
    <w:basedOn w:val="1"/>
    <w:next w:val="1"/>
    <w:link w:val="43"/>
    <w:autoRedefine/>
    <w:qFormat/>
    <w:uiPriority w:val="29"/>
    <w:pPr>
      <w:widowControl/>
      <w:jc w:val="left"/>
    </w:pPr>
    <w:rPr>
      <w:rFonts w:asciiTheme="minorHAnsi" w:hAnsiTheme="minorHAnsi" w:eastAsiaTheme="minorEastAsia"/>
      <w:i/>
      <w:kern w:val="0"/>
      <w:sz w:val="24"/>
    </w:rPr>
  </w:style>
  <w:style w:type="character" w:customStyle="1" w:styleId="43">
    <w:name w:val="引用 Char"/>
    <w:basedOn w:val="20"/>
    <w:link w:val="42"/>
    <w:autoRedefine/>
    <w:qFormat/>
    <w:uiPriority w:val="29"/>
    <w:rPr>
      <w:i/>
      <w:sz w:val="24"/>
      <w:szCs w:val="24"/>
    </w:rPr>
  </w:style>
  <w:style w:type="paragraph" w:styleId="44">
    <w:name w:val="Intense Quote"/>
    <w:basedOn w:val="1"/>
    <w:next w:val="1"/>
    <w:link w:val="45"/>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45">
    <w:name w:val="明显引用 Char"/>
    <w:basedOn w:val="20"/>
    <w:link w:val="44"/>
    <w:autoRedefine/>
    <w:qFormat/>
    <w:uiPriority w:val="30"/>
    <w:rPr>
      <w:b/>
      <w:i/>
      <w:sz w:val="24"/>
    </w:rPr>
  </w:style>
  <w:style w:type="character" w:customStyle="1" w:styleId="46">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47">
    <w:name w:val="明显强调1"/>
    <w:basedOn w:val="20"/>
    <w:autoRedefine/>
    <w:qFormat/>
    <w:uiPriority w:val="21"/>
    <w:rPr>
      <w:b/>
      <w:i/>
      <w:sz w:val="24"/>
      <w:szCs w:val="24"/>
      <w:u w:val="single"/>
    </w:rPr>
  </w:style>
  <w:style w:type="character" w:customStyle="1" w:styleId="48">
    <w:name w:val="不明显参考1"/>
    <w:basedOn w:val="20"/>
    <w:autoRedefine/>
    <w:qFormat/>
    <w:uiPriority w:val="31"/>
    <w:rPr>
      <w:sz w:val="24"/>
      <w:szCs w:val="24"/>
      <w:u w:val="single"/>
    </w:rPr>
  </w:style>
  <w:style w:type="character" w:customStyle="1" w:styleId="49">
    <w:name w:val="明显参考1"/>
    <w:basedOn w:val="20"/>
    <w:autoRedefine/>
    <w:qFormat/>
    <w:uiPriority w:val="32"/>
    <w:rPr>
      <w:b/>
      <w:sz w:val="24"/>
      <w:u w:val="single"/>
    </w:rPr>
  </w:style>
  <w:style w:type="character" w:customStyle="1" w:styleId="50">
    <w:name w:val="书籍标题1"/>
    <w:basedOn w:val="20"/>
    <w:autoRedefine/>
    <w:qFormat/>
    <w:uiPriority w:val="33"/>
    <w:rPr>
      <w:rFonts w:asciiTheme="majorHAnsi" w:hAnsiTheme="majorHAnsi" w:eastAsiaTheme="majorEastAsia"/>
      <w:b/>
      <w:i/>
      <w:sz w:val="24"/>
      <w:szCs w:val="24"/>
    </w:rPr>
  </w:style>
  <w:style w:type="paragraph" w:customStyle="1" w:styleId="51">
    <w:name w:val="TOC 标题1"/>
    <w:basedOn w:val="3"/>
    <w:next w:val="1"/>
    <w:autoRedefine/>
    <w:semiHidden/>
    <w:unhideWhenUsed/>
    <w:qFormat/>
    <w:uiPriority w:val="39"/>
    <w:pPr>
      <w:outlineLvl w:val="9"/>
    </w:pPr>
    <w:rPr>
      <w:lang w:eastAsia="en-US" w:bidi="en-US"/>
    </w:rPr>
  </w:style>
  <w:style w:type="character" w:customStyle="1" w:styleId="52">
    <w:name w:val="页眉 Char"/>
    <w:basedOn w:val="20"/>
    <w:link w:val="14"/>
    <w:autoRedefine/>
    <w:qFormat/>
    <w:uiPriority w:val="99"/>
    <w:rPr>
      <w:rFonts w:ascii="Calibri" w:hAnsi="Calibri" w:eastAsia="宋体"/>
      <w:kern w:val="2"/>
      <w:sz w:val="18"/>
      <w:szCs w:val="18"/>
    </w:rPr>
  </w:style>
  <w:style w:type="character" w:customStyle="1" w:styleId="53">
    <w:name w:val="页脚 Char"/>
    <w:basedOn w:val="20"/>
    <w:link w:val="13"/>
    <w:autoRedefine/>
    <w:qFormat/>
    <w:uiPriority w:val="99"/>
    <w:rPr>
      <w:rFonts w:ascii="Calibri" w:hAnsi="Calibri" w:eastAsia="宋体"/>
      <w:kern w:val="2"/>
      <w:sz w:val="18"/>
      <w:szCs w:val="18"/>
    </w:rPr>
  </w:style>
  <w:style w:type="character" w:customStyle="1" w:styleId="54">
    <w:name w:val="批注框文本 Char"/>
    <w:basedOn w:val="20"/>
    <w:link w:val="12"/>
    <w:autoRedefine/>
    <w:semiHidden/>
    <w:qFormat/>
    <w:uiPriority w:val="99"/>
    <w:rPr>
      <w:rFonts w:ascii="Times New Roman" w:hAnsi="Times New Roman" w:eastAsia="宋体"/>
      <w:kern w:val="2"/>
      <w:sz w:val="18"/>
      <w:szCs w:val="18"/>
    </w:rPr>
  </w:style>
  <w:style w:type="character" w:customStyle="1" w:styleId="55">
    <w:name w:val="hover"/>
    <w:basedOn w:val="20"/>
    <w:autoRedefine/>
    <w:qFormat/>
    <w:uiPriority w:val="0"/>
    <w:rPr>
      <w:color w:val="FF7B00"/>
    </w:rPr>
  </w:style>
  <w:style w:type="character" w:customStyle="1" w:styleId="56">
    <w:name w:val="before"/>
    <w:basedOn w:val="20"/>
    <w:autoRedefine/>
    <w:qFormat/>
    <w:uiPriority w:val="0"/>
    <w:rPr>
      <w:bdr w:val="single" w:color="1EB2C9" w:sz="48" w:space="0"/>
      <w:shd w:val="clear" w:color="auto" w:fill="F5F5F8"/>
    </w:rPr>
  </w:style>
  <w:style w:type="character" w:customStyle="1" w:styleId="57">
    <w:name w:val="正文文本缩进 Char"/>
    <w:basedOn w:val="20"/>
    <w:link w:val="11"/>
    <w:autoRedefine/>
    <w:semiHidden/>
    <w:qFormat/>
    <w:uiPriority w:val="99"/>
    <w:rPr>
      <w:kern w:val="2"/>
      <w:sz w:val="21"/>
      <w:szCs w:val="24"/>
    </w:rPr>
  </w:style>
  <w:style w:type="character" w:customStyle="1" w:styleId="58">
    <w:name w:val="正文首行缩进 2 Char"/>
    <w:basedOn w:val="57"/>
    <w:link w:val="18"/>
    <w:autoRedefine/>
    <w:qFormat/>
    <w:uiPriority w:val="99"/>
    <w:rPr>
      <w:rFonts w:ascii="仿宋_GB2312" w:hAnsi="仿宋_GB2312" w:eastAsia="仿宋_GB2312"/>
      <w:sz w:val="32"/>
      <w:szCs w:val="32"/>
    </w:rPr>
  </w:style>
  <w:style w:type="paragraph" w:customStyle="1" w:styleId="59">
    <w:name w:val="p0"/>
    <w:basedOn w:val="1"/>
    <w:autoRedefine/>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6704</Words>
  <Characters>7005</Characters>
  <Lines>21</Lines>
  <Paragraphs>6</Paragraphs>
  <TotalTime>13</TotalTime>
  <ScaleCrop>false</ScaleCrop>
  <LinksUpToDate>false</LinksUpToDate>
  <CharactersWithSpaces>7028</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2021-09-02T05:06:00Z</dcterms:created>
  <dc:creator>赵 恺（预算处）</dc:creator>
  <cp:lastModifiedBy>财务1</cp:lastModifiedBy>
  <cp:lastPrinted>2023-03-22T19:54:00Z</cp:lastPrinted>
  <dcterms:modified xsi:type="dcterms:W3CDTF">2024-08-02T02:55:48Z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673BBD642C9C4240964B382DE1F93331</vt:lpwstr>
  </property>
</Properties>
</file>